
<file path=[Content_Types].xml><?xml version="1.0" encoding="utf-8"?>
<Types xmlns="http://schemas.openxmlformats.org/package/2006/content-types">
  <Default Extension="xml" ContentType="application/xml"/>
  <Default Extension="bin" ContentType="application/vnd.openxmlformats-officedocument.oleObject"/>
  <Default Extension="gif" ContentType="image/gif"/>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B38C015">
      <w:pPr>
        <w:spacing w:line="360" w:lineRule="auto"/>
        <w:rPr>
          <w:rFonts w:hint="default" w:ascii="Times New Roman" w:hAnsi="Times New Roman" w:cs="Times New Roman"/>
          <w:color w:val="auto"/>
        </w:rPr>
      </w:pPr>
    </w:p>
    <w:p w14:paraId="284855B7">
      <w:pPr>
        <w:spacing w:line="360" w:lineRule="auto"/>
        <w:rPr>
          <w:rFonts w:hint="default" w:ascii="Times New Roman" w:hAnsi="Times New Roman" w:cs="Times New Roman"/>
          <w:color w:val="auto"/>
        </w:rPr>
      </w:pPr>
    </w:p>
    <w:p w14:paraId="2F7EC9A0">
      <w:pPr>
        <w:spacing w:line="360" w:lineRule="auto"/>
        <w:rPr>
          <w:rFonts w:hint="default" w:ascii="Times New Roman" w:hAnsi="Times New Roman" w:cs="Times New Roman"/>
          <w:color w:val="auto"/>
        </w:rPr>
      </w:pPr>
    </w:p>
    <w:p w14:paraId="6A5186EF">
      <w:pPr>
        <w:spacing w:line="360" w:lineRule="auto"/>
        <w:rPr>
          <w:rFonts w:hint="default" w:ascii="Times New Roman" w:hAnsi="Times New Roman" w:cs="Times New Roman"/>
          <w:color w:val="auto"/>
        </w:rPr>
      </w:pPr>
    </w:p>
    <w:p w14:paraId="77BCDE69">
      <w:pPr>
        <w:spacing w:line="360" w:lineRule="auto"/>
        <w:jc w:val="center"/>
        <w:rPr>
          <w:rFonts w:hint="default" w:ascii="Times New Roman" w:hAnsi="Times New Roman" w:cs="Times New Roman"/>
          <w:b/>
          <w:color w:val="auto"/>
          <w:sz w:val="52"/>
          <w:szCs w:val="52"/>
        </w:rPr>
      </w:pPr>
      <w:r>
        <w:rPr>
          <w:rFonts w:hint="default" w:ascii="Times New Roman" w:hAnsi="Times New Roman" w:cs="Times New Roman"/>
          <w:b/>
          <w:color w:val="auto"/>
          <w:sz w:val="52"/>
          <w:szCs w:val="52"/>
        </w:rPr>
        <w:t>建设项目环境影响报告表</w:t>
      </w:r>
    </w:p>
    <w:p w14:paraId="143139ED">
      <w:pPr>
        <w:spacing w:line="360" w:lineRule="auto"/>
        <w:jc w:val="center"/>
        <w:rPr>
          <w:rFonts w:hint="default" w:ascii="Times New Roman" w:hAnsi="Times New Roman" w:cs="Times New Roman"/>
          <w:b/>
          <w:color w:val="auto"/>
          <w:sz w:val="36"/>
          <w:szCs w:val="36"/>
        </w:rPr>
      </w:pPr>
      <w:r>
        <w:rPr>
          <w:rFonts w:hint="default" w:ascii="Times New Roman" w:hAnsi="Times New Roman" w:cs="Times New Roman"/>
          <w:b/>
          <w:color w:val="auto"/>
          <w:sz w:val="36"/>
          <w:szCs w:val="36"/>
        </w:rPr>
        <w:t>(</w:t>
      </w:r>
      <w:r>
        <w:rPr>
          <w:rFonts w:hint="default" w:ascii="Times New Roman" w:hAnsi="Times New Roman" w:cs="Times New Roman"/>
          <w:b w:val="0"/>
          <w:bCs/>
          <w:color w:val="auto"/>
          <w:sz w:val="36"/>
          <w:szCs w:val="36"/>
          <w:u w:val="none"/>
          <w:lang w:val="en-US" w:eastAsia="zh-CN"/>
        </w:rPr>
        <w:t>送审本</w:t>
      </w:r>
      <w:r>
        <w:rPr>
          <w:rFonts w:hint="default" w:ascii="Times New Roman" w:hAnsi="Times New Roman" w:cs="Times New Roman"/>
          <w:b/>
          <w:color w:val="auto"/>
          <w:sz w:val="36"/>
          <w:szCs w:val="36"/>
        </w:rPr>
        <w:t>)</w:t>
      </w:r>
    </w:p>
    <w:p w14:paraId="2924E634">
      <w:pPr>
        <w:spacing w:line="360" w:lineRule="auto"/>
        <w:rPr>
          <w:rFonts w:hint="default" w:ascii="Times New Roman" w:hAnsi="Times New Roman" w:cs="Times New Roman"/>
          <w:b/>
          <w:color w:val="auto"/>
          <w:sz w:val="36"/>
          <w:szCs w:val="36"/>
        </w:rPr>
      </w:pPr>
    </w:p>
    <w:p w14:paraId="4B167834">
      <w:pPr>
        <w:spacing w:line="360" w:lineRule="auto"/>
        <w:rPr>
          <w:rFonts w:hint="default" w:ascii="Times New Roman" w:hAnsi="Times New Roman" w:cs="Times New Roman"/>
          <w:b/>
          <w:color w:val="auto"/>
          <w:sz w:val="36"/>
          <w:szCs w:val="36"/>
        </w:rPr>
      </w:pPr>
    </w:p>
    <w:p w14:paraId="6CC4D465">
      <w:pPr>
        <w:spacing w:line="360" w:lineRule="auto"/>
        <w:rPr>
          <w:rFonts w:hint="default" w:ascii="Times New Roman" w:hAnsi="Times New Roman" w:cs="Times New Roman"/>
          <w:b/>
          <w:color w:val="auto"/>
          <w:sz w:val="36"/>
          <w:szCs w:val="36"/>
        </w:rPr>
      </w:pPr>
    </w:p>
    <w:p w14:paraId="2305879B">
      <w:pPr>
        <w:spacing w:line="360" w:lineRule="auto"/>
        <w:rPr>
          <w:rFonts w:hint="default" w:ascii="Times New Roman" w:hAnsi="Times New Roman" w:cs="Times New Roman"/>
          <w:b/>
          <w:color w:val="auto"/>
          <w:sz w:val="36"/>
          <w:szCs w:val="36"/>
        </w:rPr>
      </w:pPr>
    </w:p>
    <w:p w14:paraId="07574F64">
      <w:pPr>
        <w:spacing w:line="360" w:lineRule="auto"/>
        <w:rPr>
          <w:rFonts w:hint="default" w:ascii="Times New Roman" w:hAnsi="Times New Roman" w:cs="Times New Roman"/>
          <w:b/>
          <w:color w:val="auto"/>
          <w:sz w:val="36"/>
          <w:szCs w:val="36"/>
        </w:rPr>
      </w:pPr>
    </w:p>
    <w:p w14:paraId="30CC050A">
      <w:pPr>
        <w:spacing w:line="360" w:lineRule="auto"/>
        <w:rPr>
          <w:rFonts w:hint="default" w:ascii="Times New Roman" w:hAnsi="Times New Roman" w:cs="Times New Roman"/>
          <w:b/>
          <w:color w:val="auto"/>
          <w:sz w:val="36"/>
          <w:szCs w:val="36"/>
        </w:rPr>
      </w:pPr>
    </w:p>
    <w:p w14:paraId="2FD854F3">
      <w:pPr>
        <w:spacing w:line="360" w:lineRule="auto"/>
        <w:ind w:firstLine="2249" w:firstLineChars="700"/>
        <w:jc w:val="both"/>
        <w:rPr>
          <w:rFonts w:hint="default" w:ascii="Times New Roman" w:hAnsi="Times New Roman" w:cs="Times New Roman"/>
          <w:b/>
          <w:color w:val="auto"/>
          <w:sz w:val="32"/>
          <w:szCs w:val="32"/>
        </w:rPr>
      </w:pPr>
      <w:r>
        <w:rPr>
          <w:rFonts w:hint="default" w:ascii="Times New Roman" w:hAnsi="Times New Roman" w:cs="Times New Roman"/>
          <w:b/>
          <w:color w:val="auto"/>
          <w:sz w:val="32"/>
          <w:szCs w:val="32"/>
        </w:rPr>
        <w:t>项目名称：</w:t>
      </w:r>
      <w:r>
        <w:rPr>
          <w:rFonts w:hint="default" w:ascii="Times New Roman" w:hAnsi="Times New Roman" w:cs="Times New Roman"/>
          <w:b/>
          <w:color w:val="auto"/>
          <w:sz w:val="32"/>
          <w:szCs w:val="32"/>
          <w:u w:val="single"/>
          <w:lang w:val="en-US" w:eastAsia="zh-CN"/>
        </w:rPr>
        <w:t>汽车进排气系统生产项目</w:t>
      </w:r>
      <w:r>
        <w:rPr>
          <w:rFonts w:hint="eastAsia" w:cs="Times New Roman"/>
          <w:b/>
          <w:color w:val="auto"/>
          <w:sz w:val="32"/>
          <w:szCs w:val="32"/>
          <w:u w:val="single"/>
          <w:lang w:val="en-US" w:eastAsia="zh-CN"/>
        </w:rPr>
        <w:t xml:space="preserve">    </w:t>
      </w:r>
      <w:r>
        <w:rPr>
          <w:rFonts w:hint="default" w:ascii="Times New Roman" w:hAnsi="Times New Roman" w:cs="Times New Roman"/>
          <w:b/>
          <w:color w:val="auto"/>
          <w:sz w:val="32"/>
          <w:szCs w:val="32"/>
        </w:rPr>
        <w:t xml:space="preserve">                     </w:t>
      </w:r>
    </w:p>
    <w:p w14:paraId="43173257">
      <w:pPr>
        <w:spacing w:line="360" w:lineRule="auto"/>
        <w:jc w:val="center"/>
        <w:rPr>
          <w:rFonts w:hint="default" w:ascii="Times New Roman" w:hAnsi="Times New Roman" w:cs="Times New Roman"/>
          <w:b/>
          <w:color w:val="auto"/>
          <w:sz w:val="32"/>
          <w:szCs w:val="32"/>
        </w:rPr>
      </w:pPr>
      <w:r>
        <w:rPr>
          <w:rFonts w:hint="default" w:ascii="Times New Roman" w:hAnsi="Times New Roman" w:cs="Times New Roman"/>
          <w:b/>
          <w:color w:val="auto"/>
          <w:sz w:val="32"/>
          <w:szCs w:val="32"/>
        </w:rPr>
        <w:t xml:space="preserve"> </w:t>
      </w:r>
    </w:p>
    <w:p w14:paraId="3C8432F4">
      <w:pPr>
        <w:spacing w:line="360" w:lineRule="auto"/>
        <w:jc w:val="center"/>
        <w:rPr>
          <w:rFonts w:hint="default" w:ascii="Times New Roman" w:hAnsi="Times New Roman" w:cs="Times New Roman"/>
          <w:b/>
          <w:color w:val="auto"/>
          <w:sz w:val="32"/>
          <w:szCs w:val="32"/>
          <w:u w:val="single"/>
        </w:rPr>
      </w:pPr>
      <w:r>
        <w:rPr>
          <w:rFonts w:hint="default" w:ascii="Times New Roman" w:hAnsi="Times New Roman" w:cs="Times New Roman"/>
          <w:b/>
          <w:color w:val="auto"/>
          <w:sz w:val="32"/>
          <w:szCs w:val="32"/>
        </w:rPr>
        <w:t>建设单位：</w:t>
      </w:r>
      <w:r>
        <w:rPr>
          <w:rFonts w:hint="default" w:ascii="Times New Roman" w:hAnsi="Times New Roman" w:cs="Times New Roman"/>
          <w:b/>
          <w:color w:val="auto"/>
          <w:sz w:val="32"/>
          <w:szCs w:val="32"/>
          <w:u w:val="single"/>
          <w:lang w:val="en-US" w:eastAsia="zh-CN"/>
        </w:rPr>
        <w:t>四川亿利汽车零部件有限公司</w:t>
      </w:r>
      <w:r>
        <w:rPr>
          <w:rFonts w:hint="default" w:ascii="Times New Roman" w:hAnsi="Times New Roman" w:cs="Times New Roman"/>
          <w:b/>
          <w:color w:val="auto"/>
          <w:sz w:val="32"/>
          <w:szCs w:val="32"/>
        </w:rPr>
        <w:t xml:space="preserve">                      </w:t>
      </w:r>
    </w:p>
    <w:p w14:paraId="6B7D8920">
      <w:pPr>
        <w:spacing w:line="360" w:lineRule="auto"/>
        <w:rPr>
          <w:rFonts w:hint="default" w:ascii="Times New Roman" w:hAnsi="Times New Roman" w:cs="Times New Roman"/>
          <w:b/>
          <w:color w:val="auto"/>
          <w:sz w:val="32"/>
          <w:szCs w:val="32"/>
          <w:u w:val="single"/>
        </w:rPr>
      </w:pPr>
    </w:p>
    <w:p w14:paraId="37A1E9B7">
      <w:pPr>
        <w:pStyle w:val="3"/>
        <w:rPr>
          <w:rFonts w:hint="default"/>
        </w:rPr>
      </w:pPr>
    </w:p>
    <w:p w14:paraId="6CC63F08">
      <w:pPr>
        <w:jc w:val="center"/>
        <w:rPr>
          <w:rFonts w:hint="eastAsia" w:ascii="仿宋_GB2312" w:hAnsi="宋体" w:eastAsia="仿宋_GB2312"/>
          <w:b/>
          <w:sz w:val="28"/>
        </w:rPr>
      </w:pPr>
      <w:r>
        <w:rPr>
          <w:rFonts w:hint="eastAsia" w:ascii="仿宋_GB2312" w:hAnsi="宋体" w:eastAsia="仿宋_GB2312"/>
          <w:b/>
          <w:sz w:val="36"/>
        </w:rPr>
        <w:t>编制日期：二○一八年</w:t>
      </w:r>
      <w:r>
        <w:rPr>
          <w:rFonts w:hint="eastAsia" w:ascii="仿宋_GB2312" w:hAnsi="宋体" w:eastAsia="仿宋_GB2312"/>
          <w:b/>
          <w:sz w:val="36"/>
          <w:lang w:val="en-US" w:eastAsia="zh-CN"/>
        </w:rPr>
        <w:t>七</w:t>
      </w:r>
      <w:r>
        <w:rPr>
          <w:rFonts w:hint="eastAsia" w:ascii="仿宋_GB2312" w:hAnsi="宋体" w:eastAsia="仿宋_GB2312"/>
          <w:b/>
          <w:sz w:val="36"/>
        </w:rPr>
        <w:t>月</w:t>
      </w:r>
    </w:p>
    <w:p w14:paraId="593008DC">
      <w:pPr>
        <w:jc w:val="center"/>
        <w:rPr>
          <w:rFonts w:hint="eastAsia" w:ascii="仿宋_GB2312" w:hAnsi="宋体" w:eastAsia="仿宋_GB2312"/>
          <w:b/>
          <w:sz w:val="28"/>
        </w:rPr>
      </w:pPr>
      <w:r>
        <w:rPr>
          <w:rFonts w:hint="eastAsia" w:ascii="仿宋_GB2312" w:hAnsi="宋体" w:eastAsia="仿宋_GB2312"/>
          <w:b/>
          <w:sz w:val="36"/>
        </w:rPr>
        <w:t>国家环境保护部制</w:t>
      </w:r>
    </w:p>
    <w:p w14:paraId="773E7133">
      <w:pPr>
        <w:jc w:val="center"/>
        <w:rPr>
          <w:rFonts w:hint="default" w:ascii="Times New Roman" w:hAnsi="Times New Roman" w:cs="Times New Roman"/>
          <w:b/>
          <w:color w:val="auto"/>
          <w:sz w:val="32"/>
          <w:szCs w:val="32"/>
        </w:rPr>
      </w:pPr>
      <w:r>
        <w:rPr>
          <w:rFonts w:hint="eastAsia" w:ascii="仿宋_GB2312" w:hAnsi="宋体" w:eastAsia="仿宋_GB2312"/>
          <w:b/>
          <w:sz w:val="36"/>
        </w:rPr>
        <w:t>四川省环境保护厅印</w:t>
      </w:r>
    </w:p>
    <w:p w14:paraId="68E309E6">
      <w:pPr>
        <w:spacing w:line="360" w:lineRule="auto"/>
        <w:jc w:val="both"/>
        <w:rPr>
          <w:rFonts w:hint="default" w:ascii="Times New Roman" w:hAnsi="Times New Roman" w:cs="Times New Roman"/>
          <w:b/>
          <w:color w:val="auto"/>
          <w:sz w:val="32"/>
          <w:szCs w:val="32"/>
        </w:rPr>
      </w:pPr>
    </w:p>
    <w:p w14:paraId="180C3DEE">
      <w:pPr>
        <w:spacing w:line="360" w:lineRule="auto"/>
        <w:jc w:val="center"/>
        <w:rPr>
          <w:rFonts w:hint="default" w:ascii="Times New Roman" w:hAnsi="Times New Roman" w:cs="Times New Roman"/>
          <w:b/>
          <w:color w:val="auto"/>
          <w:sz w:val="32"/>
          <w:szCs w:val="32"/>
        </w:rPr>
      </w:pPr>
    </w:p>
    <w:p w14:paraId="28F0E424">
      <w:pPr>
        <w:spacing w:line="360" w:lineRule="auto"/>
        <w:jc w:val="center"/>
        <w:rPr>
          <w:rFonts w:hint="default" w:ascii="Times New Roman" w:hAnsi="Times New Roman" w:cs="Times New Roman"/>
          <w:b/>
          <w:color w:val="auto"/>
          <w:sz w:val="32"/>
          <w:szCs w:val="32"/>
        </w:rPr>
      </w:pPr>
      <w:r>
        <w:rPr>
          <w:rFonts w:hint="default" w:ascii="Times New Roman" w:hAnsi="Times New Roman" w:cs="Times New Roman"/>
          <w:b/>
          <w:color w:val="auto"/>
          <w:sz w:val="32"/>
          <w:szCs w:val="32"/>
        </w:rPr>
        <w:t>《建设项目环境影响报告表》编制说明</w:t>
      </w:r>
    </w:p>
    <w:p w14:paraId="15EEC487">
      <w:pPr>
        <w:spacing w:line="360" w:lineRule="auto"/>
        <w:rPr>
          <w:rFonts w:hint="default" w:ascii="Times New Roman" w:hAnsi="Times New Roman" w:cs="Times New Roman"/>
          <w:color w:val="auto"/>
          <w:sz w:val="28"/>
          <w:szCs w:val="28"/>
        </w:rPr>
      </w:pPr>
    </w:p>
    <w:p w14:paraId="3741AAD2">
      <w:pPr>
        <w:spacing w:line="360" w:lineRule="auto"/>
        <w:ind w:firstLine="560" w:firstLineChars="200"/>
        <w:rPr>
          <w:rFonts w:hint="default" w:ascii="Times New Roman" w:hAnsi="Times New Roman" w:cs="Times New Roman"/>
          <w:color w:val="auto"/>
          <w:sz w:val="28"/>
          <w:szCs w:val="28"/>
        </w:rPr>
      </w:pPr>
      <w:r>
        <w:rPr>
          <w:rFonts w:hint="default" w:ascii="Times New Roman" w:hAnsi="Times New Roman" w:cs="Times New Roman"/>
          <w:color w:val="auto"/>
          <w:sz w:val="28"/>
          <w:szCs w:val="28"/>
        </w:rPr>
        <w:t>《建设项目环境影响报告表》由具有从事环境影响评价工作资质的单位编制。</w:t>
      </w:r>
    </w:p>
    <w:p w14:paraId="0BA3A0CC">
      <w:pPr>
        <w:spacing w:line="360" w:lineRule="auto"/>
        <w:ind w:firstLine="560" w:firstLineChars="200"/>
        <w:rPr>
          <w:rFonts w:hint="default" w:ascii="Times New Roman" w:hAnsi="Times New Roman" w:cs="Times New Roman"/>
          <w:color w:val="auto"/>
          <w:sz w:val="28"/>
          <w:szCs w:val="28"/>
        </w:rPr>
      </w:pPr>
      <w:r>
        <w:rPr>
          <w:rFonts w:hint="default" w:ascii="Times New Roman" w:hAnsi="Times New Roman" w:cs="Times New Roman"/>
          <w:color w:val="auto"/>
          <w:sz w:val="28"/>
          <w:szCs w:val="28"/>
        </w:rPr>
        <w:t>1、项目名称——指项目立项批复时的名称，应不超过30个字（两个英文字段作一个汉字）。</w:t>
      </w:r>
    </w:p>
    <w:p w14:paraId="5C25CDF5">
      <w:pPr>
        <w:spacing w:line="360" w:lineRule="auto"/>
        <w:ind w:firstLine="560" w:firstLineChars="200"/>
        <w:rPr>
          <w:rFonts w:hint="default" w:ascii="Times New Roman" w:hAnsi="Times New Roman" w:cs="Times New Roman"/>
          <w:color w:val="auto"/>
          <w:sz w:val="28"/>
          <w:szCs w:val="28"/>
        </w:rPr>
      </w:pPr>
      <w:r>
        <w:rPr>
          <w:rFonts w:hint="default" w:ascii="Times New Roman" w:hAnsi="Times New Roman" w:cs="Times New Roman"/>
          <w:color w:val="auto"/>
          <w:sz w:val="28"/>
          <w:szCs w:val="28"/>
        </w:rPr>
        <w:t>2、建设地点——指项目所在地详细地址，公路、铁路应填写起止地点。</w:t>
      </w:r>
    </w:p>
    <w:p w14:paraId="031342AA">
      <w:pPr>
        <w:spacing w:line="360" w:lineRule="auto"/>
        <w:ind w:firstLine="560" w:firstLineChars="200"/>
        <w:rPr>
          <w:rFonts w:hint="default" w:ascii="Times New Roman" w:hAnsi="Times New Roman" w:cs="Times New Roman"/>
          <w:color w:val="auto"/>
          <w:sz w:val="28"/>
          <w:szCs w:val="28"/>
        </w:rPr>
      </w:pPr>
      <w:r>
        <w:rPr>
          <w:rFonts w:hint="default" w:ascii="Times New Roman" w:hAnsi="Times New Roman" w:cs="Times New Roman"/>
          <w:color w:val="auto"/>
          <w:sz w:val="28"/>
          <w:szCs w:val="28"/>
        </w:rPr>
        <w:t>3、行业类别——按国标填写。</w:t>
      </w:r>
    </w:p>
    <w:p w14:paraId="33DB7171">
      <w:pPr>
        <w:spacing w:line="360" w:lineRule="auto"/>
        <w:ind w:firstLine="560" w:firstLineChars="200"/>
        <w:rPr>
          <w:rFonts w:hint="default" w:ascii="Times New Roman" w:hAnsi="Times New Roman" w:cs="Times New Roman"/>
          <w:color w:val="auto"/>
          <w:sz w:val="28"/>
          <w:szCs w:val="28"/>
        </w:rPr>
      </w:pPr>
      <w:r>
        <w:rPr>
          <w:rFonts w:hint="default" w:ascii="Times New Roman" w:hAnsi="Times New Roman" w:cs="Times New Roman"/>
          <w:color w:val="auto"/>
          <w:sz w:val="28"/>
          <w:szCs w:val="28"/>
        </w:rPr>
        <w:t>4、总投资——指项目投资总额。</w:t>
      </w:r>
    </w:p>
    <w:p w14:paraId="4CDE0337">
      <w:pPr>
        <w:spacing w:line="360" w:lineRule="auto"/>
        <w:ind w:firstLine="560" w:firstLineChars="200"/>
        <w:rPr>
          <w:rFonts w:hint="default" w:ascii="Times New Roman" w:hAnsi="Times New Roman" w:cs="Times New Roman"/>
          <w:color w:val="auto"/>
          <w:sz w:val="28"/>
          <w:szCs w:val="28"/>
        </w:rPr>
      </w:pPr>
      <w:r>
        <w:rPr>
          <w:rFonts w:hint="default" w:ascii="Times New Roman" w:hAnsi="Times New Roman" w:cs="Times New Roman"/>
          <w:color w:val="auto"/>
          <w:sz w:val="28"/>
          <w:szCs w:val="28"/>
        </w:rPr>
        <w:t>5、主要环境保护目标——指项目区周围一定范围内集中居民住宅区、学校、医院、保护文物、风景名胜区、水源地和生态敏感点等，应尽可能给出保护目标、性质、规模和距厂边界距离等。</w:t>
      </w:r>
    </w:p>
    <w:p w14:paraId="4DDFCB25">
      <w:pPr>
        <w:spacing w:line="360" w:lineRule="auto"/>
        <w:ind w:firstLine="560" w:firstLineChars="200"/>
        <w:rPr>
          <w:rFonts w:hint="default" w:ascii="Times New Roman" w:hAnsi="Times New Roman" w:cs="Times New Roman"/>
          <w:color w:val="auto"/>
          <w:sz w:val="28"/>
          <w:szCs w:val="28"/>
        </w:rPr>
      </w:pPr>
      <w:r>
        <w:rPr>
          <w:rFonts w:hint="default" w:ascii="Times New Roman" w:hAnsi="Times New Roman" w:cs="Times New Roman"/>
          <w:color w:val="auto"/>
          <w:sz w:val="28"/>
          <w:szCs w:val="28"/>
        </w:rPr>
        <w:t>6、结论与建议——给出本项目清洁生产、达标排放和总量控制的分析结论，确定污染防治措施的有效性，说明本项目对环境造成的影响，给出建设项目环境可行性的明确结论。同时提出减少环境影响的其他建议。</w:t>
      </w:r>
    </w:p>
    <w:p w14:paraId="4E6B6648">
      <w:pPr>
        <w:spacing w:line="360" w:lineRule="auto"/>
        <w:ind w:firstLine="560" w:firstLineChars="200"/>
        <w:rPr>
          <w:rFonts w:hint="default" w:ascii="Times New Roman" w:hAnsi="Times New Roman" w:cs="Times New Roman"/>
          <w:color w:val="auto"/>
          <w:sz w:val="28"/>
          <w:szCs w:val="28"/>
        </w:rPr>
      </w:pPr>
      <w:r>
        <w:rPr>
          <w:rFonts w:hint="default" w:ascii="Times New Roman" w:hAnsi="Times New Roman" w:cs="Times New Roman"/>
          <w:color w:val="auto"/>
          <w:sz w:val="28"/>
          <w:szCs w:val="28"/>
        </w:rPr>
        <w:t>7、预审意见——由行业主管部门填写答复意见，无主管部门项目，可不填。</w:t>
      </w:r>
    </w:p>
    <w:p w14:paraId="04ED3255">
      <w:pPr>
        <w:spacing w:line="360" w:lineRule="auto"/>
        <w:ind w:firstLine="560" w:firstLineChars="200"/>
        <w:rPr>
          <w:rFonts w:hint="default" w:ascii="Times New Roman" w:hAnsi="Times New Roman" w:cs="Times New Roman"/>
          <w:color w:val="auto"/>
          <w:sz w:val="28"/>
          <w:szCs w:val="28"/>
        </w:rPr>
      </w:pPr>
      <w:r>
        <w:rPr>
          <w:rFonts w:hint="default" w:ascii="Times New Roman" w:hAnsi="Times New Roman" w:cs="Times New Roman"/>
          <w:color w:val="auto"/>
          <w:sz w:val="28"/>
          <w:szCs w:val="28"/>
        </w:rPr>
        <w:t>8、审批意见——由负责审批该项目的环境保护行政主管部门批复。</w:t>
      </w:r>
    </w:p>
    <w:p w14:paraId="2B73E14F">
      <w:pPr>
        <w:spacing w:line="360" w:lineRule="auto"/>
        <w:ind w:firstLine="560" w:firstLineChars="200"/>
        <w:rPr>
          <w:rFonts w:hint="default" w:ascii="Times New Roman" w:hAnsi="Times New Roman" w:cs="Times New Roman"/>
          <w:color w:val="auto"/>
          <w:sz w:val="28"/>
          <w:szCs w:val="28"/>
        </w:rPr>
      </w:pPr>
    </w:p>
    <w:p w14:paraId="4374620A">
      <w:pPr>
        <w:pStyle w:val="3"/>
        <w:spacing w:before="0" w:after="0" w:line="240" w:lineRule="auto"/>
        <w:rPr>
          <w:rFonts w:hint="default" w:ascii="Times New Roman" w:hAnsi="Times New Roman" w:cs="Times New Roman"/>
          <w:color w:val="auto"/>
          <w:sz w:val="28"/>
          <w:szCs w:val="28"/>
        </w:rPr>
      </w:pPr>
    </w:p>
    <w:p w14:paraId="10297364">
      <w:pPr>
        <w:rPr>
          <w:rFonts w:hint="default" w:ascii="Times New Roman" w:hAnsi="Times New Roman" w:cs="Times New Roman"/>
          <w:color w:val="auto"/>
          <w:sz w:val="28"/>
          <w:szCs w:val="28"/>
        </w:rPr>
      </w:pPr>
    </w:p>
    <w:p w14:paraId="770166AB">
      <w:pPr>
        <w:pStyle w:val="28"/>
        <w:rPr>
          <w:rFonts w:hint="default" w:ascii="Times New Roman" w:hAnsi="Times New Roman" w:cs="Times New Roman"/>
          <w:color w:val="auto"/>
          <w:sz w:val="28"/>
          <w:szCs w:val="28"/>
        </w:rPr>
      </w:pPr>
    </w:p>
    <w:p w14:paraId="61D16DA5">
      <w:pPr>
        <w:pStyle w:val="28"/>
        <w:rPr>
          <w:rFonts w:hint="default" w:ascii="Times New Roman" w:hAnsi="Times New Roman" w:cs="Times New Roman"/>
          <w:color w:val="auto"/>
          <w:sz w:val="28"/>
          <w:szCs w:val="28"/>
        </w:rPr>
      </w:pPr>
    </w:p>
    <w:p w14:paraId="619A7C9E">
      <w:pPr>
        <w:pStyle w:val="28"/>
        <w:rPr>
          <w:rFonts w:hint="default" w:ascii="Times New Roman" w:hAnsi="Times New Roman" w:cs="Times New Roman"/>
          <w:color w:val="auto"/>
          <w:sz w:val="28"/>
          <w:szCs w:val="28"/>
        </w:rPr>
      </w:pPr>
    </w:p>
    <w:p w14:paraId="6D3ED92C">
      <w:pPr>
        <w:pStyle w:val="3"/>
        <w:spacing w:before="0" w:after="0" w:line="240" w:lineRule="auto"/>
        <w:rPr>
          <w:rFonts w:hint="default" w:ascii="Times New Roman" w:hAnsi="Times New Roman" w:cs="Times New Roman"/>
          <w:color w:val="auto"/>
          <w:szCs w:val="24"/>
        </w:rPr>
      </w:pPr>
      <w:r>
        <w:rPr>
          <w:rFonts w:hint="default" w:ascii="Times New Roman" w:hAnsi="Times New Roman" w:cs="Times New Roman"/>
          <w:color w:val="auto"/>
          <w:sz w:val="28"/>
          <w:szCs w:val="28"/>
        </w:rPr>
        <w:t>建设项目基本情况                                                 （表一）</w:t>
      </w:r>
    </w:p>
    <w:tbl>
      <w:tblPr>
        <w:tblStyle w:val="23"/>
        <w:tblW w:w="101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98"/>
        <w:gridCol w:w="1992"/>
        <w:gridCol w:w="405"/>
        <w:gridCol w:w="1344"/>
        <w:gridCol w:w="1419"/>
        <w:gridCol w:w="2174"/>
        <w:gridCol w:w="1362"/>
      </w:tblGrid>
      <w:tr w14:paraId="6E5F3D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98" w:type="dxa"/>
            <w:shd w:val="clear" w:color="auto" w:fill="auto"/>
            <w:vAlign w:val="center"/>
          </w:tcPr>
          <w:p w14:paraId="53BC14B4">
            <w:pPr>
              <w:spacing w:line="36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项目名称</w:t>
            </w:r>
          </w:p>
        </w:tc>
        <w:tc>
          <w:tcPr>
            <w:tcW w:w="8696" w:type="dxa"/>
            <w:gridSpan w:val="6"/>
            <w:shd w:val="clear" w:color="auto" w:fill="auto"/>
            <w:vAlign w:val="center"/>
          </w:tcPr>
          <w:p w14:paraId="47B51B76">
            <w:pPr>
              <w:spacing w:line="360" w:lineRule="auto"/>
              <w:jc w:val="center"/>
              <w:rPr>
                <w:rFonts w:hint="default" w:ascii="Times New Roman" w:hAnsi="Times New Roman" w:cs="Times New Roman"/>
                <w:color w:val="auto"/>
                <w:sz w:val="24"/>
                <w:szCs w:val="24"/>
                <w:lang w:eastAsia="zh-CN"/>
              </w:rPr>
            </w:pPr>
            <w:r>
              <w:rPr>
                <w:rFonts w:hint="eastAsia" w:ascii="Times New Roman" w:hAnsi="Times New Roman" w:cs="Times New Roman"/>
                <w:color w:val="auto"/>
                <w:sz w:val="24"/>
                <w:szCs w:val="24"/>
                <w:lang w:val="en-US" w:eastAsia="zh-CN"/>
              </w:rPr>
              <w:t>汽车进排气系统生产项目</w:t>
            </w:r>
          </w:p>
        </w:tc>
      </w:tr>
      <w:tr w14:paraId="45DC48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98" w:type="dxa"/>
            <w:shd w:val="clear" w:color="auto" w:fill="auto"/>
            <w:vAlign w:val="center"/>
          </w:tcPr>
          <w:p w14:paraId="658373D3">
            <w:pPr>
              <w:spacing w:line="36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建设单位</w:t>
            </w:r>
          </w:p>
        </w:tc>
        <w:tc>
          <w:tcPr>
            <w:tcW w:w="8696" w:type="dxa"/>
            <w:gridSpan w:val="6"/>
            <w:shd w:val="clear" w:color="auto" w:fill="auto"/>
            <w:vAlign w:val="center"/>
          </w:tcPr>
          <w:p w14:paraId="0855B283">
            <w:pPr>
              <w:spacing w:line="360" w:lineRule="auto"/>
              <w:jc w:val="center"/>
              <w:rPr>
                <w:rFonts w:hint="default" w:ascii="Times New Roman" w:hAnsi="Times New Roman" w:cs="Times New Roman"/>
                <w:color w:val="auto"/>
                <w:sz w:val="24"/>
                <w:szCs w:val="24"/>
                <w:lang w:eastAsia="zh-CN"/>
              </w:rPr>
            </w:pPr>
            <w:r>
              <w:rPr>
                <w:rFonts w:hint="eastAsia" w:ascii="Times New Roman" w:hAnsi="Times New Roman" w:cs="Times New Roman"/>
                <w:color w:val="auto"/>
                <w:sz w:val="24"/>
                <w:szCs w:val="24"/>
                <w:lang w:val="en-US" w:eastAsia="zh-CN"/>
              </w:rPr>
              <w:t>四川亿利汽车零部件有限公司</w:t>
            </w:r>
          </w:p>
        </w:tc>
      </w:tr>
      <w:tr w14:paraId="178CBF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98" w:type="dxa"/>
            <w:shd w:val="clear" w:color="auto" w:fill="auto"/>
            <w:vAlign w:val="center"/>
          </w:tcPr>
          <w:p w14:paraId="3DEC0ACD">
            <w:pPr>
              <w:spacing w:line="36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法人代表</w:t>
            </w:r>
          </w:p>
        </w:tc>
        <w:tc>
          <w:tcPr>
            <w:tcW w:w="3741" w:type="dxa"/>
            <w:gridSpan w:val="3"/>
            <w:shd w:val="clear" w:color="auto" w:fill="auto"/>
            <w:vAlign w:val="center"/>
          </w:tcPr>
          <w:p w14:paraId="7A1859BD">
            <w:pPr>
              <w:spacing w:line="360" w:lineRule="auto"/>
              <w:jc w:val="center"/>
              <w:rPr>
                <w:rFonts w:hint="default" w:ascii="Times New Roman" w:hAnsi="Times New Roman" w:eastAsia="宋体" w:cs="Times New Roman"/>
                <w:color w:val="auto"/>
                <w:sz w:val="24"/>
                <w:szCs w:val="24"/>
                <w:lang w:eastAsia="zh-CN"/>
              </w:rPr>
            </w:pPr>
            <w:r>
              <w:rPr>
                <w:rFonts w:hint="default" w:ascii="Times New Roman" w:hAnsi="Times New Roman" w:cs="Times New Roman"/>
                <w:color w:val="auto"/>
                <w:sz w:val="24"/>
                <w:szCs w:val="24"/>
                <w:lang w:val="en-US" w:eastAsia="zh-CN"/>
              </w:rPr>
              <w:t>张延磊</w:t>
            </w:r>
          </w:p>
        </w:tc>
        <w:tc>
          <w:tcPr>
            <w:tcW w:w="1419" w:type="dxa"/>
            <w:shd w:val="clear" w:color="auto" w:fill="auto"/>
            <w:vAlign w:val="center"/>
          </w:tcPr>
          <w:p w14:paraId="594260C4">
            <w:pPr>
              <w:spacing w:line="360" w:lineRule="auto"/>
              <w:jc w:val="center"/>
              <w:rPr>
                <w:rFonts w:hint="default" w:ascii="Times New Roman" w:hAnsi="Times New Roman" w:cs="Times New Roman"/>
                <w:color w:val="auto"/>
                <w:sz w:val="24"/>
                <w:szCs w:val="24"/>
              </w:rPr>
            </w:pPr>
            <w:r>
              <w:rPr>
                <w:rFonts w:hint="default" w:ascii="Times New Roman" w:hAnsi="Times New Roman" w:cs="Times New Roman"/>
                <w:b/>
                <w:bCs/>
                <w:color w:val="auto"/>
                <w:sz w:val="24"/>
                <w:szCs w:val="24"/>
              </w:rPr>
              <w:t>联系人</w:t>
            </w:r>
          </w:p>
        </w:tc>
        <w:tc>
          <w:tcPr>
            <w:tcW w:w="3536" w:type="dxa"/>
            <w:gridSpan w:val="2"/>
            <w:shd w:val="clear" w:color="auto" w:fill="auto"/>
            <w:vAlign w:val="center"/>
          </w:tcPr>
          <w:p w14:paraId="030C3F8F">
            <w:pPr>
              <w:spacing w:line="360" w:lineRule="auto"/>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张延磊</w:t>
            </w:r>
          </w:p>
        </w:tc>
      </w:tr>
      <w:tr w14:paraId="0FBAA2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98" w:type="dxa"/>
            <w:shd w:val="clear" w:color="auto" w:fill="auto"/>
            <w:vAlign w:val="center"/>
          </w:tcPr>
          <w:p w14:paraId="5141A7B7">
            <w:pPr>
              <w:spacing w:line="36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通讯地址</w:t>
            </w:r>
          </w:p>
        </w:tc>
        <w:tc>
          <w:tcPr>
            <w:tcW w:w="8696" w:type="dxa"/>
            <w:gridSpan w:val="6"/>
            <w:shd w:val="clear" w:color="auto" w:fill="auto"/>
            <w:vAlign w:val="center"/>
          </w:tcPr>
          <w:p w14:paraId="416A242D">
            <w:pPr>
              <w:spacing w:line="360" w:lineRule="auto"/>
              <w:jc w:val="center"/>
              <w:rPr>
                <w:rFonts w:hint="default" w:ascii="Times New Roman" w:hAnsi="Times New Roman" w:eastAsia="宋体" w:cs="Times New Roman"/>
                <w:color w:val="auto"/>
                <w:sz w:val="24"/>
                <w:szCs w:val="24"/>
                <w:lang w:eastAsia="zh-CN"/>
              </w:rPr>
            </w:pPr>
            <w:r>
              <w:rPr>
                <w:rFonts w:hint="default" w:ascii="Times New Roman" w:hAnsi="Times New Roman" w:cs="Times New Roman"/>
                <w:color w:val="auto"/>
                <w:sz w:val="24"/>
                <w:szCs w:val="24"/>
                <w:lang w:eastAsia="zh-CN"/>
              </w:rPr>
              <w:t>遂宁市安居区工业集中发展区汽摩产业园</w:t>
            </w:r>
          </w:p>
        </w:tc>
      </w:tr>
      <w:tr w14:paraId="14326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98" w:type="dxa"/>
            <w:shd w:val="clear" w:color="auto" w:fill="auto"/>
            <w:vAlign w:val="center"/>
          </w:tcPr>
          <w:p w14:paraId="200E8456">
            <w:pPr>
              <w:spacing w:line="36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联系电话</w:t>
            </w:r>
          </w:p>
        </w:tc>
        <w:tc>
          <w:tcPr>
            <w:tcW w:w="1992" w:type="dxa"/>
            <w:shd w:val="clear" w:color="auto" w:fill="auto"/>
            <w:vAlign w:val="center"/>
          </w:tcPr>
          <w:p w14:paraId="5DAF9EFE">
            <w:pPr>
              <w:spacing w:line="360" w:lineRule="auto"/>
              <w:jc w:val="center"/>
              <w:rPr>
                <w:rFonts w:hint="default" w:ascii="Times New Roman" w:hAnsi="Times New Roman" w:eastAsia="宋体" w:cs="Times New Roman"/>
                <w:color w:val="auto"/>
                <w:sz w:val="24"/>
                <w:szCs w:val="24"/>
                <w:lang w:eastAsia="zh-CN"/>
              </w:rPr>
            </w:pPr>
            <w:r>
              <w:rPr>
                <w:rFonts w:hint="default" w:ascii="Times New Roman" w:hAnsi="Times New Roman" w:cs="Times New Roman"/>
                <w:color w:val="auto"/>
                <w:sz w:val="24"/>
                <w:szCs w:val="24"/>
                <w:lang w:val="en-US" w:eastAsia="zh-CN"/>
              </w:rPr>
              <w:t>13655603172</w:t>
            </w:r>
          </w:p>
        </w:tc>
        <w:tc>
          <w:tcPr>
            <w:tcW w:w="1749" w:type="dxa"/>
            <w:gridSpan w:val="2"/>
            <w:shd w:val="clear" w:color="auto" w:fill="auto"/>
            <w:vAlign w:val="center"/>
          </w:tcPr>
          <w:p w14:paraId="2646E86F">
            <w:pPr>
              <w:spacing w:line="360" w:lineRule="auto"/>
              <w:jc w:val="center"/>
              <w:rPr>
                <w:rFonts w:hint="default" w:ascii="Times New Roman" w:hAnsi="Times New Roman" w:cs="Times New Roman"/>
                <w:color w:val="auto"/>
                <w:sz w:val="24"/>
                <w:szCs w:val="24"/>
              </w:rPr>
            </w:pPr>
            <w:r>
              <w:rPr>
                <w:rFonts w:hint="default" w:ascii="Times New Roman" w:hAnsi="Times New Roman" w:cs="Times New Roman"/>
                <w:b/>
                <w:bCs/>
                <w:color w:val="auto"/>
                <w:sz w:val="24"/>
                <w:szCs w:val="24"/>
              </w:rPr>
              <w:t>传真</w:t>
            </w:r>
          </w:p>
        </w:tc>
        <w:tc>
          <w:tcPr>
            <w:tcW w:w="1419" w:type="dxa"/>
            <w:shd w:val="clear" w:color="auto" w:fill="auto"/>
            <w:vAlign w:val="center"/>
          </w:tcPr>
          <w:p w14:paraId="78F41747">
            <w:pPr>
              <w:spacing w:line="360" w:lineRule="auto"/>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w:t>
            </w:r>
          </w:p>
        </w:tc>
        <w:tc>
          <w:tcPr>
            <w:tcW w:w="2174" w:type="dxa"/>
            <w:shd w:val="clear" w:color="auto" w:fill="auto"/>
            <w:vAlign w:val="center"/>
          </w:tcPr>
          <w:p w14:paraId="0130A74D">
            <w:pPr>
              <w:spacing w:line="360" w:lineRule="auto"/>
              <w:jc w:val="center"/>
              <w:rPr>
                <w:rFonts w:hint="default" w:ascii="Times New Roman" w:hAnsi="Times New Roman" w:cs="Times New Roman"/>
                <w:color w:val="auto"/>
                <w:sz w:val="24"/>
                <w:szCs w:val="24"/>
              </w:rPr>
            </w:pPr>
            <w:r>
              <w:rPr>
                <w:rFonts w:hint="default" w:ascii="Times New Roman" w:hAnsi="Times New Roman" w:cs="Times New Roman"/>
                <w:b/>
                <w:bCs/>
                <w:color w:val="auto"/>
                <w:sz w:val="24"/>
                <w:szCs w:val="24"/>
              </w:rPr>
              <w:t>邮编</w:t>
            </w:r>
          </w:p>
        </w:tc>
        <w:tc>
          <w:tcPr>
            <w:tcW w:w="1362" w:type="dxa"/>
            <w:shd w:val="clear" w:color="auto" w:fill="auto"/>
            <w:vAlign w:val="center"/>
          </w:tcPr>
          <w:p w14:paraId="0B0EFA35">
            <w:pPr>
              <w:spacing w:line="360" w:lineRule="auto"/>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629000</w:t>
            </w:r>
          </w:p>
        </w:tc>
      </w:tr>
      <w:tr w14:paraId="03CD89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1498" w:type="dxa"/>
            <w:shd w:val="clear" w:color="auto" w:fill="auto"/>
            <w:vAlign w:val="center"/>
          </w:tcPr>
          <w:p w14:paraId="014A79C0">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建设地点</w:t>
            </w:r>
          </w:p>
        </w:tc>
        <w:tc>
          <w:tcPr>
            <w:tcW w:w="8696" w:type="dxa"/>
            <w:gridSpan w:val="6"/>
            <w:shd w:val="clear" w:color="auto" w:fill="auto"/>
            <w:vAlign w:val="center"/>
          </w:tcPr>
          <w:p w14:paraId="2CE79F93">
            <w:pPr>
              <w:spacing w:line="240" w:lineRule="auto"/>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lang w:eastAsia="zh-CN"/>
              </w:rPr>
              <w:t>遂宁市安居区工业集中发展区汽摩产业园</w:t>
            </w:r>
          </w:p>
        </w:tc>
      </w:tr>
      <w:tr w14:paraId="10B79F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4" w:hRule="atLeast"/>
          <w:jc w:val="center"/>
        </w:trPr>
        <w:tc>
          <w:tcPr>
            <w:tcW w:w="1498" w:type="dxa"/>
            <w:shd w:val="clear" w:color="auto" w:fill="auto"/>
            <w:vAlign w:val="center"/>
          </w:tcPr>
          <w:p w14:paraId="6311AE66">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立项审批</w:t>
            </w:r>
          </w:p>
          <w:p w14:paraId="39AE8261">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部门</w:t>
            </w:r>
          </w:p>
        </w:tc>
        <w:tc>
          <w:tcPr>
            <w:tcW w:w="3741" w:type="dxa"/>
            <w:gridSpan w:val="3"/>
            <w:shd w:val="clear" w:color="auto" w:fill="auto"/>
            <w:vAlign w:val="center"/>
          </w:tcPr>
          <w:p w14:paraId="34656592">
            <w:pPr>
              <w:spacing w:line="240" w:lineRule="auto"/>
              <w:jc w:val="center"/>
              <w:rPr>
                <w:rFonts w:hint="default" w:ascii="Times New Roman" w:hAnsi="Times New Roman" w:eastAsia="宋体" w:cs="Times New Roman"/>
                <w:color w:val="auto"/>
                <w:sz w:val="24"/>
                <w:szCs w:val="24"/>
                <w:lang w:eastAsia="zh-CN"/>
              </w:rPr>
            </w:pPr>
            <w:r>
              <w:rPr>
                <w:rFonts w:hint="default" w:ascii="Times New Roman" w:hAnsi="Times New Roman" w:cs="Times New Roman"/>
                <w:color w:val="auto"/>
                <w:sz w:val="24"/>
                <w:szCs w:val="24"/>
                <w:lang w:eastAsia="zh-CN"/>
              </w:rPr>
              <w:t>安居区发展和改革局</w:t>
            </w:r>
          </w:p>
        </w:tc>
        <w:tc>
          <w:tcPr>
            <w:tcW w:w="1419" w:type="dxa"/>
            <w:shd w:val="clear" w:color="auto" w:fill="auto"/>
            <w:vAlign w:val="center"/>
          </w:tcPr>
          <w:p w14:paraId="1D7D01F7">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批准文号</w:t>
            </w:r>
          </w:p>
        </w:tc>
        <w:tc>
          <w:tcPr>
            <w:tcW w:w="3536" w:type="dxa"/>
            <w:gridSpan w:val="2"/>
            <w:shd w:val="clear" w:color="auto" w:fill="auto"/>
            <w:vAlign w:val="center"/>
          </w:tcPr>
          <w:p w14:paraId="692C8EF4">
            <w:pPr>
              <w:spacing w:line="240" w:lineRule="auto"/>
              <w:jc w:val="center"/>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val="en-US" w:eastAsia="zh-CN"/>
              </w:rPr>
              <w:t>川投资备</w:t>
            </w:r>
            <w:r>
              <w:rPr>
                <w:rFonts w:hint="default" w:ascii="Times New Roman" w:hAnsi="Times New Roman" w:cs="Times New Roman"/>
                <w:color w:val="auto"/>
                <w:sz w:val="24"/>
                <w:szCs w:val="24"/>
                <w:lang w:eastAsia="zh-CN"/>
              </w:rPr>
              <w:t>[</w:t>
            </w:r>
            <w:r>
              <w:rPr>
                <w:rFonts w:hint="default" w:ascii="Times New Roman" w:hAnsi="Times New Roman" w:cs="Times New Roman"/>
                <w:color w:val="auto"/>
                <w:sz w:val="24"/>
                <w:szCs w:val="24"/>
                <w:lang w:val="en-US" w:eastAsia="zh-CN"/>
              </w:rPr>
              <w:t>2018-510904-36-03-241478</w:t>
            </w:r>
            <w:r>
              <w:rPr>
                <w:rFonts w:hint="default" w:ascii="Times New Roman" w:hAnsi="Times New Roman" w:cs="Times New Roman"/>
                <w:color w:val="auto"/>
                <w:sz w:val="24"/>
                <w:szCs w:val="24"/>
                <w:lang w:eastAsia="zh-CN"/>
              </w:rPr>
              <w:t>]</w:t>
            </w:r>
          </w:p>
          <w:p w14:paraId="6E112DDF">
            <w:pPr>
              <w:spacing w:line="240" w:lineRule="auto"/>
              <w:jc w:val="center"/>
              <w:rPr>
                <w:rFonts w:hint="default" w:ascii="Times New Roman" w:hAnsi="Times New Roman" w:eastAsia="宋体" w:cs="Times New Roman"/>
                <w:color w:val="auto"/>
                <w:sz w:val="24"/>
                <w:szCs w:val="24"/>
                <w:lang w:eastAsia="zh-CN"/>
              </w:rPr>
            </w:pPr>
            <w:r>
              <w:rPr>
                <w:rFonts w:hint="default" w:ascii="Times New Roman" w:hAnsi="Times New Roman" w:cs="Times New Roman"/>
                <w:color w:val="auto"/>
                <w:sz w:val="24"/>
                <w:szCs w:val="24"/>
                <w:lang w:val="en-US" w:eastAsia="zh-CN"/>
              </w:rPr>
              <w:t>FGQB-0002</w:t>
            </w:r>
            <w:r>
              <w:rPr>
                <w:rFonts w:hint="default" w:ascii="Times New Roman" w:hAnsi="Times New Roman" w:cs="Times New Roman"/>
                <w:color w:val="auto"/>
                <w:sz w:val="24"/>
                <w:szCs w:val="24"/>
                <w:lang w:eastAsia="zh-CN"/>
              </w:rPr>
              <w:t>号</w:t>
            </w:r>
          </w:p>
        </w:tc>
      </w:tr>
      <w:tr w14:paraId="4B2BFA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98" w:type="dxa"/>
            <w:shd w:val="clear" w:color="auto" w:fill="auto"/>
            <w:vAlign w:val="center"/>
          </w:tcPr>
          <w:p w14:paraId="256EFA1A">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建设性质</w:t>
            </w:r>
          </w:p>
        </w:tc>
        <w:tc>
          <w:tcPr>
            <w:tcW w:w="3741" w:type="dxa"/>
            <w:gridSpan w:val="3"/>
            <w:shd w:val="clear" w:color="auto" w:fill="auto"/>
            <w:vAlign w:val="center"/>
          </w:tcPr>
          <w:p w14:paraId="40F44C48">
            <w:pPr>
              <w:spacing w:line="240" w:lineRule="auto"/>
              <w:jc w:val="center"/>
              <w:rPr>
                <w:rFonts w:hint="default" w:ascii="Times New Roman" w:hAnsi="Times New Roman" w:cs="Times New Roman"/>
                <w:color w:val="auto"/>
                <w:sz w:val="24"/>
                <w:szCs w:val="24"/>
              </w:rPr>
            </w:pPr>
            <w:r>
              <w:rPr>
                <w:rFonts w:hint="default" w:ascii="Times New Roman" w:hAnsi="Times New Roman" w:cs="Times New Roman"/>
                <w:color w:val="auto"/>
                <w:sz w:val="18"/>
                <w:szCs w:val="18"/>
              </w:rPr>
              <w:t>■</w:t>
            </w:r>
            <w:r>
              <w:rPr>
                <w:rFonts w:hint="default" w:ascii="Times New Roman" w:hAnsi="Times New Roman" w:cs="Times New Roman"/>
                <w:color w:val="auto"/>
                <w:sz w:val="24"/>
                <w:szCs w:val="24"/>
              </w:rPr>
              <w:t xml:space="preserve">新建    </w:t>
            </w:r>
            <w:r>
              <w:rPr>
                <w:rFonts w:hint="default" w:ascii="Times New Roman" w:hAnsi="Times New Roman" w:cs="Times New Roman"/>
                <w:color w:val="auto"/>
                <w:sz w:val="18"/>
                <w:szCs w:val="18"/>
              </w:rPr>
              <w:t>□</w:t>
            </w:r>
            <w:r>
              <w:rPr>
                <w:rFonts w:hint="default" w:ascii="Times New Roman" w:hAnsi="Times New Roman" w:cs="Times New Roman"/>
                <w:color w:val="auto"/>
                <w:sz w:val="24"/>
                <w:szCs w:val="24"/>
              </w:rPr>
              <w:t xml:space="preserve">改扩建    </w:t>
            </w:r>
            <w:r>
              <w:rPr>
                <w:rFonts w:hint="default" w:ascii="Times New Roman" w:hAnsi="Times New Roman" w:cs="Times New Roman"/>
                <w:color w:val="auto"/>
                <w:sz w:val="18"/>
                <w:szCs w:val="18"/>
              </w:rPr>
              <w:t>□</w:t>
            </w:r>
            <w:r>
              <w:rPr>
                <w:rFonts w:hint="default" w:ascii="Times New Roman" w:hAnsi="Times New Roman" w:cs="Times New Roman"/>
                <w:color w:val="auto"/>
                <w:sz w:val="24"/>
                <w:szCs w:val="24"/>
              </w:rPr>
              <w:t>技改</w:t>
            </w:r>
          </w:p>
        </w:tc>
        <w:tc>
          <w:tcPr>
            <w:tcW w:w="1419" w:type="dxa"/>
            <w:shd w:val="clear" w:color="auto" w:fill="auto"/>
            <w:vAlign w:val="center"/>
          </w:tcPr>
          <w:p w14:paraId="69954B32">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行业类别</w:t>
            </w:r>
          </w:p>
          <w:p w14:paraId="4A04EEEE">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及代码</w:t>
            </w:r>
          </w:p>
        </w:tc>
        <w:tc>
          <w:tcPr>
            <w:tcW w:w="3536" w:type="dxa"/>
            <w:gridSpan w:val="2"/>
            <w:shd w:val="clear" w:color="auto" w:fill="auto"/>
            <w:vAlign w:val="center"/>
          </w:tcPr>
          <w:p w14:paraId="09C10E2D">
            <w:pPr>
              <w:spacing w:line="240" w:lineRule="auto"/>
              <w:jc w:val="center"/>
              <w:rPr>
                <w:rFonts w:hint="default" w:ascii="Times New Roman" w:hAnsi="Times New Roman" w:eastAsia="宋体" w:cs="Times New Roman"/>
                <w:color w:val="auto"/>
                <w:sz w:val="24"/>
                <w:szCs w:val="24"/>
                <w:lang w:eastAsia="zh-CN"/>
              </w:rPr>
            </w:pPr>
            <w:r>
              <w:rPr>
                <w:rFonts w:hint="default" w:ascii="Times New Roman" w:hAnsi="Times New Roman" w:cs="Times New Roman"/>
                <w:color w:val="auto"/>
                <w:sz w:val="24"/>
                <w:szCs w:val="24"/>
                <w:lang w:val="en-US" w:eastAsia="zh-CN"/>
              </w:rPr>
              <w:t>C3670 汽车零部件及配件制造</w:t>
            </w:r>
          </w:p>
        </w:tc>
      </w:tr>
      <w:tr w14:paraId="4FC67F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98" w:type="dxa"/>
            <w:shd w:val="clear" w:color="auto" w:fill="auto"/>
            <w:vAlign w:val="center"/>
          </w:tcPr>
          <w:p w14:paraId="0D5F58EC">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占地面积</w:t>
            </w:r>
          </w:p>
          <w:p w14:paraId="2AB4223B">
            <w:pPr>
              <w:spacing w:line="240" w:lineRule="auto"/>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（平方米）</w:t>
            </w:r>
          </w:p>
        </w:tc>
        <w:tc>
          <w:tcPr>
            <w:tcW w:w="3741" w:type="dxa"/>
            <w:gridSpan w:val="3"/>
            <w:shd w:val="clear" w:color="auto" w:fill="auto"/>
            <w:vAlign w:val="center"/>
          </w:tcPr>
          <w:p w14:paraId="7EC97B84">
            <w:pPr>
              <w:spacing w:line="240" w:lineRule="auto"/>
              <w:jc w:val="center"/>
              <w:rPr>
                <w:rFonts w:hint="default" w:ascii="Times New Roman" w:hAnsi="Times New Roman" w:eastAsia="宋体" w:cs="Times New Roman"/>
                <w:color w:val="auto"/>
                <w:sz w:val="24"/>
                <w:szCs w:val="24"/>
                <w:lang w:eastAsia="zh-CN"/>
              </w:rPr>
            </w:pPr>
            <w:r>
              <w:rPr>
                <w:rFonts w:hint="default" w:ascii="Times New Roman" w:hAnsi="Times New Roman" w:cs="Times New Roman"/>
                <w:color w:val="auto"/>
                <w:sz w:val="24"/>
                <w:szCs w:val="24"/>
                <w:lang w:val="en-US" w:eastAsia="zh-CN"/>
              </w:rPr>
              <w:t>31806.17</w:t>
            </w:r>
          </w:p>
        </w:tc>
        <w:tc>
          <w:tcPr>
            <w:tcW w:w="1419" w:type="dxa"/>
            <w:shd w:val="clear" w:color="auto" w:fill="auto"/>
            <w:vAlign w:val="center"/>
          </w:tcPr>
          <w:p w14:paraId="692F60B5">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绿化面积</w:t>
            </w:r>
          </w:p>
          <w:p w14:paraId="3566A341">
            <w:pPr>
              <w:spacing w:line="240" w:lineRule="auto"/>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（平方米）</w:t>
            </w:r>
          </w:p>
        </w:tc>
        <w:tc>
          <w:tcPr>
            <w:tcW w:w="3536" w:type="dxa"/>
            <w:gridSpan w:val="2"/>
            <w:shd w:val="clear" w:color="auto" w:fill="auto"/>
            <w:vAlign w:val="center"/>
          </w:tcPr>
          <w:p w14:paraId="2FB6419B">
            <w:pPr>
              <w:spacing w:line="240" w:lineRule="auto"/>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w:t>
            </w:r>
          </w:p>
        </w:tc>
      </w:tr>
      <w:tr w14:paraId="051CCF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98" w:type="dxa"/>
            <w:shd w:val="clear" w:color="auto" w:fill="auto"/>
            <w:vAlign w:val="center"/>
          </w:tcPr>
          <w:p w14:paraId="2702DC49">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总投资</w:t>
            </w:r>
          </w:p>
          <w:p w14:paraId="21DB00A8">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（万元）</w:t>
            </w:r>
          </w:p>
        </w:tc>
        <w:tc>
          <w:tcPr>
            <w:tcW w:w="2397" w:type="dxa"/>
            <w:gridSpan w:val="2"/>
            <w:shd w:val="clear" w:color="auto" w:fill="auto"/>
            <w:vAlign w:val="center"/>
          </w:tcPr>
          <w:p w14:paraId="51624493">
            <w:pPr>
              <w:spacing w:line="240" w:lineRule="auto"/>
              <w:jc w:val="center"/>
              <w:rPr>
                <w:rFonts w:hint="default" w:ascii="Times New Roman" w:hAnsi="Times New Roman" w:eastAsia="宋体" w:cs="Times New Roman"/>
                <w:color w:val="auto"/>
                <w:sz w:val="24"/>
                <w:szCs w:val="24"/>
                <w:lang w:eastAsia="zh-CN"/>
              </w:rPr>
            </w:pPr>
            <w:r>
              <w:rPr>
                <w:rFonts w:hint="eastAsia" w:cs="Times New Roman"/>
                <w:color w:val="auto"/>
                <w:sz w:val="24"/>
                <w:szCs w:val="24"/>
                <w:lang w:val="en-US" w:eastAsia="zh-CN"/>
              </w:rPr>
              <w:t>150</w:t>
            </w:r>
            <w:r>
              <w:rPr>
                <w:rFonts w:hint="default" w:ascii="Times New Roman" w:hAnsi="Times New Roman" w:cs="Times New Roman"/>
                <w:color w:val="auto"/>
                <w:sz w:val="24"/>
                <w:szCs w:val="24"/>
                <w:lang w:val="en-US" w:eastAsia="zh-CN"/>
              </w:rPr>
              <w:t>00</w:t>
            </w:r>
          </w:p>
        </w:tc>
        <w:tc>
          <w:tcPr>
            <w:tcW w:w="1344" w:type="dxa"/>
            <w:shd w:val="clear" w:color="auto" w:fill="auto"/>
            <w:vAlign w:val="center"/>
          </w:tcPr>
          <w:p w14:paraId="59439FE7">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环保投资</w:t>
            </w:r>
          </w:p>
          <w:p w14:paraId="037111D1">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（万元）</w:t>
            </w:r>
          </w:p>
        </w:tc>
        <w:tc>
          <w:tcPr>
            <w:tcW w:w="1419" w:type="dxa"/>
            <w:shd w:val="clear" w:color="auto" w:fill="auto"/>
            <w:vAlign w:val="center"/>
          </w:tcPr>
          <w:p w14:paraId="5930DDA0">
            <w:pPr>
              <w:spacing w:line="24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79</w:t>
            </w:r>
          </w:p>
        </w:tc>
        <w:tc>
          <w:tcPr>
            <w:tcW w:w="2174" w:type="dxa"/>
            <w:shd w:val="clear" w:color="auto" w:fill="auto"/>
            <w:vAlign w:val="center"/>
          </w:tcPr>
          <w:p w14:paraId="73CA5A6F">
            <w:pPr>
              <w:spacing w:line="240" w:lineRule="auto"/>
              <w:jc w:val="center"/>
              <w:rPr>
                <w:rFonts w:hint="default" w:ascii="Times New Roman" w:hAnsi="Times New Roman" w:cs="Times New Roman"/>
                <w:color w:val="auto"/>
                <w:sz w:val="24"/>
                <w:szCs w:val="24"/>
              </w:rPr>
            </w:pPr>
            <w:r>
              <w:rPr>
                <w:rFonts w:hint="default" w:ascii="Times New Roman" w:hAnsi="Times New Roman" w:cs="Times New Roman"/>
                <w:b/>
                <w:bCs/>
                <w:color w:val="auto"/>
                <w:sz w:val="24"/>
                <w:szCs w:val="24"/>
              </w:rPr>
              <w:t>环保投资占总投资比例</w:t>
            </w:r>
          </w:p>
        </w:tc>
        <w:tc>
          <w:tcPr>
            <w:tcW w:w="1362" w:type="dxa"/>
            <w:shd w:val="clear" w:color="auto" w:fill="auto"/>
            <w:vAlign w:val="center"/>
          </w:tcPr>
          <w:p w14:paraId="112C4463">
            <w:pPr>
              <w:spacing w:line="240" w:lineRule="auto"/>
              <w:jc w:val="center"/>
              <w:rPr>
                <w:rFonts w:hint="default" w:ascii="Times New Roman" w:hAnsi="Times New Roman" w:cs="Times New Roman"/>
                <w:color w:val="auto"/>
                <w:sz w:val="24"/>
                <w:szCs w:val="24"/>
              </w:rPr>
            </w:pPr>
            <w:r>
              <w:rPr>
                <w:rFonts w:hint="eastAsia" w:cs="Times New Roman"/>
                <w:color w:val="auto"/>
                <w:sz w:val="24"/>
                <w:szCs w:val="24"/>
                <w:lang w:val="en-US" w:eastAsia="zh-CN"/>
              </w:rPr>
              <w:t>0.53</w:t>
            </w:r>
            <w:r>
              <w:rPr>
                <w:rFonts w:hint="default" w:ascii="Times New Roman" w:hAnsi="Times New Roman" w:cs="Times New Roman"/>
                <w:color w:val="auto"/>
                <w:sz w:val="24"/>
                <w:szCs w:val="24"/>
              </w:rPr>
              <w:t>%</w:t>
            </w:r>
          </w:p>
        </w:tc>
      </w:tr>
      <w:tr w14:paraId="4B331A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98" w:type="dxa"/>
            <w:shd w:val="clear" w:color="auto" w:fill="auto"/>
            <w:vAlign w:val="center"/>
          </w:tcPr>
          <w:p w14:paraId="472FC5B9">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评价经费</w:t>
            </w:r>
          </w:p>
        </w:tc>
        <w:tc>
          <w:tcPr>
            <w:tcW w:w="2397" w:type="dxa"/>
            <w:gridSpan w:val="2"/>
            <w:shd w:val="clear" w:color="auto" w:fill="auto"/>
            <w:vAlign w:val="center"/>
          </w:tcPr>
          <w:p w14:paraId="73C60B27">
            <w:pPr>
              <w:spacing w:line="240" w:lineRule="auto"/>
              <w:jc w:val="center"/>
              <w:rPr>
                <w:rFonts w:hint="default" w:ascii="Times New Roman" w:hAnsi="Times New Roman" w:cs="Times New Roman"/>
                <w:color w:val="auto"/>
                <w:sz w:val="24"/>
                <w:szCs w:val="24"/>
              </w:rPr>
            </w:pPr>
            <w:r>
              <w:rPr>
                <w:rFonts w:hint="default" w:ascii="Times New Roman" w:hAnsi="Times New Roman" w:cs="Times New Roman"/>
                <w:color w:val="auto"/>
                <w:sz w:val="24"/>
                <w:szCs w:val="24"/>
              </w:rPr>
              <w:t>/</w:t>
            </w:r>
          </w:p>
        </w:tc>
        <w:tc>
          <w:tcPr>
            <w:tcW w:w="1344" w:type="dxa"/>
            <w:shd w:val="clear" w:color="auto" w:fill="auto"/>
            <w:vAlign w:val="center"/>
          </w:tcPr>
          <w:p w14:paraId="39DC6891">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预计投</w:t>
            </w:r>
          </w:p>
          <w:p w14:paraId="42041FBB">
            <w:pPr>
              <w:spacing w:line="240" w:lineRule="auto"/>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产日期</w:t>
            </w:r>
          </w:p>
        </w:tc>
        <w:tc>
          <w:tcPr>
            <w:tcW w:w="4955" w:type="dxa"/>
            <w:gridSpan w:val="3"/>
            <w:shd w:val="clear" w:color="auto" w:fill="auto"/>
            <w:vAlign w:val="center"/>
          </w:tcPr>
          <w:p w14:paraId="65F3A3E4">
            <w:pPr>
              <w:spacing w:line="240" w:lineRule="auto"/>
              <w:jc w:val="center"/>
              <w:rPr>
                <w:rFonts w:hint="default" w:ascii="Times New Roman" w:hAnsi="Times New Roman" w:eastAsia="宋体" w:cs="Times New Roman"/>
                <w:color w:val="auto"/>
                <w:sz w:val="24"/>
                <w:szCs w:val="24"/>
                <w:lang w:eastAsia="zh-CN"/>
              </w:rPr>
            </w:pPr>
          </w:p>
        </w:tc>
      </w:tr>
      <w:tr w14:paraId="3DE938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10194" w:type="dxa"/>
            <w:gridSpan w:val="7"/>
            <w:shd w:val="clear" w:color="auto" w:fill="auto"/>
          </w:tcPr>
          <w:p w14:paraId="1C7C6D1D">
            <w:pPr>
              <w:spacing w:line="360" w:lineRule="auto"/>
              <w:rPr>
                <w:rFonts w:hint="default" w:ascii="Times New Roman" w:hAnsi="Times New Roman" w:cs="Times New Roman"/>
                <w:b/>
                <w:color w:val="auto"/>
                <w:sz w:val="24"/>
                <w:szCs w:val="24"/>
              </w:rPr>
            </w:pPr>
            <w:r>
              <w:rPr>
                <w:rFonts w:hint="default" w:ascii="Times New Roman" w:hAnsi="Times New Roman" w:cs="Times New Roman"/>
                <w:b/>
                <w:color w:val="auto"/>
                <w:sz w:val="28"/>
                <w:szCs w:val="24"/>
              </w:rPr>
              <w:t>工程内容及规模</w:t>
            </w:r>
          </w:p>
          <w:p w14:paraId="0CC621EC">
            <w:pPr>
              <w:numPr>
                <w:ilvl w:val="0"/>
                <w:numId w:val="0"/>
              </w:numPr>
              <w:adjustRightInd w:val="0"/>
              <w:snapToGrid w:val="0"/>
              <w:spacing w:line="520" w:lineRule="exact"/>
              <w:rPr>
                <w:rFonts w:hint="default" w:ascii="Times New Roman" w:hAnsi="Times New Roman" w:eastAsia="黑体" w:cs="Times New Roman"/>
                <w:color w:val="auto"/>
                <w:sz w:val="28"/>
                <w:szCs w:val="28"/>
              </w:rPr>
            </w:pPr>
            <w:r>
              <w:rPr>
                <w:rFonts w:hint="default" w:ascii="Times New Roman" w:hAnsi="Times New Roman" w:eastAsia="黑体" w:cs="Times New Roman"/>
                <w:color w:val="auto"/>
                <w:sz w:val="28"/>
                <w:szCs w:val="28"/>
                <w:lang w:eastAsia="zh-CN"/>
              </w:rPr>
              <w:t>一、</w:t>
            </w:r>
            <w:r>
              <w:rPr>
                <w:rFonts w:hint="default" w:ascii="Times New Roman" w:hAnsi="Times New Roman" w:eastAsia="黑体" w:cs="Times New Roman"/>
                <w:color w:val="auto"/>
                <w:sz w:val="28"/>
                <w:szCs w:val="28"/>
              </w:rPr>
              <w:t>项目由来</w:t>
            </w:r>
          </w:p>
          <w:p w14:paraId="2989DECD">
            <w:pPr>
              <w:numPr>
                <w:ilvl w:val="0"/>
                <w:numId w:val="0"/>
              </w:numPr>
              <w:adjustRightInd w:val="0"/>
              <w:snapToGrid w:val="0"/>
              <w:spacing w:line="520" w:lineRule="exact"/>
              <w:ind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四川亿利汽车零部件有限公司成立于2017年09月28日（营业执照见附件），是河北亿利橡塑集团有限公司控股（股权转让书见附件）的一家专业生产汽车进排气系统（空滤器、进气道、尿素管、SCR以及进排气系统辅助用件）为主的汽车配件制造企业。</w:t>
            </w:r>
          </w:p>
          <w:p w14:paraId="1F377488">
            <w:pPr>
              <w:numPr>
                <w:ilvl w:val="0"/>
                <w:numId w:val="0"/>
              </w:numPr>
              <w:adjustRightInd w:val="0"/>
              <w:snapToGrid w:val="0"/>
              <w:spacing w:line="520" w:lineRule="exact"/>
              <w:ind w:firstLine="480" w:firstLineChars="200"/>
              <w:rPr>
                <w:rFonts w:hint="default" w:ascii="Times New Roman" w:hAnsi="Times New Roman" w:eastAsia="黑体" w:cs="Times New Roman"/>
                <w:b w:val="0"/>
                <w:bCs w:val="0"/>
                <w:color w:val="auto"/>
                <w:kern w:val="0"/>
                <w:sz w:val="24"/>
                <w:szCs w:val="24"/>
                <w:lang w:eastAsia="zh-CN"/>
              </w:rPr>
            </w:pPr>
            <w:r>
              <w:rPr>
                <w:rFonts w:hint="default" w:ascii="Times New Roman" w:hAnsi="Times New Roman" w:cs="Times New Roman"/>
                <w:color w:val="auto"/>
                <w:sz w:val="24"/>
                <w:szCs w:val="24"/>
                <w:lang w:val="en-US" w:eastAsia="zh-CN"/>
              </w:rPr>
              <w:t>伴随着中国经济快速发展和汽车市场的持续繁荣，中国汽配行业近年来也实现了持续快速增长，而且增幅巨大。在汽车市场的增长带动下，预计未来汽配市场将会以15%的速度增长。与此同时，江淮、安凯、福田等知名企业，销售业绩更是呈现出前所未有的快速增长态势。据有关部门预测未来五年内，我国整车产量的平均增长速度将保持在13%以上，配套件市场的平均增长率为15%以上，因此，我国汽车零部件市场需求的平均增长率将在20%以上，对各种配件的数量和质量也提出了更高的要求。在此形式下，随之而来汽车配件也得到了发展，四川亿利汽车零部件有限公司抓住这个契机，</w:t>
            </w:r>
            <w:r>
              <w:rPr>
                <w:rFonts w:hint="eastAsia" w:ascii="Times New Roman" w:hAnsi="Times New Roman" w:cs="Times New Roman"/>
                <w:color w:val="auto"/>
                <w:sz w:val="24"/>
                <w:szCs w:val="24"/>
                <w:lang w:val="en-US" w:eastAsia="zh-CN"/>
              </w:rPr>
              <w:t>在</w:t>
            </w:r>
            <w:r>
              <w:rPr>
                <w:rFonts w:hint="default" w:ascii="Times New Roman" w:hAnsi="Times New Roman" w:cs="Times New Roman"/>
                <w:color w:val="auto"/>
                <w:sz w:val="24"/>
                <w:szCs w:val="24"/>
                <w:lang w:val="en-US" w:eastAsia="zh-CN"/>
              </w:rPr>
              <w:t>遂宁市安居区工业集中发展</w:t>
            </w:r>
            <w:r>
              <w:rPr>
                <w:rFonts w:hint="default" w:ascii="Times New Roman" w:hAnsi="Times New Roman" w:cs="Times New Roman"/>
                <w:color w:val="auto"/>
                <w:sz w:val="24"/>
                <w:szCs w:val="24"/>
                <w:lang w:eastAsia="zh-CN"/>
              </w:rPr>
              <w:t>区汽摩产业园投资</w:t>
            </w:r>
            <w:r>
              <w:rPr>
                <w:rFonts w:hint="eastAsia" w:cs="Times New Roman"/>
                <w:color w:val="auto"/>
                <w:sz w:val="24"/>
                <w:szCs w:val="24"/>
                <w:lang w:val="en-US" w:eastAsia="zh-CN"/>
              </w:rPr>
              <w:t>15000</w:t>
            </w:r>
            <w:r>
              <w:rPr>
                <w:rFonts w:hint="default" w:ascii="Times New Roman" w:hAnsi="Times New Roman" w:cs="Times New Roman"/>
                <w:color w:val="auto"/>
                <w:sz w:val="24"/>
                <w:szCs w:val="24"/>
                <w:lang w:val="en-US" w:eastAsia="zh-CN"/>
              </w:rPr>
              <w:t>万元建设</w:t>
            </w:r>
            <w:r>
              <w:rPr>
                <w:rFonts w:hint="eastAsia" w:ascii="Times New Roman" w:hAnsi="Times New Roman" w:cs="Times New Roman"/>
                <w:color w:val="auto"/>
                <w:sz w:val="24"/>
                <w:szCs w:val="24"/>
                <w:lang w:val="en-US" w:eastAsia="zh-CN"/>
              </w:rPr>
              <w:t>“</w:t>
            </w:r>
            <w:r>
              <w:rPr>
                <w:rFonts w:hint="default" w:ascii="Times New Roman" w:hAnsi="Times New Roman" w:cs="Times New Roman"/>
                <w:color w:val="auto"/>
                <w:sz w:val="24"/>
                <w:szCs w:val="24"/>
                <w:lang w:val="en-US" w:eastAsia="zh-CN"/>
              </w:rPr>
              <w:t>汽车进排气系统生产项目</w:t>
            </w:r>
            <w:r>
              <w:rPr>
                <w:rFonts w:hint="eastAsia" w:ascii="Times New Roman" w:hAnsi="Times New Roman" w:cs="Times New Roman"/>
                <w:color w:val="auto"/>
                <w:sz w:val="24"/>
                <w:szCs w:val="24"/>
                <w:lang w:val="en-US" w:eastAsia="zh-CN"/>
              </w:rPr>
              <w:t>”</w:t>
            </w:r>
            <w:r>
              <w:rPr>
                <w:rFonts w:hint="eastAsia" w:cs="Times New Roman"/>
                <w:color w:val="auto"/>
                <w:sz w:val="24"/>
                <w:szCs w:val="24"/>
                <w:lang w:val="en-US" w:eastAsia="zh-CN"/>
              </w:rPr>
              <w:t>。</w:t>
            </w:r>
            <w:r>
              <w:rPr>
                <w:rFonts w:hint="default" w:ascii="Times New Roman" w:hAnsi="Times New Roman" w:cs="Times New Roman"/>
                <w:color w:val="auto"/>
                <w:sz w:val="24"/>
                <w:szCs w:val="24"/>
                <w:lang w:val="en-US" w:eastAsia="zh-CN"/>
              </w:rPr>
              <w:t>项目建成后将</w:t>
            </w:r>
            <w:r>
              <w:rPr>
                <w:rFonts w:hint="eastAsia" w:cs="Times New Roman"/>
                <w:color w:val="auto"/>
                <w:sz w:val="24"/>
                <w:szCs w:val="24"/>
                <w:lang w:val="en-US" w:eastAsia="zh-CN"/>
              </w:rPr>
              <w:t>达到年产汽车进排气系统（空滤器、进气道、尿素罐、SCR）各20万套。整个项目建设分三期建设，一期建设内容：1#车间、临时办公楼（活动板房）、配电房、门卫室、预处理池等相关附属设施，新建商用车空滤器、进气道、尿素罐生产线，达到年产商用车空滤器、进气道各15万套，尿素罐20万套的生产能力；二期建设内容：2#车间、办公楼、食堂、倒班房等相关附属设施，新建乘用车空滤器、进气道生产线，达到年产乘用车空滤器、进气道各5万套的生产能力；三期建设内容：新建SCR排气处理系统生产线，达到年产商用车SCR排气处理系统20套生产能力。</w:t>
            </w:r>
          </w:p>
          <w:p w14:paraId="46C833EE">
            <w:pPr>
              <w:autoSpaceDE w:val="0"/>
              <w:autoSpaceDN w:val="0"/>
              <w:adjustRightInd w:val="0"/>
              <w:spacing w:line="360" w:lineRule="auto"/>
              <w:ind w:firstLine="480" w:firstLineChars="200"/>
              <w:rPr>
                <w:rFonts w:hint="default" w:ascii="Times New Roman" w:hAnsi="Times New Roman" w:cs="Times New Roman"/>
                <w:color w:val="auto"/>
                <w:kern w:val="0"/>
                <w:sz w:val="24"/>
              </w:rPr>
            </w:pPr>
            <w:r>
              <w:rPr>
                <w:rFonts w:hint="eastAsia" w:cs="Times New Roman"/>
                <w:color w:val="auto"/>
                <w:kern w:val="0"/>
                <w:sz w:val="24"/>
                <w:lang w:val="en-US" w:eastAsia="zh-CN"/>
              </w:rPr>
              <w:t>按照</w:t>
            </w:r>
            <w:r>
              <w:rPr>
                <w:rFonts w:hint="default" w:ascii="Times New Roman" w:hAnsi="Times New Roman" w:cs="Times New Roman"/>
                <w:color w:val="auto"/>
                <w:kern w:val="0"/>
                <w:sz w:val="24"/>
                <w:lang w:val="en-US" w:eastAsia="zh-CN"/>
              </w:rPr>
              <w:t>《中华人民共和国环境保护法》、《中华人民共和国环境影响评价法》</w:t>
            </w:r>
            <w:r>
              <w:rPr>
                <w:rFonts w:hint="eastAsia" w:cs="Times New Roman"/>
                <w:color w:val="auto"/>
                <w:kern w:val="0"/>
                <w:sz w:val="24"/>
                <w:lang w:val="en-US" w:eastAsia="zh-CN"/>
              </w:rPr>
              <w:t>和国务院第682号令《建设项目环境保护管理条例》</w:t>
            </w:r>
            <w:r>
              <w:rPr>
                <w:rFonts w:hint="default" w:ascii="Times New Roman" w:hAnsi="Times New Roman" w:cs="Times New Roman"/>
                <w:color w:val="auto"/>
                <w:kern w:val="0"/>
                <w:sz w:val="24"/>
                <w:lang w:val="en-US" w:eastAsia="zh-CN"/>
              </w:rPr>
              <w:t>的相关内容，项目建设前应该开展环境影响评价工作。本项目为汽车零部件及配件制造项目，根据生态环境部颁布的《建设项目环境影响评价分类管理名录》1号令的相关规定，本项目属于“二十五、汽车制造业 71 汽车制造”中“其他（本项目为无电镀、喷漆的零部件生产）”，故本项目环境影响评价类别为编制环境影响报告表。为此，四川亿利汽车零部件有限公司委托</w:t>
            </w:r>
            <w:r>
              <w:rPr>
                <w:rFonts w:hint="eastAsia" w:cs="Times New Roman"/>
                <w:color w:val="auto"/>
                <w:kern w:val="0"/>
                <w:sz w:val="24"/>
                <w:lang w:val="en-US" w:eastAsia="zh-CN"/>
              </w:rPr>
              <w:t>我单位</w:t>
            </w:r>
            <w:r>
              <w:rPr>
                <w:rFonts w:hint="default" w:ascii="Times New Roman" w:hAnsi="Times New Roman" w:cs="Times New Roman"/>
                <w:color w:val="auto"/>
                <w:kern w:val="0"/>
                <w:sz w:val="24"/>
                <w:lang w:val="en-US" w:eastAsia="zh-CN"/>
              </w:rPr>
              <w:t>开展本项目环境影响报告表编制工作。我公司接受委托后，立即开展了现场踏勘、资料收集，整理等工作。我单位在掌握了充分的资料数据的基础上，对有关环境现状和项目产生的环境影响进行分析后，编制</w:t>
            </w:r>
            <w:r>
              <w:rPr>
                <w:rFonts w:hint="eastAsia" w:cs="Times New Roman"/>
                <w:color w:val="auto"/>
                <w:kern w:val="0"/>
                <w:sz w:val="24"/>
                <w:lang w:val="en-US" w:eastAsia="zh-CN"/>
              </w:rPr>
              <w:t>完成了《汽车进排气系统生产项目环境影响评价报告表》，现上报审查</w:t>
            </w:r>
            <w:r>
              <w:rPr>
                <w:rFonts w:hint="default" w:ascii="Times New Roman" w:hAnsi="Times New Roman" w:cs="Times New Roman"/>
                <w:color w:val="auto"/>
                <w:kern w:val="0"/>
                <w:sz w:val="24"/>
              </w:rPr>
              <w:t>。</w:t>
            </w:r>
          </w:p>
          <w:p w14:paraId="54D0DE8F">
            <w:pPr>
              <w:spacing w:line="360" w:lineRule="auto"/>
              <w:rPr>
                <w:rFonts w:hint="default" w:ascii="Times New Roman" w:hAnsi="Times New Roman" w:cs="Times New Roman" w:eastAsiaTheme="minorEastAsia"/>
                <w:b/>
                <w:bCs/>
                <w:color w:val="auto"/>
                <w:sz w:val="24"/>
                <w:szCs w:val="24"/>
              </w:rPr>
            </w:pPr>
            <w:r>
              <w:rPr>
                <w:rFonts w:hint="default" w:ascii="Times New Roman" w:hAnsi="Times New Roman" w:eastAsia="黑体" w:cs="Times New Roman"/>
                <w:color w:val="auto"/>
                <w:sz w:val="28"/>
                <w:szCs w:val="28"/>
              </w:rPr>
              <w:t>二、产业政策符合性分析</w:t>
            </w:r>
          </w:p>
          <w:p w14:paraId="5D8513A8">
            <w:pPr>
              <w:spacing w:line="360" w:lineRule="auto"/>
              <w:ind w:firstLine="51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本项目属于汽车零部件及配件制造项目，根据《产业结构调整指导目录（2011 年本）》（修正）（2011 年 3 月 27 日国家发展和改革委员会第 9 号令公布，并根据 2013 年2 月 16 日国家发展和改革委员会第 21 号令公布的《国家发展改革委关于修改&lt;产业结构调整指导目录（2011 年本）有关条款的决定》（修正），本项目不属于鼓励类、限制类及淘汰类项目，根据《国务院关于发布实施&lt;促进产业结构调整暂行规定&gt;的决定》（国发[2005]40 号），“《产业结构调整指导目录》由鼓励、限制和淘汰三类目录组成。不属于鼓励类、限制类和淘汰类，且符合国家有关法律、法规和政策规定的，为允许类”。因此本项目属于允许类项目。同时，本项目采用的生产设备不属于淘汰类、限制类设备。</w:t>
            </w:r>
            <w:r>
              <w:rPr>
                <w:rFonts w:hint="eastAsia" w:cs="Times New Roman"/>
                <w:color w:val="auto"/>
                <w:sz w:val="24"/>
                <w:szCs w:val="24"/>
                <w:lang w:val="en-US" w:eastAsia="zh-CN"/>
              </w:rPr>
              <w:t>项目经</w:t>
            </w:r>
            <w:r>
              <w:rPr>
                <w:rFonts w:hint="eastAsia" w:ascii="Times New Roman" w:hAnsi="Times New Roman" w:cs="Times New Roman"/>
                <w:color w:val="auto"/>
                <w:sz w:val="24"/>
                <w:szCs w:val="24"/>
                <w:lang w:val="en-US" w:eastAsia="zh-CN"/>
              </w:rPr>
              <w:t>安居</w:t>
            </w:r>
            <w:r>
              <w:rPr>
                <w:rFonts w:hint="default" w:ascii="Times New Roman" w:hAnsi="Times New Roman" w:cs="Times New Roman"/>
                <w:color w:val="auto"/>
                <w:sz w:val="24"/>
                <w:szCs w:val="24"/>
              </w:rPr>
              <w:t>区发展和改革局以“川投资备[</w:t>
            </w:r>
            <w:r>
              <w:rPr>
                <w:rFonts w:hint="default" w:ascii="Times New Roman" w:hAnsi="Times New Roman" w:cs="Times New Roman"/>
                <w:color w:val="auto"/>
                <w:sz w:val="24"/>
                <w:szCs w:val="24"/>
                <w:lang w:val="en-US" w:eastAsia="zh-CN"/>
              </w:rPr>
              <w:t>2018-510904-36-03-241478</w:t>
            </w:r>
            <w:r>
              <w:rPr>
                <w:rFonts w:hint="default" w:ascii="Times New Roman" w:hAnsi="Times New Roman" w:cs="Times New Roman"/>
                <w:color w:val="auto"/>
                <w:sz w:val="24"/>
                <w:szCs w:val="24"/>
              </w:rPr>
              <w:t>]FGQB-0</w:t>
            </w:r>
            <w:r>
              <w:rPr>
                <w:rFonts w:hint="eastAsia" w:cs="Times New Roman"/>
                <w:color w:val="auto"/>
                <w:sz w:val="24"/>
                <w:szCs w:val="24"/>
                <w:lang w:val="en-US" w:eastAsia="zh-CN"/>
              </w:rPr>
              <w:t>002</w:t>
            </w:r>
            <w:r>
              <w:rPr>
                <w:rFonts w:hint="default" w:ascii="Times New Roman" w:hAnsi="Times New Roman" w:cs="Times New Roman"/>
                <w:color w:val="auto"/>
                <w:sz w:val="24"/>
                <w:szCs w:val="24"/>
              </w:rPr>
              <w:t xml:space="preserve"> 号”文备案登记。</w:t>
            </w:r>
          </w:p>
          <w:p w14:paraId="6FA72CBA">
            <w:pPr>
              <w:autoSpaceDE w:val="0"/>
              <w:autoSpaceDN w:val="0"/>
              <w:adjustRightInd w:val="0"/>
              <w:spacing w:line="360" w:lineRule="auto"/>
              <w:ind w:firstLine="482" w:firstLineChars="200"/>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因此，本项目建设符合国家及地方相关产业政策。</w:t>
            </w:r>
          </w:p>
          <w:p w14:paraId="69F506C8">
            <w:pPr>
              <w:spacing w:line="360" w:lineRule="auto"/>
              <w:rPr>
                <w:rFonts w:hint="default" w:ascii="Times New Roman" w:hAnsi="Times New Roman" w:eastAsia="黑体" w:cs="Times New Roman"/>
                <w:color w:val="auto"/>
                <w:sz w:val="28"/>
                <w:szCs w:val="28"/>
              </w:rPr>
            </w:pPr>
            <w:r>
              <w:rPr>
                <w:rFonts w:hint="default" w:ascii="Times New Roman" w:hAnsi="Times New Roman" w:eastAsia="黑体" w:cs="Times New Roman"/>
                <w:color w:val="auto"/>
                <w:sz w:val="28"/>
                <w:szCs w:val="28"/>
              </w:rPr>
              <w:t>三、项目规划符合性及选址合理性分析</w:t>
            </w:r>
          </w:p>
          <w:p w14:paraId="47C26AB3">
            <w:pPr>
              <w:numPr>
                <w:ilvl w:val="0"/>
                <w:numId w:val="0"/>
              </w:numPr>
              <w:spacing w:line="360" w:lineRule="auto"/>
              <w:ind w:firstLine="482" w:firstLineChars="200"/>
              <w:rPr>
                <w:rFonts w:hint="default" w:ascii="Times New Roman" w:hAnsi="Times New Roman" w:cs="Times New Roman" w:eastAsiaTheme="minorEastAsia"/>
                <w:b/>
                <w:bCs/>
                <w:color w:val="auto"/>
                <w:sz w:val="24"/>
                <w:szCs w:val="24"/>
                <w:lang w:val="en-US" w:eastAsia="zh-CN"/>
              </w:rPr>
            </w:pPr>
            <w:r>
              <w:rPr>
                <w:rFonts w:hint="default" w:ascii="Times New Roman" w:hAnsi="Times New Roman" w:cs="Times New Roman" w:eastAsiaTheme="minorEastAsia"/>
                <w:b/>
                <w:bCs/>
                <w:color w:val="auto"/>
                <w:sz w:val="24"/>
                <w:szCs w:val="24"/>
                <w:lang w:val="en-US" w:eastAsia="zh-CN"/>
              </w:rPr>
              <w:t>1、规划符合性分析</w:t>
            </w:r>
          </w:p>
          <w:p w14:paraId="20059DF5">
            <w:pPr>
              <w:spacing w:line="360" w:lineRule="auto"/>
              <w:ind w:firstLine="480" w:firstLineChars="200"/>
              <w:rPr>
                <w:rFonts w:hint="default" w:ascii="Times New Roman" w:hAnsi="Times New Roman" w:cs="Times New Roman"/>
                <w:color w:val="auto"/>
                <w:sz w:val="24"/>
                <w:lang w:val="en-US" w:eastAsia="zh-CN"/>
              </w:rPr>
            </w:pPr>
            <w:r>
              <w:rPr>
                <w:rFonts w:hint="eastAsia" w:ascii="Times New Roman" w:hAnsi="Times New Roman" w:cs="Times New Roman"/>
                <w:color w:val="auto"/>
                <w:sz w:val="24"/>
                <w:lang w:val="en-US" w:eastAsia="zh-CN"/>
              </w:rPr>
              <w:t>（1）</w:t>
            </w:r>
            <w:r>
              <w:rPr>
                <w:rFonts w:hint="default" w:ascii="Times New Roman" w:hAnsi="Times New Roman" w:cs="Times New Roman"/>
                <w:color w:val="auto"/>
                <w:sz w:val="24"/>
                <w:lang w:val="en-US" w:eastAsia="zh-CN"/>
              </w:rPr>
              <w:t>与</w:t>
            </w:r>
            <w:r>
              <w:rPr>
                <w:rFonts w:hint="eastAsia" w:ascii="Times New Roman" w:hAnsi="Times New Roman" w:cs="Times New Roman"/>
                <w:color w:val="auto"/>
                <w:sz w:val="24"/>
                <w:lang w:val="en-US" w:eastAsia="zh-CN"/>
              </w:rPr>
              <w:t>安居区工业集中发展区化工工业园</w:t>
            </w:r>
            <w:r>
              <w:rPr>
                <w:rFonts w:hint="default" w:ascii="Times New Roman" w:hAnsi="Times New Roman" w:cs="Times New Roman"/>
                <w:color w:val="auto"/>
                <w:sz w:val="24"/>
                <w:lang w:val="en-US" w:eastAsia="zh-CN"/>
              </w:rPr>
              <w:t>规划的符合性</w:t>
            </w:r>
          </w:p>
          <w:p w14:paraId="406D5295">
            <w:pPr>
              <w:spacing w:line="360" w:lineRule="auto"/>
              <w:ind w:firstLine="480" w:firstLineChars="200"/>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 xml:space="preserve">四川省环境保护科学研究院已编制《遂宁市安居区化工工业园规划环境影响报告书》，并经四川省环境保护厅(局)分别以川环建函【2008】941号文批复。 </w:t>
            </w:r>
          </w:p>
          <w:p w14:paraId="488B8901">
            <w:pPr>
              <w:spacing w:line="360" w:lineRule="auto"/>
              <w:ind w:firstLine="480" w:firstLineChars="200"/>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遂宁市安居区化工工业园简介：为推动安居区工业发展，解决第二产业在国民经济中所占的比重低、工业基础薄弱问题，安居区政府于2007年9月召开的政府工作常务会议中，将</w:t>
            </w:r>
            <w:r>
              <w:rPr>
                <w:rFonts w:hint="default" w:ascii="Times New Roman" w:hAnsi="Times New Roman" w:eastAsia="宋体" w:cs="Times New Roman"/>
                <w:b w:val="0"/>
                <w:bCs w:val="0"/>
                <w:color w:val="auto"/>
                <w:kern w:val="2"/>
                <w:sz w:val="24"/>
                <w:szCs w:val="24"/>
                <w:lang w:val="en-US" w:eastAsia="zh-CN" w:bidi="ar-SA"/>
              </w:rPr>
              <w:t>工业发展的推进列为重要内容进行讨论并形成会议纪要（区人民政府二届七次常务会议纪要），确定“设立安</w:t>
            </w:r>
            <w:r>
              <w:rPr>
                <w:rFonts w:hint="default" w:ascii="Times New Roman" w:hAnsi="Times New Roman" w:cs="Times New Roman"/>
                <w:color w:val="auto"/>
                <w:sz w:val="24"/>
                <w:lang w:val="en-US" w:eastAsia="zh-CN"/>
              </w:rPr>
              <w:t>居区化工工业园（即龙眼井化工工业园），并要求相关部门启动化工工业园的前期工作”。2008年4月，重庆大学城市规划与设计研究院编制完成了“遂宁市安居区化工工业园控制性详细规划”，确定的规划区位于安居城区东南部，西靠琼江，北到遂内高速公路连接线，东部边缘有遂内高速公路斜穿基地，规划总用地面积5.75km</w:t>
            </w:r>
            <w:r>
              <w:rPr>
                <w:rFonts w:hint="default" w:ascii="Times New Roman" w:hAnsi="Times New Roman" w:cs="Times New Roman"/>
                <w:color w:val="auto"/>
                <w:sz w:val="24"/>
                <w:vertAlign w:val="superscript"/>
                <w:lang w:val="en-US" w:eastAsia="zh-CN"/>
              </w:rPr>
              <w:t>2</w:t>
            </w:r>
            <w:r>
              <w:rPr>
                <w:rFonts w:hint="default" w:ascii="Times New Roman" w:hAnsi="Times New Roman" w:cs="Times New Roman"/>
                <w:color w:val="auto"/>
                <w:sz w:val="24"/>
                <w:lang w:val="en-US" w:eastAsia="zh-CN"/>
              </w:rPr>
              <w:t>。</w:t>
            </w:r>
          </w:p>
          <w:p w14:paraId="47ADCAA6">
            <w:pPr>
              <w:spacing w:line="360" w:lineRule="auto"/>
              <w:ind w:firstLine="480" w:firstLineChars="200"/>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遂宁市安居区化工工业园规划定位为：以大中型骨干化工企业为龙头，以发展天然气化工、盐化工及各类精细化工下游产品为主的化工工业园。</w:t>
            </w:r>
          </w:p>
          <w:p w14:paraId="66D962DE">
            <w:pPr>
              <w:spacing w:line="360" w:lineRule="auto"/>
              <w:ind w:firstLine="480" w:firstLineChars="200"/>
              <w:rPr>
                <w:rFonts w:hint="default" w:ascii="Times New Roman" w:hAnsi="Times New Roman" w:eastAsia="宋体" w:cs="Times New Roman"/>
                <w:b w:val="0"/>
                <w:bCs w:val="0"/>
                <w:color w:val="auto"/>
                <w:kern w:val="2"/>
                <w:sz w:val="24"/>
                <w:szCs w:val="24"/>
                <w:lang w:val="en-US" w:eastAsia="zh-CN" w:bidi="ar-SA"/>
              </w:rPr>
            </w:pPr>
            <w:r>
              <w:rPr>
                <w:rFonts w:hint="default" w:ascii="Times New Roman" w:hAnsi="Times New Roman" w:cs="Times New Roman"/>
                <w:color w:val="auto"/>
                <w:sz w:val="24"/>
                <w:lang w:val="en-US" w:eastAsia="zh-CN"/>
              </w:rPr>
              <w:t>根据遂宁市安居区人民政府出具的遂安府函【2013】56号文件《关于调整遂宁市安居区工业集中发展区规划区域的通知》（见附件）：将原规划的遂宁市安居区工业集中发展区占地10平方公里的龙眼井精细化工园整体</w:t>
            </w:r>
            <w:r>
              <w:rPr>
                <w:rFonts w:hint="default" w:ascii="Times New Roman" w:hAnsi="Times New Roman" w:eastAsia="宋体" w:cs="Times New Roman"/>
                <w:b w:val="0"/>
                <w:bCs w:val="0"/>
                <w:color w:val="auto"/>
                <w:kern w:val="2"/>
                <w:sz w:val="24"/>
                <w:szCs w:val="24"/>
                <w:lang w:val="en-US" w:eastAsia="zh-CN" w:bidi="ar-SA"/>
              </w:rPr>
              <w:t>调整布局至西眉镇龙崩村周边，新规划的精细化工园占地面积约15平方公里，辖西眉镇竹林村、卧龙村、龙崩村、天宫村、桥亭村、矮店村、回龙村共7个村54个社。原龙眼井精细化工园用地作为汽摩机械产业拓展区。遂宁市安居区工业集中发展主要发展汽摩机械、天然气化工、服装纺织、生物食品等产业。</w:t>
            </w:r>
          </w:p>
          <w:p w14:paraId="7BB34A65">
            <w:pPr>
              <w:pStyle w:val="5"/>
              <w:adjustRightInd/>
              <w:spacing w:before="0" w:after="156" w:afterLines="50" w:line="360" w:lineRule="auto"/>
              <w:jc w:val="center"/>
              <w:textAlignment w:val="auto"/>
              <w:rPr>
                <w:rFonts w:hint="default" w:ascii="Times New Roman" w:hAnsi="Times New Roman" w:cs="Times New Roman" w:eastAsiaTheme="minorEastAsia"/>
                <w:b/>
                <w:bCs/>
                <w:color w:val="auto"/>
                <w:kern w:val="2"/>
                <w:sz w:val="21"/>
                <w:szCs w:val="21"/>
                <w:lang w:val="en-US" w:eastAsia="zh-CN" w:bidi="ar-SA"/>
              </w:rPr>
            </w:pPr>
            <w:r>
              <w:rPr>
                <w:rFonts w:hint="default" w:ascii="Times New Roman" w:hAnsi="Times New Roman" w:cs="Times New Roman" w:eastAsiaTheme="minorEastAsia"/>
                <w:b/>
                <w:bCs/>
                <w:color w:val="auto"/>
                <w:kern w:val="2"/>
                <w:sz w:val="21"/>
                <w:szCs w:val="21"/>
                <w:lang w:val="en-US" w:eastAsia="zh-CN" w:bidi="ar-SA"/>
              </w:rPr>
              <w:t>表1-</w:t>
            </w:r>
            <w:r>
              <w:rPr>
                <w:rFonts w:hint="eastAsia" w:ascii="Times New Roman" w:hAnsi="Times New Roman" w:cs="Times New Roman" w:eastAsiaTheme="minorEastAsia"/>
                <w:b/>
                <w:bCs/>
                <w:color w:val="auto"/>
                <w:kern w:val="2"/>
                <w:sz w:val="21"/>
                <w:szCs w:val="21"/>
                <w:lang w:val="en-US" w:eastAsia="zh-CN" w:bidi="ar-SA"/>
              </w:rPr>
              <w:t>1</w:t>
            </w:r>
            <w:r>
              <w:rPr>
                <w:rFonts w:hint="default" w:ascii="Times New Roman" w:hAnsi="Times New Roman" w:cs="Times New Roman" w:eastAsiaTheme="minorEastAsia"/>
                <w:b/>
                <w:bCs/>
                <w:color w:val="auto"/>
                <w:kern w:val="2"/>
                <w:sz w:val="21"/>
                <w:szCs w:val="21"/>
                <w:lang w:val="en-US" w:eastAsia="zh-CN" w:bidi="ar-SA"/>
              </w:rPr>
              <w:t xml:space="preserve"> 项目与遂宁市安居区化工工业园规划、规划环评及环评批复要求的符合性</w:t>
            </w:r>
          </w:p>
          <w:tbl>
            <w:tblPr>
              <w:tblStyle w:val="24"/>
              <w:tblW w:w="9978" w:type="dxa"/>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309"/>
              <w:gridCol w:w="4455"/>
              <w:gridCol w:w="4214"/>
            </w:tblGrid>
            <w:tr w14:paraId="12F4D7D8">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PrEx>
              <w:trPr>
                <w:trHeight w:val="563" w:hRule="atLeast"/>
                <w:jc w:val="center"/>
              </w:trPr>
              <w:tc>
                <w:tcPr>
                  <w:tcW w:w="1309" w:type="dxa"/>
                  <w:vAlign w:val="center"/>
                </w:tcPr>
                <w:p w14:paraId="31EB6DD8">
                  <w:pPr>
                    <w:pStyle w:val="5"/>
                    <w:adjustRightInd/>
                    <w:spacing w:before="0" w:after="156" w:afterLines="50" w:line="360" w:lineRule="auto"/>
                    <w:jc w:val="center"/>
                    <w:textAlignment w:val="auto"/>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项目</w:t>
                  </w:r>
                </w:p>
              </w:tc>
              <w:tc>
                <w:tcPr>
                  <w:tcW w:w="4455" w:type="dxa"/>
                  <w:vAlign w:val="center"/>
                </w:tcPr>
                <w:p w14:paraId="7271CA2E">
                  <w:pPr>
                    <w:pStyle w:val="5"/>
                    <w:adjustRightInd/>
                    <w:spacing w:before="0" w:after="156" w:afterLines="50" w:line="360" w:lineRule="auto"/>
                    <w:jc w:val="center"/>
                    <w:textAlignment w:val="auto"/>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规划、规划环评及环评批复要求</w:t>
                  </w:r>
                </w:p>
              </w:tc>
              <w:tc>
                <w:tcPr>
                  <w:tcW w:w="4214" w:type="dxa"/>
                  <w:vAlign w:val="center"/>
                </w:tcPr>
                <w:p w14:paraId="1B4EEF6F">
                  <w:pPr>
                    <w:pStyle w:val="5"/>
                    <w:adjustRightInd/>
                    <w:spacing w:before="0" w:after="156" w:afterLines="50" w:line="360" w:lineRule="auto"/>
                    <w:jc w:val="center"/>
                    <w:textAlignment w:val="auto"/>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本项目符合性</w:t>
                  </w:r>
                </w:p>
              </w:tc>
            </w:tr>
            <w:tr w14:paraId="2DDE79E6">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309" w:type="dxa"/>
                  <w:vAlign w:val="center"/>
                </w:tcPr>
                <w:p w14:paraId="0581186C">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产业定位</w:t>
                  </w:r>
                </w:p>
              </w:tc>
              <w:tc>
                <w:tcPr>
                  <w:tcW w:w="4455" w:type="dxa"/>
                  <w:vAlign w:val="center"/>
                </w:tcPr>
                <w:p w14:paraId="02381927">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以大中型骨干化工企业为龙头，以发展天然气化工、盐化工及各类精细化工下游产品为主的化工工业园；</w:t>
                  </w:r>
                </w:p>
              </w:tc>
              <w:tc>
                <w:tcPr>
                  <w:tcW w:w="4214" w:type="dxa"/>
                  <w:vAlign w:val="center"/>
                </w:tcPr>
                <w:p w14:paraId="487203B6">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项目属于汽车零部件及配件制造项目，不属于园区禁止、限制引入产业，为园区允许发展的产业；</w:t>
                  </w:r>
                </w:p>
              </w:tc>
            </w:tr>
            <w:tr w14:paraId="253C7C15">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8" w:hRule="atLeast"/>
                <w:jc w:val="center"/>
              </w:trPr>
              <w:tc>
                <w:tcPr>
                  <w:tcW w:w="1309" w:type="dxa"/>
                  <w:vAlign w:val="center"/>
                </w:tcPr>
                <w:p w14:paraId="11D0C528">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能源规划</w:t>
                  </w:r>
                </w:p>
              </w:tc>
              <w:tc>
                <w:tcPr>
                  <w:tcW w:w="4455" w:type="dxa"/>
                  <w:vAlign w:val="center"/>
                </w:tcPr>
                <w:p w14:paraId="16571C2A">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园区能源以天然气、电为主，燃煤为辅</w:t>
                  </w:r>
                </w:p>
              </w:tc>
              <w:tc>
                <w:tcPr>
                  <w:tcW w:w="4214" w:type="dxa"/>
                  <w:vAlign w:val="center"/>
                </w:tcPr>
                <w:p w14:paraId="088A9797">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项目以电为能源</w:t>
                  </w:r>
                </w:p>
              </w:tc>
            </w:tr>
            <w:tr w14:paraId="3F1380F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191" w:hRule="atLeast"/>
                <w:jc w:val="center"/>
              </w:trPr>
              <w:tc>
                <w:tcPr>
                  <w:tcW w:w="1309" w:type="dxa"/>
                  <w:vAlign w:val="center"/>
                </w:tcPr>
                <w:p w14:paraId="0DA9846F">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废水处理</w:t>
                  </w:r>
                </w:p>
              </w:tc>
              <w:tc>
                <w:tcPr>
                  <w:tcW w:w="4455" w:type="dxa"/>
                  <w:vAlign w:val="center"/>
                </w:tcPr>
                <w:p w14:paraId="5290B12C">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入园项目的生产废水和生活污水由企业自行处理达到《污水综合排放标准》（GB8979-1996）三级或相应的行业排放标准后排入园区的污水管网，进入园区污水处理厂集中处理；</w:t>
                  </w:r>
                </w:p>
              </w:tc>
              <w:tc>
                <w:tcPr>
                  <w:tcW w:w="4214" w:type="dxa"/>
                  <w:vAlign w:val="center"/>
                </w:tcPr>
                <w:p w14:paraId="66C2FC46">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项目废水经自</w:t>
                  </w:r>
                  <w:r>
                    <w:rPr>
                      <w:rFonts w:hint="eastAsia" w:cs="Times New Roman"/>
                      <w:b w:val="0"/>
                      <w:bCs w:val="0"/>
                      <w:color w:val="auto"/>
                      <w:kern w:val="2"/>
                      <w:sz w:val="21"/>
                      <w:szCs w:val="21"/>
                      <w:lang w:val="en-US" w:eastAsia="zh-CN" w:bidi="ar-SA"/>
                    </w:rPr>
                    <w:t>预处理池</w:t>
                  </w:r>
                  <w:r>
                    <w:rPr>
                      <w:rFonts w:hint="default" w:ascii="Times New Roman" w:hAnsi="Times New Roman" w:eastAsia="宋体" w:cs="Times New Roman"/>
                      <w:b w:val="0"/>
                      <w:bCs w:val="0"/>
                      <w:color w:val="auto"/>
                      <w:kern w:val="2"/>
                      <w:sz w:val="21"/>
                      <w:szCs w:val="21"/>
                      <w:lang w:val="en-US" w:eastAsia="zh-CN" w:bidi="ar-SA"/>
                    </w:rPr>
                    <w:t>处理达《污水综合排放标准》（GB8978-1996）中三级标准排入园区污水管网；</w:t>
                  </w:r>
                </w:p>
              </w:tc>
            </w:tr>
            <w:tr w14:paraId="7DA09B8D">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191" w:hRule="atLeast"/>
                <w:jc w:val="center"/>
              </w:trPr>
              <w:tc>
                <w:tcPr>
                  <w:tcW w:w="1309" w:type="dxa"/>
                  <w:vAlign w:val="center"/>
                </w:tcPr>
                <w:p w14:paraId="199AD731">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废气治理</w:t>
                  </w:r>
                </w:p>
              </w:tc>
              <w:tc>
                <w:tcPr>
                  <w:tcW w:w="4455" w:type="dxa"/>
                  <w:vAlign w:val="center"/>
                </w:tcPr>
                <w:p w14:paraId="0EF2B15C">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按照《环境空气质量标准》（GB3095-2012）中的二级标准控制</w:t>
                  </w:r>
                </w:p>
              </w:tc>
              <w:tc>
                <w:tcPr>
                  <w:tcW w:w="4214" w:type="dxa"/>
                  <w:vAlign w:val="center"/>
                </w:tcPr>
                <w:p w14:paraId="2E34F748">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项目正常生产过程中所排放的大气污染物均不会导致项目所在区域环境空气质量超标，满足GB3095-2012中的二级标准要求</w:t>
                  </w:r>
                </w:p>
              </w:tc>
            </w:tr>
            <w:tr w14:paraId="4281AC61">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191" w:hRule="atLeast"/>
                <w:jc w:val="center"/>
              </w:trPr>
              <w:tc>
                <w:tcPr>
                  <w:tcW w:w="1309" w:type="dxa"/>
                  <w:vAlign w:val="center"/>
                </w:tcPr>
                <w:p w14:paraId="6D7A0FDA">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固废处置</w:t>
                  </w:r>
                </w:p>
              </w:tc>
              <w:tc>
                <w:tcPr>
                  <w:tcW w:w="4455" w:type="dxa"/>
                  <w:vAlign w:val="center"/>
                </w:tcPr>
                <w:p w14:paraId="5949978A">
                  <w:pPr>
                    <w:pStyle w:val="5"/>
                    <w:adjustRightInd/>
                    <w:spacing w:before="0" w:after="156" w:afterLines="50" w:line="360" w:lineRule="auto"/>
                    <w:ind w:firstLine="420" w:firstLineChars="200"/>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规划区内生产生活垃圾收集运输宜采用密闭形式运输，并逐步实行垃圾袋装化和分类收集，充分回收利用。工业垃圾中有毒有害或放射性垃圾按环保部门要求的规定处置。</w:t>
                  </w:r>
                </w:p>
              </w:tc>
              <w:tc>
                <w:tcPr>
                  <w:tcW w:w="4214" w:type="dxa"/>
                  <w:vAlign w:val="center"/>
                </w:tcPr>
                <w:p w14:paraId="5DAD95D9">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项目危险废物设置危废暂存间暂存并定期交由有资质单位处置，一般固废及生活垃圾分类收集后由当地环卫部门定期清运处理</w:t>
                  </w:r>
                </w:p>
              </w:tc>
            </w:tr>
            <w:tr w14:paraId="52A18D3F">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191" w:hRule="atLeast"/>
                <w:jc w:val="center"/>
              </w:trPr>
              <w:tc>
                <w:tcPr>
                  <w:tcW w:w="1309" w:type="dxa"/>
                  <w:vAlign w:val="center"/>
                </w:tcPr>
                <w:p w14:paraId="0F17AA6A">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清洁生产门槛</w:t>
                  </w:r>
                </w:p>
              </w:tc>
              <w:tc>
                <w:tcPr>
                  <w:tcW w:w="4455" w:type="dxa"/>
                  <w:vAlign w:val="center"/>
                </w:tcPr>
                <w:p w14:paraId="0B9DA73F">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入园企业必须采用国际、国内先进水平的生产工艺、设备及污染治理技术，能耗、物耗、水耗等均应达到相应行业的清洁生产水平；</w:t>
                  </w:r>
                </w:p>
              </w:tc>
              <w:tc>
                <w:tcPr>
                  <w:tcW w:w="4214" w:type="dxa"/>
                  <w:vAlign w:val="center"/>
                </w:tcPr>
                <w:p w14:paraId="7E516EF2">
                  <w:pPr>
                    <w:pStyle w:val="5"/>
                    <w:adjustRightInd/>
                    <w:spacing w:before="0" w:after="156" w:afterLines="50" w:line="360" w:lineRule="auto"/>
                    <w:jc w:val="center"/>
                    <w:textAlignment w:val="auto"/>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kern w:val="2"/>
                      <w:sz w:val="21"/>
                      <w:szCs w:val="21"/>
                      <w:lang w:val="en-US" w:eastAsia="zh-CN" w:bidi="ar-SA"/>
                    </w:rPr>
                    <w:t>项目清洁生产水平达国内同类企业先进水平</w:t>
                  </w:r>
                </w:p>
              </w:tc>
            </w:tr>
          </w:tbl>
          <w:p w14:paraId="7C4E7D3C">
            <w:pPr>
              <w:spacing w:line="360" w:lineRule="auto"/>
              <w:ind w:firstLine="480" w:firstLineChars="200"/>
              <w:rPr>
                <w:rFonts w:hint="default" w:ascii="Times New Roman" w:hAnsi="Times New Roman" w:cs="Times New Roman" w:eastAsiaTheme="minorEastAsia"/>
                <w:b w:val="0"/>
                <w:bCs w:val="0"/>
                <w:color w:val="auto"/>
                <w:sz w:val="24"/>
                <w:lang w:val="en-US" w:eastAsia="zh-CN"/>
              </w:rPr>
            </w:pPr>
            <w:r>
              <w:rPr>
                <w:rFonts w:hint="default" w:ascii="Times New Roman" w:hAnsi="Times New Roman" w:eastAsia="宋体" w:cs="Times New Roman"/>
                <w:b w:val="0"/>
                <w:bCs w:val="0"/>
                <w:color w:val="auto"/>
                <w:kern w:val="2"/>
                <w:sz w:val="24"/>
                <w:szCs w:val="24"/>
                <w:lang w:val="en-US" w:eastAsia="zh-CN" w:bidi="ar-SA"/>
              </w:rPr>
              <w:t>根据遂宁市安居区人民政府出具的遂安府函【2013】56号文件《关于调整遂宁市安居区工业集中</w:t>
            </w:r>
            <w:r>
              <w:rPr>
                <w:rFonts w:hint="default" w:ascii="Times New Roman" w:hAnsi="Times New Roman" w:cs="Times New Roman" w:eastAsiaTheme="minorEastAsia"/>
                <w:b w:val="0"/>
                <w:bCs w:val="0"/>
                <w:color w:val="auto"/>
                <w:sz w:val="24"/>
                <w:lang w:val="en-US" w:eastAsia="zh-CN"/>
              </w:rPr>
              <w:t>发展区规划区域的通知》（见附件），本项目所在地为调整规划后的遂宁市安居区工业工业集中汽</w:t>
            </w:r>
            <w:r>
              <w:rPr>
                <w:rFonts w:hint="eastAsia" w:ascii="Times New Roman" w:hAnsi="Times New Roman" w:cs="Times New Roman" w:eastAsiaTheme="minorEastAsia"/>
                <w:b w:val="0"/>
                <w:bCs w:val="0"/>
                <w:color w:val="auto"/>
                <w:sz w:val="24"/>
                <w:lang w:val="en-US" w:eastAsia="zh-CN"/>
              </w:rPr>
              <w:t>摩</w:t>
            </w:r>
            <w:r>
              <w:rPr>
                <w:rFonts w:hint="default" w:ascii="Times New Roman" w:hAnsi="Times New Roman" w:cs="Times New Roman" w:eastAsiaTheme="minorEastAsia"/>
                <w:b w:val="0"/>
                <w:bCs w:val="0"/>
                <w:color w:val="auto"/>
                <w:sz w:val="24"/>
                <w:lang w:val="en-US" w:eastAsia="zh-CN"/>
              </w:rPr>
              <w:t>产业园拓展区。因此，本项目作为汽车零部件及配件制造项目入驻该园区，符合遂宁市安居区</w:t>
            </w:r>
            <w:r>
              <w:rPr>
                <w:rFonts w:hint="eastAsia" w:ascii="Times New Roman" w:hAnsi="Times New Roman" w:cs="Times New Roman" w:eastAsiaTheme="minorEastAsia"/>
                <w:b w:val="0"/>
                <w:bCs w:val="0"/>
                <w:color w:val="auto"/>
                <w:sz w:val="24"/>
                <w:lang w:val="en-US" w:eastAsia="zh-CN"/>
              </w:rPr>
              <w:t>工业园区的</w:t>
            </w:r>
            <w:r>
              <w:rPr>
                <w:rFonts w:hint="default" w:ascii="Times New Roman" w:hAnsi="Times New Roman" w:cs="Times New Roman" w:eastAsiaTheme="minorEastAsia"/>
                <w:b w:val="0"/>
                <w:bCs w:val="0"/>
                <w:color w:val="auto"/>
                <w:sz w:val="24"/>
                <w:lang w:val="en-US" w:eastAsia="zh-CN"/>
              </w:rPr>
              <w:t>总体规划</w:t>
            </w:r>
            <w:r>
              <w:rPr>
                <w:rFonts w:hint="eastAsia" w:ascii="Times New Roman" w:hAnsi="Times New Roman" w:cs="Times New Roman" w:eastAsiaTheme="minorEastAsia"/>
                <w:b w:val="0"/>
                <w:bCs w:val="0"/>
                <w:color w:val="auto"/>
                <w:sz w:val="24"/>
                <w:lang w:val="en-US" w:eastAsia="zh-CN"/>
              </w:rPr>
              <w:t>和</w:t>
            </w:r>
            <w:r>
              <w:rPr>
                <w:rFonts w:hint="default" w:ascii="Times New Roman" w:hAnsi="Times New Roman" w:cs="Times New Roman" w:eastAsiaTheme="minorEastAsia"/>
                <w:b w:val="0"/>
                <w:bCs w:val="0"/>
                <w:color w:val="auto"/>
                <w:sz w:val="24"/>
                <w:lang w:val="en-US" w:eastAsia="zh-CN"/>
              </w:rPr>
              <w:t xml:space="preserve">产业定位。 </w:t>
            </w:r>
          </w:p>
          <w:p w14:paraId="058A43C3">
            <w:pPr>
              <w:spacing w:line="360" w:lineRule="auto"/>
              <w:ind w:firstLine="482" w:firstLineChars="200"/>
              <w:rPr>
                <w:rFonts w:hint="default" w:ascii="Times New Roman" w:hAnsi="Times New Roman" w:cs="Times New Roman" w:eastAsiaTheme="minorEastAsia"/>
                <w:b/>
                <w:bCs/>
                <w:color w:val="auto"/>
                <w:sz w:val="24"/>
                <w:lang w:val="en-US" w:eastAsia="zh-CN"/>
              </w:rPr>
            </w:pPr>
            <w:bookmarkStart w:id="0" w:name="_Toc475968133"/>
            <w:r>
              <w:rPr>
                <w:rFonts w:hint="eastAsia" w:ascii="Times New Roman" w:hAnsi="Times New Roman" w:cs="Times New Roman" w:eastAsiaTheme="minorEastAsia"/>
                <w:b/>
                <w:bCs/>
                <w:color w:val="auto"/>
                <w:sz w:val="24"/>
                <w:lang w:val="en-US" w:eastAsia="zh-CN"/>
              </w:rPr>
              <w:t>（2）</w:t>
            </w:r>
            <w:r>
              <w:rPr>
                <w:rFonts w:hint="default" w:ascii="Times New Roman" w:hAnsi="Times New Roman" w:cs="Times New Roman" w:eastAsiaTheme="minorEastAsia"/>
                <w:b/>
                <w:bCs/>
                <w:color w:val="auto"/>
                <w:sz w:val="24"/>
                <w:lang w:val="en-US" w:eastAsia="zh-CN"/>
              </w:rPr>
              <w:t>与用地规划的符合性</w:t>
            </w:r>
          </w:p>
          <w:p w14:paraId="7AF91F1E">
            <w:pPr>
              <w:spacing w:line="360" w:lineRule="auto"/>
              <w:ind w:firstLine="480" w:firstLineChars="200"/>
              <w:rPr>
                <w:rFonts w:hint="default"/>
                <w:b w:val="0"/>
                <w:bCs w:val="0"/>
              </w:rPr>
            </w:pPr>
            <w:r>
              <w:rPr>
                <w:rFonts w:hint="default" w:ascii="Times New Roman" w:hAnsi="Times New Roman" w:cs="Times New Roman" w:eastAsiaTheme="minorEastAsia"/>
                <w:b w:val="0"/>
                <w:bCs w:val="0"/>
                <w:color w:val="auto"/>
                <w:sz w:val="24"/>
                <w:lang w:val="en-US" w:eastAsia="zh-CN"/>
              </w:rPr>
              <w:t>本项目租赁安东大道南段C-03-14a地块（租赁协议见附件），位于安居区工业集中发展区汽摩产业园内，根据遂宁市安居区分区规划（2010-2030）</w:t>
            </w:r>
            <w:r>
              <w:rPr>
                <w:rFonts w:hint="eastAsia" w:cs="Times New Roman" w:eastAsiaTheme="minorEastAsia"/>
                <w:b w:val="0"/>
                <w:bCs w:val="0"/>
                <w:color w:val="auto"/>
                <w:sz w:val="24"/>
                <w:lang w:val="en-US" w:eastAsia="zh-CN"/>
              </w:rPr>
              <w:t>（见附图）</w:t>
            </w:r>
            <w:r>
              <w:rPr>
                <w:rFonts w:hint="default" w:ascii="Times New Roman" w:hAnsi="Times New Roman" w:cs="Times New Roman" w:eastAsiaTheme="minorEastAsia"/>
                <w:b w:val="0"/>
                <w:bCs w:val="0"/>
                <w:color w:val="auto"/>
                <w:sz w:val="24"/>
                <w:lang w:val="en-US" w:eastAsia="zh-CN"/>
              </w:rPr>
              <w:t>可知项目地规划用途为“工业用地”，本项目为国民经济行业分类里C3670 汽车零部件及配件制造，符合遂宁市安居区分区规划（2010-2030）中的用地性质规划。因此，项目在此建设，符合区域用地规划要求。</w:t>
            </w:r>
          </w:p>
          <w:p w14:paraId="29441B6E">
            <w:pPr>
              <w:spacing w:line="360" w:lineRule="auto"/>
              <w:ind w:firstLine="482" w:firstLineChars="200"/>
              <w:rPr>
                <w:rFonts w:hint="default" w:ascii="Times New Roman" w:hAnsi="Times New Roman" w:cs="Times New Roman" w:eastAsiaTheme="minorEastAsia"/>
                <w:b/>
                <w:bCs/>
                <w:color w:val="auto"/>
                <w:sz w:val="24"/>
              </w:rPr>
            </w:pPr>
            <w:r>
              <w:rPr>
                <w:rFonts w:hint="eastAsia" w:cs="Times New Roman" w:eastAsiaTheme="minorEastAsia"/>
                <w:b/>
                <w:bCs/>
                <w:color w:val="auto"/>
                <w:sz w:val="24"/>
                <w:lang w:eastAsia="zh-CN"/>
              </w:rPr>
              <w:t>（</w:t>
            </w:r>
            <w:r>
              <w:rPr>
                <w:rFonts w:hint="eastAsia" w:cs="Times New Roman" w:eastAsiaTheme="minorEastAsia"/>
                <w:b/>
                <w:bCs/>
                <w:color w:val="auto"/>
                <w:sz w:val="24"/>
                <w:lang w:val="en-US" w:eastAsia="zh-CN"/>
              </w:rPr>
              <w:t>3</w:t>
            </w:r>
            <w:r>
              <w:rPr>
                <w:rFonts w:hint="eastAsia" w:cs="Times New Roman" w:eastAsiaTheme="minorEastAsia"/>
                <w:b/>
                <w:bCs/>
                <w:color w:val="auto"/>
                <w:sz w:val="24"/>
                <w:lang w:eastAsia="zh-CN"/>
              </w:rPr>
              <w:t>）</w:t>
            </w:r>
            <w:r>
              <w:rPr>
                <w:rFonts w:hint="default" w:ascii="Times New Roman" w:hAnsi="Times New Roman" w:cs="Times New Roman" w:eastAsiaTheme="minorEastAsia"/>
                <w:b/>
                <w:bCs/>
                <w:color w:val="auto"/>
                <w:sz w:val="24"/>
              </w:rPr>
              <w:t>与琼江翘嘴红鲌省级水产种植资源保护区的相容性</w:t>
            </w:r>
            <w:bookmarkEnd w:id="0"/>
          </w:p>
          <w:p w14:paraId="115F43AE">
            <w:pPr>
              <w:spacing w:line="360" w:lineRule="auto"/>
              <w:ind w:firstLine="480" w:firstLineChars="200"/>
              <w:rPr>
                <w:rFonts w:hint="default" w:ascii="Times New Roman" w:hAnsi="Times New Roman" w:cs="Times New Roman"/>
                <w:b w:val="0"/>
                <w:bCs w:val="0"/>
                <w:color w:val="auto"/>
                <w:sz w:val="24"/>
              </w:rPr>
            </w:pPr>
            <w:r>
              <w:rPr>
                <w:rFonts w:hint="eastAsia" w:cs="Times New Roman"/>
                <w:b w:val="0"/>
                <w:bCs w:val="0"/>
                <w:color w:val="auto"/>
                <w:sz w:val="24"/>
                <w:lang w:val="en-US" w:eastAsia="zh-CN"/>
              </w:rPr>
              <w:t>1、</w:t>
            </w:r>
            <w:r>
              <w:rPr>
                <w:rFonts w:hint="default" w:ascii="Times New Roman" w:hAnsi="Times New Roman" w:cs="Times New Roman"/>
                <w:b w:val="0"/>
                <w:bCs w:val="0"/>
                <w:color w:val="auto"/>
                <w:sz w:val="24"/>
              </w:rPr>
              <w:t>琼江翘嘴红鲌省级水产种植资源保护区简介</w:t>
            </w:r>
          </w:p>
          <w:p w14:paraId="2F0B039F">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翘嘴红鲌省级水产种植资源保护区系由四川省人民政府以川府函[2009]289号文批准建立，地理位置位于东经105°0′~106°03′，北纬29°42′~30°32′之间，主要保护对象为翘嘴红鲌（</w:t>
            </w:r>
            <w:r>
              <w:rPr>
                <w:rFonts w:hint="default" w:ascii="Times New Roman" w:hAnsi="Times New Roman" w:cs="Times New Roman"/>
                <w:i/>
                <w:color w:val="auto"/>
                <w:sz w:val="24"/>
              </w:rPr>
              <w:t>Erythroculter ilishaeformis</w:t>
            </w:r>
            <w:r>
              <w:rPr>
                <w:rFonts w:hint="default" w:ascii="Times New Roman" w:hAnsi="Times New Roman" w:cs="Times New Roman"/>
                <w:color w:val="auto"/>
                <w:sz w:val="24"/>
              </w:rPr>
              <w:t>）、蒙古红鲌（</w:t>
            </w:r>
            <w:r>
              <w:rPr>
                <w:rFonts w:hint="default" w:ascii="Times New Roman" w:hAnsi="Times New Roman" w:cs="Times New Roman"/>
                <w:i/>
                <w:color w:val="auto"/>
                <w:sz w:val="24"/>
              </w:rPr>
              <w:t>Erythroculter mongolocus</w:t>
            </w:r>
            <w:r>
              <w:rPr>
                <w:rFonts w:hint="default" w:ascii="Times New Roman" w:hAnsi="Times New Roman" w:cs="Times New Roman"/>
                <w:color w:val="auto"/>
                <w:sz w:val="24"/>
              </w:rPr>
              <w:t>）、乌鳢（</w:t>
            </w:r>
            <w:r>
              <w:rPr>
                <w:rFonts w:hint="default" w:ascii="Times New Roman" w:hAnsi="Times New Roman" w:cs="Times New Roman"/>
                <w:i/>
                <w:color w:val="auto"/>
                <w:sz w:val="24"/>
              </w:rPr>
              <w:t>Channa argus</w:t>
            </w:r>
            <w:r>
              <w:rPr>
                <w:rFonts w:hint="default" w:ascii="Times New Roman" w:hAnsi="Times New Roman" w:cs="Times New Roman"/>
                <w:color w:val="auto"/>
                <w:sz w:val="24"/>
              </w:rPr>
              <w:t>）和黄颡鱼（</w:t>
            </w:r>
            <w:r>
              <w:rPr>
                <w:rFonts w:hint="default" w:ascii="Times New Roman" w:hAnsi="Times New Roman" w:cs="Times New Roman"/>
                <w:i/>
                <w:color w:val="auto"/>
                <w:sz w:val="24"/>
              </w:rPr>
              <w:t>Pelteobagrus fulvidraco</w:t>
            </w:r>
            <w:r>
              <w:rPr>
                <w:rFonts w:hint="default" w:ascii="Times New Roman" w:hAnsi="Times New Roman" w:cs="Times New Roman"/>
                <w:color w:val="auto"/>
                <w:sz w:val="24"/>
              </w:rPr>
              <w:t>）保护区划分为核心区、实验区二个功能区：</w:t>
            </w:r>
          </w:p>
          <w:p w14:paraId="69AD87C2">
            <w:pPr>
              <w:spacing w:line="360" w:lineRule="auto"/>
              <w:ind w:firstLine="360" w:firstLineChars="150"/>
              <w:rPr>
                <w:rFonts w:hint="default" w:ascii="Times New Roman" w:hAnsi="Times New Roman" w:cs="Times New Roman"/>
                <w:color w:val="auto"/>
                <w:sz w:val="24"/>
              </w:rPr>
            </w:pPr>
            <w:r>
              <w:rPr>
                <w:rFonts w:hint="default" w:ascii="Times New Roman" w:hAnsi="Times New Roman" w:cs="Times New Roman"/>
                <w:color w:val="auto"/>
                <w:sz w:val="24"/>
              </w:rPr>
              <w:t>（1）核心区：琼江白马镇吡庐寺村—安居凤凰大桥水域和琼江三家大桥—大安乡明星村（出境）水域划分为核心区，全长55km，面积410公顷，占整个保护区面积的76%，具有人为影响程度较低和生态系统原始的特点。</w:t>
            </w:r>
          </w:p>
          <w:p w14:paraId="66C25F9B">
            <w:pPr>
              <w:spacing w:line="360" w:lineRule="auto"/>
              <w:ind w:firstLine="360" w:firstLineChars="150"/>
              <w:rPr>
                <w:rFonts w:hint="default" w:ascii="Times New Roman" w:hAnsi="Times New Roman" w:cs="Times New Roman"/>
                <w:color w:val="auto"/>
                <w:sz w:val="24"/>
              </w:rPr>
            </w:pPr>
            <w:r>
              <w:rPr>
                <w:rFonts w:hint="default" w:ascii="Times New Roman" w:hAnsi="Times New Roman" w:cs="Times New Roman"/>
                <w:color w:val="auto"/>
                <w:sz w:val="24"/>
              </w:rPr>
              <w:t>（2）实验区：琼江三家大桥—安居凤凰大桥水域划分为实验区，长17km，面积130公顷，占保护区面积24%。</w:t>
            </w:r>
          </w:p>
          <w:p w14:paraId="4EBF0984">
            <w:pPr>
              <w:spacing w:line="360" w:lineRule="auto"/>
              <w:ind w:firstLine="480" w:firstLineChars="200"/>
              <w:rPr>
                <w:rFonts w:hint="default" w:ascii="Times New Roman" w:hAnsi="Times New Roman" w:cs="Times New Roman"/>
                <w:color w:val="auto"/>
                <w:sz w:val="24"/>
              </w:rPr>
            </w:pPr>
            <w:r>
              <w:rPr>
                <w:rFonts w:hint="eastAsia" w:cs="Times New Roman"/>
                <w:color w:val="auto"/>
                <w:sz w:val="24"/>
                <w:lang w:val="en-US" w:eastAsia="zh-CN"/>
              </w:rPr>
              <w:t>2、</w:t>
            </w:r>
            <w:r>
              <w:rPr>
                <w:rFonts w:hint="default" w:ascii="Times New Roman" w:hAnsi="Times New Roman" w:cs="Times New Roman"/>
                <w:color w:val="auto"/>
                <w:sz w:val="24"/>
              </w:rPr>
              <w:t>项目与琼江翘嘴红鲌省级水产种植资源保护区相容性</w:t>
            </w:r>
          </w:p>
          <w:p w14:paraId="5869AEF5">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琼江翘嘴红鲌省级水产种植资源保护区仅涉及琼江水域；项目西</w:t>
            </w:r>
            <w:r>
              <w:rPr>
                <w:rFonts w:hint="eastAsia" w:cs="Times New Roman"/>
                <w:color w:val="auto"/>
                <w:sz w:val="24"/>
                <w:lang w:val="en-US" w:eastAsia="zh-CN"/>
              </w:rPr>
              <w:t>北</w:t>
            </w:r>
            <w:r>
              <w:rPr>
                <w:rFonts w:hint="default" w:ascii="Times New Roman" w:hAnsi="Times New Roman" w:cs="Times New Roman"/>
                <w:color w:val="auto"/>
                <w:sz w:val="24"/>
              </w:rPr>
              <w:t>面距离琼江约</w:t>
            </w:r>
            <w:r>
              <w:rPr>
                <w:rFonts w:hint="eastAsia" w:cs="Times New Roman"/>
                <w:color w:val="auto"/>
                <w:sz w:val="24"/>
                <w:lang w:val="en-US" w:eastAsia="zh-CN"/>
              </w:rPr>
              <w:t>750</w:t>
            </w:r>
            <w:r>
              <w:rPr>
                <w:rFonts w:hint="default" w:ascii="Times New Roman" w:hAnsi="Times New Roman" w:cs="Times New Roman"/>
                <w:color w:val="auto"/>
                <w:sz w:val="24"/>
              </w:rPr>
              <w:t>m，不在琼江翘嘴红鲌省级水产种植资源保护区范围内；且项目西面琼江段属琼江琼江翘嘴红鲌省级水产种植资源保护区实验区范围。《水产种质资源保护区管理暂行办法》（中华人民共和国农业部令2011年第1号）中关于水产种质资源保护区的管理和保护有如下要求：</w:t>
            </w:r>
          </w:p>
          <w:p w14:paraId="45EE20C2">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第二十条：</w:t>
            </w:r>
            <w:r>
              <w:rPr>
                <w:rFonts w:hint="eastAsia" w:ascii="Times New Roman" w:hAnsi="Times New Roman" w:cs="Times New Roman"/>
                <w:color w:val="auto"/>
                <w:sz w:val="24"/>
                <w:lang w:eastAsia="zh-CN"/>
              </w:rPr>
              <w:t>“</w:t>
            </w:r>
            <w:r>
              <w:rPr>
                <w:rFonts w:hint="default" w:ascii="Times New Roman" w:hAnsi="Times New Roman" w:cs="Times New Roman"/>
                <w:color w:val="auto"/>
                <w:sz w:val="24"/>
              </w:rPr>
              <w:t>禁止在水产种质资源保护区从事围湖造田、围海造地或围填海工程。</w:t>
            </w:r>
            <w:r>
              <w:rPr>
                <w:rFonts w:hint="eastAsia" w:ascii="Times New Roman" w:hAnsi="Times New Roman" w:cs="Times New Roman"/>
                <w:color w:val="auto"/>
                <w:sz w:val="24"/>
                <w:lang w:eastAsia="zh-CN"/>
              </w:rPr>
              <w:t>”</w:t>
            </w:r>
          </w:p>
          <w:p w14:paraId="1D2EB5B3">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第二十一条：</w:t>
            </w:r>
            <w:r>
              <w:rPr>
                <w:rFonts w:hint="eastAsia" w:ascii="Times New Roman" w:hAnsi="Times New Roman" w:cs="Times New Roman"/>
                <w:color w:val="auto"/>
                <w:sz w:val="24"/>
                <w:lang w:eastAsia="zh-CN"/>
              </w:rPr>
              <w:t>“</w:t>
            </w:r>
            <w:r>
              <w:rPr>
                <w:rFonts w:hint="default" w:ascii="Times New Roman" w:hAnsi="Times New Roman" w:cs="Times New Roman"/>
                <w:color w:val="auto"/>
                <w:sz w:val="24"/>
              </w:rPr>
              <w:t>禁止在水产种质资源保护区内新建排污口。在水产种植资源保护区附近新建、改建、扩建排污口，应当保证保护区水体不受污染。</w:t>
            </w:r>
            <w:r>
              <w:rPr>
                <w:rFonts w:hint="eastAsia" w:ascii="Times New Roman" w:hAnsi="Times New Roman" w:cs="Times New Roman"/>
                <w:color w:val="auto"/>
                <w:sz w:val="24"/>
                <w:lang w:eastAsia="zh-CN"/>
              </w:rPr>
              <w:t>”</w:t>
            </w:r>
          </w:p>
          <w:p w14:paraId="0DB1537D">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本项目的建设不涉及围湖造田、围海造地以及围填海工程；</w:t>
            </w:r>
            <w:r>
              <w:rPr>
                <w:rFonts w:hint="eastAsia" w:cs="Times New Roman"/>
                <w:color w:val="auto"/>
                <w:sz w:val="24"/>
                <w:lang w:val="en-US" w:eastAsia="zh-CN"/>
              </w:rPr>
              <w:t>其生产废水经厂区内污水处理站处理、生活污水经预处理池收集、</w:t>
            </w:r>
            <w:r>
              <w:rPr>
                <w:rFonts w:hint="default" w:ascii="Times New Roman" w:hAnsi="Times New Roman" w:cs="Times New Roman"/>
                <w:color w:val="auto"/>
                <w:sz w:val="24"/>
              </w:rPr>
              <w:t>食堂废水经隔油池处理后与其余生活污水进入经</w:t>
            </w:r>
            <w:r>
              <w:rPr>
                <w:rFonts w:hint="default" w:ascii="Times New Roman" w:hAnsi="Times New Roman" w:cs="Times New Roman"/>
                <w:color w:val="auto"/>
                <w:sz w:val="24"/>
                <w:lang w:eastAsia="zh-CN"/>
              </w:rPr>
              <w:t>化粪池</w:t>
            </w:r>
            <w:r>
              <w:rPr>
                <w:rFonts w:hint="default" w:ascii="Times New Roman" w:hAnsi="Times New Roman" w:cs="Times New Roman"/>
                <w:color w:val="auto"/>
                <w:sz w:val="24"/>
              </w:rPr>
              <w:t>处理，</w:t>
            </w:r>
            <w:r>
              <w:rPr>
                <w:rFonts w:hint="eastAsia" w:cs="Times New Roman"/>
                <w:color w:val="auto"/>
                <w:sz w:val="24"/>
                <w:lang w:val="en-US" w:eastAsia="zh-CN"/>
              </w:rPr>
              <w:t>该三部分废水一同</w:t>
            </w:r>
            <w:r>
              <w:rPr>
                <w:rFonts w:hint="default" w:ascii="Times New Roman" w:hAnsi="Times New Roman" w:cs="Times New Roman"/>
                <w:color w:val="auto"/>
                <w:sz w:val="24"/>
              </w:rPr>
              <w:t>达到三级标准后排放至园区污水管网；经龙眼井污水处理厂处理达到《城镇污水处理厂污染物排放标准》（GB18918-2002）中一级A标准排入琼江。</w:t>
            </w:r>
          </w:p>
          <w:p w14:paraId="77DB805B">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项目依托的龙眼井污水处理厂尾水排口位于琼江翘嘴红鲌省级水产种植资源保护区实验区内。2008年11月，四川省环保厅以川环建[2008]941号文对四川省环境保护科学研究院编制的《遂宁市安居区化工工业园规划环境影响报告书》予以批复，其中明确规划建设园区污水处理厂（龙眼井污水处理厂），规模约1.6万m</w:t>
            </w:r>
            <w:r>
              <w:rPr>
                <w:rFonts w:hint="default" w:ascii="Times New Roman" w:hAnsi="Times New Roman" w:cs="Times New Roman"/>
                <w:color w:val="auto"/>
                <w:sz w:val="24"/>
                <w:vertAlign w:val="superscript"/>
              </w:rPr>
              <w:t>3</w:t>
            </w:r>
            <w:r>
              <w:rPr>
                <w:rFonts w:hint="default" w:ascii="Times New Roman" w:hAnsi="Times New Roman" w:cs="Times New Roman"/>
                <w:color w:val="auto"/>
                <w:sz w:val="24"/>
              </w:rPr>
              <w:t>/d，用以处理入园项目的生产废水和生活污水。因此，龙眼井污水处理厂排口设立时间在琼江翘嘴红鲌省级水产种植资源保护区设立之前，不属于新建排污口。2010年12月，四川省环保厅以川环审批[2010]203</w:t>
            </w:r>
            <w:r>
              <w:rPr>
                <w:rFonts w:hint="default" w:ascii="Times New Roman" w:hAnsi="Times New Roman" w:cs="Times New Roman"/>
                <w:color w:val="auto"/>
                <w:sz w:val="24"/>
                <w:lang w:eastAsia="zh-CN"/>
              </w:rPr>
              <w:t>号</w:t>
            </w:r>
            <w:r>
              <w:rPr>
                <w:rFonts w:hint="default" w:ascii="Times New Roman" w:hAnsi="Times New Roman" w:cs="Times New Roman"/>
                <w:color w:val="auto"/>
                <w:sz w:val="24"/>
              </w:rPr>
              <w:t>文对龙眼井污水处理厂的环境影响报告予以批复。</w:t>
            </w:r>
          </w:p>
          <w:p w14:paraId="72995198">
            <w:pPr>
              <w:spacing w:line="360" w:lineRule="auto"/>
              <w:ind w:firstLine="480" w:firstLineChars="200"/>
              <w:rPr>
                <w:rFonts w:hint="default" w:ascii="Times New Roman" w:hAnsi="Times New Roman" w:cs="Times New Roman"/>
                <w:b w:val="0"/>
                <w:bCs/>
                <w:color w:val="auto"/>
                <w:sz w:val="24"/>
                <w:szCs w:val="24"/>
              </w:rPr>
            </w:pPr>
            <w:r>
              <w:rPr>
                <w:rFonts w:hint="eastAsia" w:cs="Times New Roman"/>
                <w:b w:val="0"/>
                <w:bCs/>
                <w:color w:val="auto"/>
                <w:sz w:val="24"/>
                <w:szCs w:val="24"/>
                <w:lang w:val="en-US" w:eastAsia="zh-CN"/>
              </w:rPr>
              <w:t>因此</w:t>
            </w:r>
            <w:r>
              <w:rPr>
                <w:rFonts w:hint="default" w:ascii="Times New Roman" w:hAnsi="Times New Roman" w:cs="Times New Roman"/>
                <w:b w:val="0"/>
                <w:bCs/>
                <w:color w:val="auto"/>
                <w:sz w:val="24"/>
                <w:szCs w:val="24"/>
              </w:rPr>
              <w:t>，项目的建设与琼江翘嘴红鲌省级水产种植资源保护区相容。</w:t>
            </w:r>
          </w:p>
          <w:p w14:paraId="65A2837E">
            <w:pPr>
              <w:spacing w:line="360" w:lineRule="auto"/>
              <w:ind w:firstLine="482" w:firstLineChars="200"/>
              <w:rPr>
                <w:rFonts w:hint="default" w:ascii="Times New Roman" w:hAnsi="Times New Roman" w:cs="Times New Roman"/>
                <w:b/>
                <w:bCs/>
                <w:color w:val="auto"/>
                <w:sz w:val="24"/>
                <w:szCs w:val="24"/>
                <w:lang w:val="en-US" w:eastAsia="zh-CN"/>
              </w:rPr>
            </w:pPr>
            <w:r>
              <w:rPr>
                <w:rFonts w:hint="eastAsia" w:cs="Times New Roman"/>
                <w:b/>
                <w:bCs/>
                <w:color w:val="auto"/>
                <w:sz w:val="24"/>
                <w:szCs w:val="24"/>
                <w:lang w:val="en-US" w:eastAsia="zh-CN"/>
              </w:rPr>
              <w:t>（4）</w:t>
            </w:r>
            <w:r>
              <w:rPr>
                <w:rFonts w:hint="default" w:ascii="Times New Roman" w:hAnsi="Times New Roman" w:cs="Times New Roman"/>
                <w:b/>
                <w:bCs/>
                <w:color w:val="auto"/>
                <w:sz w:val="24"/>
                <w:szCs w:val="24"/>
                <w:lang w:val="en-US" w:eastAsia="zh-CN"/>
              </w:rPr>
              <w:t>本项目三线一单情况分析</w:t>
            </w:r>
          </w:p>
          <w:p w14:paraId="726C8479">
            <w:pPr>
              <w:spacing w:line="360" w:lineRule="auto"/>
              <w:ind w:firstLine="480" w:firstLineChars="200"/>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（1）与生态保护红线符合性分析</w:t>
            </w:r>
            <w:r>
              <w:rPr>
                <w:rFonts w:hint="eastAsia" w:cs="Times New Roman"/>
                <w:b w:val="0"/>
                <w:bCs w:val="0"/>
                <w:color w:val="auto"/>
                <w:sz w:val="24"/>
                <w:szCs w:val="24"/>
                <w:lang w:val="en-US" w:eastAsia="zh-CN"/>
              </w:rPr>
              <w:t>，</w:t>
            </w:r>
            <w:r>
              <w:rPr>
                <w:rFonts w:hint="default" w:ascii="Times New Roman" w:hAnsi="Times New Roman" w:cs="Times New Roman"/>
                <w:b w:val="0"/>
                <w:bCs w:val="0"/>
                <w:color w:val="auto"/>
                <w:sz w:val="24"/>
                <w:szCs w:val="24"/>
                <w:lang w:val="en-US" w:eastAsia="zh-CN"/>
              </w:rPr>
              <w:t>根据《四川省生态保护红线分布图》，本项目位于遂宁市安居区工业集中发展区汽摩产业园，不在生态红线范围内。</w:t>
            </w:r>
          </w:p>
          <w:p w14:paraId="7B8D3185">
            <w:pPr>
              <w:spacing w:line="360" w:lineRule="auto"/>
              <w:ind w:firstLine="480" w:firstLineChars="200"/>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（2）与“环境质量底线”符合性分析，</w:t>
            </w:r>
            <w:r>
              <w:rPr>
                <w:rFonts w:hint="eastAsia" w:cs="Times New Roman"/>
                <w:b w:val="0"/>
                <w:bCs w:val="0"/>
                <w:color w:val="auto"/>
                <w:sz w:val="24"/>
                <w:szCs w:val="24"/>
                <w:lang w:val="en-US" w:eastAsia="zh-CN"/>
              </w:rPr>
              <w:t>四川省中晟环保科技有限公司于2016年12月1日~12月7日、</w:t>
            </w:r>
            <w:r>
              <w:rPr>
                <w:rFonts w:hint="default" w:ascii="Times New Roman" w:hAnsi="Times New Roman" w:cs="Times New Roman"/>
                <w:b w:val="0"/>
                <w:bCs w:val="0"/>
                <w:color w:val="auto"/>
                <w:sz w:val="24"/>
                <w:szCs w:val="24"/>
                <w:lang w:val="en-US" w:eastAsia="zh-CN"/>
              </w:rPr>
              <w:t>四川衡测监测股份有限公司于2018年 3月 20日~3月 21日</w:t>
            </w:r>
            <w:r>
              <w:rPr>
                <w:rFonts w:hint="eastAsia" w:cs="Times New Roman"/>
                <w:b w:val="0"/>
                <w:bCs w:val="0"/>
                <w:color w:val="auto"/>
                <w:sz w:val="24"/>
                <w:szCs w:val="24"/>
                <w:lang w:val="en-US" w:eastAsia="zh-CN"/>
              </w:rPr>
              <w:t>和2018年 6月6日~6月 7日</w:t>
            </w:r>
            <w:r>
              <w:rPr>
                <w:rFonts w:hint="default" w:ascii="Times New Roman" w:hAnsi="Times New Roman" w:cs="Times New Roman"/>
                <w:b w:val="0"/>
                <w:bCs w:val="0"/>
                <w:color w:val="auto"/>
                <w:sz w:val="24"/>
                <w:szCs w:val="24"/>
                <w:lang w:val="en-US" w:eastAsia="zh-CN"/>
              </w:rPr>
              <w:t>对项目所在地区进行的环境质量现状监测结果表明，项目区环境质量较好，不存在环境质量恶化的情况。</w:t>
            </w:r>
          </w:p>
          <w:p w14:paraId="6BD5F27D">
            <w:pPr>
              <w:spacing w:line="360" w:lineRule="auto"/>
              <w:ind w:firstLine="480" w:firstLineChars="200"/>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（3）与“资源利用上线”符合性分析</w:t>
            </w:r>
            <w:r>
              <w:rPr>
                <w:rFonts w:hint="eastAsia" w:cs="Times New Roman"/>
                <w:b w:val="0"/>
                <w:bCs w:val="0"/>
                <w:color w:val="auto"/>
                <w:sz w:val="24"/>
                <w:szCs w:val="24"/>
                <w:lang w:val="en-US" w:eastAsia="zh-CN"/>
              </w:rPr>
              <w:t>，</w:t>
            </w:r>
            <w:r>
              <w:rPr>
                <w:rFonts w:hint="default" w:ascii="Times New Roman" w:hAnsi="Times New Roman" w:cs="Times New Roman"/>
                <w:b w:val="0"/>
                <w:bCs w:val="0"/>
                <w:color w:val="auto"/>
                <w:sz w:val="24"/>
                <w:szCs w:val="24"/>
                <w:lang w:val="en-US" w:eastAsia="zh-CN"/>
              </w:rPr>
              <w:t>本项目属于汽车零部件及配件制造，所用土地为工业用地，由于项目生产用地属租用，因此未有新征用地。施工期涉及的水、电、原材料等材料均取自当地，不存在项目区资源过度使用的情况。</w:t>
            </w:r>
          </w:p>
          <w:p w14:paraId="53D5EB50">
            <w:pPr>
              <w:spacing w:line="360" w:lineRule="auto"/>
              <w:ind w:firstLine="480" w:firstLineChars="200"/>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（4）环境准入负面清单</w:t>
            </w:r>
            <w:r>
              <w:rPr>
                <w:rFonts w:hint="eastAsia" w:cs="Times New Roman"/>
                <w:b w:val="0"/>
                <w:bCs w:val="0"/>
                <w:color w:val="auto"/>
                <w:sz w:val="24"/>
                <w:szCs w:val="24"/>
                <w:lang w:val="en-US" w:eastAsia="zh-CN"/>
              </w:rPr>
              <w:t>，</w:t>
            </w:r>
            <w:r>
              <w:rPr>
                <w:rFonts w:hint="default" w:ascii="Times New Roman" w:hAnsi="Times New Roman" w:cs="Times New Roman"/>
                <w:b w:val="0"/>
                <w:bCs w:val="0"/>
                <w:color w:val="auto"/>
                <w:sz w:val="24"/>
                <w:szCs w:val="24"/>
                <w:lang w:val="en-US" w:eastAsia="zh-CN"/>
              </w:rPr>
              <w:t>本项目属于C3670 汽车零部件及配件制造，项目</w:t>
            </w:r>
            <w:r>
              <w:rPr>
                <w:rFonts w:hint="eastAsia" w:cs="Times New Roman"/>
                <w:b w:val="0"/>
                <w:bCs w:val="0"/>
                <w:color w:val="auto"/>
                <w:sz w:val="24"/>
                <w:szCs w:val="24"/>
                <w:lang w:val="en-US" w:eastAsia="zh-CN"/>
              </w:rPr>
              <w:t>不</w:t>
            </w:r>
            <w:r>
              <w:rPr>
                <w:rFonts w:hint="default" w:ascii="Times New Roman" w:hAnsi="Times New Roman" w:cs="Times New Roman"/>
                <w:b w:val="0"/>
                <w:bCs w:val="0"/>
                <w:color w:val="auto"/>
                <w:sz w:val="24"/>
                <w:szCs w:val="24"/>
                <w:lang w:val="en-US" w:eastAsia="zh-CN"/>
              </w:rPr>
              <w:t>属于《产业结构调整目录（2011年本）</w:t>
            </w:r>
            <w:r>
              <w:rPr>
                <w:rFonts w:hint="eastAsia" w:cs="Times New Roman"/>
                <w:b w:val="0"/>
                <w:bCs w:val="0"/>
                <w:color w:val="auto"/>
                <w:sz w:val="24"/>
                <w:szCs w:val="24"/>
                <w:lang w:val="en-US" w:eastAsia="zh-CN"/>
              </w:rPr>
              <w:t>2013</w:t>
            </w:r>
            <w:r>
              <w:rPr>
                <w:rFonts w:hint="default" w:ascii="Times New Roman" w:hAnsi="Times New Roman" w:cs="Times New Roman"/>
                <w:b w:val="0"/>
                <w:bCs w:val="0"/>
                <w:color w:val="auto"/>
                <w:sz w:val="24"/>
                <w:szCs w:val="24"/>
                <w:lang w:val="en-US" w:eastAsia="zh-CN"/>
              </w:rPr>
              <w:t>修正</w:t>
            </w:r>
            <w:r>
              <w:rPr>
                <w:rFonts w:hint="eastAsia" w:cs="Times New Roman"/>
                <w:b w:val="0"/>
                <w:bCs w:val="0"/>
                <w:color w:val="auto"/>
                <w:sz w:val="24"/>
                <w:szCs w:val="24"/>
                <w:lang w:val="en-US" w:eastAsia="zh-CN"/>
              </w:rPr>
              <w:t>本</w:t>
            </w:r>
            <w:r>
              <w:rPr>
                <w:rFonts w:hint="default" w:ascii="Times New Roman" w:hAnsi="Times New Roman" w:cs="Times New Roman"/>
                <w:b w:val="0"/>
                <w:bCs w:val="0"/>
                <w:color w:val="auto"/>
                <w:sz w:val="24"/>
                <w:szCs w:val="24"/>
                <w:lang w:val="en-US" w:eastAsia="zh-CN"/>
              </w:rPr>
              <w:t>》中的鼓励类、限制类和淘汰类，</w:t>
            </w:r>
            <w:r>
              <w:rPr>
                <w:rFonts w:hint="eastAsia" w:cs="Times New Roman"/>
                <w:b w:val="0"/>
                <w:bCs w:val="0"/>
                <w:color w:val="auto"/>
                <w:sz w:val="24"/>
                <w:szCs w:val="24"/>
                <w:lang w:val="en-US" w:eastAsia="zh-CN"/>
              </w:rPr>
              <w:t>属于允许类。</w:t>
            </w:r>
            <w:r>
              <w:rPr>
                <w:rFonts w:hint="default" w:ascii="Times New Roman" w:hAnsi="Times New Roman" w:cs="Times New Roman"/>
                <w:b w:val="0"/>
                <w:bCs w:val="0"/>
                <w:color w:val="auto"/>
                <w:sz w:val="24"/>
                <w:szCs w:val="24"/>
                <w:lang w:val="en-US" w:eastAsia="zh-CN"/>
              </w:rPr>
              <w:t>该行业不属于当地环境准入负面清单行业内容。</w:t>
            </w:r>
          </w:p>
          <w:p w14:paraId="64FE95C1">
            <w:pPr>
              <w:spacing w:line="360" w:lineRule="auto"/>
              <w:ind w:firstLine="482" w:firstLineChars="200"/>
              <w:rPr>
                <w:rFonts w:hint="default" w:ascii="Times New Roman" w:hAnsi="Times New Roman" w:cs="Times New Roman"/>
                <w:b/>
                <w:bCs/>
                <w:color w:val="auto"/>
                <w:sz w:val="24"/>
                <w:szCs w:val="24"/>
                <w:lang w:val="en-US" w:eastAsia="zh-CN"/>
              </w:rPr>
            </w:pPr>
            <w:r>
              <w:rPr>
                <w:rFonts w:hint="eastAsia" w:cs="Times New Roman"/>
                <w:b/>
                <w:bCs/>
                <w:color w:val="auto"/>
                <w:sz w:val="24"/>
                <w:szCs w:val="24"/>
                <w:lang w:val="en-US" w:eastAsia="zh-CN"/>
              </w:rPr>
              <w:t>（5）</w:t>
            </w:r>
            <w:r>
              <w:rPr>
                <w:rFonts w:hint="default" w:ascii="Times New Roman" w:hAnsi="Times New Roman" w:cs="Times New Roman"/>
                <w:b/>
                <w:bCs/>
                <w:color w:val="auto"/>
                <w:sz w:val="24"/>
                <w:szCs w:val="24"/>
                <w:lang w:val="en-US" w:eastAsia="zh-CN"/>
              </w:rPr>
              <w:t>与《中华人民共和国大气污染防治法》符合性</w:t>
            </w:r>
          </w:p>
          <w:p w14:paraId="115F6F0C">
            <w:pPr>
              <w:spacing w:line="360" w:lineRule="auto"/>
              <w:ind w:firstLine="480" w:firstLineChars="200"/>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根据《中华人民共和国大气污染防治法》“第四章 大气污染防治措施/第二节工业污染防治”的相关要求，本项目大气污染防治符合性分析见表1-</w:t>
            </w:r>
            <w:r>
              <w:rPr>
                <w:rFonts w:hint="eastAsia" w:cs="Times New Roman"/>
                <w:b w:val="0"/>
                <w:bCs w:val="0"/>
                <w:color w:val="auto"/>
                <w:sz w:val="24"/>
                <w:szCs w:val="24"/>
                <w:lang w:val="en-US" w:eastAsia="zh-CN"/>
              </w:rPr>
              <w:t>2</w:t>
            </w:r>
            <w:r>
              <w:rPr>
                <w:rFonts w:hint="default" w:ascii="Times New Roman" w:hAnsi="Times New Roman" w:cs="Times New Roman"/>
                <w:b w:val="0"/>
                <w:bCs w:val="0"/>
                <w:color w:val="auto"/>
                <w:sz w:val="24"/>
                <w:szCs w:val="24"/>
                <w:lang w:val="en-US" w:eastAsia="zh-CN"/>
              </w:rPr>
              <w:t>。</w:t>
            </w:r>
          </w:p>
          <w:p w14:paraId="0A54E4C1">
            <w:pPr>
              <w:spacing w:line="360" w:lineRule="auto"/>
              <w:jc w:val="center"/>
              <w:rPr>
                <w:rFonts w:hint="default" w:ascii="Times New Roman" w:hAnsi="Times New Roman" w:cs="Times New Roman" w:eastAsiaTheme="minorEastAsia"/>
                <w:b/>
                <w:bCs/>
                <w:color w:val="auto"/>
                <w:szCs w:val="21"/>
                <w:lang w:val="en-US" w:eastAsia="zh-CN"/>
              </w:rPr>
            </w:pPr>
            <w:r>
              <w:rPr>
                <w:rFonts w:hint="default" w:ascii="Times New Roman" w:hAnsi="Times New Roman" w:cs="Times New Roman" w:eastAsiaTheme="minorEastAsia"/>
                <w:b/>
                <w:bCs/>
                <w:color w:val="auto"/>
                <w:szCs w:val="21"/>
                <w:lang w:val="en-US" w:eastAsia="zh-CN"/>
              </w:rPr>
              <w:t>表 1-</w:t>
            </w:r>
            <w:r>
              <w:rPr>
                <w:rFonts w:hint="eastAsia" w:ascii="Times New Roman" w:hAnsi="Times New Roman" w:cs="Times New Roman" w:eastAsiaTheme="minorEastAsia"/>
                <w:b/>
                <w:bCs/>
                <w:color w:val="auto"/>
                <w:szCs w:val="21"/>
                <w:lang w:val="en-US" w:eastAsia="zh-CN"/>
              </w:rPr>
              <w:t>2</w:t>
            </w:r>
            <w:r>
              <w:rPr>
                <w:rFonts w:hint="default" w:ascii="Times New Roman" w:hAnsi="Times New Roman" w:cs="Times New Roman" w:eastAsiaTheme="minorEastAsia"/>
                <w:b/>
                <w:bCs/>
                <w:color w:val="auto"/>
                <w:szCs w:val="21"/>
                <w:lang w:val="en-US" w:eastAsia="zh-CN"/>
              </w:rPr>
              <w:tab/>
            </w:r>
            <w:r>
              <w:rPr>
                <w:rFonts w:hint="default" w:ascii="Times New Roman" w:hAnsi="Times New Roman" w:cs="Times New Roman" w:eastAsiaTheme="minorEastAsia"/>
                <w:b/>
                <w:bCs/>
                <w:color w:val="auto"/>
                <w:szCs w:val="21"/>
                <w:lang w:val="en-US" w:eastAsia="zh-CN"/>
              </w:rPr>
              <w:t>项目与《中华人民共和国大气污染防治法》符合性</w:t>
            </w:r>
          </w:p>
          <w:tbl>
            <w:tblPr>
              <w:tblStyle w:val="23"/>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718"/>
              <w:gridCol w:w="3098"/>
              <w:gridCol w:w="1255"/>
            </w:tblGrid>
            <w:tr w14:paraId="0C02D0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1" w:hRule="atLeast"/>
                <w:jc w:val="center"/>
              </w:trPr>
              <w:tc>
                <w:tcPr>
                  <w:tcW w:w="4718" w:type="dxa"/>
                  <w:tcBorders>
                    <w:top w:val="single" w:color="auto" w:sz="4" w:space="0"/>
                    <w:left w:val="single" w:color="auto" w:sz="4" w:space="0"/>
                    <w:bottom w:val="single" w:color="auto" w:sz="4" w:space="0"/>
                    <w:right w:val="single" w:color="auto" w:sz="4" w:space="0"/>
                  </w:tcBorders>
                  <w:vAlign w:val="center"/>
                </w:tcPr>
                <w:p w14:paraId="06D682DF">
                  <w:pPr>
                    <w:spacing w:line="360" w:lineRule="auto"/>
                    <w:jc w:val="center"/>
                    <w:rPr>
                      <w:rFonts w:hint="default" w:ascii="Times New Roman" w:hAnsi="Times New Roman" w:cs="Times New Roman"/>
                      <w:b/>
                      <w:bCs/>
                      <w:color w:val="auto"/>
                      <w:sz w:val="21"/>
                      <w:szCs w:val="21"/>
                      <w:lang w:val="en-US" w:eastAsia="zh-CN"/>
                    </w:rPr>
                  </w:pPr>
                  <w:r>
                    <w:rPr>
                      <w:rFonts w:hint="default" w:ascii="Times New Roman" w:hAnsi="Times New Roman" w:cs="Times New Roman"/>
                      <w:b/>
                      <w:bCs/>
                      <w:color w:val="auto"/>
                      <w:sz w:val="21"/>
                      <w:szCs w:val="21"/>
                      <w:lang w:val="en-US" w:eastAsia="zh-CN"/>
                    </w:rPr>
                    <w:t>《中华人民共和国大气污染防治法》相关要求</w:t>
                  </w:r>
                </w:p>
              </w:tc>
              <w:tc>
                <w:tcPr>
                  <w:tcW w:w="3098" w:type="dxa"/>
                  <w:tcBorders>
                    <w:top w:val="single" w:color="auto" w:sz="4" w:space="0"/>
                    <w:left w:val="single" w:color="auto" w:sz="4" w:space="0"/>
                    <w:bottom w:val="single" w:color="auto" w:sz="4" w:space="0"/>
                    <w:right w:val="single" w:color="auto" w:sz="4" w:space="0"/>
                  </w:tcBorders>
                  <w:vAlign w:val="center"/>
                </w:tcPr>
                <w:p w14:paraId="1E9583E3">
                  <w:pPr>
                    <w:spacing w:line="360" w:lineRule="auto"/>
                    <w:jc w:val="center"/>
                    <w:rPr>
                      <w:rFonts w:hint="default" w:ascii="Times New Roman" w:hAnsi="Times New Roman" w:cs="Times New Roman"/>
                      <w:b/>
                      <w:bCs/>
                      <w:color w:val="auto"/>
                      <w:sz w:val="21"/>
                      <w:szCs w:val="21"/>
                      <w:lang w:val="en-US" w:eastAsia="zh-CN"/>
                    </w:rPr>
                  </w:pPr>
                  <w:r>
                    <w:rPr>
                      <w:rFonts w:hint="default" w:ascii="Times New Roman" w:hAnsi="Times New Roman" w:cs="Times New Roman"/>
                      <w:b/>
                      <w:bCs/>
                      <w:color w:val="auto"/>
                      <w:sz w:val="21"/>
                      <w:szCs w:val="21"/>
                      <w:lang w:val="en-US" w:eastAsia="zh-CN"/>
                    </w:rPr>
                    <w:t>本项目采取的措施</w:t>
                  </w:r>
                </w:p>
              </w:tc>
              <w:tc>
                <w:tcPr>
                  <w:tcW w:w="1255" w:type="dxa"/>
                  <w:tcBorders>
                    <w:top w:val="single" w:color="auto" w:sz="4" w:space="0"/>
                    <w:left w:val="single" w:color="auto" w:sz="4" w:space="0"/>
                    <w:bottom w:val="single" w:color="auto" w:sz="4" w:space="0"/>
                    <w:right w:val="single" w:color="auto" w:sz="4" w:space="0"/>
                  </w:tcBorders>
                  <w:vAlign w:val="center"/>
                </w:tcPr>
                <w:p w14:paraId="707B58AC">
                  <w:pPr>
                    <w:spacing w:line="360" w:lineRule="auto"/>
                    <w:jc w:val="center"/>
                    <w:rPr>
                      <w:rFonts w:hint="default" w:ascii="Times New Roman" w:hAnsi="Times New Roman" w:cs="Times New Roman"/>
                      <w:b w:val="0"/>
                      <w:bCs w:val="0"/>
                      <w:color w:val="auto"/>
                      <w:sz w:val="18"/>
                      <w:szCs w:val="18"/>
                      <w:lang w:val="en-US" w:eastAsia="zh-CN"/>
                    </w:rPr>
                  </w:pPr>
                  <w:r>
                    <w:rPr>
                      <w:rFonts w:hint="default" w:ascii="Times New Roman" w:hAnsi="Times New Roman" w:cs="Times New Roman"/>
                      <w:b/>
                      <w:bCs/>
                      <w:color w:val="auto"/>
                      <w:sz w:val="21"/>
                      <w:szCs w:val="21"/>
                      <w:lang w:val="en-US" w:eastAsia="zh-CN"/>
                    </w:rPr>
                    <w:t>符合性</w:t>
                  </w:r>
                </w:p>
              </w:tc>
            </w:tr>
            <w:tr w14:paraId="7923EF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007" w:hRule="atLeast"/>
                <w:jc w:val="center"/>
              </w:trPr>
              <w:tc>
                <w:tcPr>
                  <w:tcW w:w="4718" w:type="dxa"/>
                  <w:tcBorders>
                    <w:top w:val="single" w:color="auto" w:sz="4" w:space="0"/>
                    <w:left w:val="single" w:color="auto" w:sz="4" w:space="0"/>
                    <w:bottom w:val="single" w:color="auto" w:sz="4" w:space="0"/>
                    <w:right w:val="single" w:color="auto" w:sz="4" w:space="0"/>
                  </w:tcBorders>
                  <w:vAlign w:val="center"/>
                </w:tcPr>
                <w:p w14:paraId="07AA208B">
                  <w:pPr>
                    <w:spacing w:line="360" w:lineRule="auto"/>
                    <w:rPr>
                      <w:rFonts w:hint="default" w:ascii="Times New Roman" w:hAnsi="Times New Roman" w:cs="Times New Roman"/>
                      <w:b w:val="0"/>
                      <w:bCs w:val="0"/>
                      <w:color w:val="auto"/>
                      <w:sz w:val="21"/>
                      <w:szCs w:val="21"/>
                      <w:lang w:val="en-US" w:eastAsia="zh-CN"/>
                    </w:rPr>
                  </w:pPr>
                  <w:r>
                    <w:rPr>
                      <w:rFonts w:hint="default" w:ascii="Times New Roman" w:hAnsi="Times New Roman" w:cs="Times New Roman"/>
                      <w:b w:val="0"/>
                      <w:bCs w:val="0"/>
                      <w:color w:val="auto"/>
                      <w:sz w:val="21"/>
                      <w:szCs w:val="21"/>
                      <w:lang w:val="en-US" w:eastAsia="zh-CN"/>
                    </w:rPr>
                    <w:t>生产、进口、销售和使用含挥发性有机物的原材料和产品的，其挥发有机物含量应当符合质量标准或要求。</w:t>
                  </w:r>
                </w:p>
              </w:tc>
              <w:tc>
                <w:tcPr>
                  <w:tcW w:w="3098" w:type="dxa"/>
                  <w:tcBorders>
                    <w:top w:val="single" w:color="auto" w:sz="4" w:space="0"/>
                    <w:left w:val="single" w:color="auto" w:sz="4" w:space="0"/>
                    <w:bottom w:val="single" w:color="auto" w:sz="4" w:space="0"/>
                    <w:right w:val="single" w:color="auto" w:sz="4" w:space="0"/>
                  </w:tcBorders>
                  <w:vAlign w:val="center"/>
                </w:tcPr>
                <w:p w14:paraId="6657A91E">
                  <w:pPr>
                    <w:spacing w:line="360" w:lineRule="auto"/>
                    <w:rPr>
                      <w:rFonts w:hint="default" w:ascii="Times New Roman" w:hAnsi="Times New Roman" w:cs="Times New Roman"/>
                      <w:b w:val="0"/>
                      <w:bCs w:val="0"/>
                      <w:color w:val="auto"/>
                      <w:sz w:val="21"/>
                      <w:szCs w:val="21"/>
                      <w:lang w:val="en-US" w:eastAsia="zh-CN"/>
                    </w:rPr>
                  </w:pPr>
                  <w:r>
                    <w:rPr>
                      <w:rFonts w:hint="default" w:ascii="Times New Roman" w:hAnsi="Times New Roman" w:cs="Times New Roman"/>
                      <w:b w:val="0"/>
                      <w:bCs w:val="0"/>
                      <w:color w:val="auto"/>
                      <w:sz w:val="21"/>
                      <w:szCs w:val="21"/>
                      <w:lang w:val="en-US" w:eastAsia="zh-CN"/>
                    </w:rPr>
                    <w:t>生产中使用的</w:t>
                  </w:r>
                  <w:r>
                    <w:rPr>
                      <w:rFonts w:hint="eastAsia" w:cs="Times New Roman"/>
                      <w:b w:val="0"/>
                      <w:bCs w:val="0"/>
                      <w:color w:val="auto"/>
                      <w:sz w:val="21"/>
                      <w:szCs w:val="21"/>
                      <w:lang w:val="en-US" w:eastAsia="zh-CN"/>
                    </w:rPr>
                    <w:t>PU注胶A料和B料</w:t>
                  </w:r>
                  <w:r>
                    <w:rPr>
                      <w:rFonts w:hint="default" w:ascii="Times New Roman" w:hAnsi="Times New Roman" w:cs="Times New Roman"/>
                      <w:b w:val="0"/>
                      <w:bCs w:val="0"/>
                      <w:color w:val="auto"/>
                      <w:sz w:val="21"/>
                      <w:szCs w:val="21"/>
                      <w:lang w:val="en-US" w:eastAsia="zh-CN"/>
                    </w:rPr>
                    <w:t>挥发有机物含量均符合质量标准或要求。</w:t>
                  </w:r>
                </w:p>
              </w:tc>
              <w:tc>
                <w:tcPr>
                  <w:tcW w:w="1255" w:type="dxa"/>
                  <w:tcBorders>
                    <w:top w:val="single" w:color="auto" w:sz="4" w:space="0"/>
                    <w:left w:val="single" w:color="auto" w:sz="4" w:space="0"/>
                    <w:bottom w:val="single" w:color="auto" w:sz="4" w:space="0"/>
                    <w:right w:val="single" w:color="auto" w:sz="4" w:space="0"/>
                  </w:tcBorders>
                  <w:vAlign w:val="center"/>
                </w:tcPr>
                <w:p w14:paraId="5313AB4B">
                  <w:pPr>
                    <w:spacing w:line="360" w:lineRule="auto"/>
                    <w:jc w:val="center"/>
                    <w:rPr>
                      <w:rFonts w:hint="default" w:ascii="Times New Roman" w:hAnsi="Times New Roman" w:cs="Times New Roman"/>
                      <w:b w:val="0"/>
                      <w:bCs w:val="0"/>
                      <w:color w:val="auto"/>
                      <w:sz w:val="21"/>
                      <w:szCs w:val="21"/>
                      <w:lang w:val="en-US" w:eastAsia="zh-CN"/>
                    </w:rPr>
                  </w:pPr>
                  <w:r>
                    <w:rPr>
                      <w:rFonts w:hint="default" w:ascii="Times New Roman" w:hAnsi="Times New Roman" w:cs="Times New Roman"/>
                      <w:b w:val="0"/>
                      <w:bCs w:val="0"/>
                      <w:color w:val="auto"/>
                      <w:sz w:val="21"/>
                      <w:szCs w:val="21"/>
                      <w:lang w:val="en-US" w:eastAsia="zh-CN"/>
                    </w:rPr>
                    <w:t>符合</w:t>
                  </w:r>
                </w:p>
              </w:tc>
            </w:tr>
            <w:tr w14:paraId="314351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01" w:hRule="atLeast"/>
                <w:jc w:val="center"/>
              </w:trPr>
              <w:tc>
                <w:tcPr>
                  <w:tcW w:w="4718" w:type="dxa"/>
                  <w:tcBorders>
                    <w:top w:val="single" w:color="auto" w:sz="4" w:space="0"/>
                    <w:left w:val="single" w:color="auto" w:sz="4" w:space="0"/>
                    <w:bottom w:val="single" w:color="auto" w:sz="4" w:space="0"/>
                    <w:right w:val="single" w:color="auto" w:sz="4" w:space="0"/>
                  </w:tcBorders>
                  <w:vAlign w:val="center"/>
                </w:tcPr>
                <w:p w14:paraId="3EDE371A">
                  <w:pPr>
                    <w:spacing w:line="360" w:lineRule="auto"/>
                    <w:rPr>
                      <w:rFonts w:hint="default" w:ascii="Times New Roman" w:hAnsi="Times New Roman" w:cs="Times New Roman"/>
                      <w:b w:val="0"/>
                      <w:bCs w:val="0"/>
                      <w:color w:val="auto"/>
                      <w:sz w:val="21"/>
                      <w:szCs w:val="21"/>
                      <w:lang w:val="en-US" w:eastAsia="zh-CN"/>
                    </w:rPr>
                  </w:pPr>
                  <w:r>
                    <w:rPr>
                      <w:rFonts w:hint="default" w:ascii="Times New Roman" w:hAnsi="Times New Roman" w:cs="Times New Roman"/>
                      <w:b w:val="0"/>
                      <w:bCs w:val="0"/>
                      <w:color w:val="auto"/>
                      <w:sz w:val="21"/>
                      <w:szCs w:val="21"/>
                      <w:lang w:val="en-US" w:eastAsia="zh-CN"/>
                    </w:rPr>
                    <w:t>产生含挥发性有机物废气的生产和服务活动，应当在密闭空间或者设备中进行，并按照规定安装、使用污染防治设施；无法密闭的，应采取措施减少废气排放。</w:t>
                  </w:r>
                </w:p>
              </w:tc>
              <w:tc>
                <w:tcPr>
                  <w:tcW w:w="3098" w:type="dxa"/>
                  <w:tcBorders>
                    <w:top w:val="single" w:color="auto" w:sz="4" w:space="0"/>
                    <w:left w:val="single" w:color="auto" w:sz="4" w:space="0"/>
                    <w:bottom w:val="single" w:color="auto" w:sz="4" w:space="0"/>
                    <w:right w:val="single" w:color="auto" w:sz="4" w:space="0"/>
                  </w:tcBorders>
                  <w:vAlign w:val="center"/>
                </w:tcPr>
                <w:p w14:paraId="3B692A00">
                  <w:pPr>
                    <w:spacing w:line="360" w:lineRule="auto"/>
                    <w:rPr>
                      <w:rFonts w:hint="default" w:ascii="Times New Roman" w:hAnsi="Times New Roman" w:cs="Times New Roman"/>
                      <w:b w:val="0"/>
                      <w:bCs w:val="0"/>
                      <w:color w:val="auto"/>
                      <w:sz w:val="21"/>
                      <w:szCs w:val="21"/>
                      <w:lang w:val="en-US" w:eastAsia="zh-CN"/>
                    </w:rPr>
                  </w:pPr>
                  <w:r>
                    <w:rPr>
                      <w:rFonts w:hint="eastAsia" w:cs="Times New Roman"/>
                      <w:b w:val="0"/>
                      <w:bCs w:val="0"/>
                      <w:color w:val="auto"/>
                      <w:sz w:val="21"/>
                      <w:szCs w:val="21"/>
                      <w:lang w:val="en-US" w:eastAsia="zh-CN"/>
                    </w:rPr>
                    <w:t>注胶、注塑和吹塑</w:t>
                  </w:r>
                  <w:r>
                    <w:rPr>
                      <w:rFonts w:hint="default" w:ascii="Times New Roman" w:hAnsi="Times New Roman" w:cs="Times New Roman"/>
                      <w:b w:val="0"/>
                      <w:bCs w:val="0"/>
                      <w:color w:val="auto"/>
                      <w:sz w:val="21"/>
                      <w:szCs w:val="21"/>
                      <w:lang w:val="en-US" w:eastAsia="zh-CN"/>
                    </w:rPr>
                    <w:t>设备设置的较为密闭的洁净厂房内，并采用废气收集措施+</w:t>
                  </w:r>
                  <w:r>
                    <w:rPr>
                      <w:rFonts w:hint="eastAsia" w:cs="Times New Roman"/>
                      <w:b w:val="0"/>
                      <w:bCs w:val="0"/>
                      <w:color w:val="auto"/>
                      <w:sz w:val="21"/>
                      <w:szCs w:val="21"/>
                      <w:lang w:val="en-US" w:eastAsia="zh-CN"/>
                    </w:rPr>
                    <w:t>UV催化设备+</w:t>
                  </w:r>
                  <w:r>
                    <w:rPr>
                      <w:rFonts w:hint="default" w:ascii="Times New Roman" w:hAnsi="Times New Roman" w:cs="Times New Roman"/>
                      <w:b w:val="0"/>
                      <w:bCs w:val="0"/>
                      <w:color w:val="auto"/>
                      <w:sz w:val="21"/>
                      <w:szCs w:val="21"/>
                      <w:lang w:val="en-US" w:eastAsia="zh-CN"/>
                    </w:rPr>
                    <w:t>活性炭吸附装置，以减少废气排放。</w:t>
                  </w:r>
                </w:p>
              </w:tc>
              <w:tc>
                <w:tcPr>
                  <w:tcW w:w="1255" w:type="dxa"/>
                  <w:tcBorders>
                    <w:top w:val="single" w:color="auto" w:sz="4" w:space="0"/>
                    <w:left w:val="single" w:color="auto" w:sz="4" w:space="0"/>
                    <w:bottom w:val="single" w:color="auto" w:sz="4" w:space="0"/>
                    <w:right w:val="single" w:color="auto" w:sz="4" w:space="0"/>
                  </w:tcBorders>
                  <w:vAlign w:val="center"/>
                </w:tcPr>
                <w:p w14:paraId="7762A40F">
                  <w:pPr>
                    <w:spacing w:line="360" w:lineRule="auto"/>
                    <w:jc w:val="center"/>
                    <w:rPr>
                      <w:rFonts w:hint="default" w:ascii="Times New Roman" w:hAnsi="Times New Roman" w:cs="Times New Roman"/>
                      <w:b w:val="0"/>
                      <w:bCs w:val="0"/>
                      <w:color w:val="auto"/>
                      <w:sz w:val="21"/>
                      <w:szCs w:val="21"/>
                      <w:lang w:val="en-US" w:eastAsia="zh-CN"/>
                    </w:rPr>
                  </w:pPr>
                  <w:r>
                    <w:rPr>
                      <w:rFonts w:hint="default" w:ascii="Times New Roman" w:hAnsi="Times New Roman" w:cs="Times New Roman"/>
                      <w:b w:val="0"/>
                      <w:bCs w:val="0"/>
                      <w:color w:val="auto"/>
                      <w:sz w:val="21"/>
                      <w:szCs w:val="21"/>
                      <w:lang w:val="en-US" w:eastAsia="zh-CN"/>
                    </w:rPr>
                    <w:t>符合</w:t>
                  </w:r>
                </w:p>
              </w:tc>
            </w:tr>
          </w:tbl>
          <w:p w14:paraId="4FAC43A2">
            <w:pPr>
              <w:spacing w:line="360" w:lineRule="auto"/>
              <w:ind w:firstLine="482" w:firstLineChars="200"/>
              <w:rPr>
                <w:rFonts w:hint="default" w:ascii="Times New Roman" w:hAnsi="Times New Roman" w:cs="Times New Roman"/>
                <w:b/>
                <w:bCs/>
                <w:color w:val="auto"/>
                <w:sz w:val="24"/>
                <w:szCs w:val="24"/>
                <w:lang w:val="en-US" w:eastAsia="zh-CN"/>
              </w:rPr>
            </w:pPr>
            <w:r>
              <w:rPr>
                <w:rFonts w:hint="eastAsia" w:cs="Times New Roman"/>
                <w:b/>
                <w:bCs/>
                <w:color w:val="auto"/>
                <w:sz w:val="24"/>
                <w:szCs w:val="24"/>
                <w:lang w:val="en-US" w:eastAsia="zh-CN"/>
              </w:rPr>
              <w:t>（6）</w:t>
            </w:r>
            <w:r>
              <w:rPr>
                <w:rFonts w:hint="default" w:ascii="Times New Roman" w:hAnsi="Times New Roman" w:cs="Times New Roman"/>
                <w:b/>
                <w:bCs/>
                <w:color w:val="auto"/>
                <w:sz w:val="24"/>
                <w:szCs w:val="24"/>
                <w:lang w:val="en-US" w:eastAsia="zh-CN"/>
              </w:rPr>
              <w:t>与《重点区域大气污染防治“十二五”规划四川省实施方案》（川府函〔2013〕181号）符合性</w:t>
            </w:r>
          </w:p>
          <w:p w14:paraId="6053CC79">
            <w:pPr>
              <w:spacing w:line="360" w:lineRule="auto"/>
              <w:ind w:firstLine="480" w:firstLineChars="200"/>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重点区域大气污染防治“十二五”规划四川省实施方案》要求：“新、改、扩建项目排放挥发性有机物的车间有机废气的收集率应大于90%，安装废气回收/净化装置；排放挥发性有机物的生产工序要在密闭空间或设备中实施，产生的含挥发性有机物废气需进行净化处理，净化效率不低于90%”。本项目</w:t>
            </w:r>
            <w:r>
              <w:rPr>
                <w:rFonts w:hint="eastAsia" w:cs="Times New Roman"/>
                <w:b w:val="0"/>
                <w:bCs w:val="0"/>
                <w:color w:val="auto"/>
                <w:sz w:val="24"/>
                <w:szCs w:val="24"/>
                <w:lang w:val="en-US" w:eastAsia="zh-CN"/>
              </w:rPr>
              <w:t>注塑、吹塑和注胶</w:t>
            </w:r>
            <w:r>
              <w:rPr>
                <w:rFonts w:hint="default" w:ascii="Times New Roman" w:hAnsi="Times New Roman" w:cs="Times New Roman"/>
                <w:b w:val="0"/>
                <w:bCs w:val="0"/>
                <w:color w:val="auto"/>
                <w:sz w:val="24"/>
                <w:szCs w:val="24"/>
                <w:lang w:val="en-US" w:eastAsia="zh-CN"/>
              </w:rPr>
              <w:t>工序上方设置集气罩，采用</w:t>
            </w:r>
            <w:r>
              <w:rPr>
                <w:rFonts w:hint="eastAsia" w:cs="Times New Roman"/>
                <w:b w:val="0"/>
                <w:bCs w:val="0"/>
                <w:color w:val="auto"/>
                <w:sz w:val="24"/>
                <w:szCs w:val="24"/>
                <w:lang w:val="en-US" w:eastAsia="zh-CN"/>
              </w:rPr>
              <w:t>UV光氧催化设备+</w:t>
            </w:r>
            <w:r>
              <w:rPr>
                <w:rFonts w:hint="default" w:ascii="Times New Roman" w:hAnsi="Times New Roman" w:cs="Times New Roman"/>
                <w:b w:val="0"/>
                <w:bCs w:val="0"/>
                <w:color w:val="auto"/>
                <w:sz w:val="24"/>
                <w:szCs w:val="24"/>
                <w:lang w:val="en-US" w:eastAsia="zh-CN"/>
              </w:rPr>
              <w:t>多级阶梯式活性炭吸附处理，其处理效率90%，符合《重点区域大气污染防治“十二五”规划四川省实施方案》（川府函〔2013181号）中有关要求。</w:t>
            </w:r>
          </w:p>
          <w:p w14:paraId="15A06DD9">
            <w:pPr>
              <w:spacing w:line="360" w:lineRule="auto"/>
              <w:ind w:firstLine="482" w:firstLineChars="200"/>
              <w:rPr>
                <w:rFonts w:hint="default" w:ascii="Times New Roman" w:hAnsi="Times New Roman" w:cs="Times New Roman"/>
                <w:b/>
                <w:bCs/>
                <w:color w:val="auto"/>
                <w:sz w:val="24"/>
                <w:szCs w:val="24"/>
                <w:lang w:val="en-US" w:eastAsia="zh-CN"/>
              </w:rPr>
            </w:pPr>
            <w:r>
              <w:rPr>
                <w:rFonts w:hint="eastAsia" w:cs="Times New Roman"/>
                <w:b/>
                <w:bCs/>
                <w:color w:val="auto"/>
                <w:sz w:val="24"/>
                <w:szCs w:val="24"/>
                <w:lang w:val="en-US" w:eastAsia="zh-CN"/>
              </w:rPr>
              <w:t>（7）</w:t>
            </w:r>
            <w:r>
              <w:rPr>
                <w:rFonts w:hint="default" w:ascii="Times New Roman" w:hAnsi="Times New Roman" w:cs="Times New Roman"/>
                <w:b/>
                <w:bCs/>
                <w:color w:val="auto"/>
                <w:sz w:val="24"/>
                <w:szCs w:val="24"/>
                <w:lang w:val="en-US" w:eastAsia="zh-CN"/>
              </w:rPr>
              <w:t>与《挥发性有机物（VOCs）污染防治技术政策》（环境保护部公告2013年第31号）、《四川省人民政府办公厅关于加强灰霾污染防治的通知》（川办发〔2013〕32号）、《四川省灰霾污染防治办法》（四川省人民政府令第288号）符合性。</w:t>
            </w:r>
          </w:p>
          <w:p w14:paraId="7FA62C04">
            <w:pPr>
              <w:spacing w:line="360" w:lineRule="auto"/>
              <w:ind w:firstLine="480" w:firstLineChars="200"/>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①《挥发性有机物（VOCs）污染防治技术政策》（环境保护部公告2013年第31号）要求：“含VOCs产品的使用过程中，应采取废气收集措施，提高废气收集效率，减少废气的无组织排放与逸散，并对收集后的废气进行回收或处理后达标排放…”。本项目注塑、吹塑和注胶工序在设备上方设置集气罩以减少无组织废气排放，收集的有机废气采取用UV光氧催化设备+多级阶梯式活性炭吸附处理，处理效率90%，符合《挥发性有机物（VOCs）污染防治技术政策》（环境保护部公告2013年第31号）中相关要求。</w:t>
            </w:r>
          </w:p>
          <w:p w14:paraId="2950D338">
            <w:pPr>
              <w:spacing w:line="360" w:lineRule="auto"/>
              <w:ind w:firstLine="480" w:firstLineChars="200"/>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②《四川省人民政府办公厅关于加强灰霾污染防治的通知》（川办发〔2013〕32号）指出：“加强重点行业污染治理。...突出抓好脱硫、脱硝、除尘、挥发性有机污染物等治理任务...大力削减挥发性有机物排放。”本项目生产过程中产生的挥发性有机废气均采取措施进行有效削减，符合《四川省人民政府办公厅关于加强灰霾污染防治的通知》（川办发〔2013〕32号）相关要求。</w:t>
            </w:r>
          </w:p>
          <w:p w14:paraId="72CAFDA5">
            <w:pPr>
              <w:spacing w:line="360" w:lineRule="auto"/>
              <w:ind w:firstLine="480" w:firstLineChars="200"/>
              <w:rPr>
                <w:rFonts w:hint="default" w:ascii="Times New Roman" w:hAnsi="Times New Roman" w:cs="Times New Roman"/>
                <w:b/>
                <w:bCs/>
                <w:color w:val="auto"/>
                <w:sz w:val="24"/>
                <w:szCs w:val="24"/>
                <w:lang w:val="en-US" w:eastAsia="zh-CN"/>
              </w:rPr>
            </w:pPr>
            <w:r>
              <w:rPr>
                <w:rFonts w:hint="default" w:ascii="Times New Roman" w:hAnsi="Times New Roman" w:cs="Times New Roman"/>
                <w:b w:val="0"/>
                <w:bCs w:val="0"/>
                <w:color w:val="auto"/>
                <w:sz w:val="24"/>
                <w:szCs w:val="24"/>
                <w:lang w:val="en-US" w:eastAsia="zh-CN"/>
              </w:rPr>
              <w:t>③《四川省灰霾污染防治办法》（四川省人民政府令第288号）要求：“生产、销售、使用含有挥发性有机物的原材料和产品的，其挥发性有机物含量应当符合规定的限值标准；…使用挥发性有机物应当在密闭环境中进行作业，并安装污染治理设备和废气收集系统，保证其正常使用。”本项目使用的</w:t>
            </w:r>
            <w:r>
              <w:rPr>
                <w:rFonts w:hint="eastAsia" w:cs="Times New Roman"/>
                <w:b w:val="0"/>
                <w:bCs w:val="0"/>
                <w:color w:val="auto"/>
                <w:sz w:val="24"/>
                <w:szCs w:val="24"/>
                <w:lang w:val="en-US" w:eastAsia="zh-CN"/>
              </w:rPr>
              <w:t>注胶AB料</w:t>
            </w:r>
            <w:r>
              <w:rPr>
                <w:rFonts w:hint="default" w:ascii="Times New Roman" w:hAnsi="Times New Roman" w:cs="Times New Roman"/>
                <w:b w:val="0"/>
                <w:bCs w:val="0"/>
                <w:color w:val="auto"/>
                <w:sz w:val="24"/>
                <w:szCs w:val="24"/>
                <w:lang w:val="en-US" w:eastAsia="zh-CN"/>
              </w:rPr>
              <w:t>等的挥发有机物含量均符合相应标准，搅拌罐上方设置集气罩进行收集废气，并安装用UV光氧催化设备+活性炭吸附装置，符合《四川省灰霾污染防治实施方案》（四川省人民政府令第288号）相关要求。</w:t>
            </w:r>
          </w:p>
          <w:p w14:paraId="4E9E04DA">
            <w:pPr>
              <w:spacing w:line="360" w:lineRule="auto"/>
              <w:ind w:firstLine="482" w:firstLineChars="200"/>
              <w:rPr>
                <w:rFonts w:hint="default" w:ascii="Times New Roman" w:hAnsi="Times New Roman" w:cs="Times New Roman"/>
                <w:b/>
                <w:bCs/>
                <w:color w:val="auto"/>
                <w:sz w:val="24"/>
                <w:szCs w:val="24"/>
                <w:lang w:val="en-US" w:eastAsia="zh-CN"/>
              </w:rPr>
            </w:pPr>
            <w:r>
              <w:rPr>
                <w:rFonts w:hint="eastAsia" w:cs="Times New Roman"/>
                <w:b/>
                <w:bCs/>
                <w:color w:val="auto"/>
                <w:sz w:val="24"/>
                <w:szCs w:val="24"/>
                <w:lang w:val="en-US" w:eastAsia="zh-CN"/>
              </w:rPr>
              <w:t>（8）</w:t>
            </w:r>
            <w:r>
              <w:rPr>
                <w:rFonts w:hint="default" w:ascii="Times New Roman" w:hAnsi="Times New Roman" w:cs="Times New Roman"/>
                <w:b/>
                <w:bCs/>
                <w:color w:val="auto"/>
                <w:sz w:val="24"/>
                <w:szCs w:val="24"/>
                <w:lang w:val="en-US" w:eastAsia="zh-CN"/>
              </w:rPr>
              <w:t>与《“十三五”挥发性有机物污染防治工作方案》的符合性分析</w:t>
            </w:r>
          </w:p>
          <w:p w14:paraId="17650592">
            <w:pPr>
              <w:spacing w:line="360" w:lineRule="auto"/>
              <w:ind w:firstLine="480" w:firstLineChars="200"/>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2017年9月4日国家环境保护部发布了《“十三五”挥发性有机物污染防治工作方案》其中提到：涉VOCs排放的“散乱污”企业主要为涂料、油墨、合成革、橡胶制品、塑料制品、化纤生产等化工企业，使用溶剂型涂料、油墨、胶粘剂和其他有机溶剂的印刷、家具、钢结构、人造板、注塑等制造加工企业，以及露天喷涂汽车维修作业等。本项目为</w:t>
            </w:r>
            <w:r>
              <w:rPr>
                <w:rFonts w:hint="eastAsia" w:cs="Times New Roman"/>
                <w:b w:val="0"/>
                <w:bCs w:val="0"/>
                <w:color w:val="auto"/>
                <w:sz w:val="24"/>
                <w:szCs w:val="24"/>
                <w:lang w:val="en-US" w:eastAsia="zh-CN"/>
              </w:rPr>
              <w:t>汽车零部件加工</w:t>
            </w:r>
            <w:r>
              <w:rPr>
                <w:rFonts w:hint="default" w:ascii="Times New Roman" w:hAnsi="Times New Roman" w:cs="Times New Roman"/>
                <w:b w:val="0"/>
                <w:bCs w:val="0"/>
                <w:color w:val="auto"/>
                <w:sz w:val="24"/>
                <w:szCs w:val="24"/>
                <w:lang w:val="en-US" w:eastAsia="zh-CN"/>
              </w:rPr>
              <w:t>项目，且为新建项目，生产过程中使用有注胶AB料，本次建设设有有机废气的收集处理装置，评价要求企业严格管理项目废气治理措施，严禁企业“散排”、“乱排”，符合《“十三五”挥发性有机物污染防治工作方案》中加快推进“散乱污”企业综合整治工作。</w:t>
            </w:r>
          </w:p>
          <w:p w14:paraId="5FD8D117">
            <w:pPr>
              <w:spacing w:line="360" w:lineRule="auto"/>
              <w:ind w:firstLine="482" w:firstLineChars="200"/>
              <w:rPr>
                <w:rFonts w:hint="default" w:ascii="Times New Roman" w:hAnsi="Times New Roman" w:cs="Times New Roman"/>
                <w:b/>
                <w:bCs/>
                <w:color w:val="auto"/>
                <w:sz w:val="24"/>
                <w:szCs w:val="24"/>
                <w:lang w:val="en-US" w:eastAsia="zh-CN"/>
              </w:rPr>
            </w:pPr>
            <w:r>
              <w:rPr>
                <w:rFonts w:hint="default" w:ascii="Times New Roman" w:hAnsi="Times New Roman" w:cs="Times New Roman"/>
                <w:b/>
                <w:bCs/>
                <w:color w:val="auto"/>
                <w:sz w:val="24"/>
                <w:szCs w:val="24"/>
                <w:lang w:val="en-US" w:eastAsia="zh-CN"/>
              </w:rPr>
              <w:t>2、选址合理性分析及外环境相容性</w:t>
            </w:r>
          </w:p>
          <w:p w14:paraId="04C8345A">
            <w:pPr>
              <w:spacing w:line="360" w:lineRule="auto"/>
              <w:ind w:firstLine="480" w:firstLineChars="200"/>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本项目位于安居区工业集中发展区汽摩产业园内，园区配套的给水、排水、供电、供气设施完善，且周边交通便利，为项目建设提供了良好的基础条件。</w:t>
            </w:r>
          </w:p>
          <w:p w14:paraId="1A80083D">
            <w:pPr>
              <w:spacing w:line="360" w:lineRule="auto"/>
              <w:ind w:firstLine="480" w:firstLineChars="200"/>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本项目选址于园区的工业用地上，符合用地规划。</w:t>
            </w:r>
          </w:p>
          <w:p w14:paraId="0F78F80D">
            <w:pPr>
              <w:spacing w:line="360" w:lineRule="auto"/>
              <w:ind w:firstLine="480" w:firstLineChars="200"/>
              <w:rPr>
                <w:rFonts w:hint="default" w:ascii="Times New Roman" w:hAnsi="Times New Roman" w:cs="Times New Roman"/>
                <w:b w:val="0"/>
                <w:bCs w:val="0"/>
                <w:color w:val="auto"/>
                <w:sz w:val="24"/>
                <w:szCs w:val="24"/>
                <w:lang w:val="en-US" w:eastAsia="zh-CN"/>
              </w:rPr>
            </w:pPr>
            <w:r>
              <w:rPr>
                <w:rFonts w:hint="eastAsia" w:cs="Times New Roman"/>
                <w:b w:val="0"/>
                <w:bCs w:val="0"/>
                <w:color w:val="auto"/>
                <w:sz w:val="24"/>
                <w:szCs w:val="24"/>
                <w:lang w:val="en-US" w:eastAsia="zh-CN"/>
              </w:rPr>
              <w:t>从项目外环境看，地块周边</w:t>
            </w:r>
            <w:r>
              <w:rPr>
                <w:rFonts w:hint="default" w:ascii="Times New Roman" w:hAnsi="Times New Roman" w:cs="Times New Roman"/>
                <w:b w:val="0"/>
                <w:bCs w:val="0"/>
                <w:color w:val="auto"/>
                <w:sz w:val="24"/>
                <w:szCs w:val="24"/>
                <w:lang w:val="en-US" w:eastAsia="zh-CN"/>
              </w:rPr>
              <w:t>分布有</w:t>
            </w:r>
            <w:r>
              <w:rPr>
                <w:rFonts w:hint="eastAsia" w:cs="Times New Roman"/>
                <w:b w:val="0"/>
                <w:bCs w:val="0"/>
                <w:color w:val="auto"/>
                <w:sz w:val="24"/>
                <w:szCs w:val="24"/>
                <w:lang w:val="en-US" w:eastAsia="zh-CN"/>
              </w:rPr>
              <w:t>四川讴神机械制造有限公司</w:t>
            </w:r>
            <w:r>
              <w:rPr>
                <w:rFonts w:hint="default" w:ascii="Times New Roman" w:hAnsi="Times New Roman" w:cs="Times New Roman"/>
                <w:b w:val="0"/>
                <w:bCs w:val="0"/>
                <w:color w:val="auto"/>
                <w:sz w:val="24"/>
                <w:szCs w:val="24"/>
                <w:lang w:val="en-US" w:eastAsia="zh-CN"/>
              </w:rPr>
              <w:t>、</w:t>
            </w:r>
            <w:r>
              <w:rPr>
                <w:rFonts w:hint="eastAsia" w:cs="Times New Roman"/>
                <w:b w:val="0"/>
                <w:bCs w:val="0"/>
                <w:color w:val="auto"/>
                <w:sz w:val="24"/>
                <w:szCs w:val="24"/>
                <w:lang w:val="en-US" w:eastAsia="zh-CN"/>
              </w:rPr>
              <w:t>四川丰科汽车部件有限公司</w:t>
            </w:r>
            <w:r>
              <w:rPr>
                <w:rFonts w:hint="default" w:ascii="Times New Roman" w:hAnsi="Times New Roman" w:cs="Times New Roman"/>
                <w:b w:val="0"/>
                <w:bCs w:val="0"/>
                <w:color w:val="auto"/>
                <w:sz w:val="24"/>
                <w:szCs w:val="24"/>
                <w:lang w:val="en-US" w:eastAsia="zh-CN"/>
              </w:rPr>
              <w:t>、</w:t>
            </w:r>
            <w:r>
              <w:rPr>
                <w:rFonts w:hint="eastAsia" w:cs="Times New Roman"/>
                <w:b w:val="0"/>
                <w:bCs w:val="0"/>
                <w:color w:val="auto"/>
                <w:sz w:val="24"/>
                <w:szCs w:val="24"/>
                <w:lang w:val="en-US" w:eastAsia="zh-CN"/>
              </w:rPr>
              <w:t>江淮汽车</w:t>
            </w:r>
            <w:r>
              <w:rPr>
                <w:rFonts w:hint="default" w:ascii="Times New Roman" w:hAnsi="Times New Roman" w:cs="Times New Roman"/>
                <w:b w:val="0"/>
                <w:bCs w:val="0"/>
                <w:color w:val="auto"/>
                <w:sz w:val="24"/>
                <w:szCs w:val="24"/>
                <w:lang w:val="en-US" w:eastAsia="zh-CN"/>
              </w:rPr>
              <w:t>、</w:t>
            </w:r>
            <w:r>
              <w:rPr>
                <w:rFonts w:hint="eastAsia" w:cs="Times New Roman"/>
                <w:b w:val="0"/>
                <w:bCs w:val="0"/>
                <w:color w:val="auto"/>
                <w:sz w:val="24"/>
                <w:szCs w:val="24"/>
                <w:lang w:val="en-US" w:eastAsia="zh-CN"/>
              </w:rPr>
              <w:t>云内</w:t>
            </w:r>
            <w:r>
              <w:rPr>
                <w:rFonts w:hint="default" w:ascii="Times New Roman" w:hAnsi="Times New Roman" w:cs="Times New Roman"/>
                <w:b w:val="0"/>
                <w:bCs w:val="0"/>
                <w:color w:val="auto"/>
                <w:sz w:val="24"/>
                <w:szCs w:val="24"/>
                <w:lang w:val="en-US" w:eastAsia="zh-CN"/>
              </w:rPr>
              <w:t>机械等已建企业以及规划工业用地，均属于汽车及汽车用零部件生产企业，属于</w:t>
            </w:r>
            <w:r>
              <w:rPr>
                <w:rFonts w:hint="eastAsia" w:cs="Times New Roman"/>
                <w:b w:val="0"/>
                <w:bCs w:val="0"/>
                <w:color w:val="auto"/>
                <w:sz w:val="24"/>
                <w:szCs w:val="24"/>
                <w:lang w:val="en-US" w:eastAsia="zh-CN"/>
              </w:rPr>
              <w:t>汽车制造</w:t>
            </w:r>
            <w:r>
              <w:rPr>
                <w:rFonts w:hint="default" w:ascii="Times New Roman" w:hAnsi="Times New Roman" w:cs="Times New Roman"/>
                <w:b w:val="0"/>
                <w:bCs w:val="0"/>
                <w:color w:val="auto"/>
                <w:sz w:val="24"/>
                <w:szCs w:val="24"/>
                <w:lang w:val="en-US" w:eastAsia="zh-CN"/>
              </w:rPr>
              <w:t>行业，彼此之间对环境无特殊要求。本项目西侧为紧邻园区道路；西侧</w:t>
            </w:r>
            <w:r>
              <w:rPr>
                <w:rFonts w:hint="eastAsia" w:cs="Times New Roman"/>
                <w:b w:val="0"/>
                <w:bCs w:val="0"/>
                <w:color w:val="auto"/>
                <w:sz w:val="24"/>
                <w:szCs w:val="24"/>
                <w:lang w:val="en-US" w:eastAsia="zh-CN"/>
              </w:rPr>
              <w:t>750</w:t>
            </w:r>
            <w:r>
              <w:rPr>
                <w:rFonts w:hint="default" w:ascii="Times New Roman" w:hAnsi="Times New Roman" w:cs="Times New Roman"/>
                <w:b w:val="0"/>
                <w:bCs w:val="0"/>
                <w:color w:val="auto"/>
                <w:sz w:val="24"/>
                <w:szCs w:val="24"/>
                <w:lang w:val="en-US" w:eastAsia="zh-CN"/>
              </w:rPr>
              <w:t>m处为琼江，属于琼江翘嘴红鲌省级水产种植资源保护区实验区</w:t>
            </w:r>
            <w:r>
              <w:rPr>
                <w:rFonts w:hint="eastAsia" w:cs="Times New Roman"/>
                <w:b w:val="0"/>
                <w:bCs w:val="0"/>
                <w:color w:val="auto"/>
                <w:sz w:val="24"/>
                <w:szCs w:val="24"/>
                <w:lang w:val="en-US" w:eastAsia="zh-CN"/>
              </w:rPr>
              <w:t>。</w:t>
            </w:r>
            <w:r>
              <w:rPr>
                <w:rFonts w:hint="default" w:ascii="Times New Roman" w:hAnsi="Times New Roman" w:cs="Times New Roman"/>
                <w:b w:val="0"/>
                <w:bCs w:val="0"/>
                <w:color w:val="auto"/>
                <w:sz w:val="24"/>
                <w:szCs w:val="24"/>
                <w:lang w:val="en-US" w:eastAsia="zh-CN"/>
              </w:rPr>
              <w:t>由附图2本项目外环境关系图及附图3厂区平面布置图可知，目前项目周围企业以汽车零部件制造企业为主，项目地块周边 200m 范围内无居民集中居住点、学校、医院、文物保护、风景名胜等环境敏感目标存在。本项目选址与园区发展规划相符，与周围环境具有相容性。</w:t>
            </w:r>
          </w:p>
          <w:p w14:paraId="7ECE5098">
            <w:pPr>
              <w:spacing w:line="360" w:lineRule="auto"/>
              <w:ind w:firstLine="482" w:firstLineChars="200"/>
              <w:rPr>
                <w:rFonts w:hint="default" w:ascii="Times New Roman" w:hAnsi="Times New Roman" w:cs="Times New Roman"/>
                <w:b/>
                <w:bCs/>
                <w:color w:val="FF0000"/>
                <w:sz w:val="24"/>
                <w:szCs w:val="24"/>
                <w:lang w:val="en-US" w:eastAsia="zh-CN"/>
              </w:rPr>
            </w:pPr>
            <w:r>
              <w:rPr>
                <w:rFonts w:hint="default" w:ascii="Times New Roman" w:hAnsi="Times New Roman" w:cs="Times New Roman"/>
                <w:b/>
                <w:bCs/>
                <w:color w:val="auto"/>
                <w:sz w:val="24"/>
                <w:szCs w:val="24"/>
                <w:lang w:val="en-US" w:eastAsia="zh-CN"/>
              </w:rPr>
              <w:t>综合上述分析，环评认为本项目建设用地符合规划要求，且同区域环境具有相容性，无重大外环境制约因素，符合相关规划，选址合理。</w:t>
            </w:r>
          </w:p>
          <w:p w14:paraId="7B443A56">
            <w:pPr>
              <w:snapToGrid w:val="0"/>
              <w:spacing w:line="360" w:lineRule="auto"/>
              <w:rPr>
                <w:rFonts w:hint="eastAsia" w:ascii="Times New Roman" w:hAnsi="Times New Roman" w:eastAsia="黑体" w:cs="Times New Roman"/>
                <w:color w:val="auto"/>
                <w:sz w:val="28"/>
                <w:szCs w:val="28"/>
                <w:lang w:val="en-US" w:eastAsia="zh-CN"/>
              </w:rPr>
            </w:pPr>
            <w:r>
              <w:rPr>
                <w:rFonts w:hint="eastAsia" w:eastAsia="黑体" w:cs="Times New Roman"/>
                <w:color w:val="auto"/>
                <w:sz w:val="28"/>
                <w:szCs w:val="28"/>
                <w:lang w:val="en-US" w:eastAsia="zh-CN"/>
              </w:rPr>
              <w:t>四</w:t>
            </w:r>
            <w:r>
              <w:rPr>
                <w:rFonts w:hint="default" w:ascii="Times New Roman" w:hAnsi="Times New Roman" w:eastAsia="黑体" w:cs="Times New Roman"/>
                <w:color w:val="auto"/>
                <w:sz w:val="28"/>
                <w:szCs w:val="28"/>
              </w:rPr>
              <w:t>、</w:t>
            </w:r>
            <w:r>
              <w:rPr>
                <w:rFonts w:hint="eastAsia" w:eastAsia="黑体" w:cs="Times New Roman"/>
                <w:color w:val="auto"/>
                <w:sz w:val="28"/>
                <w:szCs w:val="28"/>
                <w:lang w:val="en-US" w:eastAsia="zh-CN"/>
              </w:rPr>
              <w:t>项目基本情况</w:t>
            </w:r>
          </w:p>
          <w:p w14:paraId="3B1F12D5">
            <w:pPr>
              <w:snapToGrid w:val="0"/>
              <w:spacing w:line="360" w:lineRule="auto"/>
              <w:ind w:firstLine="482" w:firstLineChars="20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1、项目概况</w:t>
            </w:r>
          </w:p>
          <w:p w14:paraId="26745EF6">
            <w:pPr>
              <w:snapToGrid w:val="0"/>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项目名称：</w:t>
            </w:r>
            <w:r>
              <w:rPr>
                <w:rFonts w:hint="default" w:ascii="Times New Roman" w:hAnsi="Times New Roman" w:cs="Times New Roman"/>
                <w:color w:val="auto"/>
                <w:sz w:val="24"/>
                <w:szCs w:val="24"/>
                <w:lang w:val="en-US" w:eastAsia="zh-CN"/>
              </w:rPr>
              <w:t>汽车进排气系统生产项目</w:t>
            </w:r>
          </w:p>
          <w:p w14:paraId="11D8371D">
            <w:pPr>
              <w:snapToGrid w:val="0"/>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建设单位：</w:t>
            </w:r>
            <w:r>
              <w:rPr>
                <w:rFonts w:hint="default" w:ascii="Times New Roman" w:hAnsi="Times New Roman" w:cs="Times New Roman"/>
                <w:color w:val="auto"/>
                <w:sz w:val="24"/>
                <w:szCs w:val="24"/>
                <w:lang w:val="en-US" w:eastAsia="zh-CN"/>
              </w:rPr>
              <w:t>四川亿利汽车零部件有限公司</w:t>
            </w:r>
          </w:p>
          <w:p w14:paraId="540D7547">
            <w:pPr>
              <w:snapToGrid w:val="0"/>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建设地点：</w:t>
            </w:r>
            <w:r>
              <w:rPr>
                <w:rFonts w:hint="default" w:ascii="Times New Roman" w:hAnsi="Times New Roman" w:cs="Times New Roman"/>
                <w:color w:val="auto"/>
                <w:sz w:val="24"/>
                <w:szCs w:val="24"/>
                <w:lang w:eastAsia="zh-CN"/>
              </w:rPr>
              <w:t>遂宁市安居区工业集中发展区汽摩产业园内</w:t>
            </w:r>
          </w:p>
          <w:p w14:paraId="474E2CAB">
            <w:pPr>
              <w:snapToGrid w:val="0"/>
              <w:spacing w:line="360" w:lineRule="auto"/>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cs="Times New Roman"/>
                <w:color w:val="auto"/>
                <w:sz w:val="24"/>
                <w:szCs w:val="24"/>
              </w:rPr>
              <w:t>建设性质：新建</w:t>
            </w:r>
          </w:p>
          <w:p w14:paraId="068124B0">
            <w:pPr>
              <w:snapToGrid w:val="0"/>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项目投资：总投资</w:t>
            </w:r>
            <w:r>
              <w:rPr>
                <w:rFonts w:hint="eastAsia" w:cs="Times New Roman"/>
                <w:color w:val="auto"/>
                <w:sz w:val="24"/>
                <w:szCs w:val="24"/>
                <w:lang w:val="en-US" w:eastAsia="zh-CN"/>
              </w:rPr>
              <w:t>15000</w:t>
            </w:r>
            <w:r>
              <w:rPr>
                <w:rFonts w:hint="default" w:ascii="Times New Roman" w:hAnsi="Times New Roman" w:cs="Times New Roman"/>
                <w:color w:val="auto"/>
                <w:sz w:val="24"/>
                <w:szCs w:val="24"/>
              </w:rPr>
              <w:t>万元</w:t>
            </w:r>
          </w:p>
          <w:p w14:paraId="71A82157">
            <w:pPr>
              <w:snapToGrid w:val="0"/>
              <w:spacing w:line="360" w:lineRule="auto"/>
              <w:ind w:firstLine="482" w:firstLineChars="200"/>
              <w:rPr>
                <w:rFonts w:hint="default" w:ascii="Times New Roman" w:hAnsi="Times New Roman" w:cs="Times New Roman"/>
                <w:b/>
                <w:color w:val="auto"/>
                <w:sz w:val="24"/>
                <w:szCs w:val="24"/>
                <w:lang w:val="en-US" w:eastAsia="zh-CN"/>
              </w:rPr>
            </w:pPr>
            <w:r>
              <w:rPr>
                <w:rFonts w:hint="default" w:ascii="Times New Roman" w:hAnsi="Times New Roman" w:cs="Times New Roman"/>
                <w:b/>
                <w:color w:val="auto"/>
                <w:sz w:val="24"/>
                <w:szCs w:val="24"/>
              </w:rPr>
              <w:t>2、建设内容及</w:t>
            </w:r>
            <w:r>
              <w:rPr>
                <w:rFonts w:hint="default" w:ascii="Times New Roman" w:hAnsi="Times New Roman" w:cs="Times New Roman"/>
                <w:b/>
                <w:color w:val="auto"/>
                <w:sz w:val="24"/>
                <w:szCs w:val="24"/>
                <w:lang w:val="en-US" w:eastAsia="zh-CN"/>
              </w:rPr>
              <w:t>生产规模</w:t>
            </w:r>
          </w:p>
          <w:p w14:paraId="646DBFB9">
            <w:pPr>
              <w:snapToGrid w:val="0"/>
              <w:spacing w:line="360" w:lineRule="auto"/>
              <w:ind w:firstLine="480" w:firstLineChars="200"/>
              <w:rPr>
                <w:rFonts w:hint="default" w:ascii="Times New Roman" w:hAnsi="Times New Roman" w:cs="Times New Roman"/>
                <w:b/>
                <w:color w:val="auto"/>
                <w:sz w:val="24"/>
                <w:szCs w:val="24"/>
                <w:lang w:val="en-US"/>
              </w:rPr>
            </w:pPr>
            <w:r>
              <w:rPr>
                <w:rFonts w:hint="default" w:ascii="Times New Roman" w:hAnsi="Times New Roman" w:cs="Times New Roman"/>
                <w:b w:val="0"/>
                <w:bCs/>
                <w:color w:val="auto"/>
                <w:sz w:val="24"/>
                <w:szCs w:val="24"/>
              </w:rPr>
              <w:t>本项目</w:t>
            </w:r>
            <w:r>
              <w:rPr>
                <w:rFonts w:hint="default" w:ascii="Times New Roman" w:hAnsi="Times New Roman" w:cs="Times New Roman"/>
                <w:b w:val="0"/>
                <w:bCs/>
                <w:color w:val="auto"/>
                <w:sz w:val="24"/>
                <w:szCs w:val="24"/>
                <w:lang w:val="en-US" w:eastAsia="zh-CN"/>
              </w:rPr>
              <w:t>总</w:t>
            </w:r>
            <w:r>
              <w:rPr>
                <w:rFonts w:hint="default" w:ascii="Times New Roman" w:hAnsi="Times New Roman" w:cs="Times New Roman"/>
                <w:b w:val="0"/>
                <w:bCs/>
                <w:color w:val="auto"/>
                <w:sz w:val="24"/>
                <w:szCs w:val="24"/>
              </w:rPr>
              <w:t>投资</w:t>
            </w:r>
            <w:r>
              <w:rPr>
                <w:rFonts w:hint="default" w:ascii="Times New Roman" w:hAnsi="Times New Roman" w:cs="Times New Roman"/>
                <w:b w:val="0"/>
                <w:bCs/>
                <w:color w:val="auto"/>
                <w:sz w:val="24"/>
                <w:szCs w:val="24"/>
                <w:lang w:val="en-US" w:eastAsia="zh-CN"/>
              </w:rPr>
              <w:t>15000</w:t>
            </w:r>
            <w:r>
              <w:rPr>
                <w:rFonts w:hint="default" w:ascii="Times New Roman" w:hAnsi="Times New Roman" w:cs="Times New Roman"/>
                <w:b w:val="0"/>
                <w:bCs/>
                <w:color w:val="auto"/>
                <w:sz w:val="24"/>
                <w:szCs w:val="24"/>
              </w:rPr>
              <w:t>万元</w:t>
            </w:r>
            <w:r>
              <w:rPr>
                <w:rFonts w:hint="default" w:ascii="Times New Roman" w:hAnsi="Times New Roman" w:cs="Times New Roman"/>
                <w:b w:val="0"/>
                <w:bCs/>
                <w:color w:val="auto"/>
                <w:sz w:val="24"/>
                <w:szCs w:val="24"/>
                <w:lang w:eastAsia="zh-CN"/>
              </w:rPr>
              <w:t>，总占地面积31806.17</w:t>
            </w:r>
            <w:r>
              <w:rPr>
                <w:rFonts w:hint="default" w:ascii="Times New Roman" w:hAnsi="Times New Roman" w:cs="Times New Roman"/>
                <w:b w:val="0"/>
                <w:bCs/>
                <w:color w:val="auto"/>
                <w:sz w:val="24"/>
                <w:szCs w:val="24"/>
                <w:lang w:val="en-US" w:eastAsia="zh-CN"/>
              </w:rPr>
              <w:t>m</w:t>
            </w:r>
            <w:r>
              <w:rPr>
                <w:rFonts w:hint="default" w:ascii="Times New Roman" w:hAnsi="Times New Roman" w:cs="Times New Roman"/>
                <w:b w:val="0"/>
                <w:bCs/>
                <w:color w:val="auto"/>
                <w:sz w:val="24"/>
                <w:szCs w:val="24"/>
                <w:vertAlign w:val="superscript"/>
                <w:lang w:val="en-US" w:eastAsia="zh-CN"/>
              </w:rPr>
              <w:t>2</w:t>
            </w:r>
            <w:r>
              <w:rPr>
                <w:rFonts w:hint="default" w:ascii="Times New Roman" w:hAnsi="Times New Roman" w:cs="Times New Roman"/>
                <w:b w:val="0"/>
                <w:bCs/>
                <w:color w:val="auto"/>
                <w:sz w:val="24"/>
                <w:szCs w:val="24"/>
                <w:lang w:val="en-US" w:eastAsia="zh-CN"/>
              </w:rPr>
              <w:t>，</w:t>
            </w:r>
            <w:r>
              <w:rPr>
                <w:rFonts w:hint="default" w:ascii="Times New Roman" w:hAnsi="Times New Roman" w:cs="Times New Roman"/>
                <w:b w:val="0"/>
                <w:bCs/>
                <w:color w:val="auto"/>
                <w:sz w:val="24"/>
                <w:szCs w:val="24"/>
                <w:lang w:val="zh-CN" w:eastAsia="zh-CN"/>
              </w:rPr>
              <w:t>约</w:t>
            </w:r>
            <w:r>
              <w:rPr>
                <w:rFonts w:hint="default" w:ascii="Times New Roman" w:hAnsi="Times New Roman" w:cs="Times New Roman"/>
                <w:b w:val="0"/>
                <w:bCs/>
                <w:color w:val="auto"/>
                <w:sz w:val="24"/>
                <w:szCs w:val="24"/>
                <w:lang w:eastAsia="zh-CN"/>
              </w:rPr>
              <w:t>47.71</w:t>
            </w:r>
            <w:r>
              <w:rPr>
                <w:rFonts w:hint="default" w:ascii="Times New Roman" w:hAnsi="Times New Roman" w:cs="Times New Roman"/>
                <w:b w:val="0"/>
                <w:bCs/>
                <w:color w:val="auto"/>
                <w:sz w:val="24"/>
                <w:szCs w:val="24"/>
                <w:lang w:val="zh-CN" w:eastAsia="zh-CN"/>
              </w:rPr>
              <w:t>亩</w:t>
            </w:r>
            <w:r>
              <w:rPr>
                <w:rFonts w:hint="default" w:ascii="Times New Roman" w:hAnsi="Times New Roman" w:cs="Times New Roman"/>
                <w:b w:val="0"/>
                <w:bCs/>
                <w:color w:val="auto"/>
                <w:sz w:val="24"/>
                <w:szCs w:val="24"/>
                <w:lang w:eastAsia="zh-CN"/>
              </w:rPr>
              <w:t>，</w:t>
            </w:r>
            <w:r>
              <w:rPr>
                <w:rFonts w:hint="default" w:ascii="Times New Roman" w:hAnsi="Times New Roman" w:cs="Times New Roman"/>
                <w:b w:val="0"/>
                <w:bCs/>
                <w:color w:val="auto"/>
                <w:sz w:val="24"/>
                <w:szCs w:val="24"/>
                <w:lang w:val="zh-CN" w:eastAsia="zh-CN"/>
              </w:rPr>
              <w:t>建筑占地面积为</w:t>
            </w:r>
            <w:r>
              <w:rPr>
                <w:rFonts w:hint="default" w:ascii="Times New Roman" w:hAnsi="Times New Roman" w:cs="Times New Roman"/>
                <w:b w:val="0"/>
                <w:bCs/>
                <w:color w:val="auto"/>
                <w:sz w:val="24"/>
                <w:szCs w:val="24"/>
                <w:lang w:eastAsia="zh-CN"/>
              </w:rPr>
              <w:t>16082.1</w:t>
            </w:r>
            <w:r>
              <w:rPr>
                <w:rFonts w:hint="default" w:ascii="Times New Roman" w:hAnsi="Times New Roman" w:cs="Times New Roman"/>
                <w:b w:val="0"/>
                <w:bCs/>
                <w:color w:val="auto"/>
                <w:sz w:val="24"/>
                <w:szCs w:val="24"/>
                <w:lang w:val="zh-CN" w:eastAsia="zh-CN"/>
              </w:rPr>
              <w:t>m</w:t>
            </w:r>
            <w:r>
              <w:rPr>
                <w:rFonts w:hint="default" w:ascii="Times New Roman" w:hAnsi="Times New Roman" w:cs="Times New Roman"/>
                <w:b w:val="0"/>
                <w:bCs/>
                <w:color w:val="auto"/>
                <w:sz w:val="24"/>
                <w:szCs w:val="24"/>
                <w:vertAlign w:val="superscript"/>
                <w:lang w:val="zh-CN" w:eastAsia="zh-CN"/>
              </w:rPr>
              <w:t>2</w:t>
            </w:r>
            <w:r>
              <w:rPr>
                <w:rFonts w:hint="default" w:ascii="Times New Roman" w:hAnsi="Times New Roman" w:cs="Times New Roman"/>
                <w:b w:val="0"/>
                <w:bCs/>
                <w:color w:val="auto"/>
                <w:sz w:val="24"/>
                <w:szCs w:val="24"/>
                <w:lang w:val="zh-CN" w:eastAsia="zh-CN"/>
              </w:rPr>
              <w:t>，总建筑面积为</w:t>
            </w:r>
            <w:r>
              <w:rPr>
                <w:rFonts w:hint="default" w:ascii="Times New Roman" w:hAnsi="Times New Roman" w:cs="Times New Roman"/>
                <w:b w:val="0"/>
                <w:bCs/>
                <w:color w:val="auto"/>
                <w:sz w:val="24"/>
                <w:szCs w:val="24"/>
                <w:lang w:eastAsia="zh-CN"/>
              </w:rPr>
              <w:t>19330.38</w:t>
            </w:r>
            <w:r>
              <w:rPr>
                <w:rFonts w:hint="default" w:ascii="Times New Roman" w:hAnsi="Times New Roman" w:cs="Times New Roman"/>
                <w:b w:val="0"/>
                <w:bCs/>
                <w:color w:val="auto"/>
                <w:sz w:val="24"/>
                <w:szCs w:val="24"/>
                <w:lang w:val="zh-CN" w:eastAsia="zh-CN"/>
              </w:rPr>
              <w:t>m</w:t>
            </w:r>
            <w:r>
              <w:rPr>
                <w:rFonts w:hint="default" w:ascii="Times New Roman" w:hAnsi="Times New Roman" w:cs="Times New Roman"/>
                <w:b w:val="0"/>
                <w:bCs/>
                <w:color w:val="auto"/>
                <w:sz w:val="24"/>
                <w:szCs w:val="24"/>
                <w:vertAlign w:val="superscript"/>
                <w:lang w:val="zh-CN" w:eastAsia="zh-CN"/>
              </w:rPr>
              <w:t>2</w:t>
            </w:r>
            <w:r>
              <w:rPr>
                <w:rFonts w:hint="eastAsia" w:cs="Times New Roman"/>
                <w:b w:val="0"/>
                <w:bCs/>
                <w:color w:val="auto"/>
                <w:sz w:val="24"/>
                <w:szCs w:val="24"/>
                <w:lang w:val="zh-CN" w:eastAsia="zh-CN"/>
              </w:rPr>
              <w:t>。</w:t>
            </w:r>
            <w:r>
              <w:rPr>
                <w:rFonts w:hint="eastAsia" w:cs="Times New Roman"/>
                <w:b w:val="0"/>
                <w:bCs/>
                <w:color w:val="auto"/>
                <w:sz w:val="24"/>
                <w:szCs w:val="24"/>
                <w:lang w:val="en-US" w:eastAsia="zh-CN"/>
              </w:rPr>
              <w:t>项目建设分3期建设，其中</w:t>
            </w:r>
            <w:r>
              <w:rPr>
                <w:rFonts w:hint="eastAsia" w:cs="Times New Roman"/>
                <w:b w:val="0"/>
                <w:bCs/>
                <w:color w:val="auto"/>
                <w:sz w:val="24"/>
                <w:szCs w:val="24"/>
                <w:lang w:val="zh-CN" w:eastAsia="zh-CN"/>
              </w:rPr>
              <w:t>一期建设内容：1#车间（建筑面积7256.6m</w:t>
            </w:r>
            <w:r>
              <w:rPr>
                <w:rFonts w:hint="eastAsia" w:cs="Times New Roman"/>
                <w:b w:val="0"/>
                <w:bCs/>
                <w:color w:val="auto"/>
                <w:sz w:val="24"/>
                <w:szCs w:val="24"/>
                <w:vertAlign w:val="superscript"/>
                <w:lang w:val="zh-CN" w:eastAsia="zh-CN"/>
              </w:rPr>
              <w:t>2</w:t>
            </w:r>
            <w:r>
              <w:rPr>
                <w:rFonts w:hint="eastAsia" w:cs="Times New Roman"/>
                <w:b w:val="0"/>
                <w:bCs/>
                <w:color w:val="auto"/>
                <w:sz w:val="24"/>
                <w:szCs w:val="24"/>
                <w:lang w:val="zh-CN" w:eastAsia="zh-CN"/>
              </w:rPr>
              <w:t>）、临时办公楼（活动板房）、配电</w:t>
            </w:r>
            <w:r>
              <w:rPr>
                <w:rFonts w:hint="eastAsia" w:cs="Times New Roman"/>
                <w:b w:val="0"/>
                <w:bCs/>
                <w:color w:val="auto"/>
                <w:sz w:val="24"/>
                <w:szCs w:val="24"/>
                <w:lang w:val="en-US" w:eastAsia="zh-CN"/>
              </w:rPr>
              <w:t>房</w:t>
            </w:r>
            <w:r>
              <w:rPr>
                <w:rFonts w:hint="eastAsia" w:cs="Times New Roman"/>
                <w:b w:val="0"/>
                <w:bCs/>
                <w:color w:val="auto"/>
                <w:sz w:val="24"/>
                <w:szCs w:val="24"/>
                <w:lang w:val="zh-CN" w:eastAsia="zh-CN"/>
              </w:rPr>
              <w:t>、门卫室、预处理池等相关附属设施，</w:t>
            </w:r>
            <w:r>
              <w:rPr>
                <w:rFonts w:hint="eastAsia" w:cs="Times New Roman"/>
                <w:color w:val="auto"/>
                <w:sz w:val="24"/>
                <w:szCs w:val="24"/>
                <w:lang w:val="en-US" w:eastAsia="zh-CN"/>
              </w:rPr>
              <w:t>达到年产商用车空滤器、进气道各15万套，尿素罐20万套的生产能力</w:t>
            </w:r>
            <w:r>
              <w:rPr>
                <w:rFonts w:hint="eastAsia" w:cs="Times New Roman"/>
                <w:b w:val="0"/>
                <w:bCs/>
                <w:color w:val="auto"/>
                <w:sz w:val="24"/>
                <w:szCs w:val="24"/>
                <w:lang w:val="zh-CN" w:eastAsia="zh-CN"/>
              </w:rPr>
              <w:t>；二期建设内容：2#车间（建筑面积7728m</w:t>
            </w:r>
            <w:r>
              <w:rPr>
                <w:rFonts w:hint="eastAsia" w:cs="Times New Roman"/>
                <w:b w:val="0"/>
                <w:bCs/>
                <w:color w:val="auto"/>
                <w:sz w:val="24"/>
                <w:szCs w:val="24"/>
                <w:vertAlign w:val="superscript"/>
                <w:lang w:val="zh-CN" w:eastAsia="zh-CN"/>
              </w:rPr>
              <w:t>2</w:t>
            </w:r>
            <w:r>
              <w:rPr>
                <w:rFonts w:hint="eastAsia" w:cs="Times New Roman"/>
                <w:b w:val="0"/>
                <w:bCs/>
                <w:color w:val="auto"/>
                <w:sz w:val="24"/>
                <w:szCs w:val="24"/>
                <w:lang w:val="zh-CN" w:eastAsia="zh-CN"/>
              </w:rPr>
              <w:t>）、办公楼（</w:t>
            </w:r>
            <w:r>
              <w:rPr>
                <w:rFonts w:hint="eastAsia" w:cs="Times New Roman"/>
                <w:b w:val="0"/>
                <w:bCs/>
                <w:color w:val="auto"/>
                <w:sz w:val="24"/>
                <w:szCs w:val="24"/>
                <w:lang w:val="en-US" w:eastAsia="zh-CN"/>
              </w:rPr>
              <w:t>4080</w:t>
            </w:r>
            <w:r>
              <w:rPr>
                <w:rFonts w:hint="eastAsia" w:cs="Times New Roman"/>
                <w:b w:val="0"/>
                <w:bCs/>
                <w:color w:val="auto"/>
                <w:sz w:val="24"/>
                <w:szCs w:val="24"/>
                <w:lang w:val="zh-CN" w:eastAsia="zh-CN"/>
              </w:rPr>
              <w:t>m</w:t>
            </w:r>
            <w:r>
              <w:rPr>
                <w:rFonts w:hint="eastAsia" w:cs="Times New Roman"/>
                <w:b w:val="0"/>
                <w:bCs/>
                <w:color w:val="auto"/>
                <w:sz w:val="24"/>
                <w:szCs w:val="24"/>
                <w:vertAlign w:val="superscript"/>
                <w:lang w:val="zh-CN" w:eastAsia="zh-CN"/>
              </w:rPr>
              <w:t>2</w:t>
            </w:r>
            <w:r>
              <w:rPr>
                <w:rFonts w:hint="eastAsia" w:cs="Times New Roman"/>
                <w:b w:val="0"/>
                <w:bCs/>
                <w:color w:val="auto"/>
                <w:sz w:val="24"/>
                <w:szCs w:val="24"/>
                <w:lang w:val="zh-CN" w:eastAsia="zh-CN"/>
              </w:rPr>
              <w:t>）、食堂（</w:t>
            </w:r>
            <w:r>
              <w:rPr>
                <w:rFonts w:hint="eastAsia" w:cs="Times New Roman"/>
                <w:b w:val="0"/>
                <w:bCs/>
                <w:color w:val="auto"/>
                <w:sz w:val="24"/>
                <w:szCs w:val="24"/>
                <w:lang w:val="en-US" w:eastAsia="zh-CN"/>
              </w:rPr>
              <w:t>510</w:t>
            </w:r>
            <w:r>
              <w:rPr>
                <w:rFonts w:hint="eastAsia" w:cs="Times New Roman"/>
                <w:b w:val="0"/>
                <w:bCs/>
                <w:color w:val="auto"/>
                <w:sz w:val="24"/>
                <w:szCs w:val="24"/>
                <w:lang w:val="zh-CN" w:eastAsia="zh-CN"/>
              </w:rPr>
              <w:t>m</w:t>
            </w:r>
            <w:r>
              <w:rPr>
                <w:rFonts w:hint="eastAsia" w:cs="Times New Roman"/>
                <w:b w:val="0"/>
                <w:bCs/>
                <w:color w:val="auto"/>
                <w:sz w:val="24"/>
                <w:szCs w:val="24"/>
                <w:vertAlign w:val="superscript"/>
                <w:lang w:val="zh-CN" w:eastAsia="zh-CN"/>
              </w:rPr>
              <w:t>2</w:t>
            </w:r>
            <w:r>
              <w:rPr>
                <w:rFonts w:hint="eastAsia" w:cs="Times New Roman"/>
                <w:b w:val="0"/>
                <w:bCs/>
                <w:color w:val="auto"/>
                <w:sz w:val="24"/>
                <w:szCs w:val="24"/>
                <w:lang w:val="zh-CN" w:eastAsia="zh-CN"/>
              </w:rPr>
              <w:t>）、倒班房（510m</w:t>
            </w:r>
            <w:r>
              <w:rPr>
                <w:rFonts w:hint="eastAsia" w:cs="Times New Roman"/>
                <w:b w:val="0"/>
                <w:bCs/>
                <w:color w:val="auto"/>
                <w:sz w:val="24"/>
                <w:szCs w:val="24"/>
                <w:vertAlign w:val="superscript"/>
                <w:lang w:val="zh-CN" w:eastAsia="zh-CN"/>
              </w:rPr>
              <w:t>2</w:t>
            </w:r>
            <w:r>
              <w:rPr>
                <w:rFonts w:hint="eastAsia" w:cs="Times New Roman"/>
                <w:b w:val="0"/>
                <w:bCs/>
                <w:color w:val="auto"/>
                <w:sz w:val="24"/>
                <w:szCs w:val="24"/>
                <w:lang w:val="zh-CN" w:eastAsia="zh-CN"/>
              </w:rPr>
              <w:t>）等相关附属设施，</w:t>
            </w:r>
            <w:r>
              <w:rPr>
                <w:rFonts w:hint="eastAsia" w:cs="Times New Roman"/>
                <w:color w:val="auto"/>
                <w:sz w:val="24"/>
                <w:szCs w:val="24"/>
                <w:lang w:val="en-US" w:eastAsia="zh-CN"/>
              </w:rPr>
              <w:t>达到年产乘用车空滤器、进气道各5万套的生产能力</w:t>
            </w:r>
            <w:r>
              <w:rPr>
                <w:rFonts w:hint="eastAsia" w:cs="Times New Roman"/>
                <w:b w:val="0"/>
                <w:bCs/>
                <w:color w:val="auto"/>
                <w:sz w:val="24"/>
                <w:szCs w:val="24"/>
                <w:lang w:val="zh-CN" w:eastAsia="zh-CN"/>
              </w:rPr>
              <w:t>；</w:t>
            </w:r>
            <w:r>
              <w:rPr>
                <w:rFonts w:hint="eastAsia" w:cs="Times New Roman"/>
                <w:color w:val="auto"/>
                <w:sz w:val="24"/>
                <w:szCs w:val="24"/>
                <w:lang w:val="en-US" w:eastAsia="zh-CN"/>
              </w:rPr>
              <w:t>三期建设内容：新建SCR排气处理系统生产线，达到年产商用车SCR排气处理系统20套生产能力。</w:t>
            </w:r>
          </w:p>
          <w:p w14:paraId="489BE0E6">
            <w:pPr>
              <w:numPr>
                <w:ilvl w:val="0"/>
                <w:numId w:val="2"/>
              </w:numPr>
              <w:snapToGrid w:val="0"/>
              <w:spacing w:line="360" w:lineRule="auto"/>
              <w:ind w:firstLine="482" w:firstLineChars="200"/>
              <w:rPr>
                <w:rFonts w:hint="eastAsia"/>
                <w:lang w:val="en-US" w:eastAsia="zh-CN"/>
              </w:rPr>
            </w:pPr>
            <w:r>
              <w:rPr>
                <w:rFonts w:hint="eastAsia" w:cs="Times New Roman"/>
                <w:b/>
                <w:color w:val="auto"/>
                <w:sz w:val="24"/>
                <w:szCs w:val="24"/>
                <w:lang w:val="en-US" w:eastAsia="zh-CN"/>
              </w:rPr>
              <w:t>产品方案</w:t>
            </w:r>
          </w:p>
          <w:p w14:paraId="1CBE47A9">
            <w:pPr>
              <w:spacing w:line="360" w:lineRule="auto"/>
              <w:jc w:val="center"/>
              <w:rPr>
                <w:rFonts w:hint="eastAsia" w:ascii="Times New Roman" w:hAnsi="Times New Roman" w:cs="Times New Roman" w:eastAsiaTheme="minorEastAsia"/>
                <w:b/>
                <w:bCs/>
                <w:color w:val="auto"/>
                <w:szCs w:val="21"/>
                <w:lang w:val="en-US" w:eastAsia="zh-CN"/>
              </w:rPr>
            </w:pPr>
            <w:r>
              <w:rPr>
                <w:rFonts w:hint="eastAsia" w:ascii="Times New Roman" w:hAnsi="Times New Roman" w:cs="Times New Roman" w:eastAsiaTheme="minorEastAsia"/>
                <w:b/>
                <w:bCs/>
                <w:color w:val="auto"/>
                <w:szCs w:val="21"/>
                <w:lang w:val="en-US" w:eastAsia="zh-CN"/>
              </w:rPr>
              <w:t>表1-</w:t>
            </w:r>
            <w:r>
              <w:rPr>
                <w:rFonts w:hint="eastAsia" w:cs="Times New Roman" w:eastAsiaTheme="minorEastAsia"/>
                <w:b/>
                <w:bCs/>
                <w:color w:val="auto"/>
                <w:szCs w:val="21"/>
                <w:lang w:val="en-US" w:eastAsia="zh-CN"/>
              </w:rPr>
              <w:t>2</w:t>
            </w:r>
            <w:r>
              <w:rPr>
                <w:rFonts w:hint="eastAsia" w:ascii="Times New Roman" w:hAnsi="Times New Roman" w:cs="Times New Roman" w:eastAsiaTheme="minorEastAsia"/>
                <w:b/>
                <w:bCs/>
                <w:color w:val="auto"/>
                <w:szCs w:val="21"/>
                <w:lang w:val="en-US" w:eastAsia="zh-CN"/>
              </w:rPr>
              <w:t xml:space="preserve">  项目组成及主要环境问题</w:t>
            </w:r>
          </w:p>
          <w:tbl>
            <w:tblPr>
              <w:tblStyle w:val="24"/>
              <w:tblW w:w="9978" w:type="dxa"/>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5128"/>
              <w:gridCol w:w="4850"/>
            </w:tblGrid>
            <w:tr w14:paraId="78EEABA9">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128" w:type="dxa"/>
                  <w:shd w:val="clear" w:color="auto" w:fill="A4A4A4" w:themeFill="background1" w:themeFillShade="A5"/>
                  <w:vAlign w:val="center"/>
                </w:tcPr>
                <w:p w14:paraId="7DB426CD">
                  <w:pPr>
                    <w:spacing w:line="276" w:lineRule="auto"/>
                    <w:jc w:val="center"/>
                    <w:rPr>
                      <w:rFonts w:hint="default" w:ascii="Times New Roman" w:hAnsi="Times New Roman" w:cs="Times New Roman"/>
                      <w:b/>
                      <w:bCs/>
                      <w:color w:val="auto"/>
                      <w:sz w:val="24"/>
                      <w:szCs w:val="24"/>
                      <w:highlight w:val="none"/>
                      <w:lang w:val="en-US" w:eastAsia="zh-CN"/>
                    </w:rPr>
                  </w:pPr>
                  <w:r>
                    <w:rPr>
                      <w:rFonts w:hint="eastAsia" w:cs="Times New Roman"/>
                      <w:b/>
                      <w:bCs/>
                      <w:color w:val="auto"/>
                      <w:sz w:val="24"/>
                      <w:szCs w:val="24"/>
                      <w:highlight w:val="none"/>
                      <w:lang w:val="en-US" w:eastAsia="zh-CN"/>
                    </w:rPr>
                    <w:t>产品名称</w:t>
                  </w:r>
                </w:p>
              </w:tc>
              <w:tc>
                <w:tcPr>
                  <w:tcW w:w="4850" w:type="dxa"/>
                  <w:shd w:val="clear" w:color="auto" w:fill="A4A4A4" w:themeFill="background1" w:themeFillShade="A5"/>
                  <w:vAlign w:val="center"/>
                </w:tcPr>
                <w:p w14:paraId="0CD432FA">
                  <w:pPr>
                    <w:spacing w:line="276" w:lineRule="auto"/>
                    <w:jc w:val="center"/>
                    <w:rPr>
                      <w:rFonts w:hint="default" w:ascii="Times New Roman" w:hAnsi="Times New Roman" w:cs="Times New Roman"/>
                      <w:b/>
                      <w:bCs/>
                      <w:color w:val="auto"/>
                      <w:sz w:val="24"/>
                      <w:szCs w:val="24"/>
                      <w:highlight w:val="none"/>
                      <w:lang w:val="en-US" w:eastAsia="zh-CN"/>
                    </w:rPr>
                  </w:pPr>
                  <w:r>
                    <w:rPr>
                      <w:rFonts w:hint="eastAsia" w:cs="Times New Roman"/>
                      <w:b/>
                      <w:bCs/>
                      <w:color w:val="auto"/>
                      <w:sz w:val="24"/>
                      <w:szCs w:val="24"/>
                      <w:highlight w:val="none"/>
                      <w:lang w:val="en-US" w:eastAsia="zh-CN"/>
                    </w:rPr>
                    <w:t>产量（套/年）</w:t>
                  </w:r>
                </w:p>
              </w:tc>
            </w:tr>
            <w:tr w14:paraId="543E5861">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128" w:type="dxa"/>
                  <w:vAlign w:val="center"/>
                </w:tcPr>
                <w:p w14:paraId="3ABD3B51">
                  <w:pPr>
                    <w:spacing w:line="276" w:lineRule="auto"/>
                    <w:jc w:val="center"/>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汽车进排气系统（空滤器、进气道、尿素管、SCR</w:t>
                  </w:r>
                  <w:r>
                    <w:rPr>
                      <w:rFonts w:hint="eastAsia" w:cs="Times New Roman"/>
                      <w:color w:val="auto"/>
                      <w:sz w:val="24"/>
                      <w:szCs w:val="24"/>
                      <w:lang w:val="en-US" w:eastAsia="zh-CN"/>
                    </w:rPr>
                    <w:t>系统</w:t>
                  </w:r>
                  <w:r>
                    <w:rPr>
                      <w:rFonts w:hint="default" w:ascii="Times New Roman" w:hAnsi="Times New Roman" w:cs="Times New Roman"/>
                      <w:color w:val="auto"/>
                      <w:sz w:val="24"/>
                      <w:szCs w:val="24"/>
                      <w:lang w:val="en-US" w:eastAsia="zh-CN"/>
                    </w:rPr>
                    <w:t>）</w:t>
                  </w:r>
                </w:p>
              </w:tc>
              <w:tc>
                <w:tcPr>
                  <w:tcW w:w="4850" w:type="dxa"/>
                  <w:vAlign w:val="center"/>
                </w:tcPr>
                <w:p w14:paraId="72DCF837">
                  <w:pPr>
                    <w:spacing w:line="276" w:lineRule="auto"/>
                    <w:jc w:val="center"/>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各20万</w:t>
                  </w:r>
                </w:p>
              </w:tc>
            </w:tr>
          </w:tbl>
          <w:p w14:paraId="1F26C993">
            <w:pPr>
              <w:snapToGrid w:val="0"/>
              <w:spacing w:line="360" w:lineRule="auto"/>
              <w:ind w:firstLine="420" w:firstLineChars="200"/>
              <w:rPr>
                <w:rFonts w:hint="eastAsia"/>
                <w:lang w:val="en-US" w:eastAsia="zh-CN"/>
              </w:rPr>
            </w:pPr>
          </w:p>
          <w:p w14:paraId="773EEC5F">
            <w:pPr>
              <w:pStyle w:val="2"/>
              <w:rPr>
                <w:rFonts w:hint="eastAsia"/>
                <w:lang w:val="en-US" w:eastAsia="zh-CN"/>
              </w:rPr>
            </w:pPr>
            <w:r>
              <w:rPr>
                <w:rFonts w:hint="eastAsia"/>
                <w:lang w:val="en-US" w:eastAsia="zh-CN"/>
              </w:rPr>
              <w:t xml:space="preserve">    </w:t>
            </w:r>
            <w:r>
              <w:rPr>
                <w:rFonts w:hint="eastAsia"/>
                <w:lang w:val="en-US" w:eastAsia="zh-CN"/>
              </w:rPr>
              <w:drawing>
                <wp:inline distT="0" distB="0" distL="114300" distR="114300">
                  <wp:extent cx="19050" cy="38100"/>
                  <wp:effectExtent l="0" t="0" r="0" b="0"/>
                  <wp:docPr id="2"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0" descr="IMG_256"/>
                          <pic:cNvPicPr>
                            <a:picLocks noChangeAspect="1"/>
                          </pic:cNvPicPr>
                        </pic:nvPicPr>
                        <pic:blipFill>
                          <a:blip r:embed="rId6"/>
                          <a:stretch>
                            <a:fillRect/>
                          </a:stretch>
                        </pic:blipFill>
                        <pic:spPr>
                          <a:xfrm>
                            <a:off x="0" y="0"/>
                            <a:ext cx="19050" cy="38100"/>
                          </a:xfrm>
                          <a:prstGeom prst="rect">
                            <a:avLst/>
                          </a:prstGeom>
                          <a:noFill/>
                          <a:ln w="9525">
                            <a:noFill/>
                          </a:ln>
                        </pic:spPr>
                      </pic:pic>
                    </a:graphicData>
                  </a:graphic>
                </wp:inline>
              </w:drawing>
            </w:r>
            <w:r>
              <w:rPr>
                <w:rFonts w:hint="eastAsia"/>
                <w:lang w:val="en-US" w:eastAsia="zh-CN"/>
              </w:rPr>
              <w:drawing>
                <wp:inline distT="0" distB="0" distL="114300" distR="114300">
                  <wp:extent cx="2438400" cy="2236470"/>
                  <wp:effectExtent l="0" t="0" r="0" b="11430"/>
                  <wp:docPr id="3" name="图片 3" descr="t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timg"/>
                          <pic:cNvPicPr>
                            <a:picLocks noChangeAspect="1"/>
                          </pic:cNvPicPr>
                        </pic:nvPicPr>
                        <pic:blipFill>
                          <a:blip r:embed="rId7"/>
                          <a:stretch>
                            <a:fillRect/>
                          </a:stretch>
                        </pic:blipFill>
                        <pic:spPr>
                          <a:xfrm>
                            <a:off x="0" y="0"/>
                            <a:ext cx="2438400" cy="2236470"/>
                          </a:xfrm>
                          <a:prstGeom prst="rect">
                            <a:avLst/>
                          </a:prstGeom>
                        </pic:spPr>
                      </pic:pic>
                    </a:graphicData>
                  </a:graphic>
                </wp:inline>
              </w:drawing>
            </w:r>
            <w:r>
              <w:rPr>
                <w:rFonts w:hint="eastAsia"/>
                <w:lang w:val="en-US" w:eastAsia="zh-CN"/>
              </w:rPr>
              <w:t xml:space="preserve">        </w:t>
            </w:r>
            <w:r>
              <w:rPr>
                <w:rFonts w:hint="eastAsia"/>
                <w:lang w:val="en-US" w:eastAsia="zh-CN"/>
              </w:rPr>
              <w:drawing>
                <wp:inline distT="0" distB="0" distL="114300" distR="114300">
                  <wp:extent cx="2912745" cy="2267585"/>
                  <wp:effectExtent l="0" t="0" r="1905" b="18415"/>
                  <wp:docPr id="220" name="图片 220" descr="jnlxjm_200781410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图片 220" descr="jnlxjm_200781410510"/>
                          <pic:cNvPicPr>
                            <a:picLocks noChangeAspect="1"/>
                          </pic:cNvPicPr>
                        </pic:nvPicPr>
                        <pic:blipFill>
                          <a:blip r:embed="rId8"/>
                          <a:stretch>
                            <a:fillRect/>
                          </a:stretch>
                        </pic:blipFill>
                        <pic:spPr>
                          <a:xfrm>
                            <a:off x="0" y="0"/>
                            <a:ext cx="2912745" cy="2267585"/>
                          </a:xfrm>
                          <a:prstGeom prst="rect">
                            <a:avLst/>
                          </a:prstGeom>
                        </pic:spPr>
                      </pic:pic>
                    </a:graphicData>
                  </a:graphic>
                </wp:inline>
              </w:drawing>
            </w:r>
            <w:r>
              <w:rPr>
                <w:rFonts w:hint="eastAsia"/>
                <w:lang w:val="en-US" w:eastAsia="zh-CN"/>
              </w:rPr>
              <w:t xml:space="preserve">   </w:t>
            </w:r>
          </w:p>
          <w:p w14:paraId="3B045939">
            <w:pPr>
              <w:pStyle w:val="2"/>
              <w:ind w:firstLine="1920" w:firstLineChars="800"/>
              <w:rPr>
                <w:rFonts w:hint="eastAsia"/>
                <w:lang w:val="en-US" w:eastAsia="zh-CN"/>
              </w:rPr>
            </w:pPr>
            <w:r>
              <w:rPr>
                <w:rFonts w:hint="eastAsia"/>
                <w:lang w:val="en-US" w:eastAsia="zh-CN"/>
              </w:rPr>
              <w:t>空滤器                                     进气道</w:t>
            </w:r>
          </w:p>
          <w:p w14:paraId="75BE7403">
            <w:pPr>
              <w:pStyle w:val="2"/>
              <w:rPr>
                <w:rFonts w:hint="eastAsia"/>
                <w:lang w:val="en-US" w:eastAsia="zh-CN"/>
              </w:rPr>
            </w:pPr>
          </w:p>
          <w:p w14:paraId="4462B190">
            <w:pPr>
              <w:pStyle w:val="2"/>
              <w:rPr>
                <w:rFonts w:hint="eastAsia"/>
                <w:lang w:val="en-US" w:eastAsia="zh-CN"/>
              </w:rPr>
            </w:pPr>
            <w:r>
              <w:rPr>
                <w:rFonts w:hint="eastAsia"/>
                <w:lang w:val="en-US" w:eastAsia="zh-CN"/>
              </w:rPr>
              <w:t xml:space="preserve">    </w:t>
            </w:r>
            <w:r>
              <w:rPr>
                <w:rFonts w:hint="eastAsia"/>
                <w:lang w:val="en-US" w:eastAsia="zh-CN"/>
              </w:rPr>
              <w:drawing>
                <wp:inline distT="0" distB="0" distL="114300" distR="114300">
                  <wp:extent cx="2540635" cy="1880870"/>
                  <wp:effectExtent l="0" t="0" r="12065" b="5080"/>
                  <wp:docPr id="221" name="图片 221" descr="t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图片 221" descr="timg"/>
                          <pic:cNvPicPr>
                            <a:picLocks noChangeAspect="1"/>
                          </pic:cNvPicPr>
                        </pic:nvPicPr>
                        <pic:blipFill>
                          <a:blip r:embed="rId9"/>
                          <a:stretch>
                            <a:fillRect/>
                          </a:stretch>
                        </pic:blipFill>
                        <pic:spPr>
                          <a:xfrm>
                            <a:off x="0" y="0"/>
                            <a:ext cx="2540635" cy="1880870"/>
                          </a:xfrm>
                          <a:prstGeom prst="rect">
                            <a:avLst/>
                          </a:prstGeom>
                        </pic:spPr>
                      </pic:pic>
                    </a:graphicData>
                  </a:graphic>
                </wp:inline>
              </w:drawing>
            </w:r>
            <w:r>
              <w:rPr>
                <w:rFonts w:hint="eastAsia"/>
                <w:lang w:val="en-US" w:eastAsia="zh-CN"/>
              </w:rPr>
              <w:t xml:space="preserve">       </w:t>
            </w:r>
            <w:r>
              <w:rPr>
                <w:rFonts w:hint="eastAsia"/>
                <w:lang w:val="en-US" w:eastAsia="zh-CN"/>
              </w:rPr>
              <w:drawing>
                <wp:inline distT="0" distB="0" distL="114300" distR="114300">
                  <wp:extent cx="2775585" cy="1896745"/>
                  <wp:effectExtent l="0" t="0" r="5715" b="8255"/>
                  <wp:docPr id="222" name="图片 222" descr="QQ截图20180717114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222" descr="QQ截图20180717114938"/>
                          <pic:cNvPicPr>
                            <a:picLocks noChangeAspect="1"/>
                          </pic:cNvPicPr>
                        </pic:nvPicPr>
                        <pic:blipFill>
                          <a:blip r:embed="rId10"/>
                          <a:stretch>
                            <a:fillRect/>
                          </a:stretch>
                        </pic:blipFill>
                        <pic:spPr>
                          <a:xfrm>
                            <a:off x="0" y="0"/>
                            <a:ext cx="2775585" cy="1896745"/>
                          </a:xfrm>
                          <a:prstGeom prst="rect">
                            <a:avLst/>
                          </a:prstGeom>
                        </pic:spPr>
                      </pic:pic>
                    </a:graphicData>
                  </a:graphic>
                </wp:inline>
              </w:drawing>
            </w:r>
          </w:p>
          <w:p w14:paraId="2F0A0FA3">
            <w:pPr>
              <w:pStyle w:val="2"/>
              <w:rPr>
                <w:rFonts w:hint="eastAsia"/>
                <w:lang w:val="en-US" w:eastAsia="zh-CN"/>
              </w:rPr>
            </w:pPr>
            <w:r>
              <w:rPr>
                <w:rFonts w:hint="eastAsia"/>
                <w:lang w:val="en-US" w:eastAsia="zh-CN"/>
              </w:rPr>
              <w:t xml:space="preserve">               尿素罐                                   SCR尾气处理系统</w:t>
            </w:r>
          </w:p>
          <w:p w14:paraId="530386A4">
            <w:pPr>
              <w:snapToGrid w:val="0"/>
              <w:spacing w:line="360" w:lineRule="auto"/>
              <w:rPr>
                <w:rFonts w:hint="default" w:ascii="Times New Roman" w:hAnsi="Times New Roman" w:eastAsia="黑体" w:cs="Times New Roman"/>
                <w:color w:val="auto"/>
                <w:sz w:val="28"/>
                <w:szCs w:val="28"/>
              </w:rPr>
            </w:pPr>
            <w:r>
              <w:rPr>
                <w:rFonts w:hint="eastAsia" w:eastAsia="黑体" w:cs="Times New Roman"/>
                <w:color w:val="auto"/>
                <w:sz w:val="28"/>
                <w:szCs w:val="28"/>
                <w:lang w:val="en-US" w:eastAsia="zh-CN"/>
              </w:rPr>
              <w:t>五</w:t>
            </w:r>
            <w:r>
              <w:rPr>
                <w:rFonts w:hint="default" w:ascii="Times New Roman" w:hAnsi="Times New Roman" w:eastAsia="黑体" w:cs="Times New Roman"/>
                <w:color w:val="auto"/>
                <w:sz w:val="28"/>
                <w:szCs w:val="28"/>
              </w:rPr>
              <w:t>、项目组成及主要环境问题</w:t>
            </w:r>
          </w:p>
          <w:p w14:paraId="63F6341E">
            <w:pPr>
              <w:snapToGrid w:val="0"/>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本项目工程组成及主要环境问题见表1-3。</w:t>
            </w:r>
          </w:p>
          <w:p w14:paraId="0D0359CB">
            <w:pPr>
              <w:spacing w:line="360" w:lineRule="auto"/>
              <w:jc w:val="center"/>
              <w:rPr>
                <w:rFonts w:hint="default" w:ascii="Times New Roman" w:hAnsi="Times New Roman" w:cs="Times New Roman" w:eastAsiaTheme="minorEastAsia"/>
                <w:b/>
                <w:bCs/>
                <w:color w:val="auto"/>
                <w:szCs w:val="21"/>
              </w:rPr>
            </w:pPr>
            <w:r>
              <w:rPr>
                <w:rFonts w:hint="default" w:ascii="Times New Roman" w:hAnsi="Times New Roman" w:cs="Times New Roman" w:eastAsiaTheme="minorEastAsia"/>
                <w:b/>
                <w:bCs/>
                <w:color w:val="auto"/>
                <w:szCs w:val="21"/>
              </w:rPr>
              <w:t>表1-3  项目组成及主要环境问题</w:t>
            </w:r>
          </w:p>
          <w:tbl>
            <w:tblPr>
              <w:tblStyle w:val="23"/>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58"/>
              <w:gridCol w:w="450"/>
              <w:gridCol w:w="56"/>
              <w:gridCol w:w="1260"/>
              <w:gridCol w:w="1"/>
              <w:gridCol w:w="3648"/>
              <w:gridCol w:w="1"/>
              <w:gridCol w:w="1"/>
              <w:gridCol w:w="1194"/>
              <w:gridCol w:w="1"/>
              <w:gridCol w:w="1149"/>
              <w:gridCol w:w="2"/>
              <w:gridCol w:w="1140"/>
              <w:gridCol w:w="2"/>
            </w:tblGrid>
            <w:tr w14:paraId="493CC2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jc w:val="center"/>
              </w:trPr>
              <w:tc>
                <w:tcPr>
                  <w:tcW w:w="675" w:type="dxa"/>
                  <w:vMerge w:val="restart"/>
                  <w:shd w:val="clear" w:color="auto" w:fill="auto"/>
                  <w:vAlign w:val="center"/>
                </w:tcPr>
                <w:p w14:paraId="3FEC3E1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工程分类</w:t>
                  </w:r>
                </w:p>
              </w:tc>
              <w:tc>
                <w:tcPr>
                  <w:tcW w:w="1824" w:type="dxa"/>
                  <w:gridSpan w:val="4"/>
                  <w:vMerge w:val="restart"/>
                  <w:shd w:val="clear" w:color="auto" w:fill="auto"/>
                  <w:vAlign w:val="center"/>
                </w:tcPr>
                <w:p w14:paraId="080DB77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项目名称</w:t>
                  </w:r>
                </w:p>
              </w:tc>
              <w:tc>
                <w:tcPr>
                  <w:tcW w:w="3649" w:type="dxa"/>
                  <w:gridSpan w:val="2"/>
                  <w:vMerge w:val="restart"/>
                  <w:shd w:val="clear" w:color="auto" w:fill="auto"/>
                  <w:vAlign w:val="center"/>
                </w:tcPr>
                <w:p w14:paraId="26AF2A6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建设内容及规模</w:t>
                  </w:r>
                </w:p>
              </w:tc>
              <w:tc>
                <w:tcPr>
                  <w:tcW w:w="2346" w:type="dxa"/>
                  <w:gridSpan w:val="5"/>
                  <w:shd w:val="clear" w:color="auto" w:fill="auto"/>
                  <w:vAlign w:val="center"/>
                </w:tcPr>
                <w:p w14:paraId="41FAB72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可能产生的环境问题</w:t>
                  </w:r>
                </w:p>
              </w:tc>
              <w:tc>
                <w:tcPr>
                  <w:tcW w:w="1142" w:type="dxa"/>
                  <w:gridSpan w:val="2"/>
                  <w:vMerge w:val="restart"/>
                  <w:shd w:val="clear" w:color="auto" w:fill="auto"/>
                  <w:vAlign w:val="center"/>
                </w:tcPr>
                <w:p w14:paraId="1002901A">
                  <w:pPr>
                    <w:spacing w:line="276" w:lineRule="auto"/>
                    <w:jc w:val="center"/>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eastAsia="zh-CN"/>
                    </w:rPr>
                    <w:t>备注</w:t>
                  </w:r>
                </w:p>
              </w:tc>
            </w:tr>
            <w:tr w14:paraId="2E00D7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jc w:val="center"/>
              </w:trPr>
              <w:tc>
                <w:tcPr>
                  <w:tcW w:w="675" w:type="dxa"/>
                  <w:vMerge w:val="continue"/>
                  <w:shd w:val="clear" w:color="auto" w:fill="auto"/>
                  <w:vAlign w:val="center"/>
                </w:tcPr>
                <w:p w14:paraId="54884125">
                  <w:pPr>
                    <w:spacing w:line="276" w:lineRule="auto"/>
                    <w:jc w:val="center"/>
                    <w:rPr>
                      <w:rFonts w:hint="default" w:ascii="Times New Roman" w:hAnsi="Times New Roman" w:cs="Times New Roman"/>
                      <w:color w:val="auto"/>
                      <w:sz w:val="21"/>
                      <w:szCs w:val="21"/>
                    </w:rPr>
                  </w:pPr>
                </w:p>
              </w:tc>
              <w:tc>
                <w:tcPr>
                  <w:tcW w:w="1824" w:type="dxa"/>
                  <w:gridSpan w:val="4"/>
                  <w:vMerge w:val="continue"/>
                  <w:shd w:val="clear" w:color="auto" w:fill="auto"/>
                  <w:vAlign w:val="center"/>
                </w:tcPr>
                <w:p w14:paraId="45902542">
                  <w:pPr>
                    <w:spacing w:line="276" w:lineRule="auto"/>
                    <w:jc w:val="center"/>
                    <w:rPr>
                      <w:rFonts w:hint="default" w:ascii="Times New Roman" w:hAnsi="Times New Roman" w:cs="Times New Roman"/>
                      <w:color w:val="auto"/>
                      <w:sz w:val="21"/>
                      <w:szCs w:val="21"/>
                    </w:rPr>
                  </w:pPr>
                </w:p>
              </w:tc>
              <w:tc>
                <w:tcPr>
                  <w:tcW w:w="3649" w:type="dxa"/>
                  <w:gridSpan w:val="2"/>
                  <w:vMerge w:val="continue"/>
                  <w:shd w:val="clear" w:color="auto" w:fill="auto"/>
                  <w:vAlign w:val="center"/>
                </w:tcPr>
                <w:p w14:paraId="60D57976">
                  <w:pPr>
                    <w:spacing w:line="276" w:lineRule="auto"/>
                    <w:jc w:val="center"/>
                    <w:rPr>
                      <w:rFonts w:hint="default" w:ascii="Times New Roman" w:hAnsi="Times New Roman" w:cs="Times New Roman"/>
                      <w:color w:val="auto"/>
                      <w:sz w:val="21"/>
                      <w:szCs w:val="21"/>
                    </w:rPr>
                  </w:pPr>
                </w:p>
              </w:tc>
              <w:tc>
                <w:tcPr>
                  <w:tcW w:w="1196" w:type="dxa"/>
                  <w:gridSpan w:val="3"/>
                  <w:shd w:val="clear" w:color="auto" w:fill="auto"/>
                  <w:vAlign w:val="center"/>
                </w:tcPr>
                <w:p w14:paraId="73B5FFDD">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施工期</w:t>
                  </w:r>
                </w:p>
              </w:tc>
              <w:tc>
                <w:tcPr>
                  <w:tcW w:w="1150" w:type="dxa"/>
                  <w:gridSpan w:val="2"/>
                  <w:shd w:val="clear" w:color="auto" w:fill="auto"/>
                  <w:vAlign w:val="center"/>
                </w:tcPr>
                <w:p w14:paraId="37E0960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营运期</w:t>
                  </w:r>
                </w:p>
              </w:tc>
              <w:tc>
                <w:tcPr>
                  <w:tcW w:w="1142" w:type="dxa"/>
                  <w:gridSpan w:val="2"/>
                  <w:vMerge w:val="continue"/>
                  <w:shd w:val="clear" w:color="auto" w:fill="auto"/>
                  <w:vAlign w:val="center"/>
                </w:tcPr>
                <w:p w14:paraId="6E32024D">
                  <w:pPr>
                    <w:spacing w:line="276" w:lineRule="auto"/>
                    <w:jc w:val="center"/>
                    <w:rPr>
                      <w:rFonts w:hint="default" w:ascii="Times New Roman" w:hAnsi="Times New Roman" w:cs="Times New Roman"/>
                      <w:color w:val="auto"/>
                      <w:sz w:val="21"/>
                      <w:szCs w:val="21"/>
                    </w:rPr>
                  </w:pPr>
                </w:p>
              </w:tc>
            </w:tr>
            <w:tr w14:paraId="6313C4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trHeight w:val="421" w:hRule="atLeast"/>
                <w:jc w:val="center"/>
              </w:trPr>
              <w:tc>
                <w:tcPr>
                  <w:tcW w:w="9636" w:type="dxa"/>
                  <w:gridSpan w:val="14"/>
                  <w:shd w:val="clear" w:color="auto" w:fill="auto"/>
                  <w:vAlign w:val="center"/>
                </w:tcPr>
                <w:p w14:paraId="233AFCE3">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一期建设内容</w:t>
                  </w:r>
                </w:p>
              </w:tc>
            </w:tr>
            <w:tr w14:paraId="613824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trHeight w:val="1012" w:hRule="atLeast"/>
                <w:jc w:val="center"/>
              </w:trPr>
              <w:tc>
                <w:tcPr>
                  <w:tcW w:w="675" w:type="dxa"/>
                  <w:shd w:val="clear" w:color="auto" w:fill="auto"/>
                  <w:vAlign w:val="center"/>
                </w:tcPr>
                <w:p w14:paraId="33D9AF5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主体工程</w:t>
                  </w:r>
                </w:p>
              </w:tc>
              <w:tc>
                <w:tcPr>
                  <w:tcW w:w="1824" w:type="dxa"/>
                  <w:gridSpan w:val="4"/>
                  <w:shd w:val="clear" w:color="auto" w:fill="auto"/>
                  <w:vAlign w:val="center"/>
                </w:tcPr>
                <w:p w14:paraId="36278005">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1#车间</w:t>
                  </w:r>
                </w:p>
              </w:tc>
              <w:tc>
                <w:tcPr>
                  <w:tcW w:w="3649" w:type="dxa"/>
                  <w:gridSpan w:val="2"/>
                  <w:shd w:val="clear" w:color="auto" w:fill="auto"/>
                  <w:vAlign w:val="center"/>
                </w:tcPr>
                <w:p w14:paraId="3CB543D2">
                  <w:pPr>
                    <w:spacing w:before="240" w:line="276" w:lineRule="auto"/>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1F钢框架结构，建筑面积7256.6m</w:t>
                  </w:r>
                  <w:r>
                    <w:rPr>
                      <w:rFonts w:hint="eastAsia" w:cs="Times New Roman"/>
                      <w:color w:val="auto"/>
                      <w:sz w:val="21"/>
                      <w:szCs w:val="21"/>
                      <w:vertAlign w:val="superscript"/>
                      <w:lang w:val="en-US" w:eastAsia="zh-CN"/>
                    </w:rPr>
                    <w:t>2</w:t>
                  </w:r>
                  <w:r>
                    <w:rPr>
                      <w:rFonts w:hint="eastAsia" w:cs="Times New Roman"/>
                      <w:color w:val="auto"/>
                      <w:sz w:val="21"/>
                      <w:szCs w:val="21"/>
                      <w:lang w:val="en-US" w:eastAsia="zh-CN"/>
                    </w:rPr>
                    <w:t>；内设为吹注塑车间（1200m</w:t>
                  </w:r>
                  <w:r>
                    <w:rPr>
                      <w:rFonts w:hint="eastAsia" w:cs="Times New Roman"/>
                      <w:color w:val="auto"/>
                      <w:sz w:val="21"/>
                      <w:szCs w:val="21"/>
                      <w:vertAlign w:val="superscript"/>
                      <w:lang w:val="en-US" w:eastAsia="zh-CN"/>
                    </w:rPr>
                    <w:t>2</w:t>
                  </w:r>
                  <w:r>
                    <w:rPr>
                      <w:rFonts w:hint="eastAsia" w:cs="Times New Roman"/>
                      <w:color w:val="auto"/>
                      <w:sz w:val="21"/>
                      <w:szCs w:val="21"/>
                      <w:lang w:val="en-US" w:eastAsia="zh-CN"/>
                    </w:rPr>
                    <w:t>）、空滤车间（1200m</w:t>
                  </w:r>
                  <w:r>
                    <w:rPr>
                      <w:rFonts w:hint="eastAsia" w:cs="Times New Roman"/>
                      <w:color w:val="auto"/>
                      <w:sz w:val="21"/>
                      <w:szCs w:val="21"/>
                      <w:vertAlign w:val="superscript"/>
                      <w:lang w:val="en-US" w:eastAsia="zh-CN"/>
                    </w:rPr>
                    <w:t>2</w:t>
                  </w:r>
                  <w:r>
                    <w:rPr>
                      <w:rFonts w:hint="eastAsia" w:cs="Times New Roman"/>
                      <w:color w:val="auto"/>
                      <w:sz w:val="21"/>
                      <w:szCs w:val="21"/>
                      <w:lang w:val="en-US" w:eastAsia="zh-CN"/>
                    </w:rPr>
                    <w:t>）和总装车间（1200m</w:t>
                  </w:r>
                  <w:r>
                    <w:rPr>
                      <w:rFonts w:hint="eastAsia" w:cs="Times New Roman"/>
                      <w:color w:val="auto"/>
                      <w:sz w:val="21"/>
                      <w:szCs w:val="21"/>
                      <w:vertAlign w:val="superscript"/>
                      <w:lang w:val="en-US" w:eastAsia="zh-CN"/>
                    </w:rPr>
                    <w:t>2</w:t>
                  </w:r>
                  <w:r>
                    <w:rPr>
                      <w:rFonts w:hint="eastAsia" w:cs="Times New Roman"/>
                      <w:color w:val="auto"/>
                      <w:sz w:val="21"/>
                      <w:szCs w:val="21"/>
                      <w:lang w:val="en-US" w:eastAsia="zh-CN"/>
                    </w:rPr>
                    <w:t>）。新建商用车空滤器、进气道、尿素罐生产线</w:t>
                  </w:r>
                </w:p>
              </w:tc>
              <w:tc>
                <w:tcPr>
                  <w:tcW w:w="1196" w:type="dxa"/>
                  <w:gridSpan w:val="3"/>
                  <w:vMerge w:val="restart"/>
                  <w:shd w:val="clear" w:color="auto" w:fill="auto"/>
                  <w:vAlign w:val="center"/>
                </w:tcPr>
                <w:p w14:paraId="4BF58A3C">
                  <w:pPr>
                    <w:spacing w:line="276" w:lineRule="auto"/>
                    <w:jc w:val="center"/>
                    <w:rPr>
                      <w:rFonts w:hint="default" w:ascii="Times New Roman" w:hAnsi="Times New Roman" w:cs="Times New Roman"/>
                    </w:rPr>
                  </w:pPr>
                  <w:r>
                    <w:rPr>
                      <w:rFonts w:hint="default" w:ascii="Times New Roman" w:hAnsi="Times New Roman" w:cs="Times New Roman"/>
                    </w:rPr>
                    <w:t>施工噪声</w:t>
                  </w:r>
                </w:p>
                <w:p w14:paraId="4A363926">
                  <w:pPr>
                    <w:spacing w:line="276" w:lineRule="auto"/>
                    <w:jc w:val="center"/>
                    <w:rPr>
                      <w:rFonts w:hint="default" w:ascii="Times New Roman" w:hAnsi="Times New Roman" w:cs="Times New Roman"/>
                    </w:rPr>
                  </w:pPr>
                  <w:r>
                    <w:rPr>
                      <w:rFonts w:hint="default" w:ascii="Times New Roman" w:hAnsi="Times New Roman" w:cs="Times New Roman"/>
                    </w:rPr>
                    <w:t>施工废水</w:t>
                  </w:r>
                </w:p>
                <w:p w14:paraId="4F49108F">
                  <w:pPr>
                    <w:spacing w:line="276" w:lineRule="auto"/>
                    <w:jc w:val="center"/>
                    <w:rPr>
                      <w:rFonts w:hint="default" w:ascii="Times New Roman" w:hAnsi="Times New Roman" w:cs="Times New Roman"/>
                    </w:rPr>
                  </w:pPr>
                  <w:r>
                    <w:rPr>
                      <w:rFonts w:hint="default" w:ascii="Times New Roman" w:hAnsi="Times New Roman" w:cs="Times New Roman"/>
                    </w:rPr>
                    <w:t>建筑废渣</w:t>
                  </w:r>
                </w:p>
                <w:p w14:paraId="3F89CAFA">
                  <w:pPr>
                    <w:spacing w:line="276" w:lineRule="auto"/>
                    <w:jc w:val="center"/>
                    <w:rPr>
                      <w:rFonts w:hint="default" w:ascii="Times New Roman" w:hAnsi="Times New Roman" w:cs="Times New Roman"/>
                    </w:rPr>
                  </w:pPr>
                  <w:r>
                    <w:rPr>
                      <w:rFonts w:hint="default" w:ascii="Times New Roman" w:hAnsi="Times New Roman" w:cs="Times New Roman"/>
                    </w:rPr>
                    <w:t>生活垃圾</w:t>
                  </w:r>
                </w:p>
                <w:p w14:paraId="6EB88D00">
                  <w:pPr>
                    <w:spacing w:line="276" w:lineRule="auto"/>
                    <w:jc w:val="center"/>
                    <w:rPr>
                      <w:rFonts w:hint="default" w:ascii="Times New Roman" w:hAnsi="Times New Roman" w:cs="Times New Roman"/>
                    </w:rPr>
                  </w:pPr>
                  <w:r>
                    <w:rPr>
                      <w:rFonts w:hint="default" w:ascii="Times New Roman" w:hAnsi="Times New Roman" w:cs="Times New Roman"/>
                    </w:rPr>
                    <w:t>施工扬尘</w:t>
                  </w:r>
                </w:p>
              </w:tc>
              <w:tc>
                <w:tcPr>
                  <w:tcW w:w="1150" w:type="dxa"/>
                  <w:gridSpan w:val="2"/>
                  <w:shd w:val="clear" w:color="auto" w:fill="auto"/>
                  <w:vAlign w:val="center"/>
                </w:tcPr>
                <w:p w14:paraId="11F16B48">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废气</w:t>
                  </w:r>
                  <w:r>
                    <w:rPr>
                      <w:rFonts w:hint="default" w:ascii="Times New Roman" w:hAnsi="Times New Roman" w:cs="Times New Roman"/>
                      <w:color w:val="auto"/>
                      <w:sz w:val="21"/>
                      <w:szCs w:val="21"/>
                      <w:lang w:val="en-US" w:eastAsia="zh-CN"/>
                    </w:rPr>
                    <w:t>、噪声、固废</w:t>
                  </w:r>
                </w:p>
              </w:tc>
              <w:tc>
                <w:tcPr>
                  <w:tcW w:w="1142" w:type="dxa"/>
                  <w:gridSpan w:val="2"/>
                  <w:shd w:val="clear" w:color="auto" w:fill="auto"/>
                  <w:vAlign w:val="center"/>
                </w:tcPr>
                <w:p w14:paraId="1E11A770">
                  <w:pPr>
                    <w:spacing w:line="276" w:lineRule="auto"/>
                    <w:jc w:val="center"/>
                    <w:rPr>
                      <w:rFonts w:hint="default" w:ascii="Times New Roman" w:hAnsi="Times New Roman" w:cs="Times New Roman"/>
                      <w:color w:val="auto"/>
                      <w:sz w:val="21"/>
                      <w:szCs w:val="21"/>
                      <w:lang w:val="en-US" w:eastAsia="zh-CN"/>
                    </w:rPr>
                  </w:pPr>
                </w:p>
              </w:tc>
            </w:tr>
            <w:tr w14:paraId="57F5C7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trHeight w:val="533" w:hRule="atLeast"/>
                <w:jc w:val="center"/>
              </w:trPr>
              <w:tc>
                <w:tcPr>
                  <w:tcW w:w="675" w:type="dxa"/>
                  <w:shd w:val="clear" w:color="auto" w:fill="auto"/>
                  <w:vAlign w:val="center"/>
                </w:tcPr>
                <w:p w14:paraId="751E24A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办公生活设施</w:t>
                  </w:r>
                </w:p>
              </w:tc>
              <w:tc>
                <w:tcPr>
                  <w:tcW w:w="1824" w:type="dxa"/>
                  <w:gridSpan w:val="4"/>
                  <w:shd w:val="clear" w:color="auto" w:fill="auto"/>
                  <w:vAlign w:val="center"/>
                </w:tcPr>
                <w:p w14:paraId="3E814DDF">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临时办公用房</w:t>
                  </w:r>
                </w:p>
              </w:tc>
              <w:tc>
                <w:tcPr>
                  <w:tcW w:w="3649" w:type="dxa"/>
                  <w:gridSpan w:val="2"/>
                  <w:shd w:val="clear" w:color="auto" w:fill="auto"/>
                  <w:vAlign w:val="center"/>
                </w:tcPr>
                <w:p w14:paraId="14170D20">
                  <w:pPr>
                    <w:spacing w:line="276" w:lineRule="auto"/>
                    <w:rPr>
                      <w:rFonts w:hint="eastAsia"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占地面积</w:t>
                  </w:r>
                  <w:r>
                    <w:rPr>
                      <w:rFonts w:hint="eastAsia" w:cs="Times New Roman"/>
                      <w:color w:val="auto"/>
                      <w:sz w:val="21"/>
                      <w:szCs w:val="21"/>
                      <w:lang w:val="en-US" w:eastAsia="zh-CN"/>
                    </w:rPr>
                    <w:t>500</w:t>
                  </w:r>
                  <w:r>
                    <w:rPr>
                      <w:rFonts w:hint="default" w:ascii="Times New Roman" w:hAnsi="Times New Roman" w:cs="Times New Roman"/>
                      <w:color w:val="auto"/>
                      <w:sz w:val="21"/>
                      <w:szCs w:val="21"/>
                    </w:rPr>
                    <w:t>m</w:t>
                  </w:r>
                  <w:r>
                    <w:rPr>
                      <w:rFonts w:hint="default" w:ascii="Times New Roman" w:hAnsi="Times New Roman" w:cs="Times New Roman"/>
                      <w:color w:val="auto"/>
                      <w:sz w:val="21"/>
                      <w:szCs w:val="21"/>
                      <w:vertAlign w:val="superscript"/>
                    </w:rPr>
                    <w:t>2</w:t>
                  </w:r>
                  <w:r>
                    <w:rPr>
                      <w:rFonts w:hint="default" w:ascii="Times New Roman" w:hAnsi="Times New Roman" w:cs="Times New Roman"/>
                      <w:color w:val="auto"/>
                      <w:sz w:val="21"/>
                      <w:szCs w:val="21"/>
                    </w:rPr>
                    <w:t>，</w:t>
                  </w:r>
                  <w:r>
                    <w:rPr>
                      <w:rFonts w:hint="eastAsia" w:cs="Times New Roman"/>
                      <w:color w:val="auto"/>
                      <w:sz w:val="21"/>
                      <w:szCs w:val="21"/>
                      <w:lang w:val="en-US" w:eastAsia="zh-CN"/>
                    </w:rPr>
                    <w:t>临时</w:t>
                  </w:r>
                  <w:r>
                    <w:rPr>
                      <w:rFonts w:hint="default" w:ascii="Times New Roman" w:hAnsi="Times New Roman" w:cs="Times New Roman"/>
                      <w:color w:val="auto"/>
                      <w:sz w:val="21"/>
                      <w:szCs w:val="21"/>
                    </w:rPr>
                    <w:t>用于项目经营管理人员办公等</w:t>
                  </w:r>
                  <w:r>
                    <w:rPr>
                      <w:rFonts w:hint="eastAsia" w:cs="Times New Roman"/>
                      <w:color w:val="auto"/>
                      <w:sz w:val="21"/>
                      <w:szCs w:val="21"/>
                      <w:lang w:eastAsia="zh-CN"/>
                    </w:rPr>
                    <w:t>，</w:t>
                  </w:r>
                  <w:r>
                    <w:rPr>
                      <w:rFonts w:hint="eastAsia" w:cs="Times New Roman"/>
                      <w:color w:val="auto"/>
                      <w:sz w:val="21"/>
                      <w:szCs w:val="21"/>
                      <w:lang w:val="en-US" w:eastAsia="zh-CN"/>
                    </w:rPr>
                    <w:t>位于厂区东侧</w:t>
                  </w:r>
                </w:p>
              </w:tc>
              <w:tc>
                <w:tcPr>
                  <w:tcW w:w="1196" w:type="dxa"/>
                  <w:gridSpan w:val="3"/>
                  <w:vMerge w:val="continue"/>
                  <w:shd w:val="clear" w:color="auto" w:fill="auto"/>
                  <w:vAlign w:val="center"/>
                </w:tcPr>
                <w:p w14:paraId="7B708A60">
                  <w:pPr>
                    <w:spacing w:line="276" w:lineRule="auto"/>
                    <w:jc w:val="center"/>
                    <w:rPr>
                      <w:rFonts w:hint="default" w:ascii="Times New Roman" w:hAnsi="Times New Roman" w:cs="Times New Roman"/>
                    </w:rPr>
                  </w:pPr>
                </w:p>
              </w:tc>
              <w:tc>
                <w:tcPr>
                  <w:tcW w:w="1150" w:type="dxa"/>
                  <w:gridSpan w:val="2"/>
                  <w:shd w:val="clear" w:color="auto" w:fill="auto"/>
                  <w:vAlign w:val="center"/>
                </w:tcPr>
                <w:p w14:paraId="4D81AEE7">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生活污水</w:t>
                  </w:r>
                </w:p>
                <w:p w14:paraId="04A09DCB">
                  <w:pPr>
                    <w:spacing w:line="276" w:lineRule="auto"/>
                    <w:jc w:val="center"/>
                    <w:rPr>
                      <w:rFonts w:hint="eastAsia"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生活垃圾</w:t>
                  </w:r>
                </w:p>
              </w:tc>
              <w:tc>
                <w:tcPr>
                  <w:tcW w:w="1142" w:type="dxa"/>
                  <w:gridSpan w:val="2"/>
                  <w:shd w:val="clear" w:color="auto" w:fill="auto"/>
                  <w:vAlign w:val="center"/>
                </w:tcPr>
                <w:p w14:paraId="4519536A">
                  <w:pPr>
                    <w:spacing w:line="276" w:lineRule="auto"/>
                    <w:jc w:val="center"/>
                    <w:rPr>
                      <w:rFonts w:hint="default" w:ascii="Times New Roman" w:hAnsi="Times New Roman" w:eastAsia="宋体" w:cs="Times New Roman"/>
                      <w:color w:val="auto"/>
                      <w:sz w:val="21"/>
                      <w:szCs w:val="21"/>
                      <w:lang w:eastAsia="zh-CN"/>
                    </w:rPr>
                  </w:pPr>
                </w:p>
              </w:tc>
            </w:tr>
            <w:tr w14:paraId="22E5E9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trHeight w:val="167" w:hRule="atLeast"/>
                <w:jc w:val="center"/>
              </w:trPr>
              <w:tc>
                <w:tcPr>
                  <w:tcW w:w="675" w:type="dxa"/>
                  <w:shd w:val="clear" w:color="auto" w:fill="auto"/>
                  <w:vAlign w:val="center"/>
                </w:tcPr>
                <w:p w14:paraId="78E9F39B">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辅助工程</w:t>
                  </w:r>
                </w:p>
              </w:tc>
              <w:tc>
                <w:tcPr>
                  <w:tcW w:w="1824" w:type="dxa"/>
                  <w:gridSpan w:val="4"/>
                  <w:shd w:val="clear" w:color="auto" w:fill="auto"/>
                  <w:vAlign w:val="center"/>
                </w:tcPr>
                <w:p w14:paraId="73252D61">
                  <w:pPr>
                    <w:spacing w:line="276" w:lineRule="auto"/>
                    <w:jc w:val="center"/>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eastAsia="zh-CN"/>
                    </w:rPr>
                    <w:t>配电房</w:t>
                  </w:r>
                </w:p>
              </w:tc>
              <w:tc>
                <w:tcPr>
                  <w:tcW w:w="3649" w:type="dxa"/>
                  <w:gridSpan w:val="2"/>
                  <w:shd w:val="clear" w:color="auto" w:fill="auto"/>
                  <w:vAlign w:val="center"/>
                </w:tcPr>
                <w:p w14:paraId="649E386D">
                  <w:pPr>
                    <w:spacing w:line="276" w:lineRule="auto"/>
                    <w:rPr>
                      <w:rFonts w:hint="default" w:ascii="Times New Roman" w:hAnsi="Times New Roman" w:eastAsia="宋体" w:cs="Times New Roman"/>
                      <w:color w:val="auto"/>
                      <w:sz w:val="21"/>
                      <w:szCs w:val="21"/>
                      <w:lang w:eastAsia="zh-CN"/>
                    </w:rPr>
                  </w:pPr>
                  <w:r>
                    <w:rPr>
                      <w:rFonts w:hint="eastAsia" w:cs="Times New Roman"/>
                      <w:color w:val="auto"/>
                      <w:sz w:val="21"/>
                      <w:szCs w:val="21"/>
                      <w:lang w:val="en-US" w:eastAsia="zh-CN"/>
                    </w:rPr>
                    <w:t>新建配电房一座</w:t>
                  </w:r>
                  <w:r>
                    <w:rPr>
                      <w:rFonts w:hint="eastAsia" w:ascii="Times New Roman" w:hAnsi="Times New Roman" w:cs="Times New Roman"/>
                      <w:color w:val="auto"/>
                      <w:sz w:val="21"/>
                      <w:szCs w:val="21"/>
                      <w:lang w:eastAsia="zh-CN"/>
                    </w:rPr>
                    <w:t>；</w:t>
                  </w:r>
                </w:p>
              </w:tc>
              <w:tc>
                <w:tcPr>
                  <w:tcW w:w="1196" w:type="dxa"/>
                  <w:gridSpan w:val="3"/>
                  <w:vMerge w:val="continue"/>
                  <w:shd w:val="clear" w:color="auto" w:fill="auto"/>
                  <w:vAlign w:val="center"/>
                </w:tcPr>
                <w:p w14:paraId="29623359">
                  <w:pPr>
                    <w:spacing w:line="276" w:lineRule="auto"/>
                    <w:jc w:val="center"/>
                    <w:rPr>
                      <w:rFonts w:hint="default" w:ascii="Times New Roman" w:hAnsi="Times New Roman" w:cs="Times New Roman"/>
                      <w:color w:val="auto"/>
                      <w:sz w:val="21"/>
                      <w:szCs w:val="21"/>
                    </w:rPr>
                  </w:pPr>
                </w:p>
              </w:tc>
              <w:tc>
                <w:tcPr>
                  <w:tcW w:w="1150" w:type="dxa"/>
                  <w:gridSpan w:val="2"/>
                  <w:shd w:val="clear" w:color="auto" w:fill="auto"/>
                  <w:vAlign w:val="center"/>
                </w:tcPr>
                <w:p w14:paraId="7663F993">
                  <w:pPr>
                    <w:spacing w:before="240"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噪声</w:t>
                  </w:r>
                </w:p>
              </w:tc>
              <w:tc>
                <w:tcPr>
                  <w:tcW w:w="1142" w:type="dxa"/>
                  <w:gridSpan w:val="2"/>
                  <w:shd w:val="clear" w:color="auto" w:fill="auto"/>
                  <w:vAlign w:val="center"/>
                </w:tcPr>
                <w:p w14:paraId="28232CEA">
                  <w:pPr>
                    <w:spacing w:line="276" w:lineRule="auto"/>
                    <w:jc w:val="center"/>
                    <w:rPr>
                      <w:rFonts w:hint="default" w:ascii="Times New Roman" w:hAnsi="Times New Roman" w:eastAsia="宋体" w:cs="Times New Roman"/>
                      <w:color w:val="auto"/>
                      <w:sz w:val="21"/>
                      <w:szCs w:val="21"/>
                      <w:lang w:eastAsia="zh-CN"/>
                    </w:rPr>
                  </w:pPr>
                </w:p>
              </w:tc>
            </w:tr>
            <w:tr w14:paraId="135269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jc w:val="center"/>
              </w:trPr>
              <w:tc>
                <w:tcPr>
                  <w:tcW w:w="675" w:type="dxa"/>
                  <w:vMerge w:val="restart"/>
                  <w:shd w:val="clear" w:color="auto" w:fill="auto"/>
                  <w:vAlign w:val="center"/>
                </w:tcPr>
                <w:p w14:paraId="45542269">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仓储工程</w:t>
                  </w:r>
                </w:p>
              </w:tc>
              <w:tc>
                <w:tcPr>
                  <w:tcW w:w="1824" w:type="dxa"/>
                  <w:gridSpan w:val="4"/>
                  <w:shd w:val="clear" w:color="auto" w:fill="auto"/>
                  <w:vAlign w:val="center"/>
                </w:tcPr>
                <w:p w14:paraId="3D95CC5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商用车注吹塑原材料库</w:t>
                  </w:r>
                </w:p>
              </w:tc>
              <w:tc>
                <w:tcPr>
                  <w:tcW w:w="3649" w:type="dxa"/>
                  <w:gridSpan w:val="2"/>
                  <w:shd w:val="clear" w:color="auto" w:fill="auto"/>
                  <w:vAlign w:val="center"/>
                </w:tcPr>
                <w:p w14:paraId="7EB5B11D">
                  <w:pPr>
                    <w:spacing w:line="276" w:lineRule="auto"/>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位于1#车间东北侧，面积600m</w:t>
                  </w:r>
                  <w:r>
                    <w:rPr>
                      <w:rFonts w:hint="eastAsia" w:cs="Times New Roman"/>
                      <w:color w:val="auto"/>
                      <w:sz w:val="21"/>
                      <w:szCs w:val="21"/>
                      <w:vertAlign w:val="superscript"/>
                      <w:lang w:val="en-US" w:eastAsia="zh-CN"/>
                    </w:rPr>
                    <w:t>2</w:t>
                  </w:r>
                </w:p>
              </w:tc>
              <w:tc>
                <w:tcPr>
                  <w:tcW w:w="1196" w:type="dxa"/>
                  <w:gridSpan w:val="3"/>
                  <w:vMerge w:val="continue"/>
                  <w:shd w:val="clear" w:color="auto" w:fill="auto"/>
                  <w:vAlign w:val="center"/>
                </w:tcPr>
                <w:p w14:paraId="7BF95F8E">
                  <w:pPr>
                    <w:spacing w:line="276" w:lineRule="auto"/>
                    <w:jc w:val="center"/>
                    <w:rPr>
                      <w:rFonts w:hint="default" w:ascii="Times New Roman" w:hAnsi="Times New Roman" w:cs="Times New Roman"/>
                      <w:color w:val="auto"/>
                      <w:sz w:val="21"/>
                      <w:szCs w:val="21"/>
                    </w:rPr>
                  </w:pPr>
                </w:p>
              </w:tc>
              <w:tc>
                <w:tcPr>
                  <w:tcW w:w="1150" w:type="dxa"/>
                  <w:gridSpan w:val="2"/>
                  <w:vMerge w:val="restart"/>
                  <w:shd w:val="clear" w:color="auto" w:fill="auto"/>
                  <w:vAlign w:val="center"/>
                </w:tcPr>
                <w:p w14:paraId="21188279">
                  <w:pPr>
                    <w:spacing w:line="276"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固废</w:t>
                  </w:r>
                </w:p>
              </w:tc>
              <w:tc>
                <w:tcPr>
                  <w:tcW w:w="1142" w:type="dxa"/>
                  <w:gridSpan w:val="2"/>
                  <w:vMerge w:val="restart"/>
                  <w:shd w:val="clear" w:color="auto" w:fill="auto"/>
                  <w:vAlign w:val="center"/>
                </w:tcPr>
                <w:p w14:paraId="7F54ED4B">
                  <w:pPr>
                    <w:spacing w:line="276" w:lineRule="auto"/>
                    <w:jc w:val="center"/>
                    <w:rPr>
                      <w:rFonts w:hint="default" w:ascii="Times New Roman" w:hAnsi="Times New Roman" w:cs="Times New Roman"/>
                      <w:color w:val="auto"/>
                      <w:sz w:val="21"/>
                      <w:szCs w:val="21"/>
                      <w:lang w:val="en-US" w:eastAsia="zh-CN"/>
                    </w:rPr>
                  </w:pPr>
                </w:p>
              </w:tc>
            </w:tr>
            <w:tr w14:paraId="5241FB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jc w:val="center"/>
              </w:trPr>
              <w:tc>
                <w:tcPr>
                  <w:tcW w:w="675" w:type="dxa"/>
                  <w:vMerge w:val="continue"/>
                  <w:shd w:val="clear" w:color="auto" w:fill="auto"/>
                  <w:vAlign w:val="center"/>
                </w:tcPr>
                <w:p w14:paraId="309EA3B6">
                  <w:pPr>
                    <w:spacing w:line="276" w:lineRule="auto"/>
                    <w:jc w:val="center"/>
                    <w:rPr>
                      <w:rFonts w:hint="default" w:ascii="Times New Roman" w:hAnsi="Times New Roman" w:cs="Times New Roman"/>
                      <w:color w:val="auto"/>
                      <w:sz w:val="21"/>
                      <w:szCs w:val="21"/>
                    </w:rPr>
                  </w:pPr>
                </w:p>
              </w:tc>
              <w:tc>
                <w:tcPr>
                  <w:tcW w:w="1824" w:type="dxa"/>
                  <w:gridSpan w:val="4"/>
                  <w:shd w:val="clear" w:color="auto" w:fill="auto"/>
                  <w:vAlign w:val="center"/>
                </w:tcPr>
                <w:p w14:paraId="3FCF97F0">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商用车</w:t>
                  </w:r>
                  <w:r>
                    <w:rPr>
                      <w:rFonts w:hint="default" w:ascii="Times New Roman" w:hAnsi="Times New Roman" w:cs="Times New Roman"/>
                      <w:color w:val="auto"/>
                      <w:sz w:val="21"/>
                      <w:szCs w:val="21"/>
                      <w:lang w:eastAsia="zh-CN"/>
                    </w:rPr>
                    <w:t>注吹塑半成品库</w:t>
                  </w:r>
                </w:p>
              </w:tc>
              <w:tc>
                <w:tcPr>
                  <w:tcW w:w="3649" w:type="dxa"/>
                  <w:gridSpan w:val="2"/>
                  <w:shd w:val="clear" w:color="auto" w:fill="auto"/>
                  <w:vAlign w:val="center"/>
                </w:tcPr>
                <w:p w14:paraId="5D00961E">
                  <w:pPr>
                    <w:spacing w:line="276" w:lineRule="auto"/>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位于1#车间</w:t>
                  </w:r>
                  <w:r>
                    <w:rPr>
                      <w:rFonts w:hint="eastAsia" w:cs="Times New Roman"/>
                      <w:color w:val="auto"/>
                      <w:sz w:val="21"/>
                      <w:szCs w:val="21"/>
                      <w:lang w:val="en-US" w:eastAsia="zh-CN"/>
                    </w:rPr>
                    <w:t>中部靠东北侧</w:t>
                  </w:r>
                  <w:r>
                    <w:rPr>
                      <w:rFonts w:hint="default" w:ascii="Times New Roman" w:hAnsi="Times New Roman" w:cs="Times New Roman"/>
                      <w:color w:val="auto"/>
                      <w:sz w:val="21"/>
                      <w:szCs w:val="21"/>
                      <w:lang w:val="en-US" w:eastAsia="zh-CN"/>
                    </w:rPr>
                    <w:t>，面积</w:t>
                  </w:r>
                  <w:r>
                    <w:rPr>
                      <w:rFonts w:hint="eastAsia" w:cs="Times New Roman"/>
                      <w:color w:val="auto"/>
                      <w:sz w:val="21"/>
                      <w:szCs w:val="21"/>
                      <w:lang w:val="en-US" w:eastAsia="zh-CN"/>
                    </w:rPr>
                    <w:t>6</w:t>
                  </w:r>
                  <w:r>
                    <w:rPr>
                      <w:rFonts w:hint="default" w:ascii="Times New Roman" w:hAnsi="Times New Roman" w:cs="Times New Roman"/>
                      <w:color w:val="auto"/>
                      <w:sz w:val="21"/>
                      <w:szCs w:val="21"/>
                      <w:lang w:val="en-US" w:eastAsia="zh-CN"/>
                    </w:rPr>
                    <w:t>00m</w:t>
                  </w:r>
                  <w:r>
                    <w:rPr>
                      <w:rFonts w:hint="default" w:ascii="Times New Roman" w:hAnsi="Times New Roman" w:cs="Times New Roman"/>
                      <w:color w:val="auto"/>
                      <w:sz w:val="21"/>
                      <w:szCs w:val="21"/>
                      <w:vertAlign w:val="superscript"/>
                      <w:lang w:val="en-US" w:eastAsia="zh-CN"/>
                    </w:rPr>
                    <w:t>2</w:t>
                  </w:r>
                </w:p>
              </w:tc>
              <w:tc>
                <w:tcPr>
                  <w:tcW w:w="1196" w:type="dxa"/>
                  <w:gridSpan w:val="3"/>
                  <w:vMerge w:val="continue"/>
                  <w:shd w:val="clear" w:color="auto" w:fill="auto"/>
                  <w:vAlign w:val="center"/>
                </w:tcPr>
                <w:p w14:paraId="2DE30DF3">
                  <w:pPr>
                    <w:spacing w:line="276" w:lineRule="auto"/>
                    <w:jc w:val="center"/>
                    <w:rPr>
                      <w:rFonts w:hint="default" w:ascii="Times New Roman" w:hAnsi="Times New Roman" w:cs="Times New Roman"/>
                      <w:color w:val="auto"/>
                      <w:sz w:val="21"/>
                      <w:szCs w:val="21"/>
                    </w:rPr>
                  </w:pPr>
                </w:p>
              </w:tc>
              <w:tc>
                <w:tcPr>
                  <w:tcW w:w="1150" w:type="dxa"/>
                  <w:gridSpan w:val="2"/>
                  <w:vMerge w:val="continue"/>
                  <w:shd w:val="clear" w:color="auto" w:fill="auto"/>
                  <w:vAlign w:val="center"/>
                </w:tcPr>
                <w:p w14:paraId="233A3799">
                  <w:pPr>
                    <w:spacing w:line="276" w:lineRule="auto"/>
                    <w:jc w:val="center"/>
                    <w:rPr>
                      <w:rFonts w:hint="default" w:ascii="Times New Roman" w:hAnsi="Times New Roman" w:eastAsia="宋体" w:cs="Times New Roman"/>
                      <w:color w:val="auto"/>
                      <w:sz w:val="21"/>
                      <w:szCs w:val="21"/>
                      <w:lang w:eastAsia="zh-CN"/>
                    </w:rPr>
                  </w:pPr>
                </w:p>
              </w:tc>
              <w:tc>
                <w:tcPr>
                  <w:tcW w:w="1142" w:type="dxa"/>
                  <w:gridSpan w:val="2"/>
                  <w:vMerge w:val="continue"/>
                  <w:shd w:val="clear" w:color="auto" w:fill="auto"/>
                  <w:vAlign w:val="center"/>
                </w:tcPr>
                <w:p w14:paraId="4C484FB4">
                  <w:pPr>
                    <w:spacing w:line="276" w:lineRule="auto"/>
                    <w:jc w:val="center"/>
                    <w:rPr>
                      <w:rFonts w:hint="default" w:ascii="Times New Roman" w:hAnsi="Times New Roman" w:cs="Times New Roman"/>
                      <w:color w:val="auto"/>
                      <w:sz w:val="21"/>
                      <w:szCs w:val="21"/>
                      <w:lang w:val="en-US" w:eastAsia="zh-CN"/>
                    </w:rPr>
                  </w:pPr>
                </w:p>
              </w:tc>
            </w:tr>
            <w:tr w14:paraId="304AD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jc w:val="center"/>
              </w:trPr>
              <w:tc>
                <w:tcPr>
                  <w:tcW w:w="675" w:type="dxa"/>
                  <w:vMerge w:val="continue"/>
                  <w:shd w:val="clear" w:color="auto" w:fill="auto"/>
                  <w:vAlign w:val="center"/>
                </w:tcPr>
                <w:p w14:paraId="2015278D">
                  <w:pPr>
                    <w:spacing w:line="276" w:lineRule="auto"/>
                    <w:jc w:val="center"/>
                    <w:rPr>
                      <w:rFonts w:hint="default" w:ascii="Times New Roman" w:hAnsi="Times New Roman" w:cs="Times New Roman"/>
                      <w:color w:val="auto"/>
                      <w:sz w:val="21"/>
                      <w:szCs w:val="21"/>
                    </w:rPr>
                  </w:pPr>
                </w:p>
              </w:tc>
              <w:tc>
                <w:tcPr>
                  <w:tcW w:w="1824" w:type="dxa"/>
                  <w:gridSpan w:val="4"/>
                  <w:shd w:val="clear" w:color="auto" w:fill="auto"/>
                  <w:vAlign w:val="center"/>
                </w:tcPr>
                <w:p w14:paraId="3FDD5BC6">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商用车</w:t>
                  </w:r>
                  <w:r>
                    <w:rPr>
                      <w:rFonts w:hint="default" w:ascii="Times New Roman" w:hAnsi="Times New Roman" w:cs="Times New Roman"/>
                      <w:color w:val="auto"/>
                      <w:sz w:val="21"/>
                      <w:szCs w:val="21"/>
                      <w:lang w:val="en-US" w:eastAsia="zh-CN"/>
                    </w:rPr>
                    <w:t>滤芯原材料库</w:t>
                  </w:r>
                </w:p>
              </w:tc>
              <w:tc>
                <w:tcPr>
                  <w:tcW w:w="3649" w:type="dxa"/>
                  <w:gridSpan w:val="2"/>
                  <w:shd w:val="clear" w:color="auto" w:fill="auto"/>
                  <w:vAlign w:val="center"/>
                </w:tcPr>
                <w:p w14:paraId="6D7B206D">
                  <w:pPr>
                    <w:spacing w:line="276" w:lineRule="auto"/>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位于1#车间中部靠</w:t>
                  </w:r>
                  <w:r>
                    <w:rPr>
                      <w:rFonts w:hint="eastAsia" w:cs="Times New Roman"/>
                      <w:color w:val="auto"/>
                      <w:sz w:val="21"/>
                      <w:szCs w:val="21"/>
                      <w:lang w:val="en-US" w:eastAsia="zh-CN"/>
                    </w:rPr>
                    <w:t>东</w:t>
                  </w:r>
                  <w:r>
                    <w:rPr>
                      <w:rFonts w:hint="default" w:ascii="Times New Roman" w:hAnsi="Times New Roman" w:cs="Times New Roman"/>
                      <w:color w:val="auto"/>
                      <w:sz w:val="21"/>
                      <w:szCs w:val="21"/>
                      <w:lang w:val="en-US" w:eastAsia="zh-CN"/>
                    </w:rPr>
                    <w:t>，面积</w:t>
                  </w:r>
                  <w:r>
                    <w:rPr>
                      <w:rFonts w:hint="eastAsia" w:cs="Times New Roman"/>
                      <w:color w:val="auto"/>
                      <w:sz w:val="21"/>
                      <w:szCs w:val="21"/>
                      <w:lang w:val="en-US" w:eastAsia="zh-CN"/>
                    </w:rPr>
                    <w:t>6</w:t>
                  </w:r>
                  <w:r>
                    <w:rPr>
                      <w:rFonts w:hint="default" w:ascii="Times New Roman" w:hAnsi="Times New Roman" w:cs="Times New Roman"/>
                      <w:color w:val="auto"/>
                      <w:sz w:val="21"/>
                      <w:szCs w:val="21"/>
                      <w:lang w:val="en-US" w:eastAsia="zh-CN"/>
                    </w:rPr>
                    <w:t>00m</w:t>
                  </w:r>
                  <w:r>
                    <w:rPr>
                      <w:rFonts w:hint="default" w:ascii="Times New Roman" w:hAnsi="Times New Roman" w:cs="Times New Roman"/>
                      <w:color w:val="auto"/>
                      <w:sz w:val="21"/>
                      <w:szCs w:val="21"/>
                      <w:vertAlign w:val="superscript"/>
                      <w:lang w:val="en-US" w:eastAsia="zh-CN"/>
                    </w:rPr>
                    <w:t>2</w:t>
                  </w:r>
                </w:p>
              </w:tc>
              <w:tc>
                <w:tcPr>
                  <w:tcW w:w="1196" w:type="dxa"/>
                  <w:gridSpan w:val="3"/>
                  <w:vMerge w:val="continue"/>
                  <w:shd w:val="clear" w:color="auto" w:fill="auto"/>
                  <w:vAlign w:val="center"/>
                </w:tcPr>
                <w:p w14:paraId="46FE222D">
                  <w:pPr>
                    <w:spacing w:line="276" w:lineRule="auto"/>
                    <w:jc w:val="center"/>
                    <w:rPr>
                      <w:rFonts w:hint="default" w:ascii="Times New Roman" w:hAnsi="Times New Roman" w:cs="Times New Roman"/>
                      <w:color w:val="auto"/>
                      <w:sz w:val="21"/>
                      <w:szCs w:val="21"/>
                    </w:rPr>
                  </w:pPr>
                </w:p>
              </w:tc>
              <w:tc>
                <w:tcPr>
                  <w:tcW w:w="1150" w:type="dxa"/>
                  <w:gridSpan w:val="2"/>
                  <w:vMerge w:val="continue"/>
                  <w:shd w:val="clear" w:color="auto" w:fill="auto"/>
                  <w:vAlign w:val="center"/>
                </w:tcPr>
                <w:p w14:paraId="02799086">
                  <w:pPr>
                    <w:spacing w:line="276" w:lineRule="auto"/>
                    <w:jc w:val="center"/>
                    <w:rPr>
                      <w:rFonts w:hint="default" w:ascii="Times New Roman" w:hAnsi="Times New Roman" w:cs="Times New Roman"/>
                      <w:color w:val="auto"/>
                      <w:sz w:val="21"/>
                      <w:szCs w:val="21"/>
                      <w:lang w:val="en-US" w:eastAsia="zh-CN"/>
                    </w:rPr>
                  </w:pPr>
                </w:p>
              </w:tc>
              <w:tc>
                <w:tcPr>
                  <w:tcW w:w="1142" w:type="dxa"/>
                  <w:gridSpan w:val="2"/>
                  <w:vMerge w:val="continue"/>
                  <w:shd w:val="clear" w:color="auto" w:fill="auto"/>
                  <w:vAlign w:val="center"/>
                </w:tcPr>
                <w:p w14:paraId="3B9D7F2A">
                  <w:pPr>
                    <w:spacing w:line="276" w:lineRule="auto"/>
                    <w:jc w:val="center"/>
                    <w:rPr>
                      <w:rFonts w:hint="default" w:ascii="Times New Roman" w:hAnsi="Times New Roman" w:cs="Times New Roman"/>
                      <w:color w:val="auto"/>
                      <w:sz w:val="21"/>
                      <w:szCs w:val="21"/>
                      <w:lang w:val="en-US" w:eastAsia="zh-CN"/>
                    </w:rPr>
                  </w:pPr>
                </w:p>
              </w:tc>
            </w:tr>
            <w:tr w14:paraId="52362C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jc w:val="center"/>
              </w:trPr>
              <w:tc>
                <w:tcPr>
                  <w:tcW w:w="675" w:type="dxa"/>
                  <w:vMerge w:val="continue"/>
                  <w:shd w:val="clear" w:color="auto" w:fill="auto"/>
                  <w:vAlign w:val="center"/>
                </w:tcPr>
                <w:p w14:paraId="21A8311F">
                  <w:pPr>
                    <w:spacing w:line="276" w:lineRule="auto"/>
                    <w:jc w:val="center"/>
                    <w:rPr>
                      <w:rFonts w:hint="default" w:ascii="Times New Roman" w:hAnsi="Times New Roman" w:cs="Times New Roman"/>
                      <w:color w:val="auto"/>
                      <w:sz w:val="21"/>
                      <w:szCs w:val="21"/>
                    </w:rPr>
                  </w:pPr>
                </w:p>
              </w:tc>
              <w:tc>
                <w:tcPr>
                  <w:tcW w:w="1824" w:type="dxa"/>
                  <w:gridSpan w:val="4"/>
                  <w:shd w:val="clear" w:color="auto" w:fill="auto"/>
                  <w:vAlign w:val="center"/>
                </w:tcPr>
                <w:p w14:paraId="4E9A635C">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商用车</w:t>
                  </w:r>
                  <w:r>
                    <w:rPr>
                      <w:rFonts w:hint="default" w:ascii="Times New Roman" w:hAnsi="Times New Roman" w:cs="Times New Roman"/>
                      <w:color w:val="auto"/>
                      <w:sz w:val="21"/>
                      <w:szCs w:val="21"/>
                      <w:lang w:val="en-US" w:eastAsia="zh-CN"/>
                    </w:rPr>
                    <w:t>滤芯半成品库</w:t>
                  </w:r>
                </w:p>
              </w:tc>
              <w:tc>
                <w:tcPr>
                  <w:tcW w:w="3649" w:type="dxa"/>
                  <w:gridSpan w:val="2"/>
                  <w:shd w:val="clear" w:color="auto" w:fill="auto"/>
                  <w:vAlign w:val="center"/>
                </w:tcPr>
                <w:p w14:paraId="654CC38D">
                  <w:pPr>
                    <w:spacing w:line="276" w:lineRule="auto"/>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位于1#车间中部靠</w:t>
                  </w:r>
                  <w:r>
                    <w:rPr>
                      <w:rFonts w:hint="eastAsia" w:cs="Times New Roman"/>
                      <w:color w:val="auto"/>
                      <w:sz w:val="21"/>
                      <w:szCs w:val="21"/>
                      <w:lang w:val="en-US" w:eastAsia="zh-CN"/>
                    </w:rPr>
                    <w:t>西</w:t>
                  </w:r>
                  <w:r>
                    <w:rPr>
                      <w:rFonts w:hint="default" w:ascii="Times New Roman" w:hAnsi="Times New Roman" w:cs="Times New Roman"/>
                      <w:color w:val="auto"/>
                      <w:sz w:val="21"/>
                      <w:szCs w:val="21"/>
                      <w:lang w:val="en-US" w:eastAsia="zh-CN"/>
                    </w:rPr>
                    <w:t>，面积</w:t>
                  </w:r>
                  <w:r>
                    <w:rPr>
                      <w:rFonts w:hint="eastAsia" w:cs="Times New Roman"/>
                      <w:color w:val="auto"/>
                      <w:sz w:val="21"/>
                      <w:szCs w:val="21"/>
                      <w:lang w:val="en-US" w:eastAsia="zh-CN"/>
                    </w:rPr>
                    <w:t>6</w:t>
                  </w:r>
                  <w:r>
                    <w:rPr>
                      <w:rFonts w:hint="default" w:ascii="Times New Roman" w:hAnsi="Times New Roman" w:cs="Times New Roman"/>
                      <w:color w:val="auto"/>
                      <w:sz w:val="21"/>
                      <w:szCs w:val="21"/>
                      <w:lang w:val="en-US" w:eastAsia="zh-CN"/>
                    </w:rPr>
                    <w:t>00m</w:t>
                  </w:r>
                  <w:r>
                    <w:rPr>
                      <w:rFonts w:hint="default" w:ascii="Times New Roman" w:hAnsi="Times New Roman" w:cs="Times New Roman"/>
                      <w:color w:val="auto"/>
                      <w:sz w:val="21"/>
                      <w:szCs w:val="21"/>
                      <w:vertAlign w:val="superscript"/>
                      <w:lang w:val="en-US" w:eastAsia="zh-CN"/>
                    </w:rPr>
                    <w:t>2</w:t>
                  </w:r>
                </w:p>
              </w:tc>
              <w:tc>
                <w:tcPr>
                  <w:tcW w:w="1196" w:type="dxa"/>
                  <w:gridSpan w:val="3"/>
                  <w:vMerge w:val="continue"/>
                  <w:shd w:val="clear" w:color="auto" w:fill="auto"/>
                  <w:vAlign w:val="center"/>
                </w:tcPr>
                <w:p w14:paraId="3275B38C">
                  <w:pPr>
                    <w:spacing w:line="276" w:lineRule="auto"/>
                    <w:jc w:val="center"/>
                    <w:rPr>
                      <w:rFonts w:hint="default" w:ascii="Times New Roman" w:hAnsi="Times New Roman" w:cs="Times New Roman"/>
                      <w:color w:val="auto"/>
                      <w:sz w:val="21"/>
                      <w:szCs w:val="21"/>
                    </w:rPr>
                  </w:pPr>
                </w:p>
              </w:tc>
              <w:tc>
                <w:tcPr>
                  <w:tcW w:w="1150" w:type="dxa"/>
                  <w:gridSpan w:val="2"/>
                  <w:vMerge w:val="continue"/>
                  <w:shd w:val="clear" w:color="auto" w:fill="auto"/>
                  <w:vAlign w:val="center"/>
                </w:tcPr>
                <w:p w14:paraId="232E15D1">
                  <w:pPr>
                    <w:spacing w:line="276" w:lineRule="auto"/>
                    <w:jc w:val="center"/>
                    <w:rPr>
                      <w:rFonts w:hint="default" w:ascii="Times New Roman" w:hAnsi="Times New Roman" w:cs="Times New Roman"/>
                      <w:color w:val="auto"/>
                      <w:sz w:val="21"/>
                      <w:szCs w:val="21"/>
                      <w:lang w:val="en-US" w:eastAsia="zh-CN"/>
                    </w:rPr>
                  </w:pPr>
                </w:p>
              </w:tc>
              <w:tc>
                <w:tcPr>
                  <w:tcW w:w="1142" w:type="dxa"/>
                  <w:gridSpan w:val="2"/>
                  <w:vMerge w:val="continue"/>
                  <w:shd w:val="clear" w:color="auto" w:fill="auto"/>
                  <w:vAlign w:val="center"/>
                </w:tcPr>
                <w:p w14:paraId="7962E94F">
                  <w:pPr>
                    <w:spacing w:line="276" w:lineRule="auto"/>
                    <w:jc w:val="center"/>
                    <w:rPr>
                      <w:rFonts w:hint="default" w:ascii="Times New Roman" w:hAnsi="Times New Roman" w:cs="Times New Roman"/>
                      <w:color w:val="auto"/>
                      <w:sz w:val="21"/>
                      <w:szCs w:val="21"/>
                      <w:lang w:val="en-US" w:eastAsia="zh-CN"/>
                    </w:rPr>
                  </w:pPr>
                </w:p>
              </w:tc>
            </w:tr>
            <w:tr w14:paraId="7F0E5F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jc w:val="center"/>
              </w:trPr>
              <w:tc>
                <w:tcPr>
                  <w:tcW w:w="675" w:type="dxa"/>
                  <w:vMerge w:val="continue"/>
                  <w:shd w:val="clear" w:color="auto" w:fill="auto"/>
                  <w:vAlign w:val="center"/>
                </w:tcPr>
                <w:p w14:paraId="1154E162">
                  <w:pPr>
                    <w:spacing w:line="276" w:lineRule="auto"/>
                    <w:jc w:val="center"/>
                    <w:rPr>
                      <w:rFonts w:hint="default" w:ascii="Times New Roman" w:hAnsi="Times New Roman" w:cs="Times New Roman"/>
                      <w:color w:val="auto"/>
                      <w:sz w:val="21"/>
                      <w:szCs w:val="21"/>
                    </w:rPr>
                  </w:pPr>
                </w:p>
              </w:tc>
              <w:tc>
                <w:tcPr>
                  <w:tcW w:w="1824" w:type="dxa"/>
                  <w:gridSpan w:val="4"/>
                  <w:shd w:val="clear" w:color="auto" w:fill="auto"/>
                  <w:vAlign w:val="center"/>
                </w:tcPr>
                <w:p w14:paraId="7F04351F">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总装成品库</w:t>
                  </w:r>
                </w:p>
              </w:tc>
              <w:tc>
                <w:tcPr>
                  <w:tcW w:w="3649" w:type="dxa"/>
                  <w:gridSpan w:val="2"/>
                  <w:shd w:val="clear" w:color="auto" w:fill="auto"/>
                  <w:vAlign w:val="center"/>
                </w:tcPr>
                <w:p w14:paraId="7DF94527">
                  <w:pPr>
                    <w:spacing w:line="276" w:lineRule="auto"/>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位于1#车间</w:t>
                  </w:r>
                  <w:r>
                    <w:rPr>
                      <w:rFonts w:hint="eastAsia" w:cs="Times New Roman"/>
                      <w:color w:val="auto"/>
                      <w:sz w:val="21"/>
                      <w:szCs w:val="21"/>
                      <w:lang w:val="en-US" w:eastAsia="zh-CN"/>
                    </w:rPr>
                    <w:t>西北侧</w:t>
                  </w:r>
                  <w:r>
                    <w:rPr>
                      <w:rFonts w:hint="default" w:ascii="Times New Roman" w:hAnsi="Times New Roman" w:cs="Times New Roman"/>
                      <w:color w:val="auto"/>
                      <w:sz w:val="21"/>
                      <w:szCs w:val="21"/>
                      <w:lang w:val="en-US" w:eastAsia="zh-CN"/>
                    </w:rPr>
                    <w:t>，面积</w:t>
                  </w:r>
                  <w:r>
                    <w:rPr>
                      <w:rFonts w:hint="eastAsia" w:cs="Times New Roman"/>
                      <w:color w:val="auto"/>
                      <w:sz w:val="21"/>
                      <w:szCs w:val="21"/>
                      <w:lang w:val="en-US" w:eastAsia="zh-CN"/>
                    </w:rPr>
                    <w:t>12</w:t>
                  </w:r>
                  <w:r>
                    <w:rPr>
                      <w:rFonts w:hint="default" w:ascii="Times New Roman" w:hAnsi="Times New Roman" w:cs="Times New Roman"/>
                      <w:color w:val="auto"/>
                      <w:sz w:val="21"/>
                      <w:szCs w:val="21"/>
                      <w:lang w:val="en-US" w:eastAsia="zh-CN"/>
                    </w:rPr>
                    <w:t>00m</w:t>
                  </w:r>
                  <w:r>
                    <w:rPr>
                      <w:rFonts w:hint="default" w:ascii="Times New Roman" w:hAnsi="Times New Roman" w:cs="Times New Roman"/>
                      <w:color w:val="auto"/>
                      <w:sz w:val="21"/>
                      <w:szCs w:val="21"/>
                      <w:vertAlign w:val="superscript"/>
                      <w:lang w:val="en-US" w:eastAsia="zh-CN"/>
                    </w:rPr>
                    <w:t>2</w:t>
                  </w:r>
                </w:p>
              </w:tc>
              <w:tc>
                <w:tcPr>
                  <w:tcW w:w="1196" w:type="dxa"/>
                  <w:gridSpan w:val="3"/>
                  <w:vMerge w:val="continue"/>
                  <w:shd w:val="clear" w:color="auto" w:fill="auto"/>
                  <w:vAlign w:val="center"/>
                </w:tcPr>
                <w:p w14:paraId="72C2B80C">
                  <w:pPr>
                    <w:spacing w:line="276" w:lineRule="auto"/>
                    <w:jc w:val="center"/>
                    <w:rPr>
                      <w:rFonts w:hint="default" w:ascii="Times New Roman" w:hAnsi="Times New Roman" w:cs="Times New Roman"/>
                      <w:color w:val="auto"/>
                      <w:sz w:val="21"/>
                      <w:szCs w:val="21"/>
                    </w:rPr>
                  </w:pPr>
                </w:p>
              </w:tc>
              <w:tc>
                <w:tcPr>
                  <w:tcW w:w="1150" w:type="dxa"/>
                  <w:gridSpan w:val="2"/>
                  <w:vMerge w:val="continue"/>
                  <w:shd w:val="clear" w:color="auto" w:fill="auto"/>
                  <w:vAlign w:val="center"/>
                </w:tcPr>
                <w:p w14:paraId="7C933ABB">
                  <w:pPr>
                    <w:spacing w:line="276" w:lineRule="auto"/>
                    <w:jc w:val="center"/>
                    <w:rPr>
                      <w:rFonts w:hint="default" w:ascii="Times New Roman" w:hAnsi="Times New Roman" w:cs="Times New Roman"/>
                      <w:color w:val="auto"/>
                      <w:sz w:val="21"/>
                      <w:szCs w:val="21"/>
                      <w:lang w:val="en-US" w:eastAsia="zh-CN"/>
                    </w:rPr>
                  </w:pPr>
                </w:p>
              </w:tc>
              <w:tc>
                <w:tcPr>
                  <w:tcW w:w="1142" w:type="dxa"/>
                  <w:gridSpan w:val="2"/>
                  <w:vMerge w:val="continue"/>
                  <w:shd w:val="clear" w:color="auto" w:fill="auto"/>
                  <w:vAlign w:val="center"/>
                </w:tcPr>
                <w:p w14:paraId="3169E9D8">
                  <w:pPr>
                    <w:spacing w:line="276" w:lineRule="auto"/>
                    <w:jc w:val="center"/>
                    <w:rPr>
                      <w:rFonts w:hint="default" w:ascii="Times New Roman" w:hAnsi="Times New Roman" w:cs="Times New Roman"/>
                      <w:color w:val="auto"/>
                      <w:sz w:val="21"/>
                      <w:szCs w:val="21"/>
                      <w:lang w:val="en-US" w:eastAsia="zh-CN"/>
                    </w:rPr>
                  </w:pPr>
                </w:p>
              </w:tc>
            </w:tr>
            <w:tr w14:paraId="2FF7C5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jc w:val="center"/>
              </w:trPr>
              <w:tc>
                <w:tcPr>
                  <w:tcW w:w="675" w:type="dxa"/>
                  <w:vMerge w:val="restart"/>
                  <w:shd w:val="clear" w:color="auto" w:fill="auto"/>
                  <w:vAlign w:val="center"/>
                </w:tcPr>
                <w:p w14:paraId="570E3B6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公用工程</w:t>
                  </w:r>
                </w:p>
              </w:tc>
              <w:tc>
                <w:tcPr>
                  <w:tcW w:w="1824" w:type="dxa"/>
                  <w:gridSpan w:val="4"/>
                  <w:shd w:val="clear" w:color="auto" w:fill="auto"/>
                  <w:vAlign w:val="center"/>
                </w:tcPr>
                <w:p w14:paraId="387FD467">
                  <w:pPr>
                    <w:spacing w:line="276" w:lineRule="auto"/>
                    <w:jc w:val="center"/>
                    <w:rPr>
                      <w:rFonts w:hint="eastAsia"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供电</w:t>
                  </w:r>
                  <w:r>
                    <w:rPr>
                      <w:rFonts w:hint="eastAsia" w:cs="Times New Roman"/>
                      <w:color w:val="auto"/>
                      <w:sz w:val="21"/>
                      <w:szCs w:val="21"/>
                      <w:lang w:val="en-US" w:eastAsia="zh-CN"/>
                    </w:rPr>
                    <w:t>系统</w:t>
                  </w:r>
                </w:p>
              </w:tc>
              <w:tc>
                <w:tcPr>
                  <w:tcW w:w="3649" w:type="dxa"/>
                  <w:gridSpan w:val="2"/>
                  <w:shd w:val="clear" w:color="auto" w:fill="auto"/>
                  <w:vAlign w:val="center"/>
                </w:tcPr>
                <w:p w14:paraId="73E45510">
                  <w:pPr>
                    <w:spacing w:line="276" w:lineRule="auto"/>
                    <w:rPr>
                      <w:rFonts w:hint="default" w:ascii="Times New Roman" w:hAnsi="Times New Roman" w:eastAsia="宋体" w:cs="Times New Roman"/>
                      <w:color w:val="auto"/>
                      <w:sz w:val="21"/>
                      <w:szCs w:val="21"/>
                      <w:lang w:eastAsia="zh-CN"/>
                    </w:rPr>
                  </w:pPr>
                  <w:r>
                    <w:rPr>
                      <w:rFonts w:hint="eastAsia" w:cs="Times New Roman"/>
                      <w:color w:val="auto"/>
                      <w:sz w:val="21"/>
                      <w:szCs w:val="21"/>
                      <w:lang w:val="en-US" w:eastAsia="zh-CN"/>
                    </w:rPr>
                    <w:t>市政供电</w:t>
                  </w:r>
                </w:p>
              </w:tc>
              <w:tc>
                <w:tcPr>
                  <w:tcW w:w="1196" w:type="dxa"/>
                  <w:gridSpan w:val="3"/>
                  <w:vMerge w:val="continue"/>
                  <w:shd w:val="clear" w:color="auto" w:fill="auto"/>
                  <w:vAlign w:val="center"/>
                </w:tcPr>
                <w:p w14:paraId="05E6393A">
                  <w:pPr>
                    <w:spacing w:line="276" w:lineRule="auto"/>
                    <w:jc w:val="center"/>
                    <w:rPr>
                      <w:rFonts w:hint="default" w:ascii="Times New Roman" w:hAnsi="Times New Roman" w:cs="Times New Roman"/>
                      <w:color w:val="auto"/>
                      <w:sz w:val="21"/>
                      <w:szCs w:val="21"/>
                    </w:rPr>
                  </w:pPr>
                </w:p>
              </w:tc>
              <w:tc>
                <w:tcPr>
                  <w:tcW w:w="1150" w:type="dxa"/>
                  <w:gridSpan w:val="2"/>
                  <w:shd w:val="clear" w:color="auto" w:fill="auto"/>
                  <w:vAlign w:val="center"/>
                </w:tcPr>
                <w:p w14:paraId="2FD3064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1142" w:type="dxa"/>
                  <w:gridSpan w:val="2"/>
                  <w:vMerge w:val="restart"/>
                  <w:shd w:val="clear" w:color="auto" w:fill="auto"/>
                  <w:vAlign w:val="center"/>
                </w:tcPr>
                <w:p w14:paraId="2F39BE8D">
                  <w:pPr>
                    <w:spacing w:line="276" w:lineRule="auto"/>
                    <w:jc w:val="center"/>
                    <w:rPr>
                      <w:rFonts w:hint="default" w:ascii="Times New Roman" w:hAnsi="Times New Roman" w:eastAsia="宋体" w:cs="Times New Roman"/>
                      <w:color w:val="auto"/>
                      <w:sz w:val="21"/>
                      <w:szCs w:val="21"/>
                      <w:lang w:eastAsia="zh-CN"/>
                    </w:rPr>
                  </w:pPr>
                </w:p>
              </w:tc>
            </w:tr>
            <w:tr w14:paraId="1AEEA7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jc w:val="center"/>
              </w:trPr>
              <w:tc>
                <w:tcPr>
                  <w:tcW w:w="675" w:type="dxa"/>
                  <w:vMerge w:val="continue"/>
                  <w:shd w:val="clear" w:color="auto" w:fill="auto"/>
                  <w:vAlign w:val="center"/>
                </w:tcPr>
                <w:p w14:paraId="0D59440A">
                  <w:pPr>
                    <w:spacing w:line="276" w:lineRule="auto"/>
                    <w:jc w:val="center"/>
                    <w:rPr>
                      <w:rFonts w:hint="default" w:ascii="Times New Roman" w:hAnsi="Times New Roman" w:cs="Times New Roman"/>
                      <w:color w:val="auto"/>
                      <w:sz w:val="21"/>
                      <w:szCs w:val="21"/>
                    </w:rPr>
                  </w:pPr>
                </w:p>
              </w:tc>
              <w:tc>
                <w:tcPr>
                  <w:tcW w:w="1824" w:type="dxa"/>
                  <w:gridSpan w:val="4"/>
                  <w:shd w:val="clear" w:color="auto" w:fill="auto"/>
                  <w:vAlign w:val="center"/>
                </w:tcPr>
                <w:p w14:paraId="679A30D8">
                  <w:pPr>
                    <w:spacing w:line="276" w:lineRule="auto"/>
                    <w:jc w:val="center"/>
                    <w:rPr>
                      <w:rFonts w:hint="eastAsia"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供水</w:t>
                  </w:r>
                  <w:r>
                    <w:rPr>
                      <w:rFonts w:hint="eastAsia" w:cs="Times New Roman"/>
                      <w:color w:val="auto"/>
                      <w:sz w:val="21"/>
                      <w:szCs w:val="21"/>
                      <w:lang w:val="en-US" w:eastAsia="zh-CN"/>
                    </w:rPr>
                    <w:t>系统</w:t>
                  </w:r>
                </w:p>
              </w:tc>
              <w:tc>
                <w:tcPr>
                  <w:tcW w:w="3649" w:type="dxa"/>
                  <w:gridSpan w:val="2"/>
                  <w:shd w:val="clear" w:color="auto" w:fill="auto"/>
                  <w:vAlign w:val="center"/>
                </w:tcPr>
                <w:p w14:paraId="7BA6BD6D">
                  <w:pPr>
                    <w:spacing w:line="276" w:lineRule="auto"/>
                    <w:rPr>
                      <w:rFonts w:hint="default" w:ascii="Times New Roman" w:hAnsi="Times New Roman" w:cs="Times New Roman"/>
                      <w:color w:val="auto"/>
                      <w:sz w:val="21"/>
                      <w:szCs w:val="21"/>
                    </w:rPr>
                  </w:pPr>
                  <w:r>
                    <w:rPr>
                      <w:rFonts w:hint="eastAsia" w:cs="Times New Roman"/>
                      <w:color w:val="auto"/>
                      <w:sz w:val="21"/>
                      <w:szCs w:val="21"/>
                      <w:lang w:val="en-US" w:eastAsia="zh-CN"/>
                    </w:rPr>
                    <w:t>市政供水</w:t>
                  </w:r>
                </w:p>
              </w:tc>
              <w:tc>
                <w:tcPr>
                  <w:tcW w:w="1196" w:type="dxa"/>
                  <w:gridSpan w:val="3"/>
                  <w:vMerge w:val="continue"/>
                  <w:shd w:val="clear" w:color="auto" w:fill="auto"/>
                  <w:vAlign w:val="center"/>
                </w:tcPr>
                <w:p w14:paraId="52D0174F">
                  <w:pPr>
                    <w:spacing w:line="276" w:lineRule="auto"/>
                    <w:jc w:val="center"/>
                    <w:rPr>
                      <w:rFonts w:hint="default" w:ascii="Times New Roman" w:hAnsi="Times New Roman" w:cs="Times New Roman"/>
                      <w:color w:val="auto"/>
                      <w:sz w:val="21"/>
                      <w:szCs w:val="21"/>
                    </w:rPr>
                  </w:pPr>
                </w:p>
              </w:tc>
              <w:tc>
                <w:tcPr>
                  <w:tcW w:w="1150" w:type="dxa"/>
                  <w:gridSpan w:val="2"/>
                  <w:shd w:val="clear" w:color="auto" w:fill="auto"/>
                  <w:vAlign w:val="center"/>
                </w:tcPr>
                <w:p w14:paraId="0BACF1A2">
                  <w:pPr>
                    <w:spacing w:line="276" w:lineRule="auto"/>
                    <w:jc w:val="center"/>
                    <w:rPr>
                      <w:rFonts w:hint="eastAsia" w:ascii="Times New Roman" w:hAnsi="Times New Roman" w:eastAsia="宋体" w:cs="Times New Roman"/>
                      <w:color w:val="auto"/>
                      <w:sz w:val="21"/>
                      <w:szCs w:val="21"/>
                      <w:lang w:eastAsia="zh-CN"/>
                    </w:rPr>
                  </w:pPr>
                  <w:r>
                    <w:rPr>
                      <w:rFonts w:hint="eastAsia" w:cs="Times New Roman"/>
                      <w:color w:val="auto"/>
                      <w:sz w:val="21"/>
                      <w:szCs w:val="21"/>
                      <w:lang w:val="en-US" w:eastAsia="zh-CN"/>
                    </w:rPr>
                    <w:t>噪声</w:t>
                  </w:r>
                </w:p>
              </w:tc>
              <w:tc>
                <w:tcPr>
                  <w:tcW w:w="1142" w:type="dxa"/>
                  <w:gridSpan w:val="2"/>
                  <w:vMerge w:val="continue"/>
                  <w:shd w:val="clear" w:color="auto" w:fill="auto"/>
                  <w:vAlign w:val="center"/>
                </w:tcPr>
                <w:p w14:paraId="30F52400">
                  <w:pPr>
                    <w:spacing w:line="276" w:lineRule="auto"/>
                    <w:jc w:val="center"/>
                    <w:rPr>
                      <w:rFonts w:hint="default" w:ascii="Times New Roman" w:hAnsi="Times New Roman" w:eastAsia="宋体" w:cs="Times New Roman"/>
                      <w:color w:val="auto"/>
                      <w:sz w:val="21"/>
                      <w:szCs w:val="21"/>
                      <w:lang w:eastAsia="zh-CN"/>
                    </w:rPr>
                  </w:pPr>
                </w:p>
              </w:tc>
            </w:tr>
            <w:tr w14:paraId="73AD88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dxa"/>
                <w:jc w:val="center"/>
              </w:trPr>
              <w:tc>
                <w:tcPr>
                  <w:tcW w:w="675" w:type="dxa"/>
                  <w:vMerge w:val="continue"/>
                  <w:shd w:val="clear" w:color="auto" w:fill="auto"/>
                  <w:vAlign w:val="center"/>
                </w:tcPr>
                <w:p w14:paraId="72023DA8">
                  <w:pPr>
                    <w:spacing w:line="276" w:lineRule="auto"/>
                    <w:jc w:val="center"/>
                    <w:rPr>
                      <w:rFonts w:hint="default" w:ascii="Times New Roman" w:hAnsi="Times New Roman" w:cs="Times New Roman"/>
                      <w:color w:val="auto"/>
                      <w:sz w:val="21"/>
                      <w:szCs w:val="21"/>
                    </w:rPr>
                  </w:pPr>
                </w:p>
              </w:tc>
              <w:tc>
                <w:tcPr>
                  <w:tcW w:w="1824" w:type="dxa"/>
                  <w:gridSpan w:val="4"/>
                  <w:shd w:val="clear" w:color="auto" w:fill="auto"/>
                  <w:vAlign w:val="center"/>
                </w:tcPr>
                <w:p w14:paraId="2E0417F3">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排水系统</w:t>
                  </w:r>
                </w:p>
              </w:tc>
              <w:tc>
                <w:tcPr>
                  <w:tcW w:w="3649" w:type="dxa"/>
                  <w:gridSpan w:val="2"/>
                  <w:shd w:val="clear" w:color="auto" w:fill="auto"/>
                  <w:vAlign w:val="center"/>
                </w:tcPr>
                <w:p w14:paraId="271196A7">
                  <w:pPr>
                    <w:spacing w:line="276" w:lineRule="auto"/>
                    <w:rPr>
                      <w:rFonts w:hint="eastAsia" w:cs="Times New Roman"/>
                      <w:color w:val="auto"/>
                      <w:sz w:val="21"/>
                      <w:szCs w:val="21"/>
                      <w:lang w:val="en-US" w:eastAsia="zh-CN"/>
                    </w:rPr>
                  </w:pPr>
                  <w:r>
                    <w:rPr>
                      <w:rFonts w:hint="eastAsia" w:cs="Times New Roman"/>
                      <w:color w:val="auto"/>
                      <w:sz w:val="21"/>
                      <w:szCs w:val="21"/>
                      <w:lang w:val="en-US" w:eastAsia="zh-CN"/>
                    </w:rPr>
                    <w:t>雨污分流，设生活污水及雨水排水系统，废水由园区污水管网排至龙眼井污水处理厂处理达标后排至琼江</w:t>
                  </w:r>
                </w:p>
              </w:tc>
              <w:tc>
                <w:tcPr>
                  <w:tcW w:w="1196" w:type="dxa"/>
                  <w:gridSpan w:val="3"/>
                  <w:vMerge w:val="continue"/>
                  <w:shd w:val="clear" w:color="auto" w:fill="auto"/>
                  <w:vAlign w:val="center"/>
                </w:tcPr>
                <w:p w14:paraId="11DFDA0D">
                  <w:pPr>
                    <w:spacing w:line="276" w:lineRule="auto"/>
                    <w:jc w:val="center"/>
                    <w:rPr>
                      <w:rFonts w:hint="default" w:ascii="Times New Roman" w:hAnsi="Times New Roman" w:cs="Times New Roman"/>
                      <w:color w:val="auto"/>
                      <w:sz w:val="21"/>
                      <w:szCs w:val="21"/>
                    </w:rPr>
                  </w:pPr>
                </w:p>
              </w:tc>
              <w:tc>
                <w:tcPr>
                  <w:tcW w:w="1150" w:type="dxa"/>
                  <w:gridSpan w:val="2"/>
                  <w:shd w:val="clear" w:color="auto" w:fill="auto"/>
                  <w:vAlign w:val="center"/>
                </w:tcPr>
                <w:p w14:paraId="306D29C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1142" w:type="dxa"/>
                  <w:gridSpan w:val="2"/>
                  <w:vMerge w:val="continue"/>
                  <w:shd w:val="clear" w:color="auto" w:fill="auto"/>
                  <w:vAlign w:val="center"/>
                </w:tcPr>
                <w:p w14:paraId="423CD864">
                  <w:pPr>
                    <w:spacing w:line="276" w:lineRule="auto"/>
                    <w:jc w:val="center"/>
                    <w:rPr>
                      <w:rFonts w:hint="default" w:ascii="Times New Roman" w:hAnsi="Times New Roman" w:cs="Times New Roman"/>
                      <w:color w:val="auto"/>
                      <w:sz w:val="21"/>
                      <w:szCs w:val="21"/>
                      <w:lang w:eastAsia="zh-CN"/>
                    </w:rPr>
                  </w:pPr>
                </w:p>
              </w:tc>
            </w:tr>
            <w:tr w14:paraId="75E698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Merge w:val="restart"/>
                  <w:shd w:val="clear" w:color="auto" w:fill="auto"/>
                  <w:vAlign w:val="center"/>
                </w:tcPr>
                <w:p w14:paraId="3D02C41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环保工程</w:t>
                  </w:r>
                </w:p>
              </w:tc>
              <w:tc>
                <w:tcPr>
                  <w:tcW w:w="508" w:type="dxa"/>
                  <w:gridSpan w:val="2"/>
                  <w:shd w:val="clear" w:color="auto" w:fill="auto"/>
                  <w:vAlign w:val="center"/>
                </w:tcPr>
                <w:p w14:paraId="3E09DBC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废水</w:t>
                  </w:r>
                </w:p>
              </w:tc>
              <w:tc>
                <w:tcPr>
                  <w:tcW w:w="1317" w:type="dxa"/>
                  <w:gridSpan w:val="3"/>
                  <w:shd w:val="clear" w:color="auto" w:fill="auto"/>
                  <w:vAlign w:val="center"/>
                </w:tcPr>
                <w:p w14:paraId="3DB8E98B">
                  <w:pPr>
                    <w:spacing w:line="276" w:lineRule="auto"/>
                    <w:jc w:val="center"/>
                    <w:rPr>
                      <w:rFonts w:hint="default" w:ascii="Times New Roman" w:hAnsi="Times New Roman" w:eastAsia="宋体" w:cs="Times New Roman"/>
                      <w:color w:val="auto"/>
                      <w:sz w:val="21"/>
                      <w:szCs w:val="21"/>
                      <w:lang w:eastAsia="zh-CN"/>
                    </w:rPr>
                  </w:pPr>
                  <w:r>
                    <w:rPr>
                      <w:rFonts w:hint="eastAsia" w:cs="Times New Roman"/>
                      <w:color w:val="auto"/>
                      <w:sz w:val="21"/>
                      <w:szCs w:val="21"/>
                      <w:lang w:val="en-US" w:eastAsia="zh-CN"/>
                    </w:rPr>
                    <w:t>预处理</w:t>
                  </w:r>
                  <w:r>
                    <w:rPr>
                      <w:rFonts w:hint="default" w:ascii="Times New Roman" w:hAnsi="Times New Roman" w:cs="Times New Roman"/>
                      <w:color w:val="auto"/>
                      <w:sz w:val="21"/>
                      <w:szCs w:val="21"/>
                      <w:lang w:eastAsia="zh-CN"/>
                    </w:rPr>
                    <w:t>池、</w:t>
                  </w:r>
                </w:p>
              </w:tc>
              <w:tc>
                <w:tcPr>
                  <w:tcW w:w="3650" w:type="dxa"/>
                  <w:gridSpan w:val="3"/>
                  <w:shd w:val="clear" w:color="auto" w:fill="auto"/>
                  <w:vAlign w:val="center"/>
                </w:tcPr>
                <w:p w14:paraId="2CAC96C4">
                  <w:pPr>
                    <w:spacing w:line="276" w:lineRule="auto"/>
                    <w:rPr>
                      <w:rFonts w:hint="default" w:ascii="Times New Roman" w:hAnsi="Times New Roman" w:cs="Times New Roman"/>
                      <w:color w:val="auto"/>
                      <w:sz w:val="21"/>
                      <w:szCs w:val="21"/>
                    </w:rPr>
                  </w:pPr>
                  <w:r>
                    <w:rPr>
                      <w:rFonts w:hint="eastAsia" w:cs="Times New Roman"/>
                      <w:color w:val="auto"/>
                      <w:sz w:val="21"/>
                      <w:szCs w:val="21"/>
                      <w:lang w:val="en-US" w:eastAsia="zh-CN"/>
                    </w:rPr>
                    <w:t>新</w:t>
                  </w:r>
                  <w:r>
                    <w:rPr>
                      <w:rFonts w:hint="default" w:ascii="Times New Roman" w:hAnsi="Times New Roman" w:cs="Times New Roman"/>
                      <w:color w:val="auto"/>
                      <w:sz w:val="21"/>
                      <w:szCs w:val="21"/>
                      <w:lang w:eastAsia="zh-CN"/>
                    </w:rPr>
                    <w:t>建</w:t>
                  </w:r>
                  <w:r>
                    <w:rPr>
                      <w:rFonts w:hint="eastAsia" w:cs="Times New Roman"/>
                      <w:color w:val="auto"/>
                      <w:sz w:val="21"/>
                      <w:szCs w:val="21"/>
                      <w:lang w:val="en-US" w:eastAsia="zh-CN"/>
                    </w:rPr>
                    <w:t>预处理</w:t>
                  </w:r>
                  <w:r>
                    <w:rPr>
                      <w:rFonts w:hint="default" w:ascii="Times New Roman" w:hAnsi="Times New Roman" w:cs="Times New Roman"/>
                      <w:color w:val="auto"/>
                      <w:sz w:val="21"/>
                      <w:szCs w:val="21"/>
                      <w:lang w:eastAsia="zh-CN"/>
                    </w:rPr>
                    <w:t>池</w:t>
                  </w:r>
                  <w:r>
                    <w:rPr>
                      <w:rFonts w:hint="default" w:ascii="Times New Roman" w:hAnsi="Times New Roman" w:cs="Times New Roman"/>
                      <w:color w:val="auto"/>
                      <w:sz w:val="21"/>
                      <w:szCs w:val="21"/>
                    </w:rPr>
                    <w:t>1个</w:t>
                  </w:r>
                  <w:r>
                    <w:rPr>
                      <w:rFonts w:hint="eastAsia" w:cs="Times New Roman"/>
                      <w:color w:val="auto"/>
                      <w:sz w:val="21"/>
                      <w:szCs w:val="21"/>
                      <w:lang w:eastAsia="zh-CN"/>
                    </w:rPr>
                    <w:t>（</w:t>
                  </w:r>
                  <w:r>
                    <w:rPr>
                      <w:rFonts w:hint="eastAsia" w:cs="Times New Roman"/>
                      <w:color w:val="auto"/>
                      <w:sz w:val="21"/>
                      <w:szCs w:val="21"/>
                      <w:lang w:val="en-US" w:eastAsia="zh-CN"/>
                    </w:rPr>
                    <w:t>一期建设</w:t>
                  </w:r>
                  <w:r>
                    <w:rPr>
                      <w:rFonts w:hint="eastAsia" w:cs="Times New Roman"/>
                      <w:color w:val="auto"/>
                      <w:sz w:val="21"/>
                      <w:szCs w:val="21"/>
                      <w:lang w:eastAsia="zh-CN"/>
                    </w:rPr>
                    <w:t>）</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eastAsia="zh-CN"/>
                    </w:rPr>
                    <w:t>有效</w:t>
                  </w:r>
                  <w:r>
                    <w:rPr>
                      <w:rFonts w:hint="default" w:ascii="Times New Roman" w:hAnsi="Times New Roman" w:cs="Times New Roman"/>
                      <w:color w:val="auto"/>
                      <w:sz w:val="21"/>
                      <w:szCs w:val="21"/>
                    </w:rPr>
                    <w:t>容积</w:t>
                  </w:r>
                  <w:r>
                    <w:rPr>
                      <w:rFonts w:hint="eastAsia" w:cs="Times New Roman"/>
                      <w:color w:val="auto"/>
                      <w:sz w:val="21"/>
                      <w:szCs w:val="21"/>
                      <w:lang w:val="en-US" w:eastAsia="zh-CN"/>
                    </w:rPr>
                    <w:t>2</w:t>
                  </w:r>
                  <w:r>
                    <w:rPr>
                      <w:rFonts w:hint="default" w:ascii="Times New Roman" w:hAnsi="Times New Roman" w:cs="Times New Roman"/>
                      <w:color w:val="auto"/>
                      <w:sz w:val="21"/>
                      <w:szCs w:val="21"/>
                      <w:lang w:val="en-US" w:eastAsia="zh-CN"/>
                    </w:rPr>
                    <w:t>0</w:t>
                  </w:r>
                  <w:r>
                    <w:rPr>
                      <w:rFonts w:hint="default" w:ascii="Times New Roman" w:hAnsi="Times New Roman" w:cs="Times New Roman"/>
                      <w:color w:val="auto"/>
                      <w:sz w:val="21"/>
                      <w:szCs w:val="21"/>
                    </w:rPr>
                    <w:t>m</w:t>
                  </w:r>
                  <w:r>
                    <w:rPr>
                      <w:rFonts w:hint="default" w:ascii="Times New Roman" w:hAnsi="Times New Roman" w:cs="Times New Roman"/>
                      <w:color w:val="auto"/>
                      <w:sz w:val="21"/>
                      <w:szCs w:val="21"/>
                      <w:vertAlign w:val="superscript"/>
                    </w:rPr>
                    <w:t>3</w:t>
                  </w:r>
                  <w:r>
                    <w:rPr>
                      <w:rFonts w:hint="default" w:ascii="Times New Roman" w:hAnsi="Times New Roman" w:cs="Times New Roman"/>
                      <w:color w:val="auto"/>
                      <w:sz w:val="21"/>
                      <w:szCs w:val="21"/>
                      <w:vertAlign w:val="baseline"/>
                      <w:lang w:eastAsia="zh-CN"/>
                    </w:rPr>
                    <w:t>；</w:t>
                  </w:r>
                </w:p>
              </w:tc>
              <w:tc>
                <w:tcPr>
                  <w:tcW w:w="1195" w:type="dxa"/>
                  <w:gridSpan w:val="2"/>
                  <w:vMerge w:val="continue"/>
                  <w:shd w:val="clear" w:color="auto" w:fill="auto"/>
                  <w:vAlign w:val="center"/>
                </w:tcPr>
                <w:p w14:paraId="44BEED00">
                  <w:pPr>
                    <w:spacing w:line="276" w:lineRule="auto"/>
                    <w:jc w:val="center"/>
                    <w:rPr>
                      <w:rFonts w:hint="default" w:ascii="Times New Roman" w:hAnsi="Times New Roman" w:cs="Times New Roman"/>
                      <w:color w:val="auto"/>
                      <w:sz w:val="21"/>
                      <w:szCs w:val="21"/>
                    </w:rPr>
                  </w:pPr>
                </w:p>
              </w:tc>
              <w:tc>
                <w:tcPr>
                  <w:tcW w:w="1151" w:type="dxa"/>
                  <w:gridSpan w:val="2"/>
                  <w:shd w:val="clear" w:color="auto" w:fill="auto"/>
                  <w:vAlign w:val="center"/>
                </w:tcPr>
                <w:p w14:paraId="1AFF982C">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废水、污泥</w:t>
                  </w:r>
                </w:p>
              </w:tc>
              <w:tc>
                <w:tcPr>
                  <w:tcW w:w="1142" w:type="dxa"/>
                  <w:gridSpan w:val="2"/>
                  <w:shd w:val="clear" w:color="auto" w:fill="auto"/>
                  <w:vAlign w:val="center"/>
                </w:tcPr>
                <w:p w14:paraId="31459118">
                  <w:pPr>
                    <w:spacing w:line="276" w:lineRule="auto"/>
                    <w:jc w:val="center"/>
                    <w:rPr>
                      <w:rFonts w:hint="default" w:ascii="Times New Roman" w:hAnsi="Times New Roman" w:eastAsia="宋体" w:cs="Times New Roman"/>
                      <w:color w:val="auto"/>
                      <w:sz w:val="21"/>
                      <w:szCs w:val="21"/>
                      <w:lang w:eastAsia="zh-CN"/>
                    </w:rPr>
                  </w:pPr>
                </w:p>
              </w:tc>
            </w:tr>
            <w:tr w14:paraId="320F60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675" w:type="dxa"/>
                  <w:vMerge w:val="continue"/>
                  <w:shd w:val="clear" w:color="auto" w:fill="auto"/>
                  <w:vAlign w:val="center"/>
                </w:tcPr>
                <w:p w14:paraId="0F55F573">
                  <w:pPr>
                    <w:spacing w:line="276" w:lineRule="auto"/>
                    <w:jc w:val="center"/>
                    <w:rPr>
                      <w:rFonts w:hint="default" w:ascii="Times New Roman" w:hAnsi="Times New Roman" w:cs="Times New Roman"/>
                      <w:color w:val="auto"/>
                      <w:sz w:val="21"/>
                      <w:szCs w:val="21"/>
                    </w:rPr>
                  </w:pPr>
                </w:p>
              </w:tc>
              <w:tc>
                <w:tcPr>
                  <w:tcW w:w="508" w:type="dxa"/>
                  <w:gridSpan w:val="2"/>
                  <w:shd w:val="clear" w:color="auto" w:fill="auto"/>
                  <w:vAlign w:val="center"/>
                </w:tcPr>
                <w:p w14:paraId="5984A7CB">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废气</w:t>
                  </w:r>
                </w:p>
              </w:tc>
              <w:tc>
                <w:tcPr>
                  <w:tcW w:w="1317" w:type="dxa"/>
                  <w:gridSpan w:val="3"/>
                  <w:shd w:val="clear" w:color="auto" w:fill="auto"/>
                  <w:vAlign w:val="center"/>
                </w:tcPr>
                <w:p w14:paraId="6FBDC273">
                  <w:pPr>
                    <w:spacing w:line="276" w:lineRule="auto"/>
                    <w:jc w:val="center"/>
                    <w:rPr>
                      <w:rFonts w:hint="default" w:ascii="Times New Roman" w:hAnsi="Times New Roman" w:cs="Times New Roman"/>
                      <w:color w:val="auto"/>
                      <w:sz w:val="21"/>
                      <w:szCs w:val="21"/>
                      <w:shd w:val="clear" w:color="auto" w:fill="auto"/>
                      <w:lang w:val="en-US"/>
                    </w:rPr>
                  </w:pPr>
                  <w:r>
                    <w:rPr>
                      <w:rFonts w:hint="eastAsia" w:cs="Times New Roman"/>
                      <w:color w:val="auto"/>
                      <w:sz w:val="21"/>
                      <w:szCs w:val="21"/>
                      <w:shd w:val="clear" w:color="auto" w:fill="auto"/>
                      <w:lang w:val="en-US" w:eastAsia="zh-CN"/>
                    </w:rPr>
                    <w:t>有机废气处理设施</w:t>
                  </w:r>
                </w:p>
              </w:tc>
              <w:tc>
                <w:tcPr>
                  <w:tcW w:w="3650" w:type="dxa"/>
                  <w:gridSpan w:val="3"/>
                  <w:shd w:val="clear" w:color="auto" w:fill="auto"/>
                  <w:vAlign w:val="center"/>
                </w:tcPr>
                <w:p w14:paraId="0305FD87">
                  <w:pPr>
                    <w:spacing w:line="276" w:lineRule="auto"/>
                    <w:rPr>
                      <w:rFonts w:hint="eastAsia" w:ascii="Times New Roman" w:hAnsi="Times New Roman" w:eastAsia="宋体" w:cs="Times New Roman"/>
                      <w:color w:val="auto"/>
                      <w:sz w:val="21"/>
                      <w:szCs w:val="21"/>
                      <w:shd w:val="clear" w:color="auto" w:fill="auto"/>
                      <w:lang w:eastAsia="zh-CN"/>
                    </w:rPr>
                  </w:pPr>
                  <w:r>
                    <w:rPr>
                      <w:rFonts w:hint="eastAsia" w:cs="Times New Roman"/>
                      <w:color w:val="auto"/>
                      <w:sz w:val="21"/>
                      <w:szCs w:val="21"/>
                      <w:shd w:val="clear" w:color="auto" w:fill="auto"/>
                      <w:lang w:val="en-US" w:eastAsia="zh-CN"/>
                    </w:rPr>
                    <w:t>1#车间新建1</w:t>
                  </w:r>
                  <w:r>
                    <w:rPr>
                      <w:rFonts w:hint="default" w:ascii="Times New Roman" w:hAnsi="Times New Roman" w:cs="Times New Roman"/>
                      <w:color w:val="auto"/>
                      <w:sz w:val="21"/>
                      <w:szCs w:val="21"/>
                      <w:shd w:val="clear" w:color="auto" w:fill="auto"/>
                    </w:rPr>
                    <w:t>套</w:t>
                  </w:r>
                  <w:r>
                    <w:rPr>
                      <w:rFonts w:hint="eastAsia" w:cs="Times New Roman"/>
                      <w:color w:val="auto"/>
                      <w:sz w:val="21"/>
                      <w:szCs w:val="21"/>
                      <w:shd w:val="clear" w:color="auto" w:fill="auto"/>
                      <w:lang w:eastAsia="zh-CN"/>
                    </w:rPr>
                    <w:t>“</w:t>
                  </w:r>
                  <w:r>
                    <w:rPr>
                      <w:rFonts w:hint="eastAsia" w:cs="Times New Roman"/>
                      <w:color w:val="auto"/>
                      <w:sz w:val="21"/>
                      <w:szCs w:val="21"/>
                      <w:shd w:val="clear" w:color="auto" w:fill="auto"/>
                      <w:lang w:val="en-US" w:eastAsia="zh-CN"/>
                    </w:rPr>
                    <w:t>集气系统+UV光氧催化+活性炭吸附+1根15米高排气筒</w:t>
                  </w:r>
                  <w:r>
                    <w:rPr>
                      <w:rFonts w:hint="eastAsia" w:cs="Times New Roman"/>
                      <w:color w:val="auto"/>
                      <w:sz w:val="21"/>
                      <w:szCs w:val="21"/>
                      <w:shd w:val="clear" w:color="auto" w:fill="auto"/>
                      <w:lang w:eastAsia="zh-CN"/>
                    </w:rPr>
                    <w:t>”</w:t>
                  </w:r>
                  <w:r>
                    <w:rPr>
                      <w:rFonts w:hint="eastAsia" w:cs="Times New Roman"/>
                      <w:color w:val="auto"/>
                      <w:sz w:val="21"/>
                      <w:szCs w:val="21"/>
                      <w:shd w:val="clear" w:color="auto" w:fill="auto"/>
                      <w:lang w:val="en-US" w:eastAsia="zh-CN"/>
                    </w:rPr>
                    <w:t>设施</w:t>
                  </w:r>
                  <w:r>
                    <w:rPr>
                      <w:rFonts w:hint="default" w:ascii="Times New Roman" w:hAnsi="Times New Roman" w:cs="Times New Roman"/>
                      <w:color w:val="auto"/>
                      <w:sz w:val="21"/>
                      <w:szCs w:val="21"/>
                      <w:shd w:val="clear" w:color="auto" w:fill="auto"/>
                    </w:rPr>
                    <w:t>，用于处理</w:t>
                  </w:r>
                  <w:r>
                    <w:rPr>
                      <w:rFonts w:hint="eastAsia" w:cs="Times New Roman"/>
                      <w:color w:val="auto"/>
                      <w:sz w:val="21"/>
                      <w:szCs w:val="21"/>
                      <w:shd w:val="clear" w:color="auto" w:fill="auto"/>
                      <w:lang w:val="en-US" w:eastAsia="zh-CN"/>
                    </w:rPr>
                    <w:t>1#车间注塑、吹塑和注胶</w:t>
                  </w:r>
                  <w:r>
                    <w:rPr>
                      <w:rFonts w:hint="default" w:ascii="Times New Roman" w:hAnsi="Times New Roman" w:cs="Times New Roman"/>
                      <w:color w:val="auto"/>
                      <w:sz w:val="21"/>
                      <w:szCs w:val="21"/>
                      <w:shd w:val="clear" w:color="auto" w:fill="auto"/>
                      <w:lang w:eastAsia="zh-CN"/>
                    </w:rPr>
                    <w:t>工序</w:t>
                  </w:r>
                  <w:r>
                    <w:rPr>
                      <w:rFonts w:hint="default" w:ascii="Times New Roman" w:hAnsi="Times New Roman" w:cs="Times New Roman"/>
                      <w:color w:val="auto"/>
                      <w:sz w:val="21"/>
                      <w:szCs w:val="21"/>
                      <w:shd w:val="clear" w:color="auto" w:fill="auto"/>
                    </w:rPr>
                    <w:t>产生的</w:t>
                  </w:r>
                  <w:r>
                    <w:rPr>
                      <w:rFonts w:hint="eastAsia" w:cs="Times New Roman"/>
                      <w:color w:val="auto"/>
                      <w:sz w:val="21"/>
                      <w:szCs w:val="21"/>
                      <w:shd w:val="clear" w:color="auto" w:fill="auto"/>
                      <w:lang w:val="en-US" w:eastAsia="zh-CN"/>
                    </w:rPr>
                    <w:t>有机废气。</w:t>
                  </w:r>
                </w:p>
              </w:tc>
              <w:tc>
                <w:tcPr>
                  <w:tcW w:w="1195" w:type="dxa"/>
                  <w:gridSpan w:val="2"/>
                  <w:vMerge w:val="continue"/>
                  <w:shd w:val="clear" w:color="auto" w:fill="auto"/>
                  <w:vAlign w:val="center"/>
                </w:tcPr>
                <w:p w14:paraId="360EC1ED">
                  <w:pPr>
                    <w:spacing w:line="276" w:lineRule="auto"/>
                    <w:jc w:val="center"/>
                    <w:rPr>
                      <w:rFonts w:hint="default" w:ascii="Times New Roman" w:hAnsi="Times New Roman" w:cs="Times New Roman"/>
                      <w:color w:val="auto"/>
                      <w:sz w:val="21"/>
                      <w:szCs w:val="21"/>
                    </w:rPr>
                  </w:pPr>
                </w:p>
              </w:tc>
              <w:tc>
                <w:tcPr>
                  <w:tcW w:w="1151" w:type="dxa"/>
                  <w:gridSpan w:val="2"/>
                  <w:shd w:val="clear" w:color="auto" w:fill="auto"/>
                  <w:vAlign w:val="center"/>
                </w:tcPr>
                <w:p w14:paraId="1D1F73D0">
                  <w:pPr>
                    <w:spacing w:line="276"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废气、固废</w:t>
                  </w:r>
                </w:p>
              </w:tc>
              <w:tc>
                <w:tcPr>
                  <w:tcW w:w="1142" w:type="dxa"/>
                  <w:gridSpan w:val="2"/>
                  <w:shd w:val="clear" w:color="auto" w:fill="auto"/>
                  <w:vAlign w:val="center"/>
                </w:tcPr>
                <w:p w14:paraId="3225CCF1">
                  <w:pPr>
                    <w:spacing w:line="276" w:lineRule="auto"/>
                    <w:jc w:val="center"/>
                    <w:rPr>
                      <w:rFonts w:hint="default" w:ascii="Times New Roman" w:hAnsi="Times New Roman" w:eastAsia="宋体" w:cs="Times New Roman"/>
                      <w:color w:val="auto"/>
                      <w:sz w:val="21"/>
                      <w:szCs w:val="21"/>
                      <w:lang w:val="en-US" w:eastAsia="zh-CN"/>
                    </w:rPr>
                  </w:pPr>
                </w:p>
              </w:tc>
            </w:tr>
            <w:tr w14:paraId="5A58BB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Merge w:val="continue"/>
                  <w:shd w:val="clear" w:color="auto" w:fill="auto"/>
                  <w:vAlign w:val="center"/>
                </w:tcPr>
                <w:p w14:paraId="288A70C7">
                  <w:pPr>
                    <w:spacing w:line="276" w:lineRule="auto"/>
                    <w:jc w:val="center"/>
                    <w:rPr>
                      <w:rFonts w:hint="default" w:ascii="Times New Roman" w:hAnsi="Times New Roman" w:cs="Times New Roman"/>
                      <w:color w:val="auto"/>
                      <w:sz w:val="21"/>
                      <w:szCs w:val="21"/>
                    </w:rPr>
                  </w:pPr>
                </w:p>
              </w:tc>
              <w:tc>
                <w:tcPr>
                  <w:tcW w:w="508" w:type="dxa"/>
                  <w:gridSpan w:val="2"/>
                  <w:vMerge w:val="restart"/>
                  <w:shd w:val="clear" w:color="auto" w:fill="auto"/>
                  <w:vAlign w:val="center"/>
                </w:tcPr>
                <w:p w14:paraId="6FBE56D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固废</w:t>
                  </w:r>
                </w:p>
              </w:tc>
              <w:tc>
                <w:tcPr>
                  <w:tcW w:w="1317" w:type="dxa"/>
                  <w:gridSpan w:val="3"/>
                  <w:shd w:val="clear" w:color="auto" w:fill="auto"/>
                  <w:vAlign w:val="center"/>
                </w:tcPr>
                <w:p w14:paraId="5875E190">
                  <w:pPr>
                    <w:spacing w:line="276" w:lineRule="auto"/>
                    <w:jc w:val="center"/>
                    <w:rPr>
                      <w:rFonts w:hint="default" w:ascii="Times New Roman" w:hAnsi="Times New Roman" w:cs="Times New Roman"/>
                      <w:color w:val="FF0000"/>
                      <w:sz w:val="21"/>
                      <w:szCs w:val="21"/>
                    </w:rPr>
                  </w:pPr>
                  <w:r>
                    <w:rPr>
                      <w:rFonts w:hint="default" w:ascii="Times New Roman" w:hAnsi="Times New Roman" w:cs="Times New Roman"/>
                      <w:color w:val="auto"/>
                      <w:sz w:val="21"/>
                      <w:szCs w:val="21"/>
                    </w:rPr>
                    <w:t>危废暂存间</w:t>
                  </w:r>
                </w:p>
              </w:tc>
              <w:tc>
                <w:tcPr>
                  <w:tcW w:w="3650" w:type="dxa"/>
                  <w:gridSpan w:val="3"/>
                  <w:shd w:val="clear" w:color="auto" w:fill="auto"/>
                  <w:vAlign w:val="center"/>
                </w:tcPr>
                <w:p w14:paraId="2D67B637">
                  <w:pPr>
                    <w:spacing w:line="276" w:lineRule="auto"/>
                    <w:rPr>
                      <w:rFonts w:hint="default" w:ascii="Times New Roman" w:hAnsi="Times New Roman" w:cs="Times New Roman"/>
                      <w:color w:val="FF0000"/>
                      <w:sz w:val="21"/>
                      <w:szCs w:val="21"/>
                    </w:rPr>
                  </w:pPr>
                  <w:r>
                    <w:rPr>
                      <w:rFonts w:hint="eastAsia" w:cs="Times New Roman"/>
                      <w:color w:val="auto"/>
                      <w:sz w:val="21"/>
                      <w:szCs w:val="21"/>
                      <w:lang w:val="en-US" w:eastAsia="zh-CN"/>
                    </w:rPr>
                    <w:t>新建</w:t>
                  </w:r>
                  <w:r>
                    <w:rPr>
                      <w:rFonts w:hint="default" w:ascii="Times New Roman" w:hAnsi="Times New Roman" w:cs="Times New Roman"/>
                      <w:color w:val="auto"/>
                      <w:sz w:val="21"/>
                      <w:szCs w:val="21"/>
                    </w:rPr>
                    <w:t>1</w:t>
                  </w:r>
                  <w:r>
                    <w:rPr>
                      <w:rFonts w:hint="eastAsia" w:cs="Times New Roman"/>
                      <w:color w:val="auto"/>
                      <w:sz w:val="21"/>
                      <w:szCs w:val="21"/>
                      <w:lang w:val="en-US" w:eastAsia="zh-CN"/>
                    </w:rPr>
                    <w:t>间危废暂存间</w:t>
                  </w:r>
                  <w:r>
                    <w:rPr>
                      <w:rFonts w:hint="default" w:ascii="Times New Roman" w:hAnsi="Times New Roman" w:cs="Times New Roman"/>
                      <w:color w:val="auto"/>
                      <w:sz w:val="21"/>
                      <w:szCs w:val="21"/>
                    </w:rPr>
                    <w:t>，占地面积</w:t>
                  </w:r>
                  <w:r>
                    <w:rPr>
                      <w:rFonts w:hint="eastAsia" w:cs="Times New Roman"/>
                      <w:color w:val="auto"/>
                      <w:sz w:val="21"/>
                      <w:szCs w:val="21"/>
                      <w:lang w:val="en-US" w:eastAsia="zh-CN"/>
                    </w:rPr>
                    <w:t>4</w:t>
                  </w:r>
                  <w:r>
                    <w:rPr>
                      <w:rFonts w:hint="default" w:ascii="Times New Roman" w:hAnsi="Times New Roman" w:cs="Times New Roman"/>
                      <w:color w:val="auto"/>
                      <w:sz w:val="21"/>
                      <w:szCs w:val="21"/>
                      <w:lang w:val="en-US" w:eastAsia="zh-CN"/>
                    </w:rPr>
                    <w:t>0</w:t>
                  </w:r>
                  <w:r>
                    <w:rPr>
                      <w:rFonts w:hint="default" w:ascii="Times New Roman" w:hAnsi="Times New Roman" w:cs="Times New Roman"/>
                      <w:color w:val="auto"/>
                      <w:sz w:val="21"/>
                      <w:szCs w:val="21"/>
                    </w:rPr>
                    <w:t xml:space="preserve"> m</w:t>
                  </w:r>
                  <w:r>
                    <w:rPr>
                      <w:rFonts w:hint="default" w:ascii="Times New Roman" w:hAnsi="Times New Roman" w:cs="Times New Roman"/>
                      <w:color w:val="auto"/>
                      <w:sz w:val="21"/>
                      <w:szCs w:val="21"/>
                      <w:vertAlign w:val="superscript"/>
                    </w:rPr>
                    <w:t>2</w:t>
                  </w:r>
                </w:p>
              </w:tc>
              <w:tc>
                <w:tcPr>
                  <w:tcW w:w="1195" w:type="dxa"/>
                  <w:gridSpan w:val="2"/>
                  <w:vMerge w:val="continue"/>
                  <w:shd w:val="clear" w:color="auto" w:fill="auto"/>
                  <w:vAlign w:val="center"/>
                </w:tcPr>
                <w:p w14:paraId="6AC94E7A">
                  <w:pPr>
                    <w:spacing w:line="276" w:lineRule="auto"/>
                    <w:jc w:val="center"/>
                    <w:rPr>
                      <w:rFonts w:hint="default" w:ascii="Times New Roman" w:hAnsi="Times New Roman" w:cs="Times New Roman"/>
                      <w:color w:val="auto"/>
                      <w:sz w:val="21"/>
                      <w:szCs w:val="21"/>
                    </w:rPr>
                  </w:pPr>
                </w:p>
              </w:tc>
              <w:tc>
                <w:tcPr>
                  <w:tcW w:w="1151" w:type="dxa"/>
                  <w:gridSpan w:val="2"/>
                  <w:shd w:val="clear" w:color="auto" w:fill="auto"/>
                  <w:vAlign w:val="center"/>
                </w:tcPr>
                <w:p w14:paraId="184328C0">
                  <w:pPr>
                    <w:spacing w:line="276" w:lineRule="auto"/>
                    <w:jc w:val="center"/>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eastAsia="zh-CN"/>
                    </w:rPr>
                    <w:t>危险废物</w:t>
                  </w:r>
                </w:p>
              </w:tc>
              <w:tc>
                <w:tcPr>
                  <w:tcW w:w="1142" w:type="dxa"/>
                  <w:gridSpan w:val="2"/>
                  <w:shd w:val="clear" w:color="auto" w:fill="auto"/>
                  <w:vAlign w:val="center"/>
                </w:tcPr>
                <w:p w14:paraId="2C79C29D">
                  <w:pPr>
                    <w:spacing w:line="276" w:lineRule="auto"/>
                    <w:jc w:val="center"/>
                    <w:rPr>
                      <w:rFonts w:hint="default" w:ascii="Times New Roman" w:hAnsi="Times New Roman" w:eastAsia="宋体" w:cs="Times New Roman"/>
                      <w:color w:val="auto"/>
                      <w:sz w:val="21"/>
                      <w:szCs w:val="21"/>
                      <w:lang w:eastAsia="zh-CN"/>
                    </w:rPr>
                  </w:pPr>
                </w:p>
              </w:tc>
            </w:tr>
            <w:tr w14:paraId="4BF599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Merge w:val="continue"/>
                  <w:shd w:val="clear" w:color="auto" w:fill="auto"/>
                  <w:vAlign w:val="center"/>
                </w:tcPr>
                <w:p w14:paraId="6B88663E">
                  <w:pPr>
                    <w:spacing w:line="276" w:lineRule="auto"/>
                    <w:jc w:val="center"/>
                    <w:rPr>
                      <w:rFonts w:hint="default" w:ascii="Times New Roman" w:hAnsi="Times New Roman" w:cs="Times New Roman"/>
                      <w:color w:val="auto"/>
                      <w:sz w:val="21"/>
                      <w:szCs w:val="21"/>
                    </w:rPr>
                  </w:pPr>
                </w:p>
              </w:tc>
              <w:tc>
                <w:tcPr>
                  <w:tcW w:w="508" w:type="dxa"/>
                  <w:gridSpan w:val="2"/>
                  <w:vMerge w:val="continue"/>
                  <w:shd w:val="clear" w:color="auto" w:fill="auto"/>
                  <w:vAlign w:val="center"/>
                </w:tcPr>
                <w:p w14:paraId="3D054BB3">
                  <w:pPr>
                    <w:spacing w:line="276" w:lineRule="auto"/>
                    <w:jc w:val="center"/>
                    <w:rPr>
                      <w:rFonts w:hint="default" w:ascii="Times New Roman" w:hAnsi="Times New Roman" w:cs="Times New Roman"/>
                      <w:color w:val="auto"/>
                      <w:sz w:val="21"/>
                      <w:szCs w:val="21"/>
                    </w:rPr>
                  </w:pPr>
                </w:p>
              </w:tc>
              <w:tc>
                <w:tcPr>
                  <w:tcW w:w="1317" w:type="dxa"/>
                  <w:gridSpan w:val="3"/>
                  <w:shd w:val="clear" w:color="auto" w:fill="auto"/>
                  <w:vAlign w:val="center"/>
                </w:tcPr>
                <w:p w14:paraId="68037FAE">
                  <w:pPr>
                    <w:spacing w:line="276" w:lineRule="auto"/>
                    <w:jc w:val="center"/>
                    <w:rPr>
                      <w:rFonts w:hint="eastAsia" w:ascii="Times New Roman" w:hAnsi="Times New Roman" w:eastAsia="宋体" w:cs="Times New Roman"/>
                      <w:color w:val="FF0000"/>
                      <w:sz w:val="21"/>
                      <w:szCs w:val="21"/>
                      <w:lang w:val="en-US" w:eastAsia="zh-CN"/>
                    </w:rPr>
                  </w:pPr>
                  <w:r>
                    <w:rPr>
                      <w:rFonts w:hint="eastAsia" w:cs="Times New Roman"/>
                      <w:color w:val="auto"/>
                      <w:sz w:val="21"/>
                      <w:szCs w:val="21"/>
                      <w:lang w:val="en-US" w:eastAsia="zh-CN"/>
                    </w:rPr>
                    <w:t>一般固废暂存间</w:t>
                  </w:r>
                </w:p>
              </w:tc>
              <w:tc>
                <w:tcPr>
                  <w:tcW w:w="3650" w:type="dxa"/>
                  <w:gridSpan w:val="3"/>
                  <w:shd w:val="clear" w:color="auto" w:fill="auto"/>
                  <w:vAlign w:val="center"/>
                </w:tcPr>
                <w:p w14:paraId="0F69240D">
                  <w:pPr>
                    <w:spacing w:line="276" w:lineRule="auto"/>
                    <w:rPr>
                      <w:rFonts w:hint="eastAsia" w:cs="Times New Roman"/>
                      <w:color w:val="FF0000"/>
                      <w:sz w:val="21"/>
                      <w:szCs w:val="21"/>
                      <w:lang w:val="en-US" w:eastAsia="zh-CN"/>
                    </w:rPr>
                  </w:pPr>
                  <w:r>
                    <w:rPr>
                      <w:rFonts w:hint="eastAsia" w:cs="Times New Roman"/>
                      <w:color w:val="auto"/>
                      <w:sz w:val="21"/>
                      <w:szCs w:val="21"/>
                      <w:lang w:val="en-US" w:eastAsia="zh-CN"/>
                    </w:rPr>
                    <w:t>新建一般固废暂存间，占地面积80</w:t>
                  </w:r>
                  <w:r>
                    <w:rPr>
                      <w:rFonts w:hint="default" w:ascii="Times New Roman" w:hAnsi="Times New Roman" w:cs="Times New Roman"/>
                      <w:color w:val="auto"/>
                      <w:sz w:val="21"/>
                      <w:szCs w:val="21"/>
                    </w:rPr>
                    <w:t xml:space="preserve"> m</w:t>
                  </w:r>
                  <w:r>
                    <w:rPr>
                      <w:rFonts w:hint="default" w:ascii="Times New Roman" w:hAnsi="Times New Roman" w:cs="Times New Roman"/>
                      <w:color w:val="auto"/>
                      <w:sz w:val="21"/>
                      <w:szCs w:val="21"/>
                      <w:vertAlign w:val="superscript"/>
                    </w:rPr>
                    <w:t>2</w:t>
                  </w:r>
                </w:p>
              </w:tc>
              <w:tc>
                <w:tcPr>
                  <w:tcW w:w="1195" w:type="dxa"/>
                  <w:gridSpan w:val="2"/>
                  <w:shd w:val="clear" w:color="auto" w:fill="auto"/>
                  <w:vAlign w:val="center"/>
                </w:tcPr>
                <w:p w14:paraId="4D478111">
                  <w:pPr>
                    <w:spacing w:line="276" w:lineRule="auto"/>
                    <w:jc w:val="center"/>
                    <w:rPr>
                      <w:rFonts w:hint="default" w:ascii="Times New Roman" w:hAnsi="Times New Roman" w:cs="Times New Roman"/>
                      <w:color w:val="auto"/>
                      <w:sz w:val="21"/>
                      <w:szCs w:val="21"/>
                    </w:rPr>
                  </w:pPr>
                </w:p>
              </w:tc>
              <w:tc>
                <w:tcPr>
                  <w:tcW w:w="1151" w:type="dxa"/>
                  <w:gridSpan w:val="2"/>
                  <w:shd w:val="clear" w:color="auto" w:fill="auto"/>
                  <w:vAlign w:val="center"/>
                </w:tcPr>
                <w:p w14:paraId="76DC1FA6">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固废</w:t>
                  </w:r>
                </w:p>
              </w:tc>
              <w:tc>
                <w:tcPr>
                  <w:tcW w:w="1142" w:type="dxa"/>
                  <w:gridSpan w:val="2"/>
                  <w:shd w:val="clear" w:color="auto" w:fill="auto"/>
                  <w:vAlign w:val="center"/>
                </w:tcPr>
                <w:p w14:paraId="7D4E4E89">
                  <w:pPr>
                    <w:spacing w:line="276" w:lineRule="auto"/>
                    <w:jc w:val="center"/>
                    <w:rPr>
                      <w:rFonts w:hint="default" w:ascii="Times New Roman" w:hAnsi="Times New Roman" w:cs="Times New Roman"/>
                      <w:color w:val="auto"/>
                      <w:sz w:val="21"/>
                      <w:szCs w:val="21"/>
                      <w:lang w:val="en-US" w:eastAsia="zh-CN"/>
                    </w:rPr>
                  </w:pPr>
                </w:p>
              </w:tc>
            </w:tr>
            <w:tr w14:paraId="6C8C66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00" w:type="dxa"/>
                  <w:gridSpan w:val="6"/>
                  <w:shd w:val="clear" w:color="auto" w:fill="auto"/>
                  <w:vAlign w:val="center"/>
                </w:tcPr>
                <w:p w14:paraId="1CB2A1C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地下水防治</w:t>
                  </w:r>
                </w:p>
              </w:tc>
              <w:tc>
                <w:tcPr>
                  <w:tcW w:w="3650" w:type="dxa"/>
                  <w:gridSpan w:val="3"/>
                  <w:shd w:val="clear" w:color="auto" w:fill="auto"/>
                  <w:vAlign w:val="center"/>
                </w:tcPr>
                <w:p w14:paraId="48E1594E">
                  <w:pPr>
                    <w:spacing w:line="276" w:lineRule="auto"/>
                    <w:rPr>
                      <w:rFonts w:hint="eastAsia" w:cs="Times New Roman"/>
                      <w:color w:val="auto"/>
                      <w:sz w:val="21"/>
                      <w:szCs w:val="21"/>
                      <w:lang w:eastAsia="zh-CN"/>
                    </w:rPr>
                  </w:pPr>
                  <w:r>
                    <w:rPr>
                      <w:rFonts w:hint="eastAsia" w:cs="Times New Roman"/>
                      <w:color w:val="auto"/>
                      <w:sz w:val="21"/>
                      <w:szCs w:val="21"/>
                      <w:lang w:eastAsia="zh-CN"/>
                    </w:rPr>
                    <w:t>分区进行防渗处理，重点防渗区（食堂隔油）防渗系数≤10-</w:t>
                  </w:r>
                  <w:r>
                    <w:rPr>
                      <w:rFonts w:hint="eastAsia" w:cs="Times New Roman"/>
                      <w:color w:val="auto"/>
                      <w:sz w:val="21"/>
                      <w:szCs w:val="21"/>
                      <w:vertAlign w:val="superscript"/>
                      <w:lang w:eastAsia="zh-CN"/>
                    </w:rPr>
                    <w:t>10</w:t>
                  </w:r>
                  <w:r>
                    <w:rPr>
                      <w:rFonts w:hint="eastAsia" w:cs="Times New Roman"/>
                      <w:color w:val="auto"/>
                      <w:sz w:val="21"/>
                      <w:szCs w:val="21"/>
                      <w:lang w:eastAsia="zh-CN"/>
                    </w:rPr>
                    <w:t>cm/s，一般防渗区采用环氧树脂材料防渗地面；简单防渗区采取水泥硬化处理；</w:t>
                  </w:r>
                </w:p>
              </w:tc>
              <w:tc>
                <w:tcPr>
                  <w:tcW w:w="1195" w:type="dxa"/>
                  <w:gridSpan w:val="2"/>
                  <w:shd w:val="clear" w:color="auto" w:fill="auto"/>
                  <w:vAlign w:val="center"/>
                </w:tcPr>
                <w:p w14:paraId="6C07FBF7">
                  <w:pPr>
                    <w:spacing w:line="276" w:lineRule="auto"/>
                    <w:jc w:val="center"/>
                    <w:rPr>
                      <w:rFonts w:hint="default" w:ascii="Times New Roman" w:hAnsi="Times New Roman" w:cs="Times New Roman"/>
                      <w:color w:val="auto"/>
                      <w:sz w:val="21"/>
                      <w:szCs w:val="21"/>
                    </w:rPr>
                  </w:pPr>
                </w:p>
              </w:tc>
              <w:tc>
                <w:tcPr>
                  <w:tcW w:w="1151" w:type="dxa"/>
                  <w:gridSpan w:val="2"/>
                  <w:shd w:val="clear" w:color="auto" w:fill="auto"/>
                  <w:vAlign w:val="center"/>
                </w:tcPr>
                <w:p w14:paraId="5BE7D7E1">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w:t>
                  </w:r>
                </w:p>
              </w:tc>
              <w:tc>
                <w:tcPr>
                  <w:tcW w:w="1142" w:type="dxa"/>
                  <w:gridSpan w:val="2"/>
                  <w:shd w:val="clear" w:color="auto" w:fill="auto"/>
                  <w:vAlign w:val="center"/>
                </w:tcPr>
                <w:p w14:paraId="6DF1CBF2">
                  <w:pPr>
                    <w:spacing w:line="276" w:lineRule="auto"/>
                    <w:jc w:val="center"/>
                    <w:rPr>
                      <w:rFonts w:hint="default" w:ascii="Times New Roman" w:hAnsi="Times New Roman" w:cs="Times New Roman"/>
                      <w:color w:val="auto"/>
                      <w:sz w:val="21"/>
                      <w:szCs w:val="21"/>
                      <w:lang w:val="en-US" w:eastAsia="zh-CN"/>
                    </w:rPr>
                  </w:pPr>
                </w:p>
              </w:tc>
            </w:tr>
            <w:tr w14:paraId="23156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00" w:type="dxa"/>
                  <w:gridSpan w:val="6"/>
                  <w:shd w:val="clear" w:color="auto" w:fill="auto"/>
                  <w:vAlign w:val="center"/>
                </w:tcPr>
                <w:p w14:paraId="4479FF21">
                  <w:pPr>
                    <w:spacing w:line="276" w:lineRule="auto"/>
                    <w:jc w:val="center"/>
                    <w:rPr>
                      <w:rFonts w:hint="default" w:ascii="Times New Roman" w:hAnsi="Times New Roman" w:cs="Times New Roman"/>
                      <w:color w:val="FF0000"/>
                      <w:sz w:val="21"/>
                      <w:szCs w:val="21"/>
                    </w:rPr>
                  </w:pPr>
                  <w:r>
                    <w:rPr>
                      <w:rFonts w:hint="default" w:ascii="Times New Roman" w:hAnsi="Times New Roman" w:cs="Times New Roman"/>
                      <w:color w:val="auto"/>
                      <w:sz w:val="21"/>
                      <w:szCs w:val="21"/>
                    </w:rPr>
                    <w:t>绿化</w:t>
                  </w:r>
                </w:p>
              </w:tc>
              <w:tc>
                <w:tcPr>
                  <w:tcW w:w="3650" w:type="dxa"/>
                  <w:gridSpan w:val="3"/>
                  <w:shd w:val="clear" w:color="auto" w:fill="auto"/>
                  <w:vAlign w:val="center"/>
                </w:tcPr>
                <w:p w14:paraId="69B68845">
                  <w:pPr>
                    <w:spacing w:line="276" w:lineRule="auto"/>
                    <w:rPr>
                      <w:rFonts w:hint="eastAsia" w:cs="Times New Roman"/>
                      <w:color w:val="auto"/>
                      <w:sz w:val="21"/>
                      <w:szCs w:val="21"/>
                      <w:lang w:eastAsia="zh-CN"/>
                    </w:rPr>
                  </w:pPr>
                  <w:r>
                    <w:rPr>
                      <w:rFonts w:hint="eastAsia" w:ascii="Times New Roman" w:hAnsi="Times New Roman" w:cs="Times New Roman"/>
                      <w:snapToGrid w:val="0"/>
                      <w:color w:val="auto"/>
                      <w:sz w:val="21"/>
                      <w:szCs w:val="21"/>
                      <w:lang w:val="en-US" w:eastAsia="zh-CN"/>
                    </w:rPr>
                    <w:t>厂区绿化，种植草坪和树木</w:t>
                  </w:r>
                </w:p>
              </w:tc>
              <w:tc>
                <w:tcPr>
                  <w:tcW w:w="1195" w:type="dxa"/>
                  <w:gridSpan w:val="2"/>
                  <w:shd w:val="clear" w:color="auto" w:fill="auto"/>
                  <w:vAlign w:val="center"/>
                </w:tcPr>
                <w:p w14:paraId="046960E6">
                  <w:pPr>
                    <w:spacing w:line="276" w:lineRule="auto"/>
                    <w:jc w:val="center"/>
                    <w:rPr>
                      <w:rFonts w:hint="default" w:ascii="Times New Roman" w:hAnsi="Times New Roman" w:cs="Times New Roman"/>
                      <w:color w:val="auto"/>
                      <w:sz w:val="21"/>
                      <w:szCs w:val="21"/>
                    </w:rPr>
                  </w:pPr>
                </w:p>
              </w:tc>
              <w:tc>
                <w:tcPr>
                  <w:tcW w:w="1151" w:type="dxa"/>
                  <w:gridSpan w:val="2"/>
                  <w:shd w:val="clear" w:color="auto" w:fill="auto"/>
                  <w:vAlign w:val="center"/>
                </w:tcPr>
                <w:p w14:paraId="6E55A4BB">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w:t>
                  </w:r>
                </w:p>
              </w:tc>
              <w:tc>
                <w:tcPr>
                  <w:tcW w:w="1142" w:type="dxa"/>
                  <w:gridSpan w:val="2"/>
                  <w:shd w:val="clear" w:color="auto" w:fill="auto"/>
                  <w:vAlign w:val="center"/>
                </w:tcPr>
                <w:p w14:paraId="7F4F897A">
                  <w:pPr>
                    <w:spacing w:line="276" w:lineRule="auto"/>
                    <w:jc w:val="center"/>
                    <w:rPr>
                      <w:rFonts w:hint="default" w:ascii="Times New Roman" w:hAnsi="Times New Roman" w:cs="Times New Roman"/>
                      <w:color w:val="auto"/>
                      <w:sz w:val="21"/>
                      <w:szCs w:val="21"/>
                      <w:lang w:val="en-US" w:eastAsia="zh-CN"/>
                    </w:rPr>
                  </w:pPr>
                </w:p>
              </w:tc>
            </w:tr>
            <w:tr w14:paraId="058C5A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638" w:type="dxa"/>
                  <w:gridSpan w:val="15"/>
                  <w:shd w:val="clear" w:color="auto" w:fill="auto"/>
                  <w:vAlign w:val="center"/>
                </w:tcPr>
                <w:p w14:paraId="6AAA89D6">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二期建设内容</w:t>
                  </w:r>
                </w:p>
              </w:tc>
            </w:tr>
            <w:tr w14:paraId="4C991D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shd w:val="clear" w:color="auto" w:fill="auto"/>
                  <w:vAlign w:val="center"/>
                </w:tcPr>
                <w:p w14:paraId="6301DE19">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主体工程</w:t>
                  </w:r>
                </w:p>
              </w:tc>
              <w:tc>
                <w:tcPr>
                  <w:tcW w:w="1825" w:type="dxa"/>
                  <w:gridSpan w:val="5"/>
                  <w:shd w:val="clear" w:color="auto" w:fill="auto"/>
                  <w:vAlign w:val="center"/>
                </w:tcPr>
                <w:p w14:paraId="69452FEB">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2#车间</w:t>
                  </w:r>
                </w:p>
              </w:tc>
              <w:tc>
                <w:tcPr>
                  <w:tcW w:w="3650" w:type="dxa"/>
                  <w:gridSpan w:val="3"/>
                  <w:shd w:val="clear" w:color="auto" w:fill="auto"/>
                  <w:vAlign w:val="center"/>
                </w:tcPr>
                <w:p w14:paraId="66E352E6">
                  <w:pPr>
                    <w:spacing w:line="276" w:lineRule="auto"/>
                    <w:rPr>
                      <w:rFonts w:hint="eastAsia" w:cs="Times New Roman"/>
                      <w:color w:val="auto"/>
                      <w:sz w:val="21"/>
                      <w:szCs w:val="21"/>
                      <w:lang w:eastAsia="zh-CN"/>
                    </w:rPr>
                  </w:pPr>
                  <w:r>
                    <w:rPr>
                      <w:rFonts w:hint="eastAsia"/>
                      <w:szCs w:val="21"/>
                    </w:rPr>
                    <w:t>1F钢框架结构，建筑面积7228m</w:t>
                  </w:r>
                  <w:r>
                    <w:rPr>
                      <w:rFonts w:hint="eastAsia"/>
                      <w:szCs w:val="21"/>
                      <w:vertAlign w:val="superscript"/>
                    </w:rPr>
                    <w:t>2</w:t>
                  </w:r>
                  <w:r>
                    <w:rPr>
                      <w:rFonts w:hint="eastAsia"/>
                      <w:szCs w:val="21"/>
                    </w:rPr>
                    <w:t>；内设SCR车间（2352 m</w:t>
                  </w:r>
                  <w:r>
                    <w:rPr>
                      <w:rFonts w:hint="eastAsia"/>
                      <w:szCs w:val="21"/>
                      <w:vertAlign w:val="superscript"/>
                    </w:rPr>
                    <w:t>2</w:t>
                  </w:r>
                  <w:r>
                    <w:rPr>
                      <w:rFonts w:hint="eastAsia"/>
                      <w:szCs w:val="21"/>
                    </w:rPr>
                    <w:t>）、空滤车间（1512 m</w:t>
                  </w:r>
                  <w:r>
                    <w:rPr>
                      <w:rFonts w:hint="eastAsia"/>
                      <w:szCs w:val="21"/>
                      <w:vertAlign w:val="superscript"/>
                    </w:rPr>
                    <w:t>2</w:t>
                  </w:r>
                  <w:r>
                    <w:rPr>
                      <w:rFonts w:hint="eastAsia"/>
                      <w:szCs w:val="21"/>
                    </w:rPr>
                    <w:t>）。</w:t>
                  </w:r>
                  <w:r>
                    <w:rPr>
                      <w:rFonts w:hint="eastAsia"/>
                      <w:szCs w:val="21"/>
                      <w:lang w:val="en-US" w:eastAsia="zh-CN"/>
                    </w:rPr>
                    <w:t>新建</w:t>
                  </w:r>
                  <w:r>
                    <w:rPr>
                      <w:rFonts w:hint="eastAsia"/>
                      <w:szCs w:val="21"/>
                    </w:rPr>
                    <w:t>乘用车空滤器、进气道生产线</w:t>
                  </w:r>
                </w:p>
              </w:tc>
              <w:tc>
                <w:tcPr>
                  <w:tcW w:w="1195" w:type="dxa"/>
                  <w:gridSpan w:val="2"/>
                  <w:vMerge w:val="restart"/>
                  <w:shd w:val="clear" w:color="auto" w:fill="auto"/>
                  <w:vAlign w:val="center"/>
                </w:tcPr>
                <w:p w14:paraId="386B170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施工噪声</w:t>
                  </w:r>
                </w:p>
                <w:p w14:paraId="249194B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施工废水</w:t>
                  </w:r>
                </w:p>
                <w:p w14:paraId="0D36E0C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建筑废渣</w:t>
                  </w:r>
                </w:p>
                <w:p w14:paraId="0FC264EB">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生活垃圾</w:t>
                  </w:r>
                </w:p>
                <w:p w14:paraId="6BC049EC">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施工扬尘</w:t>
                  </w:r>
                </w:p>
              </w:tc>
              <w:tc>
                <w:tcPr>
                  <w:tcW w:w="1151" w:type="dxa"/>
                  <w:gridSpan w:val="2"/>
                  <w:shd w:val="clear" w:color="auto" w:fill="auto"/>
                  <w:vAlign w:val="center"/>
                </w:tcPr>
                <w:p w14:paraId="2A31A05E">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废气、噪声、固废</w:t>
                  </w:r>
                </w:p>
              </w:tc>
              <w:tc>
                <w:tcPr>
                  <w:tcW w:w="1142" w:type="dxa"/>
                  <w:gridSpan w:val="2"/>
                  <w:shd w:val="clear" w:color="auto" w:fill="auto"/>
                  <w:vAlign w:val="center"/>
                </w:tcPr>
                <w:p w14:paraId="00C2C01D">
                  <w:pPr>
                    <w:spacing w:line="276" w:lineRule="auto"/>
                    <w:jc w:val="center"/>
                    <w:rPr>
                      <w:rFonts w:hint="default" w:ascii="Times New Roman" w:hAnsi="Times New Roman" w:cs="Times New Roman"/>
                      <w:color w:val="auto"/>
                      <w:sz w:val="21"/>
                      <w:szCs w:val="21"/>
                      <w:lang w:val="en-US" w:eastAsia="zh-CN"/>
                    </w:rPr>
                  </w:pPr>
                </w:p>
              </w:tc>
            </w:tr>
            <w:tr w14:paraId="30F34C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Merge w:val="restart"/>
                  <w:shd w:val="clear" w:color="auto" w:fill="auto"/>
                  <w:vAlign w:val="center"/>
                </w:tcPr>
                <w:p w14:paraId="630C46B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办公生活设施</w:t>
                  </w:r>
                </w:p>
              </w:tc>
              <w:tc>
                <w:tcPr>
                  <w:tcW w:w="1825" w:type="dxa"/>
                  <w:gridSpan w:val="5"/>
                  <w:shd w:val="clear" w:color="auto" w:fill="auto"/>
                  <w:vAlign w:val="center"/>
                </w:tcPr>
                <w:p w14:paraId="77C9A569">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办公楼</w:t>
                  </w:r>
                </w:p>
              </w:tc>
              <w:tc>
                <w:tcPr>
                  <w:tcW w:w="3650" w:type="dxa"/>
                  <w:gridSpan w:val="3"/>
                  <w:shd w:val="clear" w:color="auto" w:fill="auto"/>
                  <w:vAlign w:val="center"/>
                </w:tcPr>
                <w:p w14:paraId="1640E296">
                  <w:pPr>
                    <w:spacing w:line="276" w:lineRule="auto"/>
                    <w:rPr>
                      <w:rFonts w:hint="eastAsia" w:cs="Times New Roman"/>
                      <w:color w:val="auto"/>
                      <w:sz w:val="21"/>
                      <w:szCs w:val="21"/>
                      <w:lang w:eastAsia="zh-CN"/>
                    </w:rPr>
                  </w:pPr>
                  <w:r>
                    <w:rPr>
                      <w:rFonts w:hint="eastAsia" w:cs="Times New Roman"/>
                      <w:color w:val="auto"/>
                      <w:sz w:val="21"/>
                      <w:szCs w:val="21"/>
                      <w:lang w:val="en-US" w:eastAsia="zh-CN"/>
                    </w:rPr>
                    <w:t>4F，</w:t>
                  </w:r>
                  <w:r>
                    <w:rPr>
                      <w:rFonts w:hint="default" w:ascii="Times New Roman" w:hAnsi="Times New Roman" w:cs="Times New Roman"/>
                      <w:color w:val="auto"/>
                      <w:sz w:val="21"/>
                      <w:szCs w:val="21"/>
                    </w:rPr>
                    <w:t>占地面积</w:t>
                  </w:r>
                  <w:r>
                    <w:rPr>
                      <w:rFonts w:hint="default" w:ascii="Times New Roman" w:hAnsi="Times New Roman" w:cs="Times New Roman"/>
                      <w:color w:val="auto"/>
                      <w:sz w:val="21"/>
                      <w:szCs w:val="21"/>
                      <w:lang w:val="en-US" w:eastAsia="zh-CN"/>
                    </w:rPr>
                    <w:t>10</w:t>
                  </w:r>
                  <w:r>
                    <w:rPr>
                      <w:rFonts w:hint="eastAsia" w:cs="Times New Roman"/>
                      <w:color w:val="auto"/>
                      <w:sz w:val="21"/>
                      <w:szCs w:val="21"/>
                      <w:lang w:val="en-US" w:eastAsia="zh-CN"/>
                    </w:rPr>
                    <w:t>20</w:t>
                  </w:r>
                  <w:r>
                    <w:rPr>
                      <w:rFonts w:hint="default" w:ascii="Times New Roman" w:hAnsi="Times New Roman" w:cs="Times New Roman"/>
                      <w:color w:val="auto"/>
                      <w:sz w:val="21"/>
                      <w:szCs w:val="21"/>
                    </w:rPr>
                    <w:t>m</w:t>
                  </w:r>
                  <w:r>
                    <w:rPr>
                      <w:rFonts w:hint="default" w:ascii="Times New Roman" w:hAnsi="Times New Roman" w:cs="Times New Roman"/>
                      <w:color w:val="auto"/>
                      <w:sz w:val="21"/>
                      <w:szCs w:val="21"/>
                      <w:vertAlign w:val="superscript"/>
                    </w:rPr>
                    <w:t>2</w:t>
                  </w:r>
                  <w:r>
                    <w:rPr>
                      <w:rFonts w:hint="default" w:ascii="Times New Roman" w:hAnsi="Times New Roman" w:cs="Times New Roman"/>
                      <w:color w:val="auto"/>
                      <w:sz w:val="21"/>
                      <w:szCs w:val="21"/>
                    </w:rPr>
                    <w:t>，用于项目经营管理人员办公</w:t>
                  </w:r>
                  <w:r>
                    <w:rPr>
                      <w:rFonts w:hint="default" w:ascii="Times New Roman" w:hAnsi="Times New Roman" w:cs="Times New Roman"/>
                      <w:color w:val="auto"/>
                      <w:sz w:val="21"/>
                      <w:szCs w:val="21"/>
                      <w:lang w:eastAsia="zh-CN"/>
                    </w:rPr>
                    <w:t>及员工休息倒班</w:t>
                  </w:r>
                  <w:r>
                    <w:rPr>
                      <w:rFonts w:hint="default" w:ascii="Times New Roman" w:hAnsi="Times New Roman" w:cs="Times New Roman"/>
                      <w:color w:val="auto"/>
                      <w:sz w:val="21"/>
                      <w:szCs w:val="21"/>
                    </w:rPr>
                    <w:t>等</w:t>
                  </w:r>
                </w:p>
              </w:tc>
              <w:tc>
                <w:tcPr>
                  <w:tcW w:w="1195" w:type="dxa"/>
                  <w:gridSpan w:val="2"/>
                  <w:vMerge w:val="continue"/>
                  <w:shd w:val="clear" w:color="auto" w:fill="auto"/>
                  <w:vAlign w:val="center"/>
                </w:tcPr>
                <w:p w14:paraId="25D72FF2">
                  <w:pPr>
                    <w:spacing w:line="276" w:lineRule="auto"/>
                    <w:jc w:val="center"/>
                    <w:rPr>
                      <w:rFonts w:hint="default" w:ascii="Times New Roman" w:hAnsi="Times New Roman" w:cs="Times New Roman"/>
                      <w:color w:val="auto"/>
                      <w:sz w:val="21"/>
                      <w:szCs w:val="21"/>
                    </w:rPr>
                  </w:pPr>
                </w:p>
              </w:tc>
              <w:tc>
                <w:tcPr>
                  <w:tcW w:w="1151" w:type="dxa"/>
                  <w:gridSpan w:val="2"/>
                  <w:shd w:val="clear" w:color="auto" w:fill="auto"/>
                  <w:vAlign w:val="center"/>
                </w:tcPr>
                <w:p w14:paraId="27B22FBA">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生活污水</w:t>
                  </w:r>
                </w:p>
                <w:p w14:paraId="7298CB4C">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生活垃圾</w:t>
                  </w:r>
                </w:p>
              </w:tc>
              <w:tc>
                <w:tcPr>
                  <w:tcW w:w="1142" w:type="dxa"/>
                  <w:gridSpan w:val="2"/>
                  <w:shd w:val="clear" w:color="auto" w:fill="auto"/>
                  <w:vAlign w:val="center"/>
                </w:tcPr>
                <w:p w14:paraId="3F93EB43">
                  <w:pPr>
                    <w:spacing w:line="276" w:lineRule="auto"/>
                    <w:jc w:val="center"/>
                    <w:rPr>
                      <w:rFonts w:hint="default" w:ascii="Times New Roman" w:hAnsi="Times New Roman" w:cs="Times New Roman"/>
                      <w:color w:val="auto"/>
                      <w:sz w:val="21"/>
                      <w:szCs w:val="21"/>
                      <w:lang w:val="en-US" w:eastAsia="zh-CN"/>
                    </w:rPr>
                  </w:pPr>
                </w:p>
              </w:tc>
            </w:tr>
            <w:tr w14:paraId="52B4CA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Merge w:val="continue"/>
                  <w:shd w:val="clear" w:color="auto" w:fill="auto"/>
                  <w:vAlign w:val="center"/>
                </w:tcPr>
                <w:p w14:paraId="00B935D1">
                  <w:pPr>
                    <w:spacing w:line="276" w:lineRule="auto"/>
                    <w:jc w:val="center"/>
                    <w:rPr>
                      <w:rFonts w:hint="default" w:ascii="Times New Roman" w:hAnsi="Times New Roman" w:cs="Times New Roman"/>
                      <w:color w:val="auto"/>
                      <w:sz w:val="21"/>
                      <w:szCs w:val="21"/>
                    </w:rPr>
                  </w:pPr>
                </w:p>
              </w:tc>
              <w:tc>
                <w:tcPr>
                  <w:tcW w:w="1825" w:type="dxa"/>
                  <w:gridSpan w:val="5"/>
                  <w:shd w:val="clear" w:color="auto" w:fill="auto"/>
                  <w:vAlign w:val="center"/>
                </w:tcPr>
                <w:p w14:paraId="67B74D5B">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食堂</w:t>
                  </w:r>
                </w:p>
              </w:tc>
              <w:tc>
                <w:tcPr>
                  <w:tcW w:w="3650" w:type="dxa"/>
                  <w:gridSpan w:val="3"/>
                  <w:shd w:val="clear" w:color="auto" w:fill="auto"/>
                  <w:vAlign w:val="center"/>
                </w:tcPr>
                <w:p w14:paraId="0ADF0F69">
                  <w:pPr>
                    <w:spacing w:line="276" w:lineRule="auto"/>
                    <w:jc w:val="both"/>
                    <w:rPr>
                      <w:rFonts w:hint="eastAsia" w:cs="Times New Roman"/>
                      <w:color w:val="auto"/>
                      <w:sz w:val="21"/>
                      <w:szCs w:val="21"/>
                      <w:lang w:val="en-US" w:eastAsia="zh-CN"/>
                    </w:rPr>
                  </w:pPr>
                  <w:r>
                    <w:rPr>
                      <w:rFonts w:hint="eastAsia" w:cs="Times New Roman"/>
                      <w:color w:val="auto"/>
                      <w:sz w:val="21"/>
                      <w:szCs w:val="21"/>
                      <w:lang w:val="en-US" w:eastAsia="zh-CN"/>
                    </w:rPr>
                    <w:t>位于办公楼1楼，面积约为510m</w:t>
                  </w:r>
                  <w:r>
                    <w:rPr>
                      <w:rFonts w:hint="eastAsia" w:cs="Times New Roman"/>
                      <w:color w:val="auto"/>
                      <w:sz w:val="21"/>
                      <w:szCs w:val="21"/>
                      <w:vertAlign w:val="superscript"/>
                      <w:lang w:val="en-US" w:eastAsia="zh-CN"/>
                    </w:rPr>
                    <w:t>2</w:t>
                  </w:r>
                </w:p>
              </w:tc>
              <w:tc>
                <w:tcPr>
                  <w:tcW w:w="1195" w:type="dxa"/>
                  <w:gridSpan w:val="2"/>
                  <w:vMerge w:val="continue"/>
                  <w:shd w:val="clear" w:color="auto" w:fill="auto"/>
                  <w:vAlign w:val="center"/>
                </w:tcPr>
                <w:p w14:paraId="595E1ADE">
                  <w:pPr>
                    <w:spacing w:line="276" w:lineRule="auto"/>
                    <w:jc w:val="center"/>
                    <w:rPr>
                      <w:rFonts w:hint="default" w:ascii="Times New Roman" w:hAnsi="Times New Roman" w:cs="Times New Roman"/>
                      <w:color w:val="auto"/>
                      <w:sz w:val="21"/>
                      <w:szCs w:val="21"/>
                    </w:rPr>
                  </w:pPr>
                </w:p>
              </w:tc>
              <w:tc>
                <w:tcPr>
                  <w:tcW w:w="1151" w:type="dxa"/>
                  <w:gridSpan w:val="2"/>
                  <w:shd w:val="clear" w:color="auto" w:fill="auto"/>
                  <w:vAlign w:val="center"/>
                </w:tcPr>
                <w:p w14:paraId="04F5B2CC">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食堂废水油烟废气</w:t>
                  </w:r>
                </w:p>
              </w:tc>
              <w:tc>
                <w:tcPr>
                  <w:tcW w:w="1142" w:type="dxa"/>
                  <w:gridSpan w:val="2"/>
                  <w:shd w:val="clear" w:color="auto" w:fill="auto"/>
                  <w:vAlign w:val="center"/>
                </w:tcPr>
                <w:p w14:paraId="08A0560C">
                  <w:pPr>
                    <w:spacing w:line="276" w:lineRule="auto"/>
                    <w:jc w:val="center"/>
                    <w:rPr>
                      <w:rFonts w:hint="default" w:ascii="Times New Roman" w:hAnsi="Times New Roman" w:cs="Times New Roman"/>
                      <w:color w:val="auto"/>
                      <w:sz w:val="21"/>
                      <w:szCs w:val="21"/>
                      <w:lang w:val="en-US" w:eastAsia="zh-CN"/>
                    </w:rPr>
                  </w:pPr>
                </w:p>
              </w:tc>
            </w:tr>
            <w:tr w14:paraId="3ECAC7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Merge w:val="continue"/>
                  <w:shd w:val="clear" w:color="auto" w:fill="auto"/>
                  <w:vAlign w:val="center"/>
                </w:tcPr>
                <w:p w14:paraId="3A2900F2">
                  <w:pPr>
                    <w:spacing w:line="276" w:lineRule="auto"/>
                    <w:jc w:val="center"/>
                    <w:rPr>
                      <w:rFonts w:hint="default" w:ascii="Times New Roman" w:hAnsi="Times New Roman" w:cs="Times New Roman"/>
                      <w:color w:val="auto"/>
                      <w:sz w:val="21"/>
                      <w:szCs w:val="21"/>
                    </w:rPr>
                  </w:pPr>
                </w:p>
              </w:tc>
              <w:tc>
                <w:tcPr>
                  <w:tcW w:w="1825" w:type="dxa"/>
                  <w:gridSpan w:val="5"/>
                  <w:shd w:val="clear" w:color="auto" w:fill="auto"/>
                  <w:vAlign w:val="center"/>
                </w:tcPr>
                <w:p w14:paraId="23A53205">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倒班房</w:t>
                  </w:r>
                </w:p>
              </w:tc>
              <w:tc>
                <w:tcPr>
                  <w:tcW w:w="3650" w:type="dxa"/>
                  <w:gridSpan w:val="3"/>
                  <w:shd w:val="clear" w:color="auto" w:fill="auto"/>
                  <w:vAlign w:val="center"/>
                </w:tcPr>
                <w:p w14:paraId="1B9EFC8D">
                  <w:pPr>
                    <w:spacing w:line="276" w:lineRule="auto"/>
                    <w:rPr>
                      <w:rFonts w:hint="eastAsia" w:cs="Times New Roman"/>
                      <w:color w:val="auto"/>
                      <w:sz w:val="21"/>
                      <w:szCs w:val="21"/>
                      <w:lang w:val="en-US" w:eastAsia="zh-CN"/>
                    </w:rPr>
                  </w:pPr>
                  <w:r>
                    <w:rPr>
                      <w:rFonts w:hint="eastAsia" w:cs="Times New Roman"/>
                      <w:color w:val="auto"/>
                      <w:sz w:val="21"/>
                      <w:szCs w:val="21"/>
                      <w:lang w:val="en-US" w:eastAsia="zh-CN"/>
                    </w:rPr>
                    <w:t>位于办公楼3楼，面积约为510m</w:t>
                  </w:r>
                  <w:r>
                    <w:rPr>
                      <w:rFonts w:hint="eastAsia" w:cs="Times New Roman"/>
                      <w:color w:val="auto"/>
                      <w:sz w:val="21"/>
                      <w:szCs w:val="21"/>
                      <w:vertAlign w:val="superscript"/>
                      <w:lang w:val="en-US" w:eastAsia="zh-CN"/>
                    </w:rPr>
                    <w:t>2</w:t>
                  </w:r>
                </w:p>
              </w:tc>
              <w:tc>
                <w:tcPr>
                  <w:tcW w:w="1195" w:type="dxa"/>
                  <w:gridSpan w:val="2"/>
                  <w:vMerge w:val="continue"/>
                  <w:shd w:val="clear" w:color="auto" w:fill="auto"/>
                  <w:vAlign w:val="center"/>
                </w:tcPr>
                <w:p w14:paraId="07B3D40E">
                  <w:pPr>
                    <w:spacing w:line="276" w:lineRule="auto"/>
                    <w:jc w:val="center"/>
                    <w:rPr>
                      <w:rFonts w:hint="default" w:ascii="Times New Roman" w:hAnsi="Times New Roman" w:cs="Times New Roman"/>
                      <w:color w:val="auto"/>
                      <w:sz w:val="21"/>
                      <w:szCs w:val="21"/>
                    </w:rPr>
                  </w:pPr>
                </w:p>
              </w:tc>
              <w:tc>
                <w:tcPr>
                  <w:tcW w:w="1151" w:type="dxa"/>
                  <w:gridSpan w:val="2"/>
                  <w:shd w:val="clear" w:color="auto" w:fill="auto"/>
                  <w:vAlign w:val="center"/>
                </w:tcPr>
                <w:p w14:paraId="5E181326">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生活污水</w:t>
                  </w:r>
                </w:p>
                <w:p w14:paraId="27560AC6">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生活垃圾</w:t>
                  </w:r>
                </w:p>
              </w:tc>
              <w:tc>
                <w:tcPr>
                  <w:tcW w:w="1142" w:type="dxa"/>
                  <w:gridSpan w:val="2"/>
                  <w:shd w:val="clear" w:color="auto" w:fill="auto"/>
                  <w:vAlign w:val="center"/>
                </w:tcPr>
                <w:p w14:paraId="163E78D5">
                  <w:pPr>
                    <w:spacing w:line="276" w:lineRule="auto"/>
                    <w:jc w:val="center"/>
                    <w:rPr>
                      <w:rFonts w:hint="default" w:ascii="Times New Roman" w:hAnsi="Times New Roman" w:cs="Times New Roman"/>
                      <w:color w:val="auto"/>
                      <w:sz w:val="21"/>
                      <w:szCs w:val="21"/>
                      <w:lang w:val="en-US" w:eastAsia="zh-CN"/>
                    </w:rPr>
                  </w:pPr>
                </w:p>
              </w:tc>
            </w:tr>
            <w:tr w14:paraId="23D262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Merge w:val="restart"/>
                  <w:shd w:val="clear" w:color="auto" w:fill="auto"/>
                  <w:vAlign w:val="center"/>
                </w:tcPr>
                <w:p w14:paraId="02AAB9C0">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仓储工程</w:t>
                  </w:r>
                </w:p>
              </w:tc>
              <w:tc>
                <w:tcPr>
                  <w:tcW w:w="1825" w:type="dxa"/>
                  <w:gridSpan w:val="5"/>
                  <w:shd w:val="clear" w:color="auto" w:fill="auto"/>
                  <w:vAlign w:val="center"/>
                </w:tcPr>
                <w:p w14:paraId="15F3483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SCR原材料库</w:t>
                  </w:r>
                </w:p>
              </w:tc>
              <w:tc>
                <w:tcPr>
                  <w:tcW w:w="3650" w:type="dxa"/>
                  <w:gridSpan w:val="3"/>
                  <w:shd w:val="clear" w:color="auto" w:fill="auto"/>
                  <w:vAlign w:val="center"/>
                </w:tcPr>
                <w:p w14:paraId="6A537BE3">
                  <w:pPr>
                    <w:spacing w:line="276" w:lineRule="auto"/>
                    <w:rPr>
                      <w:rFonts w:hint="eastAsia" w:cs="Times New Roman"/>
                      <w:color w:val="auto"/>
                      <w:sz w:val="21"/>
                      <w:szCs w:val="21"/>
                      <w:lang w:eastAsia="zh-CN"/>
                    </w:rPr>
                  </w:pPr>
                  <w:r>
                    <w:rPr>
                      <w:rFonts w:hint="default" w:ascii="Times New Roman" w:hAnsi="Times New Roman" w:cs="Times New Roman"/>
                      <w:color w:val="auto"/>
                      <w:sz w:val="21"/>
                      <w:szCs w:val="21"/>
                      <w:lang w:val="en-US" w:eastAsia="zh-CN"/>
                    </w:rPr>
                    <w:t>位于</w:t>
                  </w:r>
                  <w:r>
                    <w:rPr>
                      <w:rFonts w:hint="eastAsia" w:cs="Times New Roman"/>
                      <w:color w:val="auto"/>
                      <w:sz w:val="21"/>
                      <w:szCs w:val="21"/>
                      <w:lang w:val="en-US" w:eastAsia="zh-CN"/>
                    </w:rPr>
                    <w:t>2</w:t>
                  </w:r>
                  <w:r>
                    <w:rPr>
                      <w:rFonts w:hint="default" w:ascii="Times New Roman" w:hAnsi="Times New Roman" w:cs="Times New Roman"/>
                      <w:color w:val="auto"/>
                      <w:sz w:val="21"/>
                      <w:szCs w:val="21"/>
                      <w:lang w:val="en-US" w:eastAsia="zh-CN"/>
                    </w:rPr>
                    <w:t>#车间，面积</w:t>
                  </w:r>
                  <w:r>
                    <w:rPr>
                      <w:rFonts w:hint="eastAsia" w:cs="Times New Roman"/>
                      <w:color w:val="auto"/>
                      <w:sz w:val="21"/>
                      <w:szCs w:val="21"/>
                      <w:lang w:val="en-US" w:eastAsia="zh-CN"/>
                    </w:rPr>
                    <w:t>11</w:t>
                  </w:r>
                  <w:r>
                    <w:rPr>
                      <w:rFonts w:hint="default" w:ascii="Times New Roman" w:hAnsi="Times New Roman" w:cs="Times New Roman"/>
                      <w:color w:val="auto"/>
                      <w:sz w:val="21"/>
                      <w:szCs w:val="21"/>
                      <w:lang w:val="en-US" w:eastAsia="zh-CN"/>
                    </w:rPr>
                    <w:t>00m</w:t>
                  </w:r>
                  <w:r>
                    <w:rPr>
                      <w:rFonts w:hint="default" w:ascii="Times New Roman" w:hAnsi="Times New Roman" w:cs="Times New Roman"/>
                      <w:color w:val="auto"/>
                      <w:sz w:val="21"/>
                      <w:szCs w:val="21"/>
                      <w:vertAlign w:val="superscript"/>
                      <w:lang w:val="en-US" w:eastAsia="zh-CN"/>
                    </w:rPr>
                    <w:t>2</w:t>
                  </w:r>
                </w:p>
              </w:tc>
              <w:tc>
                <w:tcPr>
                  <w:tcW w:w="1195" w:type="dxa"/>
                  <w:gridSpan w:val="2"/>
                  <w:vMerge w:val="continue"/>
                  <w:shd w:val="clear" w:color="auto" w:fill="auto"/>
                  <w:vAlign w:val="center"/>
                </w:tcPr>
                <w:p w14:paraId="66948721">
                  <w:pPr>
                    <w:spacing w:line="276" w:lineRule="auto"/>
                    <w:jc w:val="center"/>
                    <w:rPr>
                      <w:rFonts w:hint="default" w:ascii="Times New Roman" w:hAnsi="Times New Roman" w:cs="Times New Roman"/>
                      <w:color w:val="auto"/>
                      <w:sz w:val="21"/>
                      <w:szCs w:val="21"/>
                    </w:rPr>
                  </w:pPr>
                </w:p>
              </w:tc>
              <w:tc>
                <w:tcPr>
                  <w:tcW w:w="1151" w:type="dxa"/>
                  <w:gridSpan w:val="2"/>
                  <w:vMerge w:val="restart"/>
                  <w:shd w:val="clear" w:color="auto" w:fill="auto"/>
                  <w:vAlign w:val="center"/>
                </w:tcPr>
                <w:p w14:paraId="559838AE">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固废</w:t>
                  </w:r>
                </w:p>
              </w:tc>
              <w:tc>
                <w:tcPr>
                  <w:tcW w:w="1142" w:type="dxa"/>
                  <w:gridSpan w:val="2"/>
                  <w:shd w:val="clear" w:color="auto" w:fill="auto"/>
                  <w:vAlign w:val="center"/>
                </w:tcPr>
                <w:p w14:paraId="7498873C">
                  <w:pPr>
                    <w:spacing w:line="276" w:lineRule="auto"/>
                    <w:jc w:val="center"/>
                    <w:rPr>
                      <w:rFonts w:hint="default" w:ascii="Times New Roman" w:hAnsi="Times New Roman" w:cs="Times New Roman"/>
                      <w:color w:val="auto"/>
                      <w:sz w:val="21"/>
                      <w:szCs w:val="21"/>
                      <w:lang w:val="en-US" w:eastAsia="zh-CN"/>
                    </w:rPr>
                  </w:pPr>
                </w:p>
              </w:tc>
            </w:tr>
            <w:tr w14:paraId="4E0FA9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Merge w:val="continue"/>
                  <w:shd w:val="clear" w:color="auto" w:fill="auto"/>
                  <w:vAlign w:val="center"/>
                </w:tcPr>
                <w:p w14:paraId="74839B97">
                  <w:pPr>
                    <w:spacing w:line="276" w:lineRule="auto"/>
                    <w:jc w:val="center"/>
                    <w:rPr>
                      <w:rFonts w:hint="eastAsia" w:cs="Times New Roman"/>
                      <w:color w:val="auto"/>
                      <w:sz w:val="21"/>
                      <w:szCs w:val="21"/>
                      <w:lang w:val="en-US" w:eastAsia="zh-CN"/>
                    </w:rPr>
                  </w:pPr>
                </w:p>
              </w:tc>
              <w:tc>
                <w:tcPr>
                  <w:tcW w:w="1825" w:type="dxa"/>
                  <w:gridSpan w:val="5"/>
                  <w:shd w:val="clear" w:color="auto" w:fill="auto"/>
                  <w:vAlign w:val="center"/>
                </w:tcPr>
                <w:p w14:paraId="0C51DB8B">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SCR成品库</w:t>
                  </w:r>
                </w:p>
              </w:tc>
              <w:tc>
                <w:tcPr>
                  <w:tcW w:w="3650" w:type="dxa"/>
                  <w:gridSpan w:val="3"/>
                  <w:shd w:val="clear" w:color="auto" w:fill="auto"/>
                  <w:vAlign w:val="center"/>
                </w:tcPr>
                <w:p w14:paraId="5B2B34F8">
                  <w:pPr>
                    <w:spacing w:line="276" w:lineRule="auto"/>
                    <w:rPr>
                      <w:rFonts w:hint="eastAsia" w:cs="Times New Roman"/>
                      <w:color w:val="auto"/>
                      <w:sz w:val="21"/>
                      <w:szCs w:val="21"/>
                      <w:lang w:eastAsia="zh-CN"/>
                    </w:rPr>
                  </w:pPr>
                  <w:r>
                    <w:rPr>
                      <w:rFonts w:hint="default" w:ascii="Times New Roman" w:hAnsi="Times New Roman" w:cs="Times New Roman"/>
                      <w:color w:val="auto"/>
                      <w:sz w:val="21"/>
                      <w:szCs w:val="21"/>
                      <w:lang w:val="en-US" w:eastAsia="zh-CN"/>
                    </w:rPr>
                    <w:t>位于</w:t>
                  </w:r>
                  <w:r>
                    <w:rPr>
                      <w:rFonts w:hint="eastAsia" w:cs="Times New Roman"/>
                      <w:color w:val="auto"/>
                      <w:sz w:val="21"/>
                      <w:szCs w:val="21"/>
                      <w:lang w:val="en-US" w:eastAsia="zh-CN"/>
                    </w:rPr>
                    <w:t>2</w:t>
                  </w:r>
                  <w:r>
                    <w:rPr>
                      <w:rFonts w:hint="default" w:ascii="Times New Roman" w:hAnsi="Times New Roman" w:cs="Times New Roman"/>
                      <w:color w:val="auto"/>
                      <w:sz w:val="21"/>
                      <w:szCs w:val="21"/>
                      <w:lang w:val="en-US" w:eastAsia="zh-CN"/>
                    </w:rPr>
                    <w:t>#车间，面积</w:t>
                  </w:r>
                  <w:r>
                    <w:rPr>
                      <w:rFonts w:hint="eastAsia" w:cs="Times New Roman"/>
                      <w:color w:val="auto"/>
                      <w:sz w:val="21"/>
                      <w:szCs w:val="21"/>
                      <w:lang w:val="en-US" w:eastAsia="zh-CN"/>
                    </w:rPr>
                    <w:t>11</w:t>
                  </w:r>
                  <w:r>
                    <w:rPr>
                      <w:rFonts w:hint="default" w:ascii="Times New Roman" w:hAnsi="Times New Roman" w:cs="Times New Roman"/>
                      <w:color w:val="auto"/>
                      <w:sz w:val="21"/>
                      <w:szCs w:val="21"/>
                      <w:lang w:val="en-US" w:eastAsia="zh-CN"/>
                    </w:rPr>
                    <w:t>00m</w:t>
                  </w:r>
                  <w:r>
                    <w:rPr>
                      <w:rFonts w:hint="default" w:ascii="Times New Roman" w:hAnsi="Times New Roman" w:cs="Times New Roman"/>
                      <w:color w:val="auto"/>
                      <w:sz w:val="21"/>
                      <w:szCs w:val="21"/>
                      <w:vertAlign w:val="superscript"/>
                      <w:lang w:val="en-US" w:eastAsia="zh-CN"/>
                    </w:rPr>
                    <w:t>2</w:t>
                  </w:r>
                </w:p>
              </w:tc>
              <w:tc>
                <w:tcPr>
                  <w:tcW w:w="1195" w:type="dxa"/>
                  <w:gridSpan w:val="2"/>
                  <w:vMerge w:val="continue"/>
                  <w:shd w:val="clear" w:color="auto" w:fill="auto"/>
                  <w:vAlign w:val="center"/>
                </w:tcPr>
                <w:p w14:paraId="7FC68ACC">
                  <w:pPr>
                    <w:spacing w:line="276" w:lineRule="auto"/>
                    <w:jc w:val="center"/>
                    <w:rPr>
                      <w:rFonts w:hint="default" w:ascii="Times New Roman" w:hAnsi="Times New Roman" w:cs="Times New Roman"/>
                      <w:color w:val="auto"/>
                      <w:sz w:val="21"/>
                      <w:szCs w:val="21"/>
                    </w:rPr>
                  </w:pPr>
                </w:p>
              </w:tc>
              <w:tc>
                <w:tcPr>
                  <w:tcW w:w="1151" w:type="dxa"/>
                  <w:gridSpan w:val="2"/>
                  <w:vMerge w:val="continue"/>
                  <w:shd w:val="clear" w:color="auto" w:fill="auto"/>
                  <w:vAlign w:val="center"/>
                </w:tcPr>
                <w:p w14:paraId="4CA64FFA">
                  <w:pPr>
                    <w:spacing w:line="276" w:lineRule="auto"/>
                    <w:jc w:val="center"/>
                    <w:rPr>
                      <w:rFonts w:hint="default" w:ascii="Times New Roman" w:hAnsi="Times New Roman" w:cs="Times New Roman"/>
                      <w:color w:val="auto"/>
                      <w:sz w:val="21"/>
                      <w:szCs w:val="21"/>
                      <w:lang w:eastAsia="zh-CN"/>
                    </w:rPr>
                  </w:pPr>
                </w:p>
              </w:tc>
              <w:tc>
                <w:tcPr>
                  <w:tcW w:w="1142" w:type="dxa"/>
                  <w:gridSpan w:val="2"/>
                  <w:shd w:val="clear" w:color="auto" w:fill="auto"/>
                  <w:vAlign w:val="center"/>
                </w:tcPr>
                <w:p w14:paraId="2B0A77EF">
                  <w:pPr>
                    <w:spacing w:line="276" w:lineRule="auto"/>
                    <w:jc w:val="center"/>
                    <w:rPr>
                      <w:rFonts w:hint="default" w:ascii="Times New Roman" w:hAnsi="Times New Roman" w:cs="Times New Roman"/>
                      <w:color w:val="auto"/>
                      <w:sz w:val="21"/>
                      <w:szCs w:val="21"/>
                      <w:lang w:val="en-US" w:eastAsia="zh-CN"/>
                    </w:rPr>
                  </w:pPr>
                </w:p>
              </w:tc>
            </w:tr>
            <w:tr w14:paraId="30718F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Merge w:val="continue"/>
                  <w:shd w:val="clear" w:color="auto" w:fill="auto"/>
                  <w:vAlign w:val="center"/>
                </w:tcPr>
                <w:p w14:paraId="1827071D">
                  <w:pPr>
                    <w:spacing w:line="276" w:lineRule="auto"/>
                    <w:jc w:val="center"/>
                    <w:rPr>
                      <w:rFonts w:hint="eastAsia" w:cs="Times New Roman"/>
                      <w:color w:val="auto"/>
                      <w:sz w:val="21"/>
                      <w:szCs w:val="21"/>
                      <w:lang w:val="en-US" w:eastAsia="zh-CN"/>
                    </w:rPr>
                  </w:pPr>
                </w:p>
              </w:tc>
              <w:tc>
                <w:tcPr>
                  <w:tcW w:w="1825" w:type="dxa"/>
                  <w:gridSpan w:val="5"/>
                  <w:shd w:val="clear" w:color="auto" w:fill="auto"/>
                  <w:vAlign w:val="center"/>
                </w:tcPr>
                <w:p w14:paraId="24544175">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乘用车</w:t>
                  </w:r>
                  <w:r>
                    <w:rPr>
                      <w:rFonts w:hint="default" w:ascii="Times New Roman" w:hAnsi="Times New Roman" w:cs="Times New Roman"/>
                      <w:color w:val="auto"/>
                      <w:sz w:val="21"/>
                      <w:szCs w:val="21"/>
                      <w:lang w:val="en-US" w:eastAsia="zh-CN"/>
                    </w:rPr>
                    <w:t>空滤原材料库</w:t>
                  </w:r>
                </w:p>
              </w:tc>
              <w:tc>
                <w:tcPr>
                  <w:tcW w:w="3650" w:type="dxa"/>
                  <w:gridSpan w:val="3"/>
                  <w:shd w:val="clear" w:color="auto" w:fill="auto"/>
                  <w:vAlign w:val="center"/>
                </w:tcPr>
                <w:p w14:paraId="3A8E3371">
                  <w:pPr>
                    <w:spacing w:line="276" w:lineRule="auto"/>
                    <w:rPr>
                      <w:rFonts w:hint="eastAsia" w:cs="Times New Roman"/>
                      <w:color w:val="auto"/>
                      <w:sz w:val="21"/>
                      <w:szCs w:val="21"/>
                      <w:lang w:eastAsia="zh-CN"/>
                    </w:rPr>
                  </w:pPr>
                  <w:r>
                    <w:rPr>
                      <w:rFonts w:hint="default" w:ascii="Times New Roman" w:hAnsi="Times New Roman" w:cs="Times New Roman"/>
                      <w:color w:val="auto"/>
                      <w:sz w:val="21"/>
                      <w:szCs w:val="21"/>
                      <w:lang w:val="en-US" w:eastAsia="zh-CN"/>
                    </w:rPr>
                    <w:t>位于</w:t>
                  </w:r>
                  <w:r>
                    <w:rPr>
                      <w:rFonts w:hint="eastAsia" w:cs="Times New Roman"/>
                      <w:color w:val="auto"/>
                      <w:sz w:val="21"/>
                      <w:szCs w:val="21"/>
                      <w:lang w:val="en-US" w:eastAsia="zh-CN"/>
                    </w:rPr>
                    <w:t>2</w:t>
                  </w:r>
                  <w:r>
                    <w:rPr>
                      <w:rFonts w:hint="default" w:ascii="Times New Roman" w:hAnsi="Times New Roman" w:cs="Times New Roman"/>
                      <w:color w:val="auto"/>
                      <w:sz w:val="21"/>
                      <w:szCs w:val="21"/>
                      <w:lang w:val="en-US" w:eastAsia="zh-CN"/>
                    </w:rPr>
                    <w:t>#车间，面积</w:t>
                  </w:r>
                  <w:r>
                    <w:rPr>
                      <w:rFonts w:hint="eastAsia" w:cs="Times New Roman"/>
                      <w:color w:val="auto"/>
                      <w:sz w:val="21"/>
                      <w:szCs w:val="21"/>
                      <w:lang w:val="en-US" w:eastAsia="zh-CN"/>
                    </w:rPr>
                    <w:t>756</w:t>
                  </w:r>
                  <w:r>
                    <w:rPr>
                      <w:rFonts w:hint="default" w:ascii="Times New Roman" w:hAnsi="Times New Roman" w:cs="Times New Roman"/>
                      <w:color w:val="auto"/>
                      <w:sz w:val="21"/>
                      <w:szCs w:val="21"/>
                      <w:lang w:val="en-US" w:eastAsia="zh-CN"/>
                    </w:rPr>
                    <w:t>m</w:t>
                  </w:r>
                  <w:r>
                    <w:rPr>
                      <w:rFonts w:hint="default" w:ascii="Times New Roman" w:hAnsi="Times New Roman" w:cs="Times New Roman"/>
                      <w:color w:val="auto"/>
                      <w:sz w:val="21"/>
                      <w:szCs w:val="21"/>
                      <w:vertAlign w:val="superscript"/>
                      <w:lang w:val="en-US" w:eastAsia="zh-CN"/>
                    </w:rPr>
                    <w:t>2</w:t>
                  </w:r>
                </w:p>
              </w:tc>
              <w:tc>
                <w:tcPr>
                  <w:tcW w:w="1195" w:type="dxa"/>
                  <w:gridSpan w:val="2"/>
                  <w:vMerge w:val="continue"/>
                  <w:shd w:val="clear" w:color="auto" w:fill="auto"/>
                  <w:vAlign w:val="center"/>
                </w:tcPr>
                <w:p w14:paraId="4563F531">
                  <w:pPr>
                    <w:spacing w:line="276" w:lineRule="auto"/>
                    <w:jc w:val="center"/>
                    <w:rPr>
                      <w:rFonts w:hint="default" w:ascii="Times New Roman" w:hAnsi="Times New Roman" w:cs="Times New Roman"/>
                      <w:color w:val="auto"/>
                      <w:sz w:val="21"/>
                      <w:szCs w:val="21"/>
                    </w:rPr>
                  </w:pPr>
                </w:p>
              </w:tc>
              <w:tc>
                <w:tcPr>
                  <w:tcW w:w="1151" w:type="dxa"/>
                  <w:gridSpan w:val="2"/>
                  <w:vMerge w:val="continue"/>
                  <w:shd w:val="clear" w:color="auto" w:fill="auto"/>
                  <w:vAlign w:val="center"/>
                </w:tcPr>
                <w:p w14:paraId="132E86DB">
                  <w:pPr>
                    <w:spacing w:line="276" w:lineRule="auto"/>
                    <w:jc w:val="center"/>
                    <w:rPr>
                      <w:rFonts w:hint="default" w:ascii="Times New Roman" w:hAnsi="Times New Roman" w:cs="Times New Roman"/>
                      <w:color w:val="auto"/>
                      <w:sz w:val="21"/>
                      <w:szCs w:val="21"/>
                      <w:lang w:eastAsia="zh-CN"/>
                    </w:rPr>
                  </w:pPr>
                </w:p>
              </w:tc>
              <w:tc>
                <w:tcPr>
                  <w:tcW w:w="1142" w:type="dxa"/>
                  <w:gridSpan w:val="2"/>
                  <w:shd w:val="clear" w:color="auto" w:fill="auto"/>
                  <w:vAlign w:val="center"/>
                </w:tcPr>
                <w:p w14:paraId="06D7DC70">
                  <w:pPr>
                    <w:spacing w:line="276" w:lineRule="auto"/>
                    <w:jc w:val="center"/>
                    <w:rPr>
                      <w:rFonts w:hint="default" w:ascii="Times New Roman" w:hAnsi="Times New Roman" w:cs="Times New Roman"/>
                      <w:color w:val="auto"/>
                      <w:sz w:val="21"/>
                      <w:szCs w:val="21"/>
                      <w:lang w:val="en-US" w:eastAsia="zh-CN"/>
                    </w:rPr>
                  </w:pPr>
                </w:p>
              </w:tc>
            </w:tr>
            <w:tr w14:paraId="465EBE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vMerge w:val="continue"/>
                  <w:shd w:val="clear" w:color="auto" w:fill="auto"/>
                  <w:vAlign w:val="center"/>
                </w:tcPr>
                <w:p w14:paraId="16A742CE">
                  <w:pPr>
                    <w:spacing w:line="276" w:lineRule="auto"/>
                    <w:jc w:val="center"/>
                    <w:rPr>
                      <w:rFonts w:hint="eastAsia" w:cs="Times New Roman"/>
                      <w:color w:val="auto"/>
                      <w:sz w:val="21"/>
                      <w:szCs w:val="21"/>
                      <w:lang w:val="en-US" w:eastAsia="zh-CN"/>
                    </w:rPr>
                  </w:pPr>
                </w:p>
              </w:tc>
              <w:tc>
                <w:tcPr>
                  <w:tcW w:w="1825" w:type="dxa"/>
                  <w:gridSpan w:val="5"/>
                  <w:shd w:val="clear" w:color="auto" w:fill="auto"/>
                  <w:vAlign w:val="center"/>
                </w:tcPr>
                <w:p w14:paraId="4DA97FA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乘用车空滤成品库</w:t>
                  </w:r>
                </w:p>
              </w:tc>
              <w:tc>
                <w:tcPr>
                  <w:tcW w:w="3650" w:type="dxa"/>
                  <w:gridSpan w:val="3"/>
                  <w:shd w:val="clear" w:color="auto" w:fill="auto"/>
                  <w:vAlign w:val="center"/>
                </w:tcPr>
                <w:p w14:paraId="4EF167C1">
                  <w:pPr>
                    <w:spacing w:line="276" w:lineRule="auto"/>
                    <w:rPr>
                      <w:rFonts w:hint="eastAsia" w:cs="Times New Roman"/>
                      <w:color w:val="auto"/>
                      <w:sz w:val="21"/>
                      <w:szCs w:val="21"/>
                      <w:lang w:eastAsia="zh-CN"/>
                    </w:rPr>
                  </w:pPr>
                  <w:r>
                    <w:rPr>
                      <w:rFonts w:hint="default" w:ascii="Times New Roman" w:hAnsi="Times New Roman" w:cs="Times New Roman"/>
                      <w:color w:val="auto"/>
                      <w:sz w:val="21"/>
                      <w:szCs w:val="21"/>
                      <w:lang w:val="en-US" w:eastAsia="zh-CN"/>
                    </w:rPr>
                    <w:t>位于</w:t>
                  </w:r>
                  <w:r>
                    <w:rPr>
                      <w:rFonts w:hint="eastAsia" w:cs="Times New Roman"/>
                      <w:color w:val="auto"/>
                      <w:sz w:val="21"/>
                      <w:szCs w:val="21"/>
                      <w:lang w:val="en-US" w:eastAsia="zh-CN"/>
                    </w:rPr>
                    <w:t>2</w:t>
                  </w:r>
                  <w:r>
                    <w:rPr>
                      <w:rFonts w:hint="default" w:ascii="Times New Roman" w:hAnsi="Times New Roman" w:cs="Times New Roman"/>
                      <w:color w:val="auto"/>
                      <w:sz w:val="21"/>
                      <w:szCs w:val="21"/>
                      <w:lang w:val="en-US" w:eastAsia="zh-CN"/>
                    </w:rPr>
                    <w:t>#车间，面积</w:t>
                  </w:r>
                  <w:r>
                    <w:rPr>
                      <w:rFonts w:hint="eastAsia" w:cs="Times New Roman"/>
                      <w:color w:val="auto"/>
                      <w:sz w:val="21"/>
                      <w:szCs w:val="21"/>
                      <w:lang w:val="en-US" w:eastAsia="zh-CN"/>
                    </w:rPr>
                    <w:t>756</w:t>
                  </w:r>
                  <w:r>
                    <w:rPr>
                      <w:rFonts w:hint="default" w:ascii="Times New Roman" w:hAnsi="Times New Roman" w:cs="Times New Roman"/>
                      <w:color w:val="auto"/>
                      <w:sz w:val="21"/>
                      <w:szCs w:val="21"/>
                      <w:lang w:val="en-US" w:eastAsia="zh-CN"/>
                    </w:rPr>
                    <w:t>m</w:t>
                  </w:r>
                  <w:r>
                    <w:rPr>
                      <w:rFonts w:hint="default" w:ascii="Times New Roman" w:hAnsi="Times New Roman" w:cs="Times New Roman"/>
                      <w:color w:val="auto"/>
                      <w:sz w:val="21"/>
                      <w:szCs w:val="21"/>
                      <w:vertAlign w:val="superscript"/>
                      <w:lang w:val="en-US" w:eastAsia="zh-CN"/>
                    </w:rPr>
                    <w:t>2</w:t>
                  </w:r>
                </w:p>
              </w:tc>
              <w:tc>
                <w:tcPr>
                  <w:tcW w:w="1195" w:type="dxa"/>
                  <w:gridSpan w:val="2"/>
                  <w:vMerge w:val="continue"/>
                  <w:shd w:val="clear" w:color="auto" w:fill="auto"/>
                  <w:vAlign w:val="center"/>
                </w:tcPr>
                <w:p w14:paraId="7CF55181">
                  <w:pPr>
                    <w:spacing w:line="276" w:lineRule="auto"/>
                    <w:jc w:val="center"/>
                    <w:rPr>
                      <w:rFonts w:hint="default" w:ascii="Times New Roman" w:hAnsi="Times New Roman" w:cs="Times New Roman"/>
                      <w:color w:val="auto"/>
                      <w:sz w:val="21"/>
                      <w:szCs w:val="21"/>
                    </w:rPr>
                  </w:pPr>
                </w:p>
              </w:tc>
              <w:tc>
                <w:tcPr>
                  <w:tcW w:w="1151" w:type="dxa"/>
                  <w:gridSpan w:val="2"/>
                  <w:vMerge w:val="continue"/>
                  <w:shd w:val="clear" w:color="auto" w:fill="auto"/>
                  <w:vAlign w:val="center"/>
                </w:tcPr>
                <w:p w14:paraId="7B0C7DB8">
                  <w:pPr>
                    <w:spacing w:line="276" w:lineRule="auto"/>
                    <w:jc w:val="center"/>
                    <w:rPr>
                      <w:rFonts w:hint="default" w:ascii="Times New Roman" w:hAnsi="Times New Roman" w:cs="Times New Roman"/>
                      <w:color w:val="auto"/>
                      <w:sz w:val="21"/>
                      <w:szCs w:val="21"/>
                      <w:lang w:eastAsia="zh-CN"/>
                    </w:rPr>
                  </w:pPr>
                </w:p>
              </w:tc>
              <w:tc>
                <w:tcPr>
                  <w:tcW w:w="1142" w:type="dxa"/>
                  <w:gridSpan w:val="2"/>
                  <w:shd w:val="clear" w:color="auto" w:fill="auto"/>
                  <w:vAlign w:val="center"/>
                </w:tcPr>
                <w:p w14:paraId="0E70989E">
                  <w:pPr>
                    <w:spacing w:line="276" w:lineRule="auto"/>
                    <w:jc w:val="center"/>
                    <w:rPr>
                      <w:rFonts w:hint="default" w:ascii="Times New Roman" w:hAnsi="Times New Roman" w:cs="Times New Roman"/>
                      <w:color w:val="auto"/>
                      <w:sz w:val="21"/>
                      <w:szCs w:val="21"/>
                      <w:lang w:val="en-US" w:eastAsia="zh-CN"/>
                    </w:rPr>
                  </w:pPr>
                </w:p>
              </w:tc>
            </w:tr>
            <w:tr w14:paraId="2D15CC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shd w:val="clear" w:color="auto" w:fill="auto"/>
                  <w:vAlign w:val="center"/>
                </w:tcPr>
                <w:p w14:paraId="35D3699D">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环保工程</w:t>
                  </w:r>
                </w:p>
              </w:tc>
              <w:tc>
                <w:tcPr>
                  <w:tcW w:w="564" w:type="dxa"/>
                  <w:gridSpan w:val="3"/>
                  <w:shd w:val="clear" w:color="auto" w:fill="auto"/>
                  <w:vAlign w:val="center"/>
                </w:tcPr>
                <w:p w14:paraId="173FF224">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废水</w:t>
                  </w:r>
                </w:p>
              </w:tc>
              <w:tc>
                <w:tcPr>
                  <w:tcW w:w="1261" w:type="dxa"/>
                  <w:gridSpan w:val="2"/>
                  <w:shd w:val="clear" w:color="auto" w:fill="auto"/>
                  <w:vAlign w:val="center"/>
                </w:tcPr>
                <w:p w14:paraId="352A2459">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eastAsia="zh-CN"/>
                    </w:rPr>
                    <w:t>食堂隔油池</w:t>
                  </w:r>
                </w:p>
              </w:tc>
              <w:tc>
                <w:tcPr>
                  <w:tcW w:w="3650" w:type="dxa"/>
                  <w:gridSpan w:val="3"/>
                  <w:shd w:val="clear" w:color="auto" w:fill="auto"/>
                  <w:vAlign w:val="center"/>
                </w:tcPr>
                <w:p w14:paraId="40EEC594">
                  <w:pPr>
                    <w:spacing w:line="276" w:lineRule="auto"/>
                    <w:rPr>
                      <w:rFonts w:hint="eastAsia" w:cs="Times New Roman"/>
                      <w:color w:val="auto"/>
                      <w:sz w:val="21"/>
                      <w:szCs w:val="21"/>
                      <w:lang w:eastAsia="zh-CN"/>
                    </w:rPr>
                  </w:pPr>
                  <w:r>
                    <w:rPr>
                      <w:rFonts w:hint="eastAsia" w:cs="Times New Roman"/>
                      <w:color w:val="auto"/>
                      <w:sz w:val="21"/>
                      <w:szCs w:val="21"/>
                      <w:lang w:eastAsia="zh-CN"/>
                    </w:rPr>
                    <w:t>新</w:t>
                  </w:r>
                  <w:r>
                    <w:rPr>
                      <w:rFonts w:hint="eastAsia" w:cs="Times New Roman"/>
                      <w:color w:val="auto"/>
                      <w:sz w:val="21"/>
                      <w:szCs w:val="21"/>
                      <w:lang w:val="en-US" w:eastAsia="zh-CN"/>
                    </w:rPr>
                    <w:t>建</w:t>
                  </w:r>
                  <w:r>
                    <w:rPr>
                      <w:rFonts w:hint="eastAsia" w:cs="Times New Roman"/>
                      <w:color w:val="auto"/>
                      <w:sz w:val="21"/>
                      <w:szCs w:val="21"/>
                      <w:lang w:eastAsia="zh-CN"/>
                    </w:rPr>
                    <w:t>食堂隔油池</w:t>
                  </w:r>
                  <w:r>
                    <w:rPr>
                      <w:rFonts w:hint="eastAsia" w:cs="Times New Roman"/>
                      <w:color w:val="auto"/>
                      <w:sz w:val="21"/>
                      <w:szCs w:val="21"/>
                      <w:lang w:val="en-US" w:eastAsia="zh-CN"/>
                    </w:rPr>
                    <w:t>1个（二期建设），处理能力2m</w:t>
                  </w:r>
                  <w:r>
                    <w:rPr>
                      <w:rFonts w:hint="eastAsia" w:cs="Times New Roman"/>
                      <w:color w:val="auto"/>
                      <w:sz w:val="21"/>
                      <w:szCs w:val="21"/>
                      <w:vertAlign w:val="superscript"/>
                      <w:lang w:val="en-US" w:eastAsia="zh-CN"/>
                    </w:rPr>
                    <w:t>3</w:t>
                  </w:r>
                  <w:r>
                    <w:rPr>
                      <w:rFonts w:hint="eastAsia" w:cs="Times New Roman"/>
                      <w:color w:val="auto"/>
                      <w:sz w:val="21"/>
                      <w:szCs w:val="21"/>
                      <w:lang w:val="en-US" w:eastAsia="zh-CN"/>
                    </w:rPr>
                    <w:t>/h</w:t>
                  </w:r>
                  <w:r>
                    <w:rPr>
                      <w:rFonts w:hint="eastAsia" w:cs="Times New Roman"/>
                      <w:color w:val="auto"/>
                      <w:sz w:val="21"/>
                      <w:szCs w:val="21"/>
                      <w:lang w:eastAsia="zh-CN"/>
                    </w:rPr>
                    <w:t>，位于标准厂房东侧办公区</w:t>
                  </w:r>
                </w:p>
              </w:tc>
              <w:tc>
                <w:tcPr>
                  <w:tcW w:w="1195" w:type="dxa"/>
                  <w:gridSpan w:val="2"/>
                  <w:vMerge w:val="continue"/>
                  <w:shd w:val="clear" w:color="auto" w:fill="auto"/>
                  <w:vAlign w:val="center"/>
                </w:tcPr>
                <w:p w14:paraId="54F078F2">
                  <w:pPr>
                    <w:spacing w:line="276" w:lineRule="auto"/>
                    <w:jc w:val="center"/>
                    <w:rPr>
                      <w:rFonts w:hint="default" w:ascii="Times New Roman" w:hAnsi="Times New Roman" w:cs="Times New Roman"/>
                      <w:color w:val="auto"/>
                      <w:sz w:val="21"/>
                      <w:szCs w:val="21"/>
                    </w:rPr>
                  </w:pPr>
                </w:p>
              </w:tc>
              <w:tc>
                <w:tcPr>
                  <w:tcW w:w="1151" w:type="dxa"/>
                  <w:gridSpan w:val="2"/>
                  <w:shd w:val="clear" w:color="auto" w:fill="auto"/>
                  <w:vAlign w:val="center"/>
                </w:tcPr>
                <w:p w14:paraId="47F6D05D">
                  <w:pPr>
                    <w:spacing w:line="276" w:lineRule="auto"/>
                    <w:jc w:val="center"/>
                    <w:rPr>
                      <w:rFonts w:hint="eastAsia"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rPr>
                    <w:t>废水、污泥</w:t>
                  </w:r>
                  <w:r>
                    <w:rPr>
                      <w:rFonts w:hint="eastAsia" w:cs="Times New Roman"/>
                      <w:color w:val="auto"/>
                      <w:sz w:val="21"/>
                      <w:szCs w:val="21"/>
                      <w:lang w:eastAsia="zh-CN"/>
                    </w:rPr>
                    <w:t>、</w:t>
                  </w:r>
                  <w:r>
                    <w:rPr>
                      <w:rFonts w:hint="eastAsia" w:cs="Times New Roman"/>
                      <w:color w:val="auto"/>
                      <w:sz w:val="21"/>
                      <w:szCs w:val="21"/>
                      <w:lang w:val="en-US" w:eastAsia="zh-CN"/>
                    </w:rPr>
                    <w:t>废油脂</w:t>
                  </w:r>
                </w:p>
              </w:tc>
              <w:tc>
                <w:tcPr>
                  <w:tcW w:w="1142" w:type="dxa"/>
                  <w:gridSpan w:val="2"/>
                  <w:shd w:val="clear" w:color="auto" w:fill="auto"/>
                  <w:vAlign w:val="center"/>
                </w:tcPr>
                <w:p w14:paraId="6E42C253">
                  <w:pPr>
                    <w:spacing w:line="276" w:lineRule="auto"/>
                    <w:jc w:val="center"/>
                    <w:rPr>
                      <w:rFonts w:hint="default" w:ascii="Times New Roman" w:hAnsi="Times New Roman" w:cs="Times New Roman"/>
                      <w:color w:val="auto"/>
                      <w:sz w:val="21"/>
                      <w:szCs w:val="21"/>
                      <w:lang w:val="en-US" w:eastAsia="zh-CN"/>
                    </w:rPr>
                  </w:pPr>
                </w:p>
              </w:tc>
            </w:tr>
            <w:tr w14:paraId="28BA78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shd w:val="clear" w:color="auto" w:fill="auto"/>
                  <w:vAlign w:val="center"/>
                </w:tcPr>
                <w:p w14:paraId="4DFBB59D">
                  <w:pPr>
                    <w:spacing w:line="276" w:lineRule="auto"/>
                    <w:jc w:val="center"/>
                    <w:rPr>
                      <w:rFonts w:hint="eastAsia" w:cs="Times New Roman"/>
                      <w:color w:val="auto"/>
                      <w:sz w:val="21"/>
                      <w:szCs w:val="21"/>
                      <w:lang w:val="en-US" w:eastAsia="zh-CN"/>
                    </w:rPr>
                  </w:pPr>
                </w:p>
              </w:tc>
              <w:tc>
                <w:tcPr>
                  <w:tcW w:w="564" w:type="dxa"/>
                  <w:gridSpan w:val="3"/>
                  <w:vMerge w:val="restart"/>
                  <w:shd w:val="clear" w:color="auto" w:fill="auto"/>
                  <w:vAlign w:val="center"/>
                </w:tcPr>
                <w:p w14:paraId="2625D683">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废气</w:t>
                  </w:r>
                </w:p>
              </w:tc>
              <w:tc>
                <w:tcPr>
                  <w:tcW w:w="1261" w:type="dxa"/>
                  <w:gridSpan w:val="2"/>
                  <w:shd w:val="clear" w:color="auto" w:fill="auto"/>
                  <w:vAlign w:val="center"/>
                </w:tcPr>
                <w:p w14:paraId="0A89BF58">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shd w:val="clear" w:color="auto" w:fill="auto"/>
                      <w:lang w:val="en-US" w:eastAsia="zh-CN"/>
                    </w:rPr>
                    <w:t>有机废气处理设施</w:t>
                  </w:r>
                </w:p>
              </w:tc>
              <w:tc>
                <w:tcPr>
                  <w:tcW w:w="3650" w:type="dxa"/>
                  <w:gridSpan w:val="3"/>
                  <w:shd w:val="clear" w:color="auto" w:fill="auto"/>
                  <w:vAlign w:val="center"/>
                </w:tcPr>
                <w:p w14:paraId="234FBF7B">
                  <w:pPr>
                    <w:spacing w:line="276" w:lineRule="auto"/>
                    <w:rPr>
                      <w:rFonts w:hint="eastAsia" w:cs="Times New Roman"/>
                      <w:color w:val="auto"/>
                      <w:sz w:val="21"/>
                      <w:szCs w:val="21"/>
                      <w:lang w:eastAsia="zh-CN"/>
                    </w:rPr>
                  </w:pPr>
                  <w:r>
                    <w:rPr>
                      <w:rFonts w:hint="eastAsia" w:cs="Times New Roman"/>
                      <w:color w:val="auto"/>
                      <w:sz w:val="21"/>
                      <w:szCs w:val="21"/>
                      <w:shd w:val="clear" w:color="auto" w:fill="auto"/>
                      <w:lang w:val="en-US" w:eastAsia="zh-CN"/>
                    </w:rPr>
                    <w:t>2#车间新建1</w:t>
                  </w:r>
                  <w:r>
                    <w:rPr>
                      <w:rFonts w:hint="default" w:ascii="Times New Roman" w:hAnsi="Times New Roman" w:cs="Times New Roman"/>
                      <w:color w:val="auto"/>
                      <w:sz w:val="21"/>
                      <w:szCs w:val="21"/>
                      <w:shd w:val="clear" w:color="auto" w:fill="auto"/>
                    </w:rPr>
                    <w:t>套</w:t>
                  </w:r>
                  <w:r>
                    <w:rPr>
                      <w:rFonts w:hint="eastAsia" w:cs="Times New Roman"/>
                      <w:color w:val="auto"/>
                      <w:sz w:val="21"/>
                      <w:szCs w:val="21"/>
                      <w:shd w:val="clear" w:color="auto" w:fill="auto"/>
                      <w:lang w:eastAsia="zh-CN"/>
                    </w:rPr>
                    <w:t>“</w:t>
                  </w:r>
                  <w:r>
                    <w:rPr>
                      <w:rFonts w:hint="eastAsia" w:cs="Times New Roman"/>
                      <w:color w:val="auto"/>
                      <w:sz w:val="21"/>
                      <w:szCs w:val="21"/>
                      <w:shd w:val="clear" w:color="auto" w:fill="auto"/>
                      <w:lang w:val="en-US" w:eastAsia="zh-CN"/>
                    </w:rPr>
                    <w:t>集气系统+UV光氧催化+活性炭吸附+1根15米高排气筒</w:t>
                  </w:r>
                  <w:r>
                    <w:rPr>
                      <w:rFonts w:hint="eastAsia" w:cs="Times New Roman"/>
                      <w:color w:val="auto"/>
                      <w:sz w:val="21"/>
                      <w:szCs w:val="21"/>
                      <w:shd w:val="clear" w:color="auto" w:fill="auto"/>
                      <w:lang w:eastAsia="zh-CN"/>
                    </w:rPr>
                    <w:t>”</w:t>
                  </w:r>
                  <w:r>
                    <w:rPr>
                      <w:rFonts w:hint="eastAsia" w:cs="Times New Roman"/>
                      <w:color w:val="auto"/>
                      <w:sz w:val="21"/>
                      <w:szCs w:val="21"/>
                      <w:shd w:val="clear" w:color="auto" w:fill="auto"/>
                      <w:lang w:val="en-US" w:eastAsia="zh-CN"/>
                    </w:rPr>
                    <w:t>设施</w:t>
                  </w:r>
                  <w:r>
                    <w:rPr>
                      <w:rFonts w:hint="default" w:ascii="Times New Roman" w:hAnsi="Times New Roman" w:cs="Times New Roman"/>
                      <w:color w:val="auto"/>
                      <w:sz w:val="21"/>
                      <w:szCs w:val="21"/>
                      <w:shd w:val="clear" w:color="auto" w:fill="auto"/>
                    </w:rPr>
                    <w:t>，用于处理</w:t>
                  </w:r>
                  <w:r>
                    <w:rPr>
                      <w:rFonts w:hint="eastAsia" w:cs="Times New Roman"/>
                      <w:color w:val="auto"/>
                      <w:sz w:val="21"/>
                      <w:szCs w:val="21"/>
                      <w:shd w:val="clear" w:color="auto" w:fill="auto"/>
                      <w:lang w:val="en-US" w:eastAsia="zh-CN"/>
                    </w:rPr>
                    <w:t>2#车间注塑、注胶</w:t>
                  </w:r>
                  <w:r>
                    <w:rPr>
                      <w:rFonts w:hint="default" w:ascii="Times New Roman" w:hAnsi="Times New Roman" w:cs="Times New Roman"/>
                      <w:color w:val="auto"/>
                      <w:sz w:val="21"/>
                      <w:szCs w:val="21"/>
                      <w:shd w:val="clear" w:color="auto" w:fill="auto"/>
                      <w:lang w:eastAsia="zh-CN"/>
                    </w:rPr>
                    <w:t>工序</w:t>
                  </w:r>
                  <w:r>
                    <w:rPr>
                      <w:rFonts w:hint="default" w:ascii="Times New Roman" w:hAnsi="Times New Roman" w:cs="Times New Roman"/>
                      <w:color w:val="auto"/>
                      <w:sz w:val="21"/>
                      <w:szCs w:val="21"/>
                      <w:shd w:val="clear" w:color="auto" w:fill="auto"/>
                    </w:rPr>
                    <w:t>产生的</w:t>
                  </w:r>
                  <w:r>
                    <w:rPr>
                      <w:rFonts w:hint="eastAsia" w:cs="Times New Roman"/>
                      <w:color w:val="auto"/>
                      <w:sz w:val="21"/>
                      <w:szCs w:val="21"/>
                      <w:shd w:val="clear" w:color="auto" w:fill="auto"/>
                      <w:lang w:val="en-US" w:eastAsia="zh-CN"/>
                    </w:rPr>
                    <w:t>有机废气。</w:t>
                  </w:r>
                </w:p>
              </w:tc>
              <w:tc>
                <w:tcPr>
                  <w:tcW w:w="1195" w:type="dxa"/>
                  <w:gridSpan w:val="2"/>
                  <w:vMerge w:val="continue"/>
                  <w:shd w:val="clear" w:color="auto" w:fill="auto"/>
                  <w:vAlign w:val="center"/>
                </w:tcPr>
                <w:p w14:paraId="2F0D7A06">
                  <w:pPr>
                    <w:spacing w:line="276" w:lineRule="auto"/>
                    <w:jc w:val="center"/>
                    <w:rPr>
                      <w:rFonts w:hint="default" w:ascii="Times New Roman" w:hAnsi="Times New Roman" w:cs="Times New Roman"/>
                      <w:color w:val="auto"/>
                      <w:sz w:val="21"/>
                      <w:szCs w:val="21"/>
                    </w:rPr>
                  </w:pPr>
                </w:p>
              </w:tc>
              <w:tc>
                <w:tcPr>
                  <w:tcW w:w="1151" w:type="dxa"/>
                  <w:gridSpan w:val="2"/>
                  <w:shd w:val="clear" w:color="auto" w:fill="auto"/>
                  <w:vAlign w:val="center"/>
                </w:tcPr>
                <w:p w14:paraId="50CF2C87">
                  <w:pPr>
                    <w:spacing w:line="276" w:lineRule="auto"/>
                    <w:jc w:val="center"/>
                    <w:rPr>
                      <w:rFonts w:hint="default" w:ascii="Times New Roman" w:hAnsi="Times New Roman" w:cs="Times New Roman"/>
                      <w:color w:val="auto"/>
                      <w:sz w:val="21"/>
                      <w:szCs w:val="21"/>
                      <w:lang w:eastAsia="zh-CN"/>
                    </w:rPr>
                  </w:pPr>
                  <w:r>
                    <w:rPr>
                      <w:rFonts w:hint="eastAsia" w:cs="Times New Roman"/>
                      <w:color w:val="auto"/>
                      <w:sz w:val="21"/>
                      <w:szCs w:val="21"/>
                      <w:lang w:val="en-US" w:eastAsia="zh-CN"/>
                    </w:rPr>
                    <w:t>废气、固废</w:t>
                  </w:r>
                </w:p>
              </w:tc>
              <w:tc>
                <w:tcPr>
                  <w:tcW w:w="1142" w:type="dxa"/>
                  <w:gridSpan w:val="2"/>
                  <w:shd w:val="clear" w:color="auto" w:fill="auto"/>
                  <w:vAlign w:val="center"/>
                </w:tcPr>
                <w:p w14:paraId="41862216">
                  <w:pPr>
                    <w:spacing w:line="276" w:lineRule="auto"/>
                    <w:jc w:val="center"/>
                    <w:rPr>
                      <w:rFonts w:hint="default" w:ascii="Times New Roman" w:hAnsi="Times New Roman" w:cs="Times New Roman"/>
                      <w:color w:val="auto"/>
                      <w:sz w:val="21"/>
                      <w:szCs w:val="21"/>
                      <w:lang w:val="en-US" w:eastAsia="zh-CN"/>
                    </w:rPr>
                  </w:pPr>
                </w:p>
              </w:tc>
            </w:tr>
            <w:tr w14:paraId="12987D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5" w:type="dxa"/>
                  <w:shd w:val="clear" w:color="auto" w:fill="auto"/>
                  <w:vAlign w:val="center"/>
                </w:tcPr>
                <w:p w14:paraId="3CBF5289">
                  <w:pPr>
                    <w:spacing w:line="276" w:lineRule="auto"/>
                    <w:jc w:val="center"/>
                    <w:rPr>
                      <w:rFonts w:hint="eastAsia" w:cs="Times New Roman"/>
                      <w:color w:val="auto"/>
                      <w:sz w:val="21"/>
                      <w:szCs w:val="21"/>
                      <w:lang w:val="en-US" w:eastAsia="zh-CN"/>
                    </w:rPr>
                  </w:pPr>
                </w:p>
              </w:tc>
              <w:tc>
                <w:tcPr>
                  <w:tcW w:w="564" w:type="dxa"/>
                  <w:gridSpan w:val="3"/>
                  <w:vMerge w:val="continue"/>
                  <w:shd w:val="clear" w:color="auto" w:fill="auto"/>
                  <w:vAlign w:val="center"/>
                </w:tcPr>
                <w:p w14:paraId="288A58CA">
                  <w:pPr>
                    <w:spacing w:line="276" w:lineRule="auto"/>
                    <w:jc w:val="center"/>
                    <w:rPr>
                      <w:rFonts w:hint="default" w:ascii="Times New Roman" w:hAnsi="Times New Roman" w:cs="Times New Roman"/>
                      <w:color w:val="auto"/>
                      <w:sz w:val="21"/>
                      <w:szCs w:val="21"/>
                    </w:rPr>
                  </w:pPr>
                </w:p>
              </w:tc>
              <w:tc>
                <w:tcPr>
                  <w:tcW w:w="1261" w:type="dxa"/>
                  <w:gridSpan w:val="2"/>
                  <w:shd w:val="clear" w:color="auto" w:fill="auto"/>
                  <w:vAlign w:val="center"/>
                </w:tcPr>
                <w:p w14:paraId="72B0F92B">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shd w:val="clear" w:color="auto" w:fill="auto"/>
                      <w:lang w:val="en-US" w:eastAsia="zh-CN"/>
                    </w:rPr>
                    <w:t>食堂油烟</w:t>
                  </w:r>
                </w:p>
              </w:tc>
              <w:tc>
                <w:tcPr>
                  <w:tcW w:w="3650" w:type="dxa"/>
                  <w:gridSpan w:val="3"/>
                  <w:shd w:val="clear" w:color="auto" w:fill="auto"/>
                  <w:vAlign w:val="center"/>
                </w:tcPr>
                <w:p w14:paraId="472B94EC">
                  <w:pPr>
                    <w:spacing w:line="276" w:lineRule="auto"/>
                    <w:jc w:val="center"/>
                    <w:rPr>
                      <w:rFonts w:hint="eastAsia" w:cs="Times New Roman"/>
                      <w:color w:val="auto"/>
                      <w:sz w:val="21"/>
                      <w:szCs w:val="21"/>
                      <w:lang w:eastAsia="zh-CN"/>
                    </w:rPr>
                  </w:pPr>
                  <w:r>
                    <w:rPr>
                      <w:rFonts w:hint="default" w:ascii="Times New Roman" w:hAnsi="Times New Roman" w:cs="Times New Roman"/>
                      <w:color w:val="auto"/>
                      <w:sz w:val="21"/>
                      <w:szCs w:val="21"/>
                      <w:shd w:val="clear" w:color="auto" w:fill="auto"/>
                      <w:lang w:val="en-US" w:eastAsia="zh-CN"/>
                    </w:rPr>
                    <w:t>2个油烟集气罩+1套油烟净化装置</w:t>
                  </w:r>
                </w:p>
              </w:tc>
              <w:tc>
                <w:tcPr>
                  <w:tcW w:w="1195" w:type="dxa"/>
                  <w:gridSpan w:val="2"/>
                  <w:vMerge w:val="continue"/>
                  <w:shd w:val="clear" w:color="auto" w:fill="auto"/>
                  <w:vAlign w:val="center"/>
                </w:tcPr>
                <w:p w14:paraId="5A589532">
                  <w:pPr>
                    <w:spacing w:line="276" w:lineRule="auto"/>
                    <w:jc w:val="center"/>
                    <w:rPr>
                      <w:rFonts w:hint="default" w:ascii="Times New Roman" w:hAnsi="Times New Roman" w:cs="Times New Roman"/>
                      <w:color w:val="auto"/>
                      <w:sz w:val="21"/>
                      <w:szCs w:val="21"/>
                    </w:rPr>
                  </w:pPr>
                </w:p>
              </w:tc>
              <w:tc>
                <w:tcPr>
                  <w:tcW w:w="1151" w:type="dxa"/>
                  <w:gridSpan w:val="2"/>
                  <w:shd w:val="clear" w:color="auto" w:fill="auto"/>
                  <w:vAlign w:val="center"/>
                </w:tcPr>
                <w:p w14:paraId="5189FBB7">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废气</w:t>
                  </w:r>
                </w:p>
              </w:tc>
              <w:tc>
                <w:tcPr>
                  <w:tcW w:w="1142" w:type="dxa"/>
                  <w:gridSpan w:val="2"/>
                  <w:shd w:val="clear" w:color="auto" w:fill="auto"/>
                  <w:vAlign w:val="center"/>
                </w:tcPr>
                <w:p w14:paraId="3D882134">
                  <w:pPr>
                    <w:spacing w:line="276" w:lineRule="auto"/>
                    <w:jc w:val="center"/>
                    <w:rPr>
                      <w:rFonts w:hint="default" w:ascii="Times New Roman" w:hAnsi="Times New Roman" w:cs="Times New Roman"/>
                      <w:color w:val="auto"/>
                      <w:sz w:val="21"/>
                      <w:szCs w:val="21"/>
                      <w:lang w:val="en-US" w:eastAsia="zh-CN"/>
                    </w:rPr>
                  </w:pPr>
                </w:p>
              </w:tc>
            </w:tr>
            <w:tr w14:paraId="5CB6F3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00" w:type="dxa"/>
                  <w:gridSpan w:val="6"/>
                  <w:shd w:val="clear" w:color="auto" w:fill="auto"/>
                  <w:vAlign w:val="center"/>
                </w:tcPr>
                <w:p w14:paraId="6232A901">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地下水防治</w:t>
                  </w:r>
                </w:p>
              </w:tc>
              <w:tc>
                <w:tcPr>
                  <w:tcW w:w="3650" w:type="dxa"/>
                  <w:gridSpan w:val="3"/>
                  <w:shd w:val="clear" w:color="auto" w:fill="auto"/>
                  <w:vAlign w:val="center"/>
                </w:tcPr>
                <w:p w14:paraId="48A92E9D">
                  <w:pPr>
                    <w:spacing w:line="276" w:lineRule="auto"/>
                    <w:rPr>
                      <w:rFonts w:hint="eastAsia" w:cs="Times New Roman"/>
                      <w:color w:val="auto"/>
                      <w:sz w:val="21"/>
                      <w:szCs w:val="21"/>
                      <w:lang w:eastAsia="zh-CN"/>
                    </w:rPr>
                  </w:pPr>
                  <w:r>
                    <w:rPr>
                      <w:rFonts w:hint="eastAsia" w:cs="Times New Roman"/>
                      <w:color w:val="auto"/>
                      <w:sz w:val="21"/>
                      <w:szCs w:val="21"/>
                      <w:lang w:eastAsia="zh-CN"/>
                    </w:rPr>
                    <w:t>分区进行防渗处理，重点防渗区（食堂隔油池、隔油沉淀池）防渗系数≤10-10cm/s，一般防渗区采用环氧树脂材料防渗地面；简单防渗区采取水泥硬化处理；</w:t>
                  </w:r>
                </w:p>
              </w:tc>
              <w:tc>
                <w:tcPr>
                  <w:tcW w:w="1195" w:type="dxa"/>
                  <w:gridSpan w:val="2"/>
                  <w:vMerge w:val="continue"/>
                  <w:shd w:val="clear" w:color="auto" w:fill="auto"/>
                  <w:vAlign w:val="center"/>
                </w:tcPr>
                <w:p w14:paraId="265D9D3D">
                  <w:pPr>
                    <w:spacing w:line="276" w:lineRule="auto"/>
                    <w:jc w:val="center"/>
                    <w:rPr>
                      <w:rFonts w:hint="default" w:ascii="Times New Roman" w:hAnsi="Times New Roman" w:cs="Times New Roman"/>
                      <w:color w:val="auto"/>
                      <w:sz w:val="21"/>
                      <w:szCs w:val="21"/>
                    </w:rPr>
                  </w:pPr>
                </w:p>
              </w:tc>
              <w:tc>
                <w:tcPr>
                  <w:tcW w:w="1151" w:type="dxa"/>
                  <w:gridSpan w:val="2"/>
                  <w:shd w:val="clear" w:color="auto" w:fill="auto"/>
                  <w:vAlign w:val="center"/>
                </w:tcPr>
                <w:p w14:paraId="03A55946">
                  <w:pPr>
                    <w:spacing w:line="276" w:lineRule="auto"/>
                    <w:jc w:val="center"/>
                    <w:rPr>
                      <w:rFonts w:hint="default" w:ascii="Times New Roman" w:hAnsi="Times New Roman" w:cs="Times New Roman"/>
                      <w:color w:val="auto"/>
                      <w:sz w:val="21"/>
                      <w:szCs w:val="21"/>
                      <w:lang w:eastAsia="zh-CN"/>
                    </w:rPr>
                  </w:pPr>
                </w:p>
              </w:tc>
              <w:tc>
                <w:tcPr>
                  <w:tcW w:w="1142" w:type="dxa"/>
                  <w:gridSpan w:val="2"/>
                  <w:shd w:val="clear" w:color="auto" w:fill="auto"/>
                  <w:vAlign w:val="center"/>
                </w:tcPr>
                <w:p w14:paraId="00872460">
                  <w:pPr>
                    <w:spacing w:line="276" w:lineRule="auto"/>
                    <w:jc w:val="center"/>
                    <w:rPr>
                      <w:rFonts w:hint="default" w:ascii="Times New Roman" w:hAnsi="Times New Roman" w:cs="Times New Roman"/>
                      <w:color w:val="auto"/>
                      <w:sz w:val="21"/>
                      <w:szCs w:val="21"/>
                      <w:lang w:val="en-US" w:eastAsia="zh-CN"/>
                    </w:rPr>
                  </w:pPr>
                </w:p>
              </w:tc>
            </w:tr>
            <w:tr w14:paraId="7C347F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638" w:type="dxa"/>
                  <w:gridSpan w:val="15"/>
                  <w:shd w:val="clear" w:color="auto" w:fill="auto"/>
                  <w:vAlign w:val="center"/>
                </w:tcPr>
                <w:p w14:paraId="79FCD511">
                  <w:pPr>
                    <w:spacing w:line="276" w:lineRule="auto"/>
                    <w:jc w:val="center"/>
                    <w:rPr>
                      <w:rFonts w:hint="default" w:ascii="Times New Roman" w:hAnsi="Times New Roman" w:cs="Times New Roman"/>
                      <w:color w:val="auto"/>
                      <w:sz w:val="21"/>
                      <w:szCs w:val="21"/>
                      <w:lang w:val="en-US" w:eastAsia="zh-CN"/>
                    </w:rPr>
                  </w:pPr>
                  <w:r>
                    <w:rPr>
                      <w:rFonts w:hint="eastAsia"/>
                      <w:szCs w:val="21"/>
                    </w:rPr>
                    <w:t>三期</w:t>
                  </w:r>
                  <w:r>
                    <w:rPr>
                      <w:szCs w:val="21"/>
                    </w:rPr>
                    <w:t>建设内容</w:t>
                  </w:r>
                </w:p>
              </w:tc>
            </w:tr>
            <w:tr w14:paraId="367D00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3" w:type="dxa"/>
                  <w:gridSpan w:val="2"/>
                  <w:shd w:val="clear" w:color="auto" w:fill="auto"/>
                  <w:vAlign w:val="center"/>
                </w:tcPr>
                <w:p w14:paraId="54BED25E">
                  <w:pPr>
                    <w:spacing w:line="276" w:lineRule="auto"/>
                    <w:jc w:val="center"/>
                    <w:rPr>
                      <w:rFonts w:hint="default" w:ascii="Times New Roman" w:hAnsi="Times New Roman" w:cs="Times New Roman"/>
                      <w:color w:val="auto"/>
                      <w:sz w:val="21"/>
                      <w:szCs w:val="21"/>
                    </w:rPr>
                  </w:pPr>
                  <w:r>
                    <w:rPr>
                      <w:rFonts w:hint="eastAsia"/>
                      <w:szCs w:val="21"/>
                    </w:rPr>
                    <w:t>主体工程</w:t>
                  </w:r>
                </w:p>
              </w:tc>
              <w:tc>
                <w:tcPr>
                  <w:tcW w:w="1766" w:type="dxa"/>
                  <w:gridSpan w:val="3"/>
                  <w:shd w:val="clear" w:color="auto" w:fill="auto"/>
                  <w:vAlign w:val="center"/>
                </w:tcPr>
                <w:p w14:paraId="65E9134C">
                  <w:pPr>
                    <w:spacing w:line="276" w:lineRule="auto"/>
                    <w:jc w:val="center"/>
                  </w:pPr>
                  <w:r>
                    <w:rPr>
                      <w:rFonts w:hint="eastAsia"/>
                      <w:szCs w:val="21"/>
                    </w:rPr>
                    <w:t>SCR排气处理系统生产线</w:t>
                  </w:r>
                </w:p>
              </w:tc>
              <w:tc>
                <w:tcPr>
                  <w:tcW w:w="3650" w:type="dxa"/>
                  <w:gridSpan w:val="3"/>
                  <w:shd w:val="clear" w:color="auto" w:fill="auto"/>
                  <w:vAlign w:val="center"/>
                </w:tcPr>
                <w:p w14:paraId="17D779CD">
                  <w:pPr>
                    <w:spacing w:line="276" w:lineRule="auto"/>
                    <w:rPr>
                      <w:rFonts w:hint="eastAsia" w:cs="Times New Roman"/>
                      <w:color w:val="auto"/>
                      <w:sz w:val="21"/>
                      <w:szCs w:val="21"/>
                      <w:lang w:eastAsia="zh-CN"/>
                    </w:rPr>
                  </w:pPr>
                  <w:r>
                    <w:rPr>
                      <w:rFonts w:hint="eastAsia"/>
                      <w:szCs w:val="21"/>
                    </w:rPr>
                    <w:t>2</w:t>
                  </w:r>
                  <w:r>
                    <w:rPr>
                      <w:szCs w:val="21"/>
                    </w:rPr>
                    <w:t>#车间内</w:t>
                  </w:r>
                  <w:r>
                    <w:rPr>
                      <w:rFonts w:hint="eastAsia"/>
                      <w:szCs w:val="21"/>
                    </w:rPr>
                    <w:t>新建SCR排气处理系统生产线1条</w:t>
                  </w:r>
                </w:p>
              </w:tc>
              <w:tc>
                <w:tcPr>
                  <w:tcW w:w="1196" w:type="dxa"/>
                  <w:gridSpan w:val="3"/>
                  <w:shd w:val="clear" w:color="auto" w:fill="auto"/>
                  <w:vAlign w:val="center"/>
                </w:tcPr>
                <w:p w14:paraId="4855A057">
                  <w:pPr>
                    <w:spacing w:line="276" w:lineRule="auto"/>
                    <w:jc w:val="center"/>
                    <w:rPr>
                      <w:rFonts w:hint="default" w:ascii="Times New Roman" w:hAnsi="Times New Roman" w:cs="Times New Roman"/>
                      <w:color w:val="auto"/>
                      <w:sz w:val="21"/>
                      <w:szCs w:val="21"/>
                    </w:rPr>
                  </w:pPr>
                  <w:r>
                    <w:rPr>
                      <w:rFonts w:hint="eastAsia"/>
                      <w:szCs w:val="21"/>
                    </w:rPr>
                    <w:t>噪声</w:t>
                  </w:r>
                  <w:r>
                    <w:rPr>
                      <w:szCs w:val="21"/>
                    </w:rPr>
                    <w:t>，固废</w:t>
                  </w:r>
                </w:p>
              </w:tc>
              <w:tc>
                <w:tcPr>
                  <w:tcW w:w="1151" w:type="dxa"/>
                  <w:gridSpan w:val="2"/>
                  <w:shd w:val="clear" w:color="auto" w:fill="auto"/>
                  <w:vAlign w:val="center"/>
                </w:tcPr>
                <w:p w14:paraId="12EE826F">
                  <w:pPr>
                    <w:spacing w:line="276" w:lineRule="auto"/>
                    <w:jc w:val="center"/>
                    <w:rPr>
                      <w:rFonts w:hint="default" w:ascii="Times New Roman" w:hAnsi="Times New Roman" w:cs="Times New Roman"/>
                      <w:color w:val="auto"/>
                      <w:sz w:val="21"/>
                      <w:szCs w:val="21"/>
                      <w:lang w:eastAsia="zh-CN"/>
                    </w:rPr>
                  </w:pPr>
                  <w:r>
                    <w:rPr>
                      <w:rFonts w:hint="eastAsia"/>
                      <w:szCs w:val="21"/>
                    </w:rPr>
                    <w:t>废气</w:t>
                  </w:r>
                  <w:r>
                    <w:rPr>
                      <w:szCs w:val="21"/>
                    </w:rPr>
                    <w:t>、固废、噪声</w:t>
                  </w:r>
                </w:p>
              </w:tc>
              <w:tc>
                <w:tcPr>
                  <w:tcW w:w="1142" w:type="dxa"/>
                  <w:gridSpan w:val="2"/>
                  <w:shd w:val="clear" w:color="auto" w:fill="auto"/>
                  <w:vAlign w:val="center"/>
                </w:tcPr>
                <w:p w14:paraId="6F3B5C29">
                  <w:pPr>
                    <w:spacing w:line="276" w:lineRule="auto"/>
                    <w:jc w:val="center"/>
                    <w:rPr>
                      <w:rFonts w:hint="default" w:ascii="Times New Roman" w:hAnsi="Times New Roman" w:cs="Times New Roman"/>
                      <w:color w:val="auto"/>
                      <w:sz w:val="21"/>
                      <w:szCs w:val="21"/>
                      <w:lang w:val="en-US" w:eastAsia="zh-CN"/>
                    </w:rPr>
                  </w:pPr>
                </w:p>
              </w:tc>
            </w:tr>
          </w:tbl>
          <w:p w14:paraId="5A0CA0CE">
            <w:pPr>
              <w:spacing w:line="360" w:lineRule="auto"/>
              <w:rPr>
                <w:rFonts w:hint="default" w:ascii="Times New Roman" w:hAnsi="Times New Roman" w:eastAsia="黑体" w:cs="Times New Roman"/>
                <w:color w:val="auto"/>
                <w:sz w:val="28"/>
                <w:szCs w:val="28"/>
              </w:rPr>
            </w:pPr>
            <w:r>
              <w:rPr>
                <w:rFonts w:hint="eastAsia" w:eastAsia="黑体" w:cs="Times New Roman"/>
                <w:color w:val="auto"/>
                <w:sz w:val="28"/>
                <w:szCs w:val="28"/>
                <w:lang w:val="en-US" w:eastAsia="zh-CN"/>
              </w:rPr>
              <w:t>七</w:t>
            </w:r>
            <w:r>
              <w:rPr>
                <w:rFonts w:hint="default" w:ascii="Times New Roman" w:hAnsi="Times New Roman" w:eastAsia="黑体" w:cs="Times New Roman"/>
                <w:color w:val="auto"/>
                <w:sz w:val="28"/>
                <w:szCs w:val="28"/>
              </w:rPr>
              <w:t>、平面布置合理性分析</w:t>
            </w:r>
          </w:p>
          <w:p w14:paraId="4D713320">
            <w:pPr>
              <w:keepNext w:val="0"/>
              <w:keepLines w:val="0"/>
              <w:pageBreakBefore w:val="0"/>
              <w:widowControl w:val="0"/>
              <w:kinsoku/>
              <w:wordWrap/>
              <w:overflowPunct/>
              <w:topLinePunct w:val="0"/>
              <w:autoSpaceDE w:val="0"/>
              <w:autoSpaceDN w:val="0"/>
              <w:bidi w:val="0"/>
              <w:adjustRightInd w:val="0"/>
              <w:snapToGrid w:val="0"/>
              <w:spacing w:line="336" w:lineRule="auto"/>
              <w:ind w:left="0" w:leftChars="0" w:right="0" w:rightChars="0" w:firstLine="480" w:firstLineChars="200"/>
              <w:jc w:val="both"/>
              <w:textAlignment w:val="auto"/>
              <w:outlineLvl w:val="9"/>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厂区总平面布置符合国家有关规定及要求，结合场地自然条件和现状，满足生产运输、安全卫生、环境保护等方面的需要、考虑企业在生产生活、交通运输、动力设施、设备维修等方面的协作关系，以生产工艺流程顺畅、建构筑物轴线基本严齐、通道宽度适中、物料运输及管线敷设便利为主要设计原则。</w:t>
            </w:r>
          </w:p>
          <w:p w14:paraId="6037D547">
            <w:pPr>
              <w:keepNext w:val="0"/>
              <w:keepLines w:val="0"/>
              <w:pageBreakBefore w:val="0"/>
              <w:widowControl w:val="0"/>
              <w:kinsoku/>
              <w:wordWrap/>
              <w:overflowPunct/>
              <w:topLinePunct w:val="0"/>
              <w:autoSpaceDE w:val="0"/>
              <w:autoSpaceDN w:val="0"/>
              <w:bidi w:val="0"/>
              <w:adjustRightInd w:val="0"/>
              <w:snapToGrid w:val="0"/>
              <w:spacing w:line="336" w:lineRule="auto"/>
              <w:ind w:left="0" w:leftChars="0" w:right="0" w:rightChars="0" w:firstLine="480" w:firstLineChars="200"/>
              <w:jc w:val="both"/>
              <w:textAlignment w:val="auto"/>
              <w:outlineLvl w:val="9"/>
              <w:rPr>
                <w:rFonts w:hint="default" w:ascii="Times New Roman" w:hAnsi="Times New Roman"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厂区总平面布置总体</w:t>
            </w:r>
            <w:r>
              <w:rPr>
                <w:rFonts w:hint="default" w:ascii="Times New Roman" w:hAnsi="Times New Roman" w:cs="Times New Roman"/>
                <w:color w:val="auto"/>
                <w:kern w:val="2"/>
                <w:sz w:val="24"/>
                <w:szCs w:val="24"/>
                <w:lang w:val="en-US" w:eastAsia="zh-CN" w:bidi="ar-SA"/>
              </w:rPr>
              <w:t>上分为东西两侧的生产区和办公区</w:t>
            </w:r>
            <w:r>
              <w:rPr>
                <w:rFonts w:hint="default" w:ascii="Times New Roman" w:hAnsi="Times New Roman" w:eastAsia="宋体" w:cs="Times New Roman"/>
                <w:color w:val="auto"/>
                <w:kern w:val="2"/>
                <w:sz w:val="24"/>
                <w:szCs w:val="24"/>
                <w:lang w:val="en-US" w:eastAsia="zh-CN" w:bidi="ar-SA"/>
              </w:rPr>
              <w:t>。</w:t>
            </w:r>
            <w:r>
              <w:rPr>
                <w:rFonts w:hint="default" w:ascii="Times New Roman" w:hAnsi="Times New Roman" w:cs="Times New Roman"/>
                <w:color w:val="auto"/>
                <w:kern w:val="2"/>
                <w:sz w:val="24"/>
                <w:szCs w:val="24"/>
                <w:lang w:val="en-US" w:eastAsia="zh-CN" w:bidi="ar-SA"/>
              </w:rPr>
              <w:t>项目出入口位于项目西侧，连通园区道路，方便车间及人员进出。办公区位于项目</w:t>
            </w:r>
            <w:r>
              <w:rPr>
                <w:rFonts w:hint="eastAsia" w:cs="Times New Roman"/>
                <w:color w:val="auto"/>
                <w:kern w:val="2"/>
                <w:sz w:val="24"/>
                <w:szCs w:val="24"/>
                <w:lang w:val="en-US" w:eastAsia="zh-CN" w:bidi="ar-SA"/>
              </w:rPr>
              <w:t>西</w:t>
            </w:r>
            <w:r>
              <w:rPr>
                <w:rFonts w:hint="default" w:ascii="Times New Roman" w:hAnsi="Times New Roman" w:cs="Times New Roman"/>
                <w:color w:val="auto"/>
                <w:kern w:val="2"/>
                <w:sz w:val="24"/>
                <w:szCs w:val="24"/>
                <w:lang w:val="en-US" w:eastAsia="zh-CN" w:bidi="ar-SA"/>
              </w:rPr>
              <w:t>侧，与生产厂房有效分隔，办公与生产互不干扰。</w:t>
            </w:r>
            <w:r>
              <w:rPr>
                <w:rFonts w:hint="eastAsia" w:cs="Times New Roman"/>
                <w:color w:val="auto"/>
                <w:kern w:val="2"/>
                <w:sz w:val="24"/>
                <w:szCs w:val="24"/>
                <w:lang w:val="en-US" w:eastAsia="zh-CN" w:bidi="ar-SA"/>
              </w:rPr>
              <w:t>厂区西侧</w:t>
            </w:r>
            <w:r>
              <w:rPr>
                <w:rFonts w:hint="default" w:ascii="Times New Roman" w:hAnsi="Times New Roman" w:cs="Times New Roman"/>
                <w:color w:val="auto"/>
                <w:kern w:val="2"/>
                <w:sz w:val="24"/>
                <w:szCs w:val="24"/>
                <w:lang w:val="en-US" w:eastAsia="zh-CN" w:bidi="ar-SA"/>
              </w:rPr>
              <w:t>生产厂房占整个厂区的大部分面积，将项目内土地利用程度做到了最大化，生产车间内设</w:t>
            </w:r>
            <w:r>
              <w:rPr>
                <w:rFonts w:hint="eastAsia" w:cs="Times New Roman"/>
                <w:color w:val="auto"/>
                <w:kern w:val="2"/>
                <w:sz w:val="24"/>
                <w:szCs w:val="24"/>
                <w:lang w:val="en-US" w:eastAsia="zh-CN" w:bidi="ar-SA"/>
              </w:rPr>
              <w:t>汽车进排气系统</w:t>
            </w:r>
            <w:r>
              <w:rPr>
                <w:rFonts w:hint="default" w:ascii="Times New Roman" w:hAnsi="Times New Roman" w:cs="Times New Roman"/>
                <w:color w:val="auto"/>
                <w:kern w:val="2"/>
                <w:sz w:val="24"/>
                <w:szCs w:val="24"/>
                <w:lang w:val="en-US" w:eastAsia="zh-CN" w:bidi="ar-SA"/>
              </w:rPr>
              <w:t>生产线，生产线分段布置，使生产过程高效有序。</w:t>
            </w:r>
          </w:p>
          <w:p w14:paraId="516516ED">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outlineLvl w:val="9"/>
              <w:rPr>
                <w:rFonts w:hint="default" w:ascii="Times New Roman" w:hAnsi="Times New Roman" w:cs="Times New Roman"/>
                <w:color w:val="auto"/>
                <w:sz w:val="24"/>
              </w:rPr>
            </w:pPr>
            <w:r>
              <w:rPr>
                <w:rFonts w:hint="default" w:ascii="Times New Roman" w:hAnsi="Times New Roman" w:cs="Times New Roman"/>
                <w:color w:val="auto"/>
                <w:sz w:val="24"/>
              </w:rPr>
              <w:t>项目对周边环境的主要影响因素是噪声和废气。厂区内主要噪声源均布置在厂房</w:t>
            </w:r>
            <w:r>
              <w:rPr>
                <w:rFonts w:hint="eastAsia" w:cs="Times New Roman"/>
                <w:color w:val="auto"/>
                <w:sz w:val="24"/>
                <w:lang w:val="en-US" w:eastAsia="zh-CN"/>
              </w:rPr>
              <w:t>东侧</w:t>
            </w:r>
            <w:r>
              <w:rPr>
                <w:rFonts w:hint="default" w:ascii="Times New Roman" w:hAnsi="Times New Roman" w:cs="Times New Roman"/>
                <w:color w:val="auto"/>
                <w:sz w:val="24"/>
              </w:rPr>
              <w:t>，噪声在采取相关措施后对周围环境基本无影响；项目对生产过程中产生的各类废气采取了有效、可行的治理措施，不会对外环境造成明显影响。</w:t>
            </w:r>
          </w:p>
          <w:p w14:paraId="2A611469">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outlineLvl w:val="9"/>
              <w:rPr>
                <w:rFonts w:hint="default" w:ascii="Times New Roman" w:hAnsi="Times New Roman" w:cs="Times New Roman"/>
                <w:color w:val="auto"/>
                <w:kern w:val="2"/>
                <w:sz w:val="24"/>
                <w:szCs w:val="24"/>
                <w:lang w:val="en-US" w:eastAsia="zh-CN" w:bidi="ar-SA"/>
              </w:rPr>
            </w:pPr>
            <w:r>
              <w:rPr>
                <w:rFonts w:hint="default" w:ascii="Times New Roman" w:hAnsi="Times New Roman" w:cs="Times New Roman"/>
                <w:color w:val="auto"/>
                <w:kern w:val="2"/>
                <w:sz w:val="24"/>
                <w:szCs w:val="24"/>
                <w:lang w:val="en-US" w:eastAsia="zh-CN" w:bidi="ar-SA"/>
              </w:rPr>
              <w:t>综上，本项目平面布置合理可行。</w:t>
            </w:r>
          </w:p>
          <w:p w14:paraId="7029497F">
            <w:pPr>
              <w:spacing w:line="360" w:lineRule="auto"/>
              <w:rPr>
                <w:rFonts w:hint="default" w:ascii="Times New Roman" w:hAnsi="Times New Roman" w:eastAsia="黑体" w:cs="Times New Roman"/>
                <w:color w:val="auto"/>
                <w:sz w:val="28"/>
                <w:szCs w:val="28"/>
              </w:rPr>
            </w:pPr>
            <w:r>
              <w:rPr>
                <w:rFonts w:hint="default" w:ascii="Times New Roman" w:hAnsi="Times New Roman" w:eastAsia="黑体" w:cs="Times New Roman"/>
                <w:color w:val="auto"/>
                <w:sz w:val="28"/>
                <w:szCs w:val="28"/>
              </w:rPr>
              <w:t>九、主要原辅材料及设备</w:t>
            </w:r>
          </w:p>
          <w:p w14:paraId="6E1185D0">
            <w:pPr>
              <w:spacing w:line="360" w:lineRule="auto"/>
              <w:ind w:firstLine="482" w:firstLineChars="20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1、原辅材料及能耗</w:t>
            </w:r>
          </w:p>
          <w:p w14:paraId="4F6C769F">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本项目生产过程中主要原辅材料及能耗见表1-4。</w:t>
            </w:r>
          </w:p>
          <w:p w14:paraId="43C86B48">
            <w:pPr>
              <w:spacing w:line="360" w:lineRule="auto"/>
              <w:ind w:firstLine="480"/>
              <w:jc w:val="center"/>
              <w:rPr>
                <w:rFonts w:hint="default" w:ascii="Times New Roman" w:hAnsi="Times New Roman" w:cs="Times New Roman" w:eastAsiaTheme="minorEastAsia"/>
                <w:b/>
                <w:bCs/>
                <w:color w:val="auto"/>
                <w:szCs w:val="21"/>
              </w:rPr>
            </w:pPr>
            <w:r>
              <w:rPr>
                <w:rFonts w:hint="default" w:ascii="Times New Roman" w:hAnsi="Times New Roman" w:cs="Times New Roman" w:eastAsiaTheme="minorEastAsia"/>
                <w:b/>
                <w:bCs/>
                <w:color w:val="auto"/>
                <w:szCs w:val="21"/>
              </w:rPr>
              <w:t>表1-4  主要原辅材料及能耗</w:t>
            </w:r>
          </w:p>
          <w:tbl>
            <w:tblPr>
              <w:tblStyle w:val="23"/>
              <w:tblW w:w="99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1"/>
              <w:gridCol w:w="1314"/>
              <w:gridCol w:w="983"/>
              <w:gridCol w:w="1093"/>
              <w:gridCol w:w="996"/>
              <w:gridCol w:w="2156"/>
              <w:gridCol w:w="2155"/>
            </w:tblGrid>
            <w:tr w14:paraId="6C0496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shd w:val="clear" w:color="auto" w:fill="auto"/>
                  <w:vAlign w:val="center"/>
                </w:tcPr>
                <w:p w14:paraId="6A1EF828">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类别</w:t>
                  </w:r>
                </w:p>
              </w:tc>
              <w:tc>
                <w:tcPr>
                  <w:tcW w:w="1314" w:type="dxa"/>
                  <w:shd w:val="clear" w:color="auto" w:fill="auto"/>
                  <w:vAlign w:val="center"/>
                </w:tcPr>
                <w:p w14:paraId="2BD57C3F">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名称</w:t>
                  </w:r>
                </w:p>
              </w:tc>
              <w:tc>
                <w:tcPr>
                  <w:tcW w:w="983" w:type="dxa"/>
                  <w:shd w:val="clear" w:color="auto" w:fill="auto"/>
                  <w:vAlign w:val="center"/>
                </w:tcPr>
                <w:p w14:paraId="7E5D545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单位</w:t>
                  </w:r>
                </w:p>
              </w:tc>
              <w:tc>
                <w:tcPr>
                  <w:tcW w:w="1093" w:type="dxa"/>
                  <w:vAlign w:val="center"/>
                </w:tcPr>
                <w:p w14:paraId="7276512B">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形态</w:t>
                  </w:r>
                </w:p>
              </w:tc>
              <w:tc>
                <w:tcPr>
                  <w:tcW w:w="996" w:type="dxa"/>
                  <w:shd w:val="clear" w:color="auto" w:fill="auto"/>
                  <w:vAlign w:val="center"/>
                </w:tcPr>
                <w:p w14:paraId="19B20981">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用量</w:t>
                  </w:r>
                </w:p>
              </w:tc>
              <w:tc>
                <w:tcPr>
                  <w:tcW w:w="2156" w:type="dxa"/>
                  <w:vAlign w:val="center"/>
                </w:tcPr>
                <w:p w14:paraId="78778934">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来源</w:t>
                  </w:r>
                </w:p>
              </w:tc>
              <w:tc>
                <w:tcPr>
                  <w:tcW w:w="2155" w:type="dxa"/>
                  <w:vAlign w:val="center"/>
                </w:tcPr>
                <w:p w14:paraId="7033B788">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包装</w:t>
                  </w:r>
                  <w:r>
                    <w:rPr>
                      <w:rFonts w:hint="default" w:ascii="Times New Roman" w:hAnsi="Times New Roman" w:cs="Times New Roman"/>
                      <w:color w:val="auto"/>
                      <w:sz w:val="21"/>
                      <w:szCs w:val="21"/>
                    </w:rPr>
                    <w:t>方式</w:t>
                  </w:r>
                </w:p>
              </w:tc>
            </w:tr>
            <w:tr w14:paraId="7DB1AD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restart"/>
                  <w:shd w:val="clear" w:color="auto" w:fill="auto"/>
                  <w:vAlign w:val="center"/>
                </w:tcPr>
                <w:p w14:paraId="17993659">
                  <w:pPr>
                    <w:spacing w:line="276" w:lineRule="auto"/>
                    <w:jc w:val="center"/>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eastAsia="zh-CN"/>
                    </w:rPr>
                    <w:t>主（辅）料</w:t>
                  </w:r>
                </w:p>
              </w:tc>
              <w:tc>
                <w:tcPr>
                  <w:tcW w:w="1314" w:type="dxa"/>
                  <w:shd w:val="clear" w:color="auto" w:fill="auto"/>
                  <w:vAlign w:val="center"/>
                </w:tcPr>
                <w:p w14:paraId="5F710911">
                  <w:pPr>
                    <w:jc w:val="center"/>
                    <w:rPr>
                      <w:rFonts w:hint="default" w:ascii="Times New Roman" w:hAnsi="Times New Roman" w:eastAsia="宋体" w:cs="Times New Roman"/>
                      <w:color w:val="auto"/>
                      <w:sz w:val="21"/>
                      <w:szCs w:val="21"/>
                      <w:lang w:eastAsia="zh-CN"/>
                    </w:rPr>
                  </w:pPr>
                  <w:r>
                    <w:rPr>
                      <w:rFonts w:hint="eastAsia" w:cs="Times New Roman" w:eastAsiaTheme="minorEastAsia"/>
                      <w:color w:val="auto"/>
                      <w:sz w:val="21"/>
                      <w:szCs w:val="21"/>
                      <w:lang w:val="en-US" w:eastAsia="zh-CN"/>
                    </w:rPr>
                    <w:t>聚乙烯</w:t>
                  </w:r>
                </w:p>
              </w:tc>
              <w:tc>
                <w:tcPr>
                  <w:tcW w:w="983" w:type="dxa"/>
                  <w:shd w:val="clear" w:color="auto" w:fill="auto"/>
                  <w:vAlign w:val="center"/>
                </w:tcPr>
                <w:p w14:paraId="7E15476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t/a</w:t>
                  </w:r>
                </w:p>
              </w:tc>
              <w:tc>
                <w:tcPr>
                  <w:tcW w:w="1093" w:type="dxa"/>
                  <w:vAlign w:val="center"/>
                </w:tcPr>
                <w:p w14:paraId="466639C1">
                  <w:pPr>
                    <w:spacing w:line="276" w:lineRule="auto"/>
                    <w:jc w:val="center"/>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eastAsia="zh-CN"/>
                    </w:rPr>
                    <w:t>固体</w:t>
                  </w:r>
                </w:p>
              </w:tc>
              <w:tc>
                <w:tcPr>
                  <w:tcW w:w="996" w:type="dxa"/>
                  <w:shd w:val="clear" w:color="auto" w:fill="auto"/>
                  <w:vAlign w:val="center"/>
                </w:tcPr>
                <w:p w14:paraId="4F422793">
                  <w:pPr>
                    <w:spacing w:line="276"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40</w:t>
                  </w:r>
                </w:p>
              </w:tc>
              <w:tc>
                <w:tcPr>
                  <w:tcW w:w="2156" w:type="dxa"/>
                  <w:vAlign w:val="center"/>
                </w:tcPr>
                <w:p w14:paraId="7A8B313C">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外购</w:t>
                  </w:r>
                </w:p>
              </w:tc>
              <w:tc>
                <w:tcPr>
                  <w:tcW w:w="2155" w:type="dxa"/>
                  <w:vAlign w:val="center"/>
                </w:tcPr>
                <w:p w14:paraId="42CE36AA">
                  <w:pPr>
                    <w:spacing w:line="276"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袋装</w:t>
                  </w:r>
                </w:p>
              </w:tc>
            </w:tr>
            <w:tr w14:paraId="59A49F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0F7BC56F">
                  <w:pPr>
                    <w:spacing w:line="276" w:lineRule="auto"/>
                    <w:jc w:val="center"/>
                    <w:rPr>
                      <w:rFonts w:hint="default" w:ascii="Times New Roman" w:hAnsi="Times New Roman" w:cs="Times New Roman"/>
                      <w:color w:val="auto"/>
                      <w:sz w:val="21"/>
                      <w:szCs w:val="21"/>
                      <w:lang w:eastAsia="zh-CN"/>
                    </w:rPr>
                  </w:pPr>
                </w:p>
              </w:tc>
              <w:tc>
                <w:tcPr>
                  <w:tcW w:w="1314" w:type="dxa"/>
                  <w:shd w:val="clear" w:color="auto" w:fill="auto"/>
                  <w:vAlign w:val="center"/>
                </w:tcPr>
                <w:p w14:paraId="54650671">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聚丙烯</w:t>
                  </w:r>
                </w:p>
              </w:tc>
              <w:tc>
                <w:tcPr>
                  <w:tcW w:w="983" w:type="dxa"/>
                  <w:shd w:val="clear" w:color="auto" w:fill="auto"/>
                  <w:vAlign w:val="center"/>
                </w:tcPr>
                <w:p w14:paraId="37851D15">
                  <w:pPr>
                    <w:spacing w:line="276"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t/a</w:t>
                  </w:r>
                </w:p>
              </w:tc>
              <w:tc>
                <w:tcPr>
                  <w:tcW w:w="1093" w:type="dxa"/>
                  <w:vAlign w:val="center"/>
                </w:tcPr>
                <w:p w14:paraId="4D1E2442">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固体</w:t>
                  </w:r>
                </w:p>
              </w:tc>
              <w:tc>
                <w:tcPr>
                  <w:tcW w:w="996" w:type="dxa"/>
                  <w:shd w:val="clear" w:color="auto" w:fill="auto"/>
                  <w:vAlign w:val="center"/>
                </w:tcPr>
                <w:p w14:paraId="26640D04">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85.5</w:t>
                  </w:r>
                </w:p>
              </w:tc>
              <w:tc>
                <w:tcPr>
                  <w:tcW w:w="2156" w:type="dxa"/>
                  <w:vAlign w:val="center"/>
                </w:tcPr>
                <w:p w14:paraId="3D07EBF0">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外购</w:t>
                  </w:r>
                </w:p>
              </w:tc>
              <w:tc>
                <w:tcPr>
                  <w:tcW w:w="2155" w:type="dxa"/>
                  <w:vAlign w:val="center"/>
                </w:tcPr>
                <w:p w14:paraId="2885D7E5">
                  <w:pPr>
                    <w:spacing w:line="276" w:lineRule="auto"/>
                    <w:jc w:val="center"/>
                    <w:rPr>
                      <w:rFonts w:hint="default" w:ascii="Times New Roman" w:hAnsi="Times New Roman" w:cs="Times New Roman"/>
                      <w:color w:val="auto"/>
                      <w:sz w:val="21"/>
                      <w:szCs w:val="21"/>
                      <w:lang w:eastAsia="zh-CN"/>
                    </w:rPr>
                  </w:pPr>
                  <w:r>
                    <w:rPr>
                      <w:rFonts w:hint="eastAsia" w:cs="Times New Roman"/>
                      <w:color w:val="auto"/>
                      <w:sz w:val="21"/>
                      <w:szCs w:val="21"/>
                      <w:lang w:val="en-US" w:eastAsia="zh-CN"/>
                    </w:rPr>
                    <w:t>袋</w:t>
                  </w:r>
                  <w:r>
                    <w:rPr>
                      <w:rFonts w:hint="default" w:ascii="Times New Roman" w:hAnsi="Times New Roman" w:cs="Times New Roman"/>
                      <w:color w:val="auto"/>
                      <w:sz w:val="21"/>
                      <w:szCs w:val="21"/>
                      <w:lang w:eastAsia="zh-CN"/>
                    </w:rPr>
                    <w:t>装</w:t>
                  </w:r>
                </w:p>
              </w:tc>
            </w:tr>
            <w:tr w14:paraId="4D25CB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6E0B8631">
                  <w:pPr>
                    <w:spacing w:line="276" w:lineRule="auto"/>
                    <w:jc w:val="center"/>
                    <w:rPr>
                      <w:rFonts w:hint="default" w:ascii="Times New Roman" w:hAnsi="Times New Roman" w:cs="Times New Roman"/>
                      <w:color w:val="auto"/>
                      <w:sz w:val="21"/>
                      <w:szCs w:val="21"/>
                      <w:lang w:eastAsia="zh-CN"/>
                    </w:rPr>
                  </w:pPr>
                </w:p>
              </w:tc>
              <w:tc>
                <w:tcPr>
                  <w:tcW w:w="1314" w:type="dxa"/>
                  <w:shd w:val="clear" w:color="auto" w:fill="auto"/>
                  <w:vAlign w:val="center"/>
                </w:tcPr>
                <w:p w14:paraId="3CA5A19A">
                  <w:pPr>
                    <w:pStyle w:val="62"/>
                    <w:widowControl/>
                    <w:snapToGrid w:val="0"/>
                    <w:spacing w:before="0" w:beforeAutospacing="0" w:after="0" w:afterAutospacing="0" w:line="0" w:lineRule="atLeast"/>
                    <w:ind w:left="0" w:leftChars="0" w:right="0" w:rightChars="0" w:firstLine="92" w:firstLineChars="0"/>
                    <w:rPr>
                      <w:rFonts w:hint="default" w:ascii="Times New Roman" w:hAnsi="Times New Roman" w:cs="Times New Roman" w:eastAsiaTheme="minorEastAsia"/>
                      <w:color w:val="auto"/>
                      <w:sz w:val="21"/>
                      <w:szCs w:val="21"/>
                      <w:lang w:eastAsia="zh-CN"/>
                    </w:rPr>
                  </w:pPr>
                  <w:r>
                    <w:rPr>
                      <w:rFonts w:hint="eastAsia" w:ascii="宋体" w:hAnsi="宋体" w:cs="宋体"/>
                      <w:color w:val="auto"/>
                      <w:kern w:val="0"/>
                      <w:sz w:val="21"/>
                      <w:szCs w:val="21"/>
                      <w:lang w:val="en-US" w:eastAsia="zh-CN"/>
                    </w:rPr>
                    <w:t>PU注胶A料</w:t>
                  </w:r>
                </w:p>
              </w:tc>
              <w:tc>
                <w:tcPr>
                  <w:tcW w:w="983" w:type="dxa"/>
                  <w:shd w:val="clear" w:color="auto" w:fill="auto"/>
                  <w:vAlign w:val="center"/>
                </w:tcPr>
                <w:p w14:paraId="02547624">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t/a</w:t>
                  </w:r>
                </w:p>
              </w:tc>
              <w:tc>
                <w:tcPr>
                  <w:tcW w:w="1093" w:type="dxa"/>
                  <w:vAlign w:val="center"/>
                </w:tcPr>
                <w:p w14:paraId="7CAAB32F">
                  <w:pPr>
                    <w:spacing w:line="276" w:lineRule="auto"/>
                    <w:jc w:val="center"/>
                    <w:rPr>
                      <w:rFonts w:hint="default" w:ascii="Times New Roman" w:hAnsi="Times New Roman" w:cs="Times New Roman"/>
                      <w:color w:val="auto"/>
                      <w:sz w:val="21"/>
                      <w:szCs w:val="21"/>
                      <w:lang w:eastAsia="zh-CN"/>
                    </w:rPr>
                  </w:pPr>
                  <w:r>
                    <w:rPr>
                      <w:rFonts w:hint="eastAsia" w:cs="Times New Roman"/>
                      <w:color w:val="auto"/>
                      <w:sz w:val="21"/>
                      <w:szCs w:val="21"/>
                      <w:lang w:val="en-US" w:eastAsia="zh-CN"/>
                    </w:rPr>
                    <w:t>液体</w:t>
                  </w:r>
                </w:p>
              </w:tc>
              <w:tc>
                <w:tcPr>
                  <w:tcW w:w="996" w:type="dxa"/>
                  <w:shd w:val="clear" w:color="auto" w:fill="auto"/>
                  <w:vAlign w:val="center"/>
                </w:tcPr>
                <w:p w14:paraId="172645DF">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7</w:t>
                  </w:r>
                </w:p>
              </w:tc>
              <w:tc>
                <w:tcPr>
                  <w:tcW w:w="2156" w:type="dxa"/>
                  <w:vAlign w:val="center"/>
                </w:tcPr>
                <w:p w14:paraId="79DE129D">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外购</w:t>
                  </w:r>
                </w:p>
              </w:tc>
              <w:tc>
                <w:tcPr>
                  <w:tcW w:w="2155" w:type="dxa"/>
                  <w:vAlign w:val="center"/>
                </w:tcPr>
                <w:p w14:paraId="516442DC">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桶装/</w:t>
                  </w:r>
                  <w:r>
                    <w:rPr>
                      <w:rFonts w:hint="eastAsia" w:cs="Times New Roman"/>
                      <w:color w:val="auto"/>
                      <w:sz w:val="21"/>
                      <w:szCs w:val="21"/>
                      <w:lang w:val="en-US" w:eastAsia="zh-CN"/>
                    </w:rPr>
                    <w:t>200kg</w:t>
                  </w:r>
                </w:p>
              </w:tc>
            </w:tr>
            <w:tr w14:paraId="21E82E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6987568C">
                  <w:pPr>
                    <w:spacing w:line="276" w:lineRule="auto"/>
                    <w:jc w:val="center"/>
                    <w:rPr>
                      <w:rFonts w:hint="default" w:ascii="Times New Roman" w:hAnsi="Times New Roman" w:cs="Times New Roman"/>
                      <w:color w:val="auto"/>
                      <w:sz w:val="21"/>
                      <w:szCs w:val="21"/>
                      <w:lang w:eastAsia="zh-CN"/>
                    </w:rPr>
                  </w:pPr>
                </w:p>
              </w:tc>
              <w:tc>
                <w:tcPr>
                  <w:tcW w:w="1314" w:type="dxa"/>
                  <w:shd w:val="clear" w:color="auto" w:fill="auto"/>
                  <w:vAlign w:val="center"/>
                </w:tcPr>
                <w:p w14:paraId="0BAEC3DD">
                  <w:pPr>
                    <w:pStyle w:val="62"/>
                    <w:widowControl/>
                    <w:snapToGrid w:val="0"/>
                    <w:spacing w:before="0" w:beforeAutospacing="0" w:after="0" w:afterAutospacing="0" w:line="0" w:lineRule="atLeast"/>
                    <w:ind w:left="0" w:leftChars="0" w:right="0" w:rightChars="0" w:firstLine="92" w:firstLineChars="0"/>
                    <w:rPr>
                      <w:rFonts w:hint="default" w:ascii="Times New Roman" w:hAnsi="Times New Roman" w:cs="Times New Roman" w:eastAsiaTheme="minorEastAsia"/>
                      <w:color w:val="auto"/>
                      <w:sz w:val="21"/>
                      <w:szCs w:val="21"/>
                      <w:lang w:val="en-US" w:eastAsia="zh-CN"/>
                    </w:rPr>
                  </w:pPr>
                  <w:r>
                    <w:rPr>
                      <w:rFonts w:hint="eastAsia" w:ascii="宋体" w:hAnsi="宋体" w:cs="宋体"/>
                      <w:color w:val="auto"/>
                      <w:kern w:val="0"/>
                      <w:sz w:val="21"/>
                      <w:szCs w:val="21"/>
                      <w:lang w:val="en-US" w:eastAsia="zh-CN"/>
                    </w:rPr>
                    <w:t>PU注胶B料</w:t>
                  </w:r>
                </w:p>
              </w:tc>
              <w:tc>
                <w:tcPr>
                  <w:tcW w:w="983" w:type="dxa"/>
                  <w:shd w:val="clear" w:color="auto" w:fill="auto"/>
                  <w:vAlign w:val="center"/>
                </w:tcPr>
                <w:p w14:paraId="2758DAF7">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t/a</w:t>
                  </w:r>
                </w:p>
              </w:tc>
              <w:tc>
                <w:tcPr>
                  <w:tcW w:w="1093" w:type="dxa"/>
                  <w:vAlign w:val="center"/>
                </w:tcPr>
                <w:p w14:paraId="7AE56C6A">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液体</w:t>
                  </w:r>
                </w:p>
              </w:tc>
              <w:tc>
                <w:tcPr>
                  <w:tcW w:w="996" w:type="dxa"/>
                  <w:shd w:val="clear" w:color="auto" w:fill="auto"/>
                  <w:vAlign w:val="center"/>
                </w:tcPr>
                <w:p w14:paraId="533AF0DD">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3</w:t>
                  </w:r>
                </w:p>
              </w:tc>
              <w:tc>
                <w:tcPr>
                  <w:tcW w:w="2156" w:type="dxa"/>
                  <w:vAlign w:val="center"/>
                </w:tcPr>
                <w:p w14:paraId="798FF9FB">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外购</w:t>
                  </w:r>
                </w:p>
              </w:tc>
              <w:tc>
                <w:tcPr>
                  <w:tcW w:w="2155" w:type="dxa"/>
                  <w:vAlign w:val="center"/>
                </w:tcPr>
                <w:p w14:paraId="183D65AF">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桶装/</w:t>
                  </w:r>
                  <w:r>
                    <w:rPr>
                      <w:rFonts w:hint="eastAsia" w:cs="Times New Roman"/>
                      <w:color w:val="auto"/>
                      <w:sz w:val="21"/>
                      <w:szCs w:val="21"/>
                      <w:lang w:val="en-US" w:eastAsia="zh-CN"/>
                    </w:rPr>
                    <w:t>250kg</w:t>
                  </w:r>
                </w:p>
              </w:tc>
            </w:tr>
            <w:tr w14:paraId="44ABEB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789C619F">
                  <w:pPr>
                    <w:spacing w:line="276" w:lineRule="auto"/>
                    <w:jc w:val="center"/>
                    <w:rPr>
                      <w:rFonts w:hint="default" w:ascii="Times New Roman" w:hAnsi="Times New Roman" w:cs="Times New Roman"/>
                      <w:color w:val="auto"/>
                      <w:sz w:val="21"/>
                      <w:szCs w:val="21"/>
                      <w:lang w:eastAsia="zh-CN"/>
                    </w:rPr>
                  </w:pPr>
                </w:p>
              </w:tc>
              <w:tc>
                <w:tcPr>
                  <w:tcW w:w="1314" w:type="dxa"/>
                  <w:shd w:val="clear" w:color="auto" w:fill="auto"/>
                  <w:vAlign w:val="center"/>
                </w:tcPr>
                <w:p w14:paraId="50EBAE46">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不锈钢板</w:t>
                  </w:r>
                </w:p>
              </w:tc>
              <w:tc>
                <w:tcPr>
                  <w:tcW w:w="983" w:type="dxa"/>
                  <w:shd w:val="clear" w:color="auto" w:fill="auto"/>
                  <w:vAlign w:val="center"/>
                </w:tcPr>
                <w:p w14:paraId="7EE30510">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t/a</w:t>
                  </w:r>
                </w:p>
              </w:tc>
              <w:tc>
                <w:tcPr>
                  <w:tcW w:w="1093" w:type="dxa"/>
                  <w:vAlign w:val="center"/>
                </w:tcPr>
                <w:p w14:paraId="333892F4">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固体</w:t>
                  </w:r>
                </w:p>
              </w:tc>
              <w:tc>
                <w:tcPr>
                  <w:tcW w:w="996" w:type="dxa"/>
                  <w:shd w:val="clear" w:color="auto" w:fill="auto"/>
                  <w:vAlign w:val="center"/>
                </w:tcPr>
                <w:p w14:paraId="6B29F549">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150</w:t>
                  </w:r>
                </w:p>
              </w:tc>
              <w:tc>
                <w:tcPr>
                  <w:tcW w:w="2156" w:type="dxa"/>
                  <w:vAlign w:val="center"/>
                </w:tcPr>
                <w:p w14:paraId="3090B09E">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外购</w:t>
                  </w:r>
                </w:p>
              </w:tc>
              <w:tc>
                <w:tcPr>
                  <w:tcW w:w="2155" w:type="dxa"/>
                  <w:vAlign w:val="center"/>
                </w:tcPr>
                <w:p w14:paraId="52637BFC">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w:t>
                  </w:r>
                </w:p>
              </w:tc>
            </w:tr>
            <w:tr w14:paraId="6879E2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76B49B77">
                  <w:pPr>
                    <w:spacing w:line="276" w:lineRule="auto"/>
                    <w:jc w:val="center"/>
                    <w:rPr>
                      <w:rFonts w:hint="default" w:ascii="Times New Roman" w:hAnsi="Times New Roman" w:cs="Times New Roman"/>
                      <w:color w:val="auto"/>
                      <w:sz w:val="21"/>
                      <w:szCs w:val="21"/>
                      <w:lang w:eastAsia="zh-CN"/>
                    </w:rPr>
                  </w:pPr>
                </w:p>
              </w:tc>
              <w:tc>
                <w:tcPr>
                  <w:tcW w:w="1314" w:type="dxa"/>
                  <w:shd w:val="clear" w:color="auto" w:fill="auto"/>
                  <w:vAlign w:val="center"/>
                </w:tcPr>
                <w:p w14:paraId="46E6E90E">
                  <w:pPr>
                    <w:jc w:val="center"/>
                    <w:rPr>
                      <w:rFonts w:hint="default" w:ascii="Times New Roman" w:hAnsi="Times New Roman" w:cs="Times New Roman" w:eastAsiaTheme="minorEastAsia"/>
                      <w:color w:val="auto"/>
                      <w:sz w:val="21"/>
                      <w:szCs w:val="21"/>
                      <w:lang w:eastAsia="zh-CN"/>
                    </w:rPr>
                  </w:pPr>
                  <w:r>
                    <w:rPr>
                      <w:rFonts w:hint="default" w:ascii="Times New Roman" w:hAnsi="Times New Roman" w:cs="Times New Roman" w:eastAsiaTheme="minorEastAsia"/>
                      <w:color w:val="auto"/>
                      <w:sz w:val="21"/>
                      <w:szCs w:val="21"/>
                      <w:lang w:eastAsia="zh-CN"/>
                    </w:rPr>
                    <w:t>高密度聚乙烯</w:t>
                  </w:r>
                </w:p>
              </w:tc>
              <w:tc>
                <w:tcPr>
                  <w:tcW w:w="983" w:type="dxa"/>
                  <w:shd w:val="clear" w:color="auto" w:fill="auto"/>
                  <w:vAlign w:val="center"/>
                </w:tcPr>
                <w:p w14:paraId="5E1D6BC3">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t/a</w:t>
                  </w:r>
                </w:p>
              </w:tc>
              <w:tc>
                <w:tcPr>
                  <w:tcW w:w="1093" w:type="dxa"/>
                  <w:vAlign w:val="center"/>
                </w:tcPr>
                <w:p w14:paraId="0EEFF8F2">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固体</w:t>
                  </w:r>
                </w:p>
              </w:tc>
              <w:tc>
                <w:tcPr>
                  <w:tcW w:w="996" w:type="dxa"/>
                  <w:shd w:val="clear" w:color="auto" w:fill="auto"/>
                  <w:vAlign w:val="center"/>
                </w:tcPr>
                <w:p w14:paraId="4E033B6B">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12</w:t>
                  </w:r>
                </w:p>
              </w:tc>
              <w:tc>
                <w:tcPr>
                  <w:tcW w:w="2156" w:type="dxa"/>
                  <w:vAlign w:val="center"/>
                </w:tcPr>
                <w:p w14:paraId="37D38C12">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外购</w:t>
                  </w:r>
                </w:p>
              </w:tc>
              <w:tc>
                <w:tcPr>
                  <w:tcW w:w="2155" w:type="dxa"/>
                  <w:vAlign w:val="center"/>
                </w:tcPr>
                <w:p w14:paraId="25FBE297">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袋</w:t>
                  </w:r>
                  <w:r>
                    <w:rPr>
                      <w:rFonts w:hint="default" w:ascii="Times New Roman" w:hAnsi="Times New Roman" w:cs="Times New Roman"/>
                      <w:color w:val="auto"/>
                      <w:sz w:val="21"/>
                      <w:szCs w:val="21"/>
                      <w:lang w:eastAsia="zh-CN"/>
                    </w:rPr>
                    <w:t>装</w:t>
                  </w:r>
                </w:p>
              </w:tc>
            </w:tr>
            <w:tr w14:paraId="5A0F0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231CE92C">
                  <w:pPr>
                    <w:spacing w:line="276" w:lineRule="auto"/>
                    <w:jc w:val="center"/>
                    <w:rPr>
                      <w:rFonts w:hint="default" w:ascii="Times New Roman" w:hAnsi="Times New Roman" w:cs="Times New Roman"/>
                      <w:color w:val="auto"/>
                      <w:sz w:val="21"/>
                      <w:szCs w:val="21"/>
                      <w:lang w:eastAsia="zh-CN"/>
                    </w:rPr>
                  </w:pPr>
                </w:p>
              </w:tc>
              <w:tc>
                <w:tcPr>
                  <w:tcW w:w="1314" w:type="dxa"/>
                  <w:shd w:val="clear" w:color="auto" w:fill="auto"/>
                  <w:vAlign w:val="center"/>
                </w:tcPr>
                <w:p w14:paraId="1B62ED96">
                  <w:pPr>
                    <w:jc w:val="center"/>
                    <w:rPr>
                      <w:rFonts w:hint="default" w:ascii="Times New Roman" w:hAnsi="Times New Roman" w:cs="Times New Roman" w:eastAsiaTheme="minorEastAsia"/>
                      <w:color w:val="auto"/>
                      <w:sz w:val="21"/>
                      <w:szCs w:val="21"/>
                      <w:lang w:eastAsia="zh-CN"/>
                    </w:rPr>
                  </w:pPr>
                  <w:r>
                    <w:rPr>
                      <w:rFonts w:hint="default" w:ascii="Times New Roman" w:hAnsi="Times New Roman" w:cs="Times New Roman" w:eastAsiaTheme="minorEastAsia"/>
                      <w:color w:val="auto"/>
                      <w:sz w:val="21"/>
                      <w:szCs w:val="21"/>
                      <w:lang w:val="en-US" w:eastAsia="zh-CN"/>
                    </w:rPr>
                    <w:t>滤纸</w:t>
                  </w:r>
                </w:p>
              </w:tc>
              <w:tc>
                <w:tcPr>
                  <w:tcW w:w="983" w:type="dxa"/>
                  <w:shd w:val="clear" w:color="auto" w:fill="auto"/>
                  <w:vAlign w:val="center"/>
                </w:tcPr>
                <w:p w14:paraId="01BE5519">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t/a</w:t>
                  </w:r>
                </w:p>
              </w:tc>
              <w:tc>
                <w:tcPr>
                  <w:tcW w:w="1093" w:type="dxa"/>
                  <w:vAlign w:val="center"/>
                </w:tcPr>
                <w:p w14:paraId="37E2364B">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固体</w:t>
                  </w:r>
                </w:p>
              </w:tc>
              <w:tc>
                <w:tcPr>
                  <w:tcW w:w="996" w:type="dxa"/>
                  <w:shd w:val="clear" w:color="auto" w:fill="auto"/>
                  <w:vAlign w:val="center"/>
                </w:tcPr>
                <w:p w14:paraId="40D6841F">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35</w:t>
                  </w:r>
                </w:p>
              </w:tc>
              <w:tc>
                <w:tcPr>
                  <w:tcW w:w="2156" w:type="dxa"/>
                  <w:vAlign w:val="center"/>
                </w:tcPr>
                <w:p w14:paraId="7395149C">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外购</w:t>
                  </w:r>
                </w:p>
              </w:tc>
              <w:tc>
                <w:tcPr>
                  <w:tcW w:w="2155" w:type="dxa"/>
                  <w:vAlign w:val="center"/>
                </w:tcPr>
                <w:p w14:paraId="10C975B4">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箱</w:t>
                  </w:r>
                </w:p>
              </w:tc>
            </w:tr>
            <w:tr w14:paraId="0AF3A3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218675F0">
                  <w:pPr>
                    <w:spacing w:line="276" w:lineRule="auto"/>
                    <w:jc w:val="center"/>
                    <w:rPr>
                      <w:rFonts w:hint="default" w:ascii="Times New Roman" w:hAnsi="Times New Roman" w:cs="Times New Roman"/>
                      <w:color w:val="auto"/>
                      <w:sz w:val="21"/>
                      <w:szCs w:val="21"/>
                      <w:lang w:eastAsia="zh-CN"/>
                    </w:rPr>
                  </w:pPr>
                </w:p>
              </w:tc>
              <w:tc>
                <w:tcPr>
                  <w:tcW w:w="1314" w:type="dxa"/>
                  <w:shd w:val="clear" w:color="auto" w:fill="auto"/>
                  <w:vAlign w:val="center"/>
                </w:tcPr>
                <w:p w14:paraId="6A97E4A0">
                  <w:pPr>
                    <w:jc w:val="center"/>
                    <w:rPr>
                      <w:rFonts w:hint="default" w:ascii="Times New Roman" w:hAnsi="Times New Roman"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lang w:val="en-US" w:eastAsia="zh-CN"/>
                    </w:rPr>
                    <w:t>热熔胶</w:t>
                  </w:r>
                </w:p>
              </w:tc>
              <w:tc>
                <w:tcPr>
                  <w:tcW w:w="983" w:type="dxa"/>
                  <w:shd w:val="clear" w:color="auto" w:fill="auto"/>
                  <w:vAlign w:val="center"/>
                </w:tcPr>
                <w:p w14:paraId="4D646F07">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t/a</w:t>
                  </w:r>
                </w:p>
              </w:tc>
              <w:tc>
                <w:tcPr>
                  <w:tcW w:w="1093" w:type="dxa"/>
                  <w:vAlign w:val="center"/>
                </w:tcPr>
                <w:p w14:paraId="266EE710">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液体</w:t>
                  </w:r>
                </w:p>
              </w:tc>
              <w:tc>
                <w:tcPr>
                  <w:tcW w:w="996" w:type="dxa"/>
                  <w:shd w:val="clear" w:color="auto" w:fill="auto"/>
                  <w:vAlign w:val="center"/>
                </w:tcPr>
                <w:p w14:paraId="55638816">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6</w:t>
                  </w:r>
                </w:p>
              </w:tc>
              <w:tc>
                <w:tcPr>
                  <w:tcW w:w="2156" w:type="dxa"/>
                  <w:vAlign w:val="center"/>
                </w:tcPr>
                <w:p w14:paraId="70683E5F">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外购</w:t>
                  </w:r>
                </w:p>
              </w:tc>
              <w:tc>
                <w:tcPr>
                  <w:tcW w:w="2155" w:type="dxa"/>
                  <w:vAlign w:val="center"/>
                </w:tcPr>
                <w:p w14:paraId="0725BC72">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桶装/</w:t>
                  </w:r>
                  <w:r>
                    <w:rPr>
                      <w:rFonts w:hint="eastAsia" w:cs="Times New Roman"/>
                      <w:color w:val="auto"/>
                      <w:sz w:val="21"/>
                      <w:szCs w:val="21"/>
                      <w:lang w:val="en-US" w:eastAsia="zh-CN"/>
                    </w:rPr>
                    <w:t>15</w:t>
                  </w:r>
                  <w:r>
                    <w:rPr>
                      <w:rFonts w:hint="default" w:ascii="Times New Roman" w:hAnsi="Times New Roman" w:cs="Times New Roman"/>
                      <w:color w:val="auto"/>
                      <w:sz w:val="21"/>
                      <w:szCs w:val="21"/>
                      <w:lang w:val="en-US" w:eastAsia="zh-CN"/>
                    </w:rPr>
                    <w:t>kg</w:t>
                  </w:r>
                </w:p>
              </w:tc>
            </w:tr>
            <w:tr w14:paraId="33873E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7F912B63">
                  <w:pPr>
                    <w:spacing w:line="276" w:lineRule="auto"/>
                    <w:jc w:val="center"/>
                    <w:rPr>
                      <w:rFonts w:hint="default" w:ascii="Times New Roman" w:hAnsi="Times New Roman" w:cs="Times New Roman"/>
                      <w:color w:val="auto"/>
                      <w:sz w:val="21"/>
                      <w:szCs w:val="21"/>
                      <w:lang w:eastAsia="zh-CN"/>
                    </w:rPr>
                  </w:pPr>
                </w:p>
              </w:tc>
              <w:tc>
                <w:tcPr>
                  <w:tcW w:w="1314" w:type="dxa"/>
                  <w:shd w:val="clear" w:color="auto" w:fill="auto"/>
                  <w:vAlign w:val="center"/>
                </w:tcPr>
                <w:p w14:paraId="15C2A244">
                  <w:pPr>
                    <w:jc w:val="center"/>
                    <w:rPr>
                      <w:rFonts w:hint="default" w:ascii="Times New Roman" w:hAnsi="Times New Roman"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lang w:val="en-US" w:eastAsia="zh-CN"/>
                    </w:rPr>
                    <w:t>衬垫</w:t>
                  </w:r>
                </w:p>
              </w:tc>
              <w:tc>
                <w:tcPr>
                  <w:tcW w:w="983" w:type="dxa"/>
                  <w:shd w:val="clear" w:color="auto" w:fill="auto"/>
                  <w:vAlign w:val="center"/>
                </w:tcPr>
                <w:p w14:paraId="2BECC316">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套/</w:t>
                  </w:r>
                  <w:r>
                    <w:rPr>
                      <w:rFonts w:hint="default" w:ascii="Times New Roman" w:hAnsi="Times New Roman" w:cs="Times New Roman"/>
                      <w:color w:val="auto"/>
                      <w:sz w:val="21"/>
                      <w:szCs w:val="21"/>
                      <w:lang w:val="en-US" w:eastAsia="zh-CN"/>
                    </w:rPr>
                    <w:t>a</w:t>
                  </w:r>
                </w:p>
              </w:tc>
              <w:tc>
                <w:tcPr>
                  <w:tcW w:w="1093" w:type="dxa"/>
                  <w:vAlign w:val="center"/>
                </w:tcPr>
                <w:p w14:paraId="1A1F3B82">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固体</w:t>
                  </w:r>
                </w:p>
              </w:tc>
              <w:tc>
                <w:tcPr>
                  <w:tcW w:w="996" w:type="dxa"/>
                  <w:shd w:val="clear" w:color="auto" w:fill="auto"/>
                  <w:vAlign w:val="center"/>
                </w:tcPr>
                <w:p w14:paraId="12E24160">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3900</w:t>
                  </w:r>
                </w:p>
              </w:tc>
              <w:tc>
                <w:tcPr>
                  <w:tcW w:w="2156" w:type="dxa"/>
                  <w:vAlign w:val="center"/>
                </w:tcPr>
                <w:p w14:paraId="1526D7FB">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外购</w:t>
                  </w:r>
                </w:p>
              </w:tc>
              <w:tc>
                <w:tcPr>
                  <w:tcW w:w="2155" w:type="dxa"/>
                  <w:vAlign w:val="center"/>
                </w:tcPr>
                <w:p w14:paraId="26B28D7B">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箱</w:t>
                  </w:r>
                </w:p>
              </w:tc>
            </w:tr>
            <w:tr w14:paraId="290796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422072E7">
                  <w:pPr>
                    <w:spacing w:line="276" w:lineRule="auto"/>
                    <w:jc w:val="center"/>
                    <w:rPr>
                      <w:rFonts w:hint="default" w:ascii="Times New Roman" w:hAnsi="Times New Roman" w:cs="Times New Roman"/>
                      <w:color w:val="auto"/>
                      <w:sz w:val="21"/>
                      <w:szCs w:val="21"/>
                      <w:lang w:eastAsia="zh-CN"/>
                    </w:rPr>
                  </w:pPr>
                </w:p>
              </w:tc>
              <w:tc>
                <w:tcPr>
                  <w:tcW w:w="1314" w:type="dxa"/>
                  <w:shd w:val="clear" w:color="auto" w:fill="auto"/>
                  <w:vAlign w:val="center"/>
                </w:tcPr>
                <w:p w14:paraId="7BA7FB1F">
                  <w:pPr>
                    <w:jc w:val="center"/>
                    <w:rPr>
                      <w:rFonts w:hint="default" w:ascii="Times New Roman" w:hAnsi="Times New Roman"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lang w:val="en-US" w:eastAsia="zh-CN"/>
                    </w:rPr>
                    <w:t>吸音棉</w:t>
                  </w:r>
                </w:p>
              </w:tc>
              <w:tc>
                <w:tcPr>
                  <w:tcW w:w="983" w:type="dxa"/>
                  <w:shd w:val="clear" w:color="auto" w:fill="auto"/>
                  <w:vAlign w:val="center"/>
                </w:tcPr>
                <w:p w14:paraId="65E30A0D">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片</w:t>
                  </w:r>
                  <w:r>
                    <w:rPr>
                      <w:rFonts w:hint="default" w:ascii="Times New Roman" w:hAnsi="Times New Roman" w:cs="Times New Roman"/>
                      <w:color w:val="auto"/>
                      <w:sz w:val="21"/>
                      <w:szCs w:val="21"/>
                      <w:lang w:val="en-US" w:eastAsia="zh-CN"/>
                    </w:rPr>
                    <w:t>/a</w:t>
                  </w:r>
                </w:p>
              </w:tc>
              <w:tc>
                <w:tcPr>
                  <w:tcW w:w="1093" w:type="dxa"/>
                  <w:vAlign w:val="center"/>
                </w:tcPr>
                <w:p w14:paraId="0DFA4F34">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固体</w:t>
                  </w:r>
                </w:p>
              </w:tc>
              <w:tc>
                <w:tcPr>
                  <w:tcW w:w="996" w:type="dxa"/>
                  <w:shd w:val="clear" w:color="auto" w:fill="auto"/>
                  <w:vAlign w:val="center"/>
                </w:tcPr>
                <w:p w14:paraId="486A9512">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1560</w:t>
                  </w:r>
                </w:p>
              </w:tc>
              <w:tc>
                <w:tcPr>
                  <w:tcW w:w="2156" w:type="dxa"/>
                  <w:vAlign w:val="center"/>
                </w:tcPr>
                <w:p w14:paraId="43284D9F">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外购</w:t>
                  </w:r>
                </w:p>
              </w:tc>
              <w:tc>
                <w:tcPr>
                  <w:tcW w:w="2155" w:type="dxa"/>
                  <w:vAlign w:val="center"/>
                </w:tcPr>
                <w:p w14:paraId="6152D15F">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箱</w:t>
                  </w:r>
                </w:p>
              </w:tc>
            </w:tr>
            <w:tr w14:paraId="593C07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410225AE">
                  <w:pPr>
                    <w:spacing w:line="276" w:lineRule="auto"/>
                    <w:jc w:val="center"/>
                    <w:rPr>
                      <w:rFonts w:hint="default" w:ascii="Times New Roman" w:hAnsi="Times New Roman" w:cs="Times New Roman"/>
                      <w:color w:val="auto"/>
                      <w:sz w:val="21"/>
                      <w:szCs w:val="21"/>
                      <w:lang w:eastAsia="zh-CN"/>
                    </w:rPr>
                  </w:pPr>
                </w:p>
              </w:tc>
              <w:tc>
                <w:tcPr>
                  <w:tcW w:w="1314" w:type="dxa"/>
                  <w:shd w:val="clear" w:color="auto" w:fill="auto"/>
                  <w:vAlign w:val="center"/>
                </w:tcPr>
                <w:p w14:paraId="3EB48E43">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载体（催化剂）</w:t>
                  </w:r>
                </w:p>
              </w:tc>
              <w:tc>
                <w:tcPr>
                  <w:tcW w:w="983" w:type="dxa"/>
                  <w:shd w:val="clear" w:color="auto" w:fill="auto"/>
                  <w:vAlign w:val="center"/>
                </w:tcPr>
                <w:p w14:paraId="73065ECB">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套</w:t>
                  </w:r>
                  <w:r>
                    <w:rPr>
                      <w:rFonts w:hint="default" w:ascii="Times New Roman" w:hAnsi="Times New Roman" w:cs="Times New Roman"/>
                      <w:color w:val="auto"/>
                      <w:sz w:val="21"/>
                      <w:szCs w:val="21"/>
                      <w:lang w:val="en-US" w:eastAsia="zh-CN"/>
                    </w:rPr>
                    <w:t>/a</w:t>
                  </w:r>
                </w:p>
              </w:tc>
              <w:tc>
                <w:tcPr>
                  <w:tcW w:w="1093" w:type="dxa"/>
                  <w:vAlign w:val="center"/>
                </w:tcPr>
                <w:p w14:paraId="10B84A49">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固体</w:t>
                  </w:r>
                </w:p>
              </w:tc>
              <w:tc>
                <w:tcPr>
                  <w:tcW w:w="996" w:type="dxa"/>
                  <w:shd w:val="clear" w:color="auto" w:fill="auto"/>
                  <w:vAlign w:val="center"/>
                </w:tcPr>
                <w:p w14:paraId="77E0872C">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3900</w:t>
                  </w:r>
                </w:p>
              </w:tc>
              <w:tc>
                <w:tcPr>
                  <w:tcW w:w="2156" w:type="dxa"/>
                  <w:vAlign w:val="center"/>
                </w:tcPr>
                <w:p w14:paraId="677FA06A">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外购</w:t>
                  </w:r>
                </w:p>
              </w:tc>
              <w:tc>
                <w:tcPr>
                  <w:tcW w:w="2155" w:type="dxa"/>
                  <w:vAlign w:val="center"/>
                </w:tcPr>
                <w:p w14:paraId="6944A7FA">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箱</w:t>
                  </w:r>
                </w:p>
              </w:tc>
            </w:tr>
            <w:tr w14:paraId="3172A5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763EFC08">
                  <w:pPr>
                    <w:spacing w:line="276" w:lineRule="auto"/>
                    <w:jc w:val="center"/>
                    <w:rPr>
                      <w:rFonts w:hint="default" w:ascii="Times New Roman" w:hAnsi="Times New Roman" w:cs="Times New Roman"/>
                      <w:color w:val="auto"/>
                      <w:sz w:val="21"/>
                      <w:szCs w:val="21"/>
                      <w:lang w:eastAsia="zh-CN"/>
                    </w:rPr>
                  </w:pPr>
                </w:p>
              </w:tc>
              <w:tc>
                <w:tcPr>
                  <w:tcW w:w="1314" w:type="dxa"/>
                  <w:shd w:val="clear" w:color="auto" w:fill="auto"/>
                  <w:vAlign w:val="center"/>
                </w:tcPr>
                <w:p w14:paraId="193706F5">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焊丝</w:t>
                  </w:r>
                </w:p>
              </w:tc>
              <w:tc>
                <w:tcPr>
                  <w:tcW w:w="983" w:type="dxa"/>
                  <w:shd w:val="clear" w:color="auto" w:fill="auto"/>
                  <w:vAlign w:val="center"/>
                </w:tcPr>
                <w:p w14:paraId="1365645A">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t/a</w:t>
                  </w:r>
                </w:p>
              </w:tc>
              <w:tc>
                <w:tcPr>
                  <w:tcW w:w="1093" w:type="dxa"/>
                  <w:vAlign w:val="center"/>
                </w:tcPr>
                <w:p w14:paraId="10120F47">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固体</w:t>
                  </w:r>
                </w:p>
              </w:tc>
              <w:tc>
                <w:tcPr>
                  <w:tcW w:w="996" w:type="dxa"/>
                  <w:shd w:val="clear" w:color="auto" w:fill="auto"/>
                  <w:vAlign w:val="center"/>
                </w:tcPr>
                <w:p w14:paraId="1F7241B4">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6</w:t>
                  </w:r>
                </w:p>
              </w:tc>
              <w:tc>
                <w:tcPr>
                  <w:tcW w:w="2156" w:type="dxa"/>
                  <w:vAlign w:val="center"/>
                </w:tcPr>
                <w:p w14:paraId="6EC48C38">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外购</w:t>
                  </w:r>
                </w:p>
              </w:tc>
              <w:tc>
                <w:tcPr>
                  <w:tcW w:w="2155" w:type="dxa"/>
                  <w:vAlign w:val="center"/>
                </w:tcPr>
                <w:p w14:paraId="6E93124A">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箱</w:t>
                  </w:r>
                </w:p>
              </w:tc>
            </w:tr>
            <w:tr w14:paraId="03B073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773C2EC9">
                  <w:pPr>
                    <w:spacing w:line="276" w:lineRule="auto"/>
                    <w:jc w:val="center"/>
                    <w:rPr>
                      <w:rFonts w:hint="default" w:ascii="Times New Roman" w:hAnsi="Times New Roman" w:cs="Times New Roman"/>
                      <w:color w:val="auto"/>
                      <w:sz w:val="21"/>
                      <w:szCs w:val="21"/>
                      <w:lang w:eastAsia="zh-CN"/>
                    </w:rPr>
                  </w:pPr>
                </w:p>
              </w:tc>
              <w:tc>
                <w:tcPr>
                  <w:tcW w:w="1314" w:type="dxa"/>
                  <w:shd w:val="clear" w:color="auto" w:fill="auto"/>
                  <w:vAlign w:val="center"/>
                </w:tcPr>
                <w:p w14:paraId="5D34B1C7">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氩气</w:t>
                  </w:r>
                </w:p>
              </w:tc>
              <w:tc>
                <w:tcPr>
                  <w:tcW w:w="983" w:type="dxa"/>
                  <w:shd w:val="clear" w:color="auto" w:fill="auto"/>
                  <w:vAlign w:val="center"/>
                </w:tcPr>
                <w:p w14:paraId="59E49BAB">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瓶</w:t>
                  </w:r>
                </w:p>
              </w:tc>
              <w:tc>
                <w:tcPr>
                  <w:tcW w:w="1093" w:type="dxa"/>
                  <w:vAlign w:val="center"/>
                </w:tcPr>
                <w:p w14:paraId="5CF39471">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气体</w:t>
                  </w:r>
                </w:p>
              </w:tc>
              <w:tc>
                <w:tcPr>
                  <w:tcW w:w="996" w:type="dxa"/>
                  <w:shd w:val="clear" w:color="auto" w:fill="auto"/>
                  <w:vAlign w:val="center"/>
                </w:tcPr>
                <w:p w14:paraId="65F306E2">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293</w:t>
                  </w:r>
                </w:p>
              </w:tc>
              <w:tc>
                <w:tcPr>
                  <w:tcW w:w="2156" w:type="dxa"/>
                  <w:vAlign w:val="center"/>
                </w:tcPr>
                <w:p w14:paraId="0EEDE567">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外购</w:t>
                  </w:r>
                </w:p>
              </w:tc>
              <w:tc>
                <w:tcPr>
                  <w:tcW w:w="2155" w:type="dxa"/>
                  <w:vAlign w:val="center"/>
                </w:tcPr>
                <w:p w14:paraId="16973C72">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瓶装</w:t>
                  </w:r>
                </w:p>
              </w:tc>
            </w:tr>
            <w:tr w14:paraId="2E1696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2A41395B">
                  <w:pPr>
                    <w:spacing w:line="276" w:lineRule="auto"/>
                    <w:jc w:val="center"/>
                    <w:rPr>
                      <w:rFonts w:hint="default" w:ascii="Times New Roman" w:hAnsi="Times New Roman" w:cs="Times New Roman"/>
                      <w:color w:val="auto"/>
                      <w:sz w:val="21"/>
                      <w:szCs w:val="21"/>
                      <w:lang w:eastAsia="zh-CN"/>
                    </w:rPr>
                  </w:pPr>
                </w:p>
              </w:tc>
              <w:tc>
                <w:tcPr>
                  <w:tcW w:w="1314" w:type="dxa"/>
                  <w:shd w:val="clear" w:color="auto" w:fill="auto"/>
                  <w:vAlign w:val="center"/>
                </w:tcPr>
                <w:p w14:paraId="2744BEA7">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液压油</w:t>
                  </w:r>
                </w:p>
              </w:tc>
              <w:tc>
                <w:tcPr>
                  <w:tcW w:w="983" w:type="dxa"/>
                  <w:shd w:val="clear" w:color="auto" w:fill="auto"/>
                  <w:vAlign w:val="center"/>
                </w:tcPr>
                <w:p w14:paraId="1D3C7F41">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L/a</w:t>
                  </w:r>
                </w:p>
              </w:tc>
              <w:tc>
                <w:tcPr>
                  <w:tcW w:w="1093" w:type="dxa"/>
                  <w:vAlign w:val="center"/>
                </w:tcPr>
                <w:p w14:paraId="225BDC57">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液体</w:t>
                  </w:r>
                </w:p>
              </w:tc>
              <w:tc>
                <w:tcPr>
                  <w:tcW w:w="996" w:type="dxa"/>
                  <w:shd w:val="clear" w:color="auto" w:fill="auto"/>
                  <w:vAlign w:val="center"/>
                </w:tcPr>
                <w:p w14:paraId="3E523302">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50</w:t>
                  </w:r>
                </w:p>
              </w:tc>
              <w:tc>
                <w:tcPr>
                  <w:tcW w:w="2156" w:type="dxa"/>
                  <w:vAlign w:val="center"/>
                </w:tcPr>
                <w:p w14:paraId="6402F139">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外购</w:t>
                  </w:r>
                </w:p>
              </w:tc>
              <w:tc>
                <w:tcPr>
                  <w:tcW w:w="2155" w:type="dxa"/>
                  <w:vAlign w:val="center"/>
                </w:tcPr>
                <w:p w14:paraId="007FB318">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桶装</w:t>
                  </w:r>
                </w:p>
              </w:tc>
            </w:tr>
            <w:tr w14:paraId="679F5A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755F91B9">
                  <w:pPr>
                    <w:spacing w:line="276" w:lineRule="auto"/>
                    <w:jc w:val="center"/>
                    <w:rPr>
                      <w:rFonts w:hint="default" w:ascii="Times New Roman" w:hAnsi="Times New Roman" w:cs="Times New Roman"/>
                      <w:color w:val="auto"/>
                      <w:sz w:val="21"/>
                      <w:szCs w:val="21"/>
                      <w:lang w:eastAsia="zh-CN"/>
                    </w:rPr>
                  </w:pPr>
                </w:p>
              </w:tc>
              <w:tc>
                <w:tcPr>
                  <w:tcW w:w="1314" w:type="dxa"/>
                  <w:shd w:val="clear" w:color="auto" w:fill="auto"/>
                  <w:vAlign w:val="center"/>
                </w:tcPr>
                <w:p w14:paraId="4D3E5067">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润滑油</w:t>
                  </w:r>
                </w:p>
              </w:tc>
              <w:tc>
                <w:tcPr>
                  <w:tcW w:w="983" w:type="dxa"/>
                  <w:shd w:val="clear" w:color="auto" w:fill="auto"/>
                  <w:vAlign w:val="center"/>
                </w:tcPr>
                <w:p w14:paraId="28EEFF92">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L/a</w:t>
                  </w:r>
                </w:p>
              </w:tc>
              <w:tc>
                <w:tcPr>
                  <w:tcW w:w="1093" w:type="dxa"/>
                  <w:vAlign w:val="center"/>
                </w:tcPr>
                <w:p w14:paraId="1F2D16F5">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液体</w:t>
                  </w:r>
                </w:p>
              </w:tc>
              <w:tc>
                <w:tcPr>
                  <w:tcW w:w="996" w:type="dxa"/>
                  <w:shd w:val="clear" w:color="auto" w:fill="auto"/>
                  <w:vAlign w:val="center"/>
                </w:tcPr>
                <w:p w14:paraId="51B3C233">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50</w:t>
                  </w:r>
                </w:p>
              </w:tc>
              <w:tc>
                <w:tcPr>
                  <w:tcW w:w="2156" w:type="dxa"/>
                  <w:vAlign w:val="center"/>
                </w:tcPr>
                <w:p w14:paraId="0034DFAB">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外购</w:t>
                  </w:r>
                </w:p>
              </w:tc>
              <w:tc>
                <w:tcPr>
                  <w:tcW w:w="2155" w:type="dxa"/>
                  <w:vAlign w:val="center"/>
                </w:tcPr>
                <w:p w14:paraId="05B813C5">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桶装</w:t>
                  </w:r>
                </w:p>
              </w:tc>
            </w:tr>
            <w:tr w14:paraId="1C14CB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10BA5BE3">
                  <w:pPr>
                    <w:spacing w:line="276" w:lineRule="auto"/>
                    <w:jc w:val="center"/>
                    <w:rPr>
                      <w:rFonts w:hint="default" w:ascii="Times New Roman" w:hAnsi="Times New Roman" w:cs="Times New Roman"/>
                      <w:color w:val="auto"/>
                      <w:sz w:val="21"/>
                      <w:szCs w:val="21"/>
                      <w:lang w:eastAsia="zh-CN"/>
                    </w:rPr>
                  </w:pPr>
                </w:p>
              </w:tc>
              <w:tc>
                <w:tcPr>
                  <w:tcW w:w="1314" w:type="dxa"/>
                  <w:shd w:val="clear" w:color="auto" w:fill="auto"/>
                  <w:vAlign w:val="center"/>
                </w:tcPr>
                <w:p w14:paraId="4FE204E1">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棉纱、手套</w:t>
                  </w:r>
                </w:p>
              </w:tc>
              <w:tc>
                <w:tcPr>
                  <w:tcW w:w="983" w:type="dxa"/>
                  <w:shd w:val="clear" w:color="auto" w:fill="auto"/>
                  <w:vAlign w:val="center"/>
                </w:tcPr>
                <w:p w14:paraId="61400E03">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t/a</w:t>
                  </w:r>
                </w:p>
              </w:tc>
              <w:tc>
                <w:tcPr>
                  <w:tcW w:w="1093" w:type="dxa"/>
                  <w:vAlign w:val="center"/>
                </w:tcPr>
                <w:p w14:paraId="4775D3BE">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固体</w:t>
                  </w:r>
                </w:p>
              </w:tc>
              <w:tc>
                <w:tcPr>
                  <w:tcW w:w="996" w:type="dxa"/>
                  <w:shd w:val="clear" w:color="auto" w:fill="auto"/>
                  <w:vAlign w:val="center"/>
                </w:tcPr>
                <w:p w14:paraId="6227ABED">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0.04</w:t>
                  </w:r>
                </w:p>
              </w:tc>
              <w:tc>
                <w:tcPr>
                  <w:tcW w:w="2156" w:type="dxa"/>
                  <w:vAlign w:val="center"/>
                </w:tcPr>
                <w:p w14:paraId="46B05F89">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外购</w:t>
                  </w:r>
                </w:p>
              </w:tc>
              <w:tc>
                <w:tcPr>
                  <w:tcW w:w="2155" w:type="dxa"/>
                  <w:vAlign w:val="center"/>
                </w:tcPr>
                <w:p w14:paraId="0C851EE2">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塑料袋</w:t>
                  </w:r>
                </w:p>
              </w:tc>
            </w:tr>
            <w:tr w14:paraId="23AF18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restart"/>
                  <w:shd w:val="clear" w:color="auto" w:fill="auto"/>
                  <w:vAlign w:val="center"/>
                </w:tcPr>
                <w:p w14:paraId="383FAA0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能源</w:t>
                  </w:r>
                </w:p>
              </w:tc>
              <w:tc>
                <w:tcPr>
                  <w:tcW w:w="1314" w:type="dxa"/>
                  <w:shd w:val="clear" w:color="auto" w:fill="auto"/>
                  <w:vAlign w:val="center"/>
                </w:tcPr>
                <w:p w14:paraId="3A4CFAF7">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电</w:t>
                  </w:r>
                </w:p>
              </w:tc>
              <w:tc>
                <w:tcPr>
                  <w:tcW w:w="983" w:type="dxa"/>
                  <w:shd w:val="clear" w:color="auto" w:fill="auto"/>
                  <w:vAlign w:val="center"/>
                </w:tcPr>
                <w:p w14:paraId="1B33ED1D">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kW·h/a</w:t>
                  </w:r>
                </w:p>
              </w:tc>
              <w:tc>
                <w:tcPr>
                  <w:tcW w:w="1093" w:type="dxa"/>
                  <w:vAlign w:val="center"/>
                </w:tcPr>
                <w:p w14:paraId="1079528D">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996" w:type="dxa"/>
                  <w:shd w:val="clear" w:color="auto" w:fill="auto"/>
                  <w:vAlign w:val="center"/>
                </w:tcPr>
                <w:p w14:paraId="66BB624F">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60</w:t>
                  </w:r>
                  <w:r>
                    <w:rPr>
                      <w:rFonts w:hint="default" w:ascii="Times New Roman" w:hAnsi="Times New Roman" w:cs="Times New Roman"/>
                      <w:color w:val="auto"/>
                      <w:sz w:val="21"/>
                      <w:szCs w:val="21"/>
                    </w:rPr>
                    <w:t>万</w:t>
                  </w:r>
                </w:p>
              </w:tc>
              <w:tc>
                <w:tcPr>
                  <w:tcW w:w="2156" w:type="dxa"/>
                  <w:vAlign w:val="center"/>
                </w:tcPr>
                <w:p w14:paraId="4CE6C277">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市政供电</w:t>
                  </w:r>
                </w:p>
              </w:tc>
              <w:tc>
                <w:tcPr>
                  <w:tcW w:w="2155" w:type="dxa"/>
                  <w:vAlign w:val="center"/>
                </w:tcPr>
                <w:p w14:paraId="7CB8D50B">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r>
            <w:tr w14:paraId="0604CD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5E415410">
                  <w:pPr>
                    <w:spacing w:line="276" w:lineRule="auto"/>
                    <w:jc w:val="center"/>
                    <w:rPr>
                      <w:rFonts w:hint="default" w:ascii="Times New Roman" w:hAnsi="Times New Roman" w:cs="Times New Roman"/>
                      <w:color w:val="auto"/>
                      <w:sz w:val="21"/>
                      <w:szCs w:val="21"/>
                    </w:rPr>
                  </w:pPr>
                </w:p>
              </w:tc>
              <w:tc>
                <w:tcPr>
                  <w:tcW w:w="1314" w:type="dxa"/>
                  <w:shd w:val="clear" w:color="auto" w:fill="auto"/>
                  <w:vAlign w:val="center"/>
                </w:tcPr>
                <w:p w14:paraId="74661372">
                  <w:pPr>
                    <w:spacing w:line="276" w:lineRule="auto"/>
                    <w:jc w:val="center"/>
                    <w:rPr>
                      <w:rFonts w:hint="eastAsia" w:ascii="Times New Roman" w:hAnsi="Times New Roman" w:eastAsia="宋体" w:cs="Times New Roman"/>
                      <w:color w:val="auto"/>
                      <w:sz w:val="21"/>
                      <w:szCs w:val="21"/>
                      <w:lang w:eastAsia="zh-CN"/>
                    </w:rPr>
                  </w:pPr>
                  <w:r>
                    <w:rPr>
                      <w:rFonts w:hint="eastAsia" w:cs="Times New Roman"/>
                      <w:color w:val="auto"/>
                      <w:sz w:val="21"/>
                      <w:szCs w:val="21"/>
                      <w:lang w:val="en-US" w:eastAsia="zh-CN"/>
                    </w:rPr>
                    <w:t>水</w:t>
                  </w:r>
                </w:p>
              </w:tc>
              <w:tc>
                <w:tcPr>
                  <w:tcW w:w="983" w:type="dxa"/>
                  <w:shd w:val="clear" w:color="auto" w:fill="auto"/>
                  <w:vAlign w:val="center"/>
                </w:tcPr>
                <w:p w14:paraId="14A0F98A">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m</w:t>
                  </w:r>
                  <w:r>
                    <w:rPr>
                      <w:rFonts w:hint="default" w:ascii="Times New Roman" w:hAnsi="Times New Roman" w:cs="Times New Roman"/>
                      <w:color w:val="auto"/>
                      <w:sz w:val="21"/>
                      <w:szCs w:val="21"/>
                      <w:vertAlign w:val="superscript"/>
                    </w:rPr>
                    <w:t>3</w:t>
                  </w:r>
                  <w:r>
                    <w:rPr>
                      <w:rFonts w:hint="default" w:ascii="Times New Roman" w:hAnsi="Times New Roman" w:cs="Times New Roman"/>
                      <w:color w:val="auto"/>
                      <w:sz w:val="21"/>
                      <w:szCs w:val="21"/>
                    </w:rPr>
                    <w:t>/a</w:t>
                  </w:r>
                </w:p>
              </w:tc>
              <w:tc>
                <w:tcPr>
                  <w:tcW w:w="1093" w:type="dxa"/>
                  <w:vAlign w:val="center"/>
                </w:tcPr>
                <w:p w14:paraId="3F0B25F0">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996" w:type="dxa"/>
                  <w:shd w:val="clear" w:color="auto" w:fill="auto"/>
                  <w:vAlign w:val="center"/>
                </w:tcPr>
                <w:p w14:paraId="0803EC08">
                  <w:pPr>
                    <w:spacing w:line="276"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2950</w:t>
                  </w:r>
                </w:p>
              </w:tc>
              <w:tc>
                <w:tcPr>
                  <w:tcW w:w="2156" w:type="dxa"/>
                  <w:vAlign w:val="center"/>
                </w:tcPr>
                <w:p w14:paraId="6E2C2F3B">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市政供水</w:t>
                  </w:r>
                </w:p>
              </w:tc>
              <w:tc>
                <w:tcPr>
                  <w:tcW w:w="2155" w:type="dxa"/>
                  <w:vAlign w:val="center"/>
                </w:tcPr>
                <w:p w14:paraId="317D59F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r>
            <w:tr w14:paraId="215431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271" w:type="dxa"/>
                  <w:vMerge w:val="continue"/>
                  <w:shd w:val="clear" w:color="auto" w:fill="auto"/>
                  <w:vAlign w:val="center"/>
                </w:tcPr>
                <w:p w14:paraId="19C2D81E">
                  <w:pPr>
                    <w:spacing w:line="276" w:lineRule="auto"/>
                    <w:jc w:val="center"/>
                    <w:rPr>
                      <w:rFonts w:hint="default" w:ascii="Times New Roman" w:hAnsi="Times New Roman" w:cs="Times New Roman"/>
                      <w:color w:val="auto"/>
                      <w:sz w:val="21"/>
                      <w:szCs w:val="21"/>
                    </w:rPr>
                  </w:pPr>
                </w:p>
              </w:tc>
              <w:tc>
                <w:tcPr>
                  <w:tcW w:w="1314" w:type="dxa"/>
                  <w:shd w:val="clear" w:color="auto" w:fill="auto"/>
                  <w:vAlign w:val="center"/>
                </w:tcPr>
                <w:p w14:paraId="4AC71FD2">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天然气</w:t>
                  </w:r>
                </w:p>
              </w:tc>
              <w:tc>
                <w:tcPr>
                  <w:tcW w:w="983" w:type="dxa"/>
                  <w:shd w:val="clear" w:color="auto" w:fill="auto"/>
                  <w:vAlign w:val="center"/>
                </w:tcPr>
                <w:p w14:paraId="4F8E968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m</w:t>
                  </w:r>
                  <w:r>
                    <w:rPr>
                      <w:rFonts w:hint="default" w:ascii="Times New Roman" w:hAnsi="Times New Roman" w:cs="Times New Roman"/>
                      <w:color w:val="auto"/>
                      <w:sz w:val="21"/>
                      <w:szCs w:val="21"/>
                      <w:vertAlign w:val="superscript"/>
                    </w:rPr>
                    <w:t>3</w:t>
                  </w:r>
                  <w:r>
                    <w:rPr>
                      <w:rFonts w:hint="default" w:ascii="Times New Roman" w:hAnsi="Times New Roman" w:cs="Times New Roman"/>
                      <w:color w:val="auto"/>
                      <w:sz w:val="21"/>
                      <w:szCs w:val="21"/>
                    </w:rPr>
                    <w:t>/a</w:t>
                  </w:r>
                </w:p>
              </w:tc>
              <w:tc>
                <w:tcPr>
                  <w:tcW w:w="1093" w:type="dxa"/>
                  <w:vAlign w:val="center"/>
                </w:tcPr>
                <w:p w14:paraId="224F02E1">
                  <w:pPr>
                    <w:spacing w:line="276" w:lineRule="auto"/>
                    <w:jc w:val="center"/>
                    <w:rPr>
                      <w:rFonts w:hint="default" w:ascii="Times New Roman" w:hAnsi="Times New Roman" w:cs="Times New Roman"/>
                      <w:color w:val="auto"/>
                      <w:sz w:val="21"/>
                      <w:szCs w:val="21"/>
                    </w:rPr>
                  </w:pPr>
                </w:p>
              </w:tc>
              <w:tc>
                <w:tcPr>
                  <w:tcW w:w="996" w:type="dxa"/>
                  <w:shd w:val="clear" w:color="auto" w:fill="auto"/>
                  <w:vAlign w:val="center"/>
                </w:tcPr>
                <w:p w14:paraId="42B1B62F">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800</w:t>
                  </w:r>
                </w:p>
              </w:tc>
              <w:tc>
                <w:tcPr>
                  <w:tcW w:w="2156" w:type="dxa"/>
                  <w:vAlign w:val="center"/>
                </w:tcPr>
                <w:p w14:paraId="5BF7C378">
                  <w:pPr>
                    <w:spacing w:line="276" w:lineRule="auto"/>
                    <w:jc w:val="center"/>
                    <w:rPr>
                      <w:rFonts w:hint="eastAsia" w:cs="Times New Roman"/>
                      <w:color w:val="auto"/>
                      <w:sz w:val="21"/>
                      <w:szCs w:val="21"/>
                      <w:lang w:val="en-US" w:eastAsia="zh-CN"/>
                    </w:rPr>
                  </w:pPr>
                  <w:r>
                    <w:rPr>
                      <w:rFonts w:hint="eastAsia"/>
                      <w:color w:val="auto"/>
                      <w:szCs w:val="21"/>
                      <w:lang w:val="en-US" w:eastAsia="zh-CN"/>
                    </w:rPr>
                    <w:t>燃气管网</w:t>
                  </w:r>
                </w:p>
              </w:tc>
              <w:tc>
                <w:tcPr>
                  <w:tcW w:w="2155" w:type="dxa"/>
                  <w:vAlign w:val="center"/>
                </w:tcPr>
                <w:p w14:paraId="58D353B0">
                  <w:pPr>
                    <w:spacing w:line="276" w:lineRule="auto"/>
                    <w:jc w:val="center"/>
                    <w:rPr>
                      <w:rFonts w:hint="default" w:ascii="Times New Roman" w:hAnsi="Times New Roman" w:cs="Times New Roman"/>
                      <w:color w:val="auto"/>
                      <w:sz w:val="21"/>
                      <w:szCs w:val="21"/>
                    </w:rPr>
                  </w:pPr>
                </w:p>
              </w:tc>
            </w:tr>
          </w:tbl>
          <w:p w14:paraId="72E25CE7">
            <w:pPr>
              <w:spacing w:line="360" w:lineRule="auto"/>
              <w:rPr>
                <w:rFonts w:hint="eastAsia" w:ascii="Times New Roman" w:hAnsi="Times New Roman" w:cs="Times New Roman"/>
                <w:b w:val="0"/>
                <w:bCs/>
                <w:color w:val="auto"/>
                <w:sz w:val="24"/>
                <w:szCs w:val="24"/>
                <w:lang w:val="en-US" w:eastAsia="zh-CN"/>
              </w:rPr>
            </w:pPr>
          </w:p>
          <w:p w14:paraId="133A956F">
            <w:pPr>
              <w:pStyle w:val="28"/>
              <w:spacing w:line="360" w:lineRule="auto"/>
              <w:ind w:firstLine="482" w:firstLineChars="200"/>
              <w:rPr>
                <w:rFonts w:hint="eastAsia"/>
                <w:b/>
                <w:bCs/>
                <w:lang w:val="en-US" w:eastAsia="zh-CN"/>
              </w:rPr>
            </w:pPr>
            <w:r>
              <w:rPr>
                <w:rFonts w:hint="eastAsia"/>
                <w:b/>
                <w:bCs/>
                <w:lang w:val="en-US" w:eastAsia="zh-CN"/>
              </w:rPr>
              <w:t>主要原材料特性：</w:t>
            </w:r>
          </w:p>
          <w:p w14:paraId="348E36C6">
            <w:pPr>
              <w:spacing w:line="360" w:lineRule="auto"/>
              <w:ind w:firstLine="482" w:firstLineChars="200"/>
              <w:rPr>
                <w:rFonts w:hint="eastAsia" w:cs="Times New Roman"/>
                <w:b w:val="0"/>
                <w:bCs/>
                <w:color w:val="auto"/>
                <w:sz w:val="24"/>
                <w:szCs w:val="24"/>
                <w:lang w:val="en-US" w:eastAsia="zh-CN"/>
              </w:rPr>
            </w:pPr>
            <w:r>
              <w:rPr>
                <w:rFonts w:hint="eastAsia" w:cs="Times New Roman"/>
                <w:b/>
                <w:bCs w:val="0"/>
                <w:color w:val="auto"/>
                <w:sz w:val="24"/>
                <w:szCs w:val="24"/>
                <w:lang w:val="en-US" w:eastAsia="zh-CN"/>
              </w:rPr>
              <w:t>①</w:t>
            </w:r>
            <w:r>
              <w:rPr>
                <w:rFonts w:hint="eastAsia" w:ascii="Times New Roman" w:hAnsi="Times New Roman" w:cs="Times New Roman"/>
                <w:b/>
                <w:bCs w:val="0"/>
                <w:color w:val="auto"/>
                <w:sz w:val="24"/>
                <w:szCs w:val="24"/>
                <w:lang w:val="en-US" w:eastAsia="zh-CN"/>
              </w:rPr>
              <w:t>聚乙烯</w:t>
            </w:r>
            <w:r>
              <w:rPr>
                <w:rFonts w:hint="eastAsia" w:cs="Times New Roman"/>
                <w:b/>
                <w:bCs w:val="0"/>
                <w:color w:val="auto"/>
                <w:sz w:val="24"/>
                <w:szCs w:val="24"/>
                <w:lang w:val="en-US" w:eastAsia="zh-CN"/>
              </w:rPr>
              <w:t>（PE）：</w:t>
            </w:r>
            <w:r>
              <w:rPr>
                <w:rFonts w:hint="eastAsia" w:cs="Times New Roman"/>
                <w:b w:val="0"/>
                <w:bCs/>
                <w:color w:val="auto"/>
                <w:sz w:val="24"/>
                <w:szCs w:val="24"/>
                <w:lang w:val="en-US" w:eastAsia="zh-CN"/>
              </w:rPr>
              <w:t>是</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"https://baike.baidu.com/item/%E4%B9%99%E7%83%AF" \t "_blank"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乙烯</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经聚合制得的一种</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"https://baike.baidu.com/item/%E7%83%AD%E5%A1%91%E6%80%A7%E6%A0%91%E8%84%82" \t "_blank"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热塑性树脂</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。聚乙烯的分子是长链线型结构或支结构，为典型的</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"https://baike.baidu.com/item/%E7%BB%93%E6%99%B6%E8%81%9A%E5%90%88%E7%89%A9" \t "_blank"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结晶聚合物</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。在固体状态下，结晶部分与无定型共存。</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"https://baike.baidu.com/item/%E7%BB%93%E6%99%B6%E5%BA%A6" \t "_blank"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结晶度</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视加工条件和原处理条件而异，一般情况下，密度高结晶度就越大。LDPE结晶度通常为55 %-- 6 5%，HDPF结晶度为80%-90%。在工业上，也包括</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"https://baike.baidu.com/item/%E4%B9%99%E7%83%AF" \t "_blank"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乙烯</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与少量</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"https://baike.baidu.com/item/%CE%B1-%E7%83%AF%E7%83%83" \t "_blank"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α-烯烃</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的</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"https://baike.baidu.com/item/%E5%85%B1%E8%81%9A%E7%89%A9" \t "_blank"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共聚物</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。聚乙烯无臭，无毒，手感似</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"https://baike.baidu.com/item/%E8%9C%A1" \t "_blank"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蜡</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，具有优良的耐低温性能（最低使用温度可达-100~-70°C），</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"https://baike.baidu.com/item/%E5%8C%96%E5%AD%A6%E7%A8%B3%E5%AE%9A%E6%80%A7" \t "_blank"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化学稳定性</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好，能耐大多数</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"https://baike.baidu.com/item/%E9%85%B8%E7%A2%B1/7829350" \t "_blank"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酸碱</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的侵蚀（不耐具有氧化</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"https://baike.baidu.com/item/%E6%80%A7%E8%B4%A8" \t "_blank"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性质</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的酸）。常温下不溶于一般</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"https://baike.baidu.com/item/%E6%BA%B6%E5%89%82" \t "_blank"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溶剂</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"https://baike.baidu.com/item/%E5%90%B8%E6%B0%B4%E6%80%A7" \t "_blank"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吸水性</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小，</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"https://baike.baidu.com/item/%E7%94%B5%E7%BB%9D%E7%BC%98%E6%80%A7" \t "_blank"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电绝缘性</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优良。</w:t>
            </w:r>
          </w:p>
          <w:p w14:paraId="7BE3D68D">
            <w:pPr>
              <w:spacing w:line="360" w:lineRule="auto"/>
              <w:ind w:firstLine="482" w:firstLineChars="200"/>
              <w:rPr>
                <w:rFonts w:hint="eastAsia" w:cs="Times New Roman"/>
                <w:b w:val="0"/>
                <w:bCs/>
                <w:color w:val="auto"/>
                <w:sz w:val="24"/>
                <w:szCs w:val="24"/>
                <w:lang w:val="en-US" w:eastAsia="zh-CN"/>
              </w:rPr>
            </w:pPr>
            <w:r>
              <w:rPr>
                <w:rFonts w:hint="eastAsia" w:cs="Times New Roman"/>
                <w:b/>
                <w:bCs w:val="0"/>
                <w:color w:val="auto"/>
                <w:sz w:val="24"/>
                <w:szCs w:val="24"/>
                <w:lang w:val="en-US" w:eastAsia="zh-CN"/>
              </w:rPr>
              <w:t>②</w:t>
            </w:r>
            <w:r>
              <w:rPr>
                <w:rFonts w:hint="eastAsia" w:ascii="Times New Roman" w:hAnsi="Times New Roman" w:cs="Times New Roman"/>
                <w:b/>
                <w:bCs w:val="0"/>
                <w:color w:val="auto"/>
                <w:sz w:val="24"/>
                <w:szCs w:val="24"/>
                <w:lang w:val="en-US" w:eastAsia="zh-CN"/>
              </w:rPr>
              <w:t>聚丙烯</w:t>
            </w:r>
            <w:r>
              <w:rPr>
                <w:rFonts w:hint="eastAsia" w:cs="Times New Roman"/>
                <w:b/>
                <w:bCs w:val="0"/>
                <w:color w:val="auto"/>
                <w:sz w:val="24"/>
                <w:szCs w:val="24"/>
                <w:lang w:val="en-US" w:eastAsia="zh-CN"/>
              </w:rPr>
              <w:t>（PP）：</w:t>
            </w:r>
            <w:r>
              <w:rPr>
                <w:rFonts w:hint="eastAsia" w:cs="Times New Roman"/>
                <w:b w:val="0"/>
                <w:bCs/>
                <w:color w:val="auto"/>
                <w:sz w:val="24"/>
                <w:szCs w:val="24"/>
                <w:lang w:val="en-US" w:eastAsia="zh-CN"/>
              </w:rPr>
              <w:t>由丙烯聚合而制得的一种热塑性树脂。外观为白色细颗粒状，堆积比重0.4-0.5，密度0.90-0.91g/cm3，具有良好的耐热性、绝缘性和高频性及较高的表面硬度。化学性质比较稳定，能耐80℃以下的酸、碱溶液及多种有机溶剂。一般无味、无臭、无毒的固体。是目前所有塑料中最轻的品种之一。它对水特别稳定，在水中的吸水率仅为0. 01%，分子量约8万~15万。成型性好，制品表面光泽好。</w:t>
            </w:r>
          </w:p>
          <w:p w14:paraId="395DED40">
            <w:pPr>
              <w:spacing w:line="360" w:lineRule="auto"/>
              <w:ind w:firstLine="482" w:firstLineChars="200"/>
              <w:rPr>
                <w:rFonts w:hint="eastAsia" w:cs="Times New Roman"/>
                <w:b w:val="0"/>
                <w:bCs/>
                <w:color w:val="auto"/>
                <w:sz w:val="24"/>
                <w:szCs w:val="24"/>
                <w:lang w:val="en-US" w:eastAsia="zh-CN"/>
              </w:rPr>
            </w:pPr>
            <w:r>
              <w:rPr>
                <w:rFonts w:hint="eastAsia" w:cs="Times New Roman"/>
                <w:b/>
                <w:bCs w:val="0"/>
                <w:color w:val="auto"/>
                <w:sz w:val="24"/>
                <w:szCs w:val="24"/>
                <w:lang w:val="en-US" w:eastAsia="zh-CN"/>
              </w:rPr>
              <w:t>③高密度聚乙烯：</w:t>
            </w:r>
            <w:r>
              <w:rPr>
                <w:rFonts w:hint="eastAsia" w:cs="Times New Roman"/>
                <w:b w:val="0"/>
                <w:bCs/>
                <w:color w:val="auto"/>
                <w:sz w:val="24"/>
                <w:szCs w:val="24"/>
                <w:lang w:val="en-US" w:eastAsia="zh-CN"/>
              </w:rPr>
              <w:t>白色粉末或颗粒状产品．无毒，无味，结晶度为80%～90%，软化点为125～l 35℃，使用温度可达100℃；硬度、拉伸强度和蠕变性优于低密度聚乙烯；耐磨性、电绝缘性、韧性及耐寒性较好；化学稳定性好，在室温条件下，不溶于任何有机溶剂，耐酸、碱和各种盐类的腐蚀；薄膜对水蒸气和空气的渗透性小，吸水性低；耐老化性能差，耐环境应力开裂性不如低密度聚乙烯，特别是热氧化作用会使其性能下降，所以树脂中须加人抗氧剂和紫外线吸收剂等来改善这方面的不足。</w:t>
            </w:r>
          </w:p>
          <w:p w14:paraId="7109ACD8">
            <w:pPr>
              <w:spacing w:line="360" w:lineRule="auto"/>
              <w:ind w:firstLine="482" w:firstLineChars="200"/>
              <w:rPr>
                <w:rFonts w:hint="eastAsia" w:cs="Times New Roman"/>
                <w:b w:val="0"/>
                <w:bCs/>
                <w:color w:val="auto"/>
                <w:sz w:val="24"/>
                <w:szCs w:val="24"/>
                <w:lang w:val="en-US" w:eastAsia="zh-CN"/>
              </w:rPr>
            </w:pPr>
            <w:r>
              <w:rPr>
                <w:rFonts w:hint="eastAsia" w:cs="Times New Roman"/>
                <w:b/>
                <w:bCs w:val="0"/>
                <w:color w:val="auto"/>
                <w:sz w:val="24"/>
                <w:szCs w:val="24"/>
                <w:lang w:val="en-US" w:eastAsia="zh-CN"/>
              </w:rPr>
              <w:t>④热熔胶：</w:t>
            </w:r>
            <w:r>
              <w:rPr>
                <w:rFonts w:hint="eastAsia" w:cs="Times New Roman"/>
                <w:b w:val="0"/>
                <w:bCs/>
                <w:color w:val="auto"/>
                <w:sz w:val="24"/>
                <w:szCs w:val="24"/>
                <w:lang w:val="en-US" w:eastAsia="zh-CN"/>
              </w:rPr>
              <w:t>热熔胶又热熔胶粉，热熔胶生产的热熔胶粉是一种淡</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"https://baike.baidu.com/pic/%E7%83%AD%E6%BA%B6%E8%83%B6/9896660/2173523/c8177f3e6709c93d8a93ff609f3df8dcd00054c0?fr=lemma&amp;ct=cover" \o "热熔胶图片" \t "https://baike.baidu.com/item/%E7%83%AD%E6%BA%B6%E8%83%B6/_blank"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 黄色或琥珀色半透明颗粒和粉末，它是一种精细化学品，亦即工业明胶。人们又习惯称之为热熔胶，或热熔明胶。该产品是从动物的结缔或表皮组织中的胶原部分水解出来的蛋白质。其分子量为1—10万，含18种氨基酸。除含量16%以下的水分和无机盐外，蛋白质含量达82%以上，无毒、无味，不污染环境，被誉为“绿色胶粘剂”，特别适宜在连续化的生产线上使用。</w:t>
            </w:r>
          </w:p>
          <w:p w14:paraId="59440EE9">
            <w:pPr>
              <w:spacing w:line="360" w:lineRule="auto"/>
              <w:ind w:firstLine="482" w:firstLineChars="200"/>
              <w:rPr>
                <w:rFonts w:hint="eastAsia" w:cs="Times New Roman"/>
                <w:b w:val="0"/>
                <w:bCs/>
                <w:color w:val="auto"/>
                <w:sz w:val="24"/>
                <w:szCs w:val="24"/>
                <w:lang w:val="en-US" w:eastAsia="zh-CN"/>
              </w:rPr>
            </w:pPr>
            <w:r>
              <w:rPr>
                <w:rFonts w:hint="eastAsia" w:cs="Times New Roman"/>
                <w:b/>
                <w:bCs w:val="0"/>
                <w:color w:val="auto"/>
                <w:sz w:val="24"/>
                <w:szCs w:val="24"/>
                <w:lang w:val="en-US" w:eastAsia="zh-CN"/>
              </w:rPr>
              <w:t>⑤氩气：</w:t>
            </w:r>
            <w:r>
              <w:rPr>
                <w:rFonts w:hint="eastAsia" w:cs="Times New Roman"/>
                <w:b w:val="0"/>
                <w:bCs/>
                <w:color w:val="auto"/>
                <w:sz w:val="24"/>
                <w:szCs w:val="24"/>
                <w:lang w:val="en-US" w:eastAsia="zh-CN"/>
              </w:rPr>
              <w:t xml:space="preserve"> 分子式 Ar，分子量 39.95，无色无臭的</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"https://baike.baidu.com/item/%E6%83%B0%E6%80%A7%E6%B0%94%E4%BD%93/1836373" \t "https://baike.baidu.com/item/%E6%B0%A9%E6%B0%94/_blank"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惰性气体</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；蒸汽压 202.64kPa(-179℃)；熔点 -189.2℃；沸点-185.7℃ 溶解性：微溶于水;密度：</w:t>
            </w:r>
            <w:r>
              <w:rPr>
                <w:rFonts w:hint="eastAsia" w:cs="Times New Roman"/>
                <w:b w:val="0"/>
                <w:bCs/>
                <w:color w:val="auto"/>
                <w:sz w:val="24"/>
                <w:szCs w:val="24"/>
                <w:lang w:val="en-US" w:eastAsia="zh-CN"/>
              </w:rPr>
              <w:fldChar w:fldCharType="begin"/>
            </w:r>
            <w:r>
              <w:rPr>
                <w:rFonts w:hint="eastAsia" w:cs="Times New Roman"/>
                <w:b w:val="0"/>
                <w:bCs/>
                <w:color w:val="auto"/>
                <w:sz w:val="24"/>
                <w:szCs w:val="24"/>
                <w:lang w:val="en-US" w:eastAsia="zh-CN"/>
              </w:rPr>
              <w:instrText xml:space="preserve"> HYPERLINK "https://baike.baidu.com/item/%E7%9B%B8%E5%AF%B9%E5%AF%86%E5%BA%A6" \t "https://baike.baidu.com/item/%E6%B0%A9%E6%B0%94/_blank" </w:instrText>
            </w:r>
            <w:r>
              <w:rPr>
                <w:rFonts w:hint="eastAsia" w:cs="Times New Roman"/>
                <w:b w:val="0"/>
                <w:bCs/>
                <w:color w:val="auto"/>
                <w:sz w:val="24"/>
                <w:szCs w:val="24"/>
                <w:lang w:val="en-US" w:eastAsia="zh-CN"/>
              </w:rPr>
              <w:fldChar w:fldCharType="separate"/>
            </w:r>
            <w:r>
              <w:rPr>
                <w:rFonts w:hint="eastAsia" w:cs="Times New Roman"/>
                <w:b w:val="0"/>
                <w:bCs/>
                <w:color w:val="auto"/>
                <w:sz w:val="24"/>
                <w:szCs w:val="24"/>
                <w:lang w:val="en-US" w:eastAsia="zh-CN"/>
              </w:rPr>
              <w:t>相对密度</w:t>
            </w:r>
            <w:r>
              <w:rPr>
                <w:rFonts w:hint="eastAsia" w:cs="Times New Roman"/>
                <w:b w:val="0"/>
                <w:bCs/>
                <w:color w:val="auto"/>
                <w:sz w:val="24"/>
                <w:szCs w:val="24"/>
                <w:lang w:val="en-US" w:eastAsia="zh-CN"/>
              </w:rPr>
              <w:fldChar w:fldCharType="end"/>
            </w:r>
            <w:r>
              <w:rPr>
                <w:rFonts w:hint="eastAsia" w:cs="Times New Roman"/>
                <w:b w:val="0"/>
                <w:bCs/>
                <w:color w:val="auto"/>
                <w:sz w:val="24"/>
                <w:szCs w:val="24"/>
                <w:lang w:val="en-US" w:eastAsia="zh-CN"/>
              </w:rPr>
              <w:t>(水=1)1.40(-186℃)；相对密度(空气=1)1.38；稳定性：稳定；危险标记 5(不燃气体)；主要用途：用于灯泡充气和对不锈钢、镁、铝等的电弧焊接，即“氩弧焊”。</w:t>
            </w:r>
          </w:p>
          <w:p w14:paraId="2279ADA9">
            <w:pPr>
              <w:spacing w:line="360" w:lineRule="auto"/>
              <w:ind w:firstLine="482" w:firstLineChars="200"/>
              <w:rPr>
                <w:rFonts w:hint="eastAsia" w:cs="Times New Roman"/>
                <w:b/>
                <w:bCs w:val="0"/>
                <w:color w:val="auto"/>
                <w:sz w:val="24"/>
                <w:szCs w:val="24"/>
                <w:lang w:val="en-US" w:eastAsia="zh-CN"/>
              </w:rPr>
            </w:pPr>
            <w:r>
              <w:rPr>
                <w:rFonts w:hint="eastAsia" w:cs="Times New Roman"/>
                <w:b/>
                <w:bCs w:val="0"/>
                <w:color w:val="auto"/>
                <w:sz w:val="24"/>
                <w:szCs w:val="24"/>
                <w:lang w:val="en-US" w:eastAsia="zh-CN"/>
              </w:rPr>
              <w:t>⑥PU注胶A料</w:t>
            </w:r>
          </w:p>
          <w:p w14:paraId="456E18C6">
            <w:pPr>
              <w:spacing w:line="360" w:lineRule="auto"/>
              <w:ind w:firstLine="480" w:firstLineChars="200"/>
              <w:rPr>
                <w:rFonts w:hint="eastAsia" w:cs="Times New Roman"/>
                <w:b w:val="0"/>
                <w:bCs/>
                <w:color w:val="auto"/>
                <w:sz w:val="24"/>
                <w:szCs w:val="24"/>
                <w:lang w:val="en-US" w:eastAsia="zh-CN"/>
              </w:rPr>
            </w:pPr>
            <w:r>
              <w:rPr>
                <w:rFonts w:hint="eastAsia" w:cs="Times New Roman"/>
                <w:b w:val="0"/>
                <w:bCs/>
                <w:color w:val="auto"/>
                <w:sz w:val="24"/>
                <w:szCs w:val="24"/>
                <w:lang w:val="en-US" w:eastAsia="zh-CN"/>
              </w:rPr>
              <w:t>外观：红色均一的液体（其它色泽可根据需要）</w:t>
            </w:r>
          </w:p>
          <w:p w14:paraId="7DCB1ED4">
            <w:pPr>
              <w:spacing w:line="360" w:lineRule="auto"/>
              <w:ind w:firstLine="480" w:firstLineChars="200"/>
              <w:rPr>
                <w:rFonts w:hint="eastAsia" w:cs="Times New Roman"/>
                <w:b w:val="0"/>
                <w:bCs/>
                <w:color w:val="auto"/>
                <w:sz w:val="24"/>
                <w:szCs w:val="24"/>
                <w:lang w:val="en-US" w:eastAsia="zh-CN"/>
              </w:rPr>
            </w:pPr>
            <w:r>
              <w:rPr>
                <w:rFonts w:hint="eastAsia" w:cs="Times New Roman"/>
                <w:b w:val="0"/>
                <w:bCs/>
                <w:color w:val="auto"/>
                <w:sz w:val="24"/>
                <w:szCs w:val="24"/>
                <w:lang w:val="en-US" w:eastAsia="zh-CN"/>
              </w:rPr>
              <w:t>密度：1.02g/ml</w:t>
            </w:r>
          </w:p>
          <w:p w14:paraId="1D899AC7">
            <w:pPr>
              <w:spacing w:line="360" w:lineRule="auto"/>
              <w:ind w:firstLine="480"/>
              <w:jc w:val="center"/>
              <w:rPr>
                <w:rFonts w:hint="eastAsia" w:ascii="Times New Roman" w:hAnsi="Times New Roman" w:cs="Times New Roman" w:eastAsiaTheme="minorEastAsia"/>
                <w:b/>
                <w:bCs/>
                <w:color w:val="auto"/>
                <w:szCs w:val="21"/>
                <w:lang w:val="en-US" w:eastAsia="zh-CN"/>
              </w:rPr>
            </w:pPr>
            <w:r>
              <w:rPr>
                <w:rFonts w:hint="eastAsia" w:ascii="Times New Roman" w:hAnsi="Times New Roman" w:cs="Times New Roman" w:eastAsiaTheme="minorEastAsia"/>
                <w:b/>
                <w:bCs/>
                <w:color w:val="auto"/>
                <w:szCs w:val="21"/>
                <w:lang w:val="en-US" w:eastAsia="zh-CN"/>
              </w:rPr>
              <w:t>表1-5 PU注塑A料理化性质</w:t>
            </w:r>
          </w:p>
          <w:tbl>
            <w:tblPr>
              <w:tblStyle w:val="23"/>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2379"/>
              <w:gridCol w:w="1861"/>
              <w:gridCol w:w="1384"/>
              <w:gridCol w:w="477"/>
              <w:gridCol w:w="2970"/>
            </w:tblGrid>
            <w:tr w14:paraId="1D90D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48" w:hRule="atLeast"/>
                <w:jc w:val="center"/>
              </w:trPr>
              <w:tc>
                <w:tcPr>
                  <w:tcW w:w="9071" w:type="dxa"/>
                  <w:gridSpan w:val="5"/>
                  <w:shd w:val="clear" w:color="auto" w:fill="E6E6E6"/>
                  <w:tcMar>
                    <w:top w:w="45" w:type="dxa"/>
                    <w:left w:w="75" w:type="dxa"/>
                    <w:bottom w:w="45" w:type="dxa"/>
                    <w:right w:w="75" w:type="dxa"/>
                  </w:tcMar>
                  <w:vAlign w:val="center"/>
                </w:tcPr>
                <w:p w14:paraId="0FBD5467">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化学品成分/组成信息</w:t>
                  </w:r>
                  <w:bookmarkStart w:id="1" w:name="section1"/>
                  <w:bookmarkEnd w:id="1"/>
                  <w:r>
                    <w:rPr>
                      <w:rFonts w:hint="eastAsia" w:ascii="Times New Roman" w:hAnsi="Times New Roman" w:cs="Times New Roman"/>
                      <w:color w:val="auto"/>
                      <w:sz w:val="21"/>
                      <w:szCs w:val="21"/>
                      <w:lang w:val="en-US" w:eastAsia="zh-CN"/>
                    </w:rPr>
                    <w:t>（混合物）</w:t>
                  </w:r>
                </w:p>
              </w:tc>
            </w:tr>
            <w:tr w14:paraId="3872CD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48" w:hRule="atLeast"/>
                <w:jc w:val="center"/>
              </w:trPr>
              <w:tc>
                <w:tcPr>
                  <w:tcW w:w="5624" w:type="dxa"/>
                  <w:gridSpan w:val="3"/>
                  <w:tcMar>
                    <w:top w:w="45" w:type="dxa"/>
                    <w:left w:w="75" w:type="dxa"/>
                    <w:bottom w:w="45" w:type="dxa"/>
                    <w:right w:w="75" w:type="dxa"/>
                  </w:tcMar>
                  <w:vAlign w:val="center"/>
                </w:tcPr>
                <w:p w14:paraId="157DAC37">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危害物成分名称</w:t>
                  </w:r>
                </w:p>
              </w:tc>
              <w:tc>
                <w:tcPr>
                  <w:tcW w:w="3447" w:type="dxa"/>
                  <w:gridSpan w:val="2"/>
                  <w:tcMar>
                    <w:top w:w="45" w:type="dxa"/>
                    <w:left w:w="75" w:type="dxa"/>
                    <w:bottom w:w="45" w:type="dxa"/>
                    <w:right w:w="75" w:type="dxa"/>
                  </w:tcMar>
                  <w:vAlign w:val="center"/>
                </w:tcPr>
                <w:p w14:paraId="7079255D">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含量</w:t>
                  </w:r>
                </w:p>
              </w:tc>
            </w:tr>
            <w:tr w14:paraId="260169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48" w:hRule="atLeast"/>
                <w:jc w:val="center"/>
              </w:trPr>
              <w:tc>
                <w:tcPr>
                  <w:tcW w:w="5624" w:type="dxa"/>
                  <w:gridSpan w:val="3"/>
                  <w:tcMar>
                    <w:top w:w="45" w:type="dxa"/>
                    <w:left w:w="75" w:type="dxa"/>
                    <w:bottom w:w="45" w:type="dxa"/>
                    <w:right w:w="75" w:type="dxa"/>
                  </w:tcMar>
                  <w:vAlign w:val="center"/>
                </w:tcPr>
                <w:p w14:paraId="4494254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聚醚多元醇</w:t>
                  </w:r>
                </w:p>
              </w:tc>
              <w:tc>
                <w:tcPr>
                  <w:tcW w:w="3447" w:type="dxa"/>
                  <w:gridSpan w:val="2"/>
                  <w:tcMar>
                    <w:top w:w="45" w:type="dxa"/>
                    <w:left w:w="75" w:type="dxa"/>
                    <w:bottom w:w="45" w:type="dxa"/>
                    <w:right w:w="75" w:type="dxa"/>
                  </w:tcMar>
                  <w:vAlign w:val="center"/>
                </w:tcPr>
                <w:p w14:paraId="760C7686">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&gt;97.5％</w:t>
                  </w:r>
                </w:p>
              </w:tc>
            </w:tr>
            <w:tr w14:paraId="3B0FF6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48" w:hRule="atLeast"/>
                <w:jc w:val="center"/>
              </w:trPr>
              <w:tc>
                <w:tcPr>
                  <w:tcW w:w="5624" w:type="dxa"/>
                  <w:gridSpan w:val="3"/>
                  <w:tcMar>
                    <w:top w:w="45" w:type="dxa"/>
                    <w:left w:w="75" w:type="dxa"/>
                    <w:bottom w:w="45" w:type="dxa"/>
                    <w:right w:w="75" w:type="dxa"/>
                  </w:tcMar>
                  <w:vAlign w:val="center"/>
                </w:tcPr>
                <w:p w14:paraId="3902BAAB">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催化剂</w:t>
                  </w:r>
                </w:p>
              </w:tc>
              <w:tc>
                <w:tcPr>
                  <w:tcW w:w="3447" w:type="dxa"/>
                  <w:gridSpan w:val="2"/>
                  <w:tcMar>
                    <w:top w:w="45" w:type="dxa"/>
                    <w:left w:w="75" w:type="dxa"/>
                    <w:bottom w:w="45" w:type="dxa"/>
                    <w:right w:w="75" w:type="dxa"/>
                  </w:tcMar>
                  <w:vAlign w:val="center"/>
                </w:tcPr>
                <w:p w14:paraId="6E273CDF">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&lt;2％</w:t>
                  </w:r>
                </w:p>
              </w:tc>
            </w:tr>
            <w:tr w14:paraId="646881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48" w:hRule="atLeast"/>
                <w:jc w:val="center"/>
              </w:trPr>
              <w:tc>
                <w:tcPr>
                  <w:tcW w:w="5624" w:type="dxa"/>
                  <w:gridSpan w:val="3"/>
                  <w:tcMar>
                    <w:top w:w="45" w:type="dxa"/>
                    <w:left w:w="75" w:type="dxa"/>
                    <w:bottom w:w="45" w:type="dxa"/>
                    <w:right w:w="75" w:type="dxa"/>
                  </w:tcMar>
                  <w:vAlign w:val="center"/>
                </w:tcPr>
                <w:p w14:paraId="38366C05">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稳定剂</w:t>
                  </w:r>
                </w:p>
              </w:tc>
              <w:tc>
                <w:tcPr>
                  <w:tcW w:w="3447" w:type="dxa"/>
                  <w:gridSpan w:val="2"/>
                  <w:tcMar>
                    <w:top w:w="45" w:type="dxa"/>
                    <w:left w:w="75" w:type="dxa"/>
                    <w:bottom w:w="45" w:type="dxa"/>
                    <w:right w:w="75" w:type="dxa"/>
                  </w:tcMar>
                  <w:vAlign w:val="center"/>
                </w:tcPr>
                <w:p w14:paraId="704DCD6E">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&lt;0.5％</w:t>
                  </w:r>
                </w:p>
              </w:tc>
            </w:tr>
            <w:tr w14:paraId="27E65F4E">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9071" w:type="dxa"/>
                  <w:gridSpan w:val="5"/>
                  <w:tcBorders>
                    <w:top w:val="single" w:color="auto" w:sz="4" w:space="0"/>
                    <w:left w:val="single" w:color="auto" w:sz="4" w:space="0"/>
                    <w:bottom w:val="single" w:color="auto" w:sz="4" w:space="0"/>
                    <w:right w:val="single" w:color="auto" w:sz="4" w:space="0"/>
                  </w:tcBorders>
                  <w:shd w:val="clear" w:color="auto" w:fill="E6E6E6"/>
                  <w:tcMar>
                    <w:top w:w="45" w:type="dxa"/>
                    <w:left w:w="75" w:type="dxa"/>
                    <w:bottom w:w="45" w:type="dxa"/>
                    <w:right w:w="75" w:type="dxa"/>
                  </w:tcMar>
                  <w:vAlign w:val="center"/>
                </w:tcPr>
                <w:p w14:paraId="3D76367D">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理化特性</w:t>
                  </w:r>
                </w:p>
              </w:tc>
            </w:tr>
            <w:tr w14:paraId="27E86404">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9071" w:type="dxa"/>
                  <w:gridSpan w:val="5"/>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3F1040FC">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外观性状</w:t>
                  </w:r>
                </w:p>
              </w:tc>
            </w:tr>
            <w:tr w14:paraId="6AFE6122">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198" w:hRule="atLeast"/>
                <w:jc w:val="center"/>
              </w:trPr>
              <w:tc>
                <w:tcPr>
                  <w:tcW w:w="2379" w:type="dxa"/>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4A42CA98">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PH值：弱碱性</w:t>
                  </w:r>
                </w:p>
              </w:tc>
              <w:tc>
                <w:tcPr>
                  <w:tcW w:w="3722" w:type="dxa"/>
                  <w:gridSpan w:val="3"/>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690A973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熔点（℃）：&lt;0 ℃</w:t>
                  </w:r>
                </w:p>
              </w:tc>
              <w:tc>
                <w:tcPr>
                  <w:tcW w:w="2970" w:type="dxa"/>
                  <w:tcBorders>
                    <w:top w:val="single" w:color="auto" w:sz="4" w:space="0"/>
                    <w:left w:val="single" w:color="auto" w:sz="4" w:space="0"/>
                    <w:bottom w:val="single" w:color="auto" w:sz="4" w:space="0"/>
                    <w:right w:val="single" w:color="auto" w:sz="4" w:space="0"/>
                  </w:tcBorders>
                  <w:vAlign w:val="center"/>
                </w:tcPr>
                <w:p w14:paraId="362E7EBE">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相对密度（水＝1）：20℃ 1.02±0.05</w:t>
                  </w:r>
                </w:p>
              </w:tc>
            </w:tr>
            <w:tr w14:paraId="274545A4">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2379" w:type="dxa"/>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3717A52F">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沸点（℃）：无相关数据</w:t>
                  </w:r>
                </w:p>
              </w:tc>
              <w:tc>
                <w:tcPr>
                  <w:tcW w:w="3722" w:type="dxa"/>
                  <w:gridSpan w:val="3"/>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1E4055A4">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饱和蒸气压（KPa）：20 ℃）&lt;10mbar</w:t>
                  </w:r>
                </w:p>
              </w:tc>
              <w:tc>
                <w:tcPr>
                  <w:tcW w:w="2970" w:type="dxa"/>
                  <w:tcBorders>
                    <w:top w:val="single" w:color="auto" w:sz="4" w:space="0"/>
                    <w:left w:val="single" w:color="auto" w:sz="4" w:space="0"/>
                    <w:bottom w:val="single" w:color="auto" w:sz="4" w:space="0"/>
                    <w:right w:val="single" w:color="auto" w:sz="4" w:space="0"/>
                  </w:tcBorders>
                  <w:vAlign w:val="center"/>
                </w:tcPr>
                <w:p w14:paraId="4815D568">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相对蒸气密度（水＝1）</w:t>
                  </w:r>
                </w:p>
              </w:tc>
            </w:tr>
            <w:tr w14:paraId="05A107F0">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2379" w:type="dxa"/>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7F643F62">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燃烧热（Kj/mol）：无相关数据</w:t>
                  </w:r>
                </w:p>
              </w:tc>
              <w:tc>
                <w:tcPr>
                  <w:tcW w:w="3722" w:type="dxa"/>
                  <w:gridSpan w:val="3"/>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5D6A7700">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临界温度（℃）：无有关数据</w:t>
                  </w:r>
                </w:p>
              </w:tc>
              <w:tc>
                <w:tcPr>
                  <w:tcW w:w="2970" w:type="dxa"/>
                  <w:tcBorders>
                    <w:top w:val="single" w:color="auto" w:sz="4" w:space="0"/>
                    <w:left w:val="single" w:color="auto" w:sz="4" w:space="0"/>
                    <w:bottom w:val="single" w:color="auto" w:sz="4" w:space="0"/>
                    <w:right w:val="single" w:color="auto" w:sz="4" w:space="0"/>
                  </w:tcBorders>
                  <w:vAlign w:val="center"/>
                </w:tcPr>
                <w:p w14:paraId="7791F79D">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临界压力（Mpa）：无有关数据</w:t>
                  </w:r>
                </w:p>
              </w:tc>
            </w:tr>
            <w:tr w14:paraId="5506839D">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2379" w:type="dxa"/>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3F85DAAA">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闪点（℃）：&gt;</w:t>
                  </w:r>
                  <w:r>
                    <w:rPr>
                      <w:rFonts w:hint="eastAsia" w:cs="Times New Roman"/>
                      <w:color w:val="auto"/>
                      <w:sz w:val="21"/>
                      <w:szCs w:val="21"/>
                      <w:lang w:val="en-US" w:eastAsia="zh-CN"/>
                    </w:rPr>
                    <w:t>23</w:t>
                  </w:r>
                  <w:r>
                    <w:rPr>
                      <w:rFonts w:hint="eastAsia" w:ascii="Times New Roman" w:hAnsi="Times New Roman" w:cs="Times New Roman"/>
                      <w:color w:val="auto"/>
                      <w:sz w:val="21"/>
                      <w:szCs w:val="21"/>
                      <w:lang w:val="en-US" w:eastAsia="zh-CN"/>
                    </w:rPr>
                    <w:t>0℃</w:t>
                  </w:r>
                </w:p>
              </w:tc>
              <w:tc>
                <w:tcPr>
                  <w:tcW w:w="3722" w:type="dxa"/>
                  <w:gridSpan w:val="3"/>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0280523D">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引燃温度（℃）：无有关数据</w:t>
                  </w:r>
                </w:p>
              </w:tc>
              <w:tc>
                <w:tcPr>
                  <w:tcW w:w="2970" w:type="dxa"/>
                  <w:tcBorders>
                    <w:top w:val="single" w:color="auto" w:sz="4" w:space="0"/>
                    <w:left w:val="single" w:color="auto" w:sz="4" w:space="0"/>
                    <w:bottom w:val="single" w:color="auto" w:sz="4" w:space="0"/>
                    <w:right w:val="single" w:color="auto" w:sz="4" w:space="0"/>
                  </w:tcBorders>
                  <w:vAlign w:val="center"/>
                </w:tcPr>
                <w:p w14:paraId="44A7F093">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爆炸上限％（V/V）</w:t>
                  </w:r>
                </w:p>
              </w:tc>
            </w:tr>
            <w:tr w14:paraId="04241393">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2379" w:type="dxa"/>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7543E851">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爆炸下限％（V/V）</w:t>
                  </w:r>
                </w:p>
              </w:tc>
              <w:tc>
                <w:tcPr>
                  <w:tcW w:w="3722" w:type="dxa"/>
                  <w:gridSpan w:val="3"/>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1F236BC3">
                  <w:pPr>
                    <w:spacing w:line="276" w:lineRule="auto"/>
                    <w:jc w:val="center"/>
                    <w:rPr>
                      <w:rFonts w:hint="eastAsia" w:ascii="Times New Roman" w:hAnsi="Times New Roman" w:cs="Times New Roman"/>
                      <w:color w:val="auto"/>
                      <w:sz w:val="21"/>
                      <w:szCs w:val="21"/>
                      <w:lang w:val="en-US" w:eastAsia="zh-CN"/>
                    </w:rPr>
                  </w:pPr>
                </w:p>
              </w:tc>
              <w:tc>
                <w:tcPr>
                  <w:tcW w:w="2970" w:type="dxa"/>
                  <w:tcBorders>
                    <w:top w:val="single" w:color="auto" w:sz="4" w:space="0"/>
                    <w:left w:val="single" w:color="auto" w:sz="4" w:space="0"/>
                    <w:bottom w:val="single" w:color="auto" w:sz="4" w:space="0"/>
                    <w:right w:val="single" w:color="auto" w:sz="4" w:space="0"/>
                  </w:tcBorders>
                  <w:vAlign w:val="center"/>
                </w:tcPr>
                <w:p w14:paraId="10372D44">
                  <w:pPr>
                    <w:spacing w:line="276" w:lineRule="auto"/>
                    <w:jc w:val="center"/>
                    <w:rPr>
                      <w:rFonts w:hint="eastAsia" w:ascii="Times New Roman" w:hAnsi="Times New Roman" w:cs="Times New Roman"/>
                      <w:color w:val="auto"/>
                      <w:sz w:val="21"/>
                      <w:szCs w:val="21"/>
                      <w:lang w:val="en-US" w:eastAsia="zh-CN"/>
                    </w:rPr>
                  </w:pPr>
                </w:p>
              </w:tc>
            </w:tr>
            <w:tr w14:paraId="46877B01">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2379" w:type="dxa"/>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37E5420C">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溶解性</w:t>
                  </w:r>
                </w:p>
              </w:tc>
              <w:tc>
                <w:tcPr>
                  <w:tcW w:w="6692" w:type="dxa"/>
                  <w:gridSpan w:val="4"/>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13BF005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水中溶解度－微溶</w:t>
                  </w:r>
                </w:p>
              </w:tc>
            </w:tr>
            <w:tr w14:paraId="5995BCD8">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2379" w:type="dxa"/>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33836AF6">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主要用途</w:t>
                  </w:r>
                </w:p>
              </w:tc>
              <w:tc>
                <w:tcPr>
                  <w:tcW w:w="6692" w:type="dxa"/>
                  <w:gridSpan w:val="4"/>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085B0FD7">
                  <w:pPr>
                    <w:spacing w:line="276" w:lineRule="auto"/>
                    <w:jc w:val="center"/>
                    <w:rPr>
                      <w:rFonts w:hint="eastAsia" w:ascii="Times New Roman" w:hAnsi="Times New Roman" w:cs="Times New Roman"/>
                      <w:color w:val="auto"/>
                      <w:sz w:val="21"/>
                      <w:szCs w:val="21"/>
                      <w:lang w:val="en-US" w:eastAsia="zh-CN"/>
                    </w:rPr>
                  </w:pPr>
                </w:p>
              </w:tc>
            </w:tr>
            <w:tr w14:paraId="78F65197">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9071" w:type="dxa"/>
                  <w:gridSpan w:val="5"/>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24C7EEE8">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其他物化性质</w:t>
                  </w:r>
                </w:p>
              </w:tc>
            </w:tr>
            <w:tr w14:paraId="18A0112D">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2379" w:type="dxa"/>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1DF2D01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粘度（25℃）：</w:t>
                  </w:r>
                  <w:r>
                    <w:rPr>
                      <w:rFonts w:hint="eastAsia" w:cs="Times New Roman"/>
                      <w:color w:val="auto"/>
                      <w:sz w:val="21"/>
                      <w:szCs w:val="21"/>
                      <w:lang w:val="en-US" w:eastAsia="zh-CN"/>
                    </w:rPr>
                    <w:t>800</w:t>
                  </w:r>
                  <w:r>
                    <w:rPr>
                      <w:rFonts w:hint="eastAsia" w:ascii="Times New Roman" w:hAnsi="Times New Roman" w:cs="Times New Roman"/>
                      <w:color w:val="auto"/>
                      <w:sz w:val="21"/>
                      <w:szCs w:val="21"/>
                      <w:lang w:val="en-US" w:eastAsia="zh-CN"/>
                    </w:rPr>
                    <w:t>～</w:t>
                  </w:r>
                  <w:r>
                    <w:rPr>
                      <w:rFonts w:hint="eastAsia" w:cs="Times New Roman"/>
                      <w:color w:val="auto"/>
                      <w:sz w:val="21"/>
                      <w:szCs w:val="21"/>
                      <w:lang w:val="en-US" w:eastAsia="zh-CN"/>
                    </w:rPr>
                    <w:t>1000</w:t>
                  </w:r>
                  <w:r>
                    <w:rPr>
                      <w:rFonts w:hint="eastAsia" w:ascii="Times New Roman" w:hAnsi="Times New Roman" w:cs="Times New Roman"/>
                      <w:color w:val="auto"/>
                      <w:sz w:val="21"/>
                      <w:szCs w:val="21"/>
                      <w:lang w:val="en-US" w:eastAsia="zh-CN"/>
                    </w:rPr>
                    <w:t xml:space="preserve"> cps</w:t>
                  </w:r>
                </w:p>
              </w:tc>
              <w:tc>
                <w:tcPr>
                  <w:tcW w:w="1861" w:type="dxa"/>
                  <w:tcBorders>
                    <w:top w:val="single" w:color="auto" w:sz="4" w:space="0"/>
                    <w:left w:val="single" w:color="auto" w:sz="4" w:space="0"/>
                    <w:bottom w:val="single" w:color="auto" w:sz="4" w:space="0"/>
                    <w:right w:val="single" w:color="auto" w:sz="4" w:space="0"/>
                  </w:tcBorders>
                  <w:tcMar>
                    <w:top w:w="45" w:type="dxa"/>
                    <w:left w:w="75" w:type="dxa"/>
                    <w:bottom w:w="45" w:type="dxa"/>
                    <w:right w:w="75" w:type="dxa"/>
                  </w:tcMar>
                  <w:vAlign w:val="center"/>
                </w:tcPr>
                <w:p w14:paraId="7188422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形状：液体</w:t>
                  </w:r>
                </w:p>
              </w:tc>
              <w:tc>
                <w:tcPr>
                  <w:tcW w:w="1861" w:type="dxa"/>
                  <w:gridSpan w:val="2"/>
                  <w:tcBorders>
                    <w:top w:val="single" w:color="auto" w:sz="4" w:space="0"/>
                    <w:left w:val="single" w:color="auto" w:sz="4" w:space="0"/>
                    <w:bottom w:val="single" w:color="auto" w:sz="4" w:space="0"/>
                    <w:right w:val="single" w:color="auto" w:sz="4" w:space="0"/>
                  </w:tcBorders>
                  <w:vAlign w:val="center"/>
                </w:tcPr>
                <w:p w14:paraId="3716F556">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颜色：红色</w:t>
                  </w:r>
                </w:p>
              </w:tc>
              <w:tc>
                <w:tcPr>
                  <w:tcW w:w="2970" w:type="dxa"/>
                  <w:tcBorders>
                    <w:top w:val="single" w:color="auto" w:sz="4" w:space="0"/>
                    <w:left w:val="single" w:color="auto" w:sz="4" w:space="0"/>
                    <w:bottom w:val="single" w:color="auto" w:sz="4" w:space="0"/>
                    <w:right w:val="single" w:color="auto" w:sz="4" w:space="0"/>
                  </w:tcBorders>
                  <w:vAlign w:val="center"/>
                </w:tcPr>
                <w:p w14:paraId="44DF0367">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气味：略微带氨味</w:t>
                  </w:r>
                </w:p>
              </w:tc>
            </w:tr>
            <w:tr w14:paraId="4ECC5E19">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9071" w:type="dxa"/>
                  <w:gridSpan w:val="5"/>
                  <w:tcBorders>
                    <w:top w:val="single" w:color="auto" w:sz="4" w:space="0"/>
                    <w:left w:val="single" w:color="auto" w:sz="4" w:space="0"/>
                    <w:bottom w:val="single" w:color="auto" w:sz="4" w:space="0"/>
                    <w:right w:val="single" w:color="auto" w:sz="4" w:space="0"/>
                  </w:tcBorders>
                  <w:shd w:val="clear" w:color="auto" w:fill="E6E6E6"/>
                  <w:tcMar>
                    <w:top w:w="45" w:type="dxa"/>
                    <w:left w:w="75" w:type="dxa"/>
                    <w:bottom w:w="45" w:type="dxa"/>
                    <w:right w:w="75" w:type="dxa"/>
                  </w:tcMar>
                  <w:vAlign w:val="center"/>
                </w:tcPr>
                <w:p w14:paraId="1EEA3AF8">
                  <w:pPr>
                    <w:spacing w:line="276" w:lineRule="auto"/>
                    <w:jc w:val="center"/>
                    <w:rPr>
                      <w:rFonts w:hint="eastAsia" w:ascii="Times New Roman" w:hAnsi="Times New Roman" w:cs="Times New Roman"/>
                      <w:color w:val="auto"/>
                      <w:sz w:val="21"/>
                      <w:szCs w:val="21"/>
                      <w:lang w:val="en-US" w:eastAsia="zh-CN"/>
                    </w:rPr>
                  </w:pPr>
                  <w:bookmarkStart w:id="2" w:name="section9"/>
                  <w:bookmarkEnd w:id="2"/>
                  <w:r>
                    <w:rPr>
                      <w:rFonts w:hint="eastAsia" w:ascii="Times New Roman" w:hAnsi="Times New Roman" w:cs="Times New Roman"/>
                      <w:color w:val="auto"/>
                      <w:sz w:val="21"/>
                      <w:szCs w:val="21"/>
                      <w:lang w:val="en-US" w:eastAsia="zh-CN"/>
                    </w:rPr>
                    <w:t>稳定性和反应活性</w:t>
                  </w:r>
                </w:p>
              </w:tc>
            </w:tr>
            <w:tr w14:paraId="59C305AD">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2379" w:type="dxa"/>
                  <w:tcBorders>
                    <w:top w:val="single" w:color="auto" w:sz="4" w:space="0"/>
                    <w:left w:val="single" w:color="auto" w:sz="4" w:space="0"/>
                    <w:bottom w:val="single" w:color="auto" w:sz="4" w:space="0"/>
                    <w:right w:val="outset" w:color="C3C3C3" w:sz="6" w:space="0"/>
                  </w:tcBorders>
                  <w:tcMar>
                    <w:top w:w="45" w:type="dxa"/>
                    <w:left w:w="75" w:type="dxa"/>
                    <w:bottom w:w="45" w:type="dxa"/>
                    <w:right w:w="75" w:type="dxa"/>
                  </w:tcMar>
                  <w:vAlign w:val="center"/>
                </w:tcPr>
                <w:p w14:paraId="5A65687E">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稳定性</w:t>
                  </w:r>
                </w:p>
              </w:tc>
              <w:tc>
                <w:tcPr>
                  <w:tcW w:w="6692" w:type="dxa"/>
                  <w:gridSpan w:val="4"/>
                  <w:tcBorders>
                    <w:top w:val="single" w:color="auto" w:sz="4" w:space="0"/>
                    <w:left w:val="outset" w:color="C3C3C3" w:sz="6" w:space="0"/>
                    <w:bottom w:val="single" w:color="auto" w:sz="4" w:space="0"/>
                    <w:right w:val="single" w:color="auto" w:sz="4" w:space="0"/>
                  </w:tcBorders>
                  <w:tcMar>
                    <w:top w:w="45" w:type="dxa"/>
                    <w:left w:w="75" w:type="dxa"/>
                    <w:bottom w:w="45" w:type="dxa"/>
                    <w:right w:w="75" w:type="dxa"/>
                  </w:tcMar>
                  <w:vAlign w:val="center"/>
                </w:tcPr>
                <w:p w14:paraId="1931CF97">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若正确存放及应用不会分解。</w:t>
                  </w:r>
                </w:p>
              </w:tc>
            </w:tr>
            <w:tr w14:paraId="137FE81A">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2379" w:type="dxa"/>
                  <w:tcBorders>
                    <w:top w:val="single" w:color="auto" w:sz="4" w:space="0"/>
                    <w:left w:val="single" w:color="auto" w:sz="4" w:space="0"/>
                    <w:bottom w:val="single" w:color="auto" w:sz="4" w:space="0"/>
                    <w:right w:val="outset" w:color="C3C3C3" w:sz="6" w:space="0"/>
                  </w:tcBorders>
                  <w:tcMar>
                    <w:top w:w="45" w:type="dxa"/>
                    <w:left w:w="75" w:type="dxa"/>
                    <w:bottom w:w="45" w:type="dxa"/>
                    <w:right w:w="75" w:type="dxa"/>
                  </w:tcMar>
                  <w:vAlign w:val="center"/>
                </w:tcPr>
                <w:p w14:paraId="033AC4A6">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禁配物</w:t>
                  </w:r>
                </w:p>
              </w:tc>
              <w:tc>
                <w:tcPr>
                  <w:tcW w:w="6692" w:type="dxa"/>
                  <w:gridSpan w:val="4"/>
                  <w:tcBorders>
                    <w:top w:val="single" w:color="auto" w:sz="4" w:space="0"/>
                    <w:left w:val="outset" w:color="C3C3C3" w:sz="6" w:space="0"/>
                    <w:bottom w:val="single" w:color="auto" w:sz="4" w:space="0"/>
                    <w:right w:val="single" w:color="auto" w:sz="4" w:space="0"/>
                  </w:tcBorders>
                  <w:tcMar>
                    <w:top w:w="45" w:type="dxa"/>
                    <w:left w:w="75" w:type="dxa"/>
                    <w:bottom w:w="45" w:type="dxa"/>
                    <w:right w:w="75" w:type="dxa"/>
                  </w:tcMar>
                  <w:vAlign w:val="center"/>
                </w:tcPr>
                <w:p w14:paraId="40D0AE79">
                  <w:pPr>
                    <w:spacing w:line="276" w:lineRule="auto"/>
                    <w:jc w:val="center"/>
                    <w:rPr>
                      <w:rFonts w:hint="eastAsia" w:ascii="Times New Roman" w:hAnsi="Times New Roman" w:cs="Times New Roman"/>
                      <w:color w:val="auto"/>
                      <w:sz w:val="21"/>
                      <w:szCs w:val="21"/>
                      <w:lang w:val="en-US" w:eastAsia="zh-CN"/>
                    </w:rPr>
                  </w:pPr>
                </w:p>
              </w:tc>
            </w:tr>
            <w:tr w14:paraId="645372B6">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2379" w:type="dxa"/>
                  <w:tcBorders>
                    <w:top w:val="single" w:color="auto" w:sz="4" w:space="0"/>
                    <w:left w:val="single" w:color="auto" w:sz="4" w:space="0"/>
                    <w:bottom w:val="single" w:color="auto" w:sz="4" w:space="0"/>
                    <w:right w:val="outset" w:color="C3C3C3" w:sz="6" w:space="0"/>
                  </w:tcBorders>
                  <w:tcMar>
                    <w:top w:w="45" w:type="dxa"/>
                    <w:left w:w="75" w:type="dxa"/>
                    <w:bottom w:w="45" w:type="dxa"/>
                    <w:right w:w="75" w:type="dxa"/>
                  </w:tcMar>
                  <w:vAlign w:val="center"/>
                </w:tcPr>
                <w:p w14:paraId="3F07912B">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聚合危害</w:t>
                  </w:r>
                </w:p>
              </w:tc>
              <w:tc>
                <w:tcPr>
                  <w:tcW w:w="6692" w:type="dxa"/>
                  <w:gridSpan w:val="4"/>
                  <w:tcBorders>
                    <w:top w:val="single" w:color="auto" w:sz="4" w:space="0"/>
                    <w:left w:val="outset" w:color="C3C3C3" w:sz="6" w:space="0"/>
                    <w:bottom w:val="single" w:color="auto" w:sz="4" w:space="0"/>
                    <w:right w:val="single" w:color="auto" w:sz="4" w:space="0"/>
                  </w:tcBorders>
                  <w:tcMar>
                    <w:top w:w="45" w:type="dxa"/>
                    <w:left w:w="75" w:type="dxa"/>
                    <w:bottom w:w="45" w:type="dxa"/>
                    <w:right w:w="75" w:type="dxa"/>
                  </w:tcMar>
                  <w:vAlign w:val="center"/>
                </w:tcPr>
                <w:p w14:paraId="0DC76690">
                  <w:pPr>
                    <w:spacing w:line="276" w:lineRule="auto"/>
                    <w:jc w:val="center"/>
                    <w:rPr>
                      <w:rFonts w:hint="eastAsia" w:ascii="Times New Roman" w:hAnsi="Times New Roman" w:cs="Times New Roman"/>
                      <w:color w:val="auto"/>
                      <w:sz w:val="21"/>
                      <w:szCs w:val="21"/>
                      <w:lang w:val="en-US" w:eastAsia="zh-CN"/>
                    </w:rPr>
                  </w:pPr>
                </w:p>
              </w:tc>
            </w:tr>
            <w:tr w14:paraId="752C1952">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2379" w:type="dxa"/>
                  <w:tcBorders>
                    <w:top w:val="single" w:color="auto" w:sz="4" w:space="0"/>
                    <w:left w:val="single" w:color="auto" w:sz="4" w:space="0"/>
                    <w:bottom w:val="single" w:color="auto" w:sz="4" w:space="0"/>
                    <w:right w:val="outset" w:color="C3C3C3" w:sz="6" w:space="0"/>
                  </w:tcBorders>
                  <w:tcMar>
                    <w:top w:w="45" w:type="dxa"/>
                    <w:left w:w="75" w:type="dxa"/>
                    <w:bottom w:w="45" w:type="dxa"/>
                    <w:right w:w="75" w:type="dxa"/>
                  </w:tcMar>
                  <w:vAlign w:val="center"/>
                </w:tcPr>
                <w:p w14:paraId="3BA6C182">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需要避免的条件和物质接触</w:t>
                  </w:r>
                </w:p>
              </w:tc>
              <w:tc>
                <w:tcPr>
                  <w:tcW w:w="6692" w:type="dxa"/>
                  <w:gridSpan w:val="4"/>
                  <w:tcBorders>
                    <w:top w:val="single" w:color="auto" w:sz="4" w:space="0"/>
                    <w:left w:val="outset" w:color="C3C3C3" w:sz="6" w:space="0"/>
                    <w:bottom w:val="single" w:color="auto" w:sz="4" w:space="0"/>
                    <w:right w:val="single" w:color="auto" w:sz="4" w:space="0"/>
                  </w:tcBorders>
                  <w:tcMar>
                    <w:top w:w="45" w:type="dxa"/>
                    <w:left w:w="75" w:type="dxa"/>
                    <w:bottom w:w="45" w:type="dxa"/>
                    <w:right w:w="75" w:type="dxa"/>
                  </w:tcMar>
                  <w:vAlign w:val="center"/>
                </w:tcPr>
                <w:p w14:paraId="0F09D2C4">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与酸、氧化剂会相互作用。</w:t>
                  </w:r>
                </w:p>
              </w:tc>
            </w:tr>
            <w:tr w14:paraId="47859F70">
              <w:tblPrEx>
                <w:tblBorders>
                  <w:top w:val="outset" w:color="C3C3C3" w:sz="6" w:space="0"/>
                  <w:left w:val="outset" w:color="C3C3C3" w:sz="6" w:space="0"/>
                  <w:bottom w:val="outset" w:color="C3C3C3" w:sz="6" w:space="0"/>
                  <w:right w:val="outset" w:color="C3C3C3" w:sz="6" w:space="0"/>
                  <w:insideH w:val="none" w:color="auto" w:sz="0" w:space="0"/>
                  <w:insideV w:val="none" w:color="auto" w:sz="0" w:space="0"/>
                </w:tblBorders>
                <w:tblCellMar>
                  <w:top w:w="0" w:type="dxa"/>
                  <w:left w:w="0" w:type="dxa"/>
                  <w:bottom w:w="0" w:type="dxa"/>
                  <w:right w:w="0" w:type="dxa"/>
                </w:tblCellMar>
              </w:tblPrEx>
              <w:trPr>
                <w:trHeight w:val="448" w:hRule="atLeast"/>
                <w:jc w:val="center"/>
              </w:trPr>
              <w:tc>
                <w:tcPr>
                  <w:tcW w:w="2379" w:type="dxa"/>
                  <w:tcBorders>
                    <w:top w:val="single" w:color="auto" w:sz="4" w:space="0"/>
                    <w:left w:val="single" w:color="auto" w:sz="4" w:space="0"/>
                    <w:bottom w:val="single" w:color="auto" w:sz="4" w:space="0"/>
                    <w:right w:val="outset" w:color="C3C3C3" w:sz="6" w:space="0"/>
                  </w:tcBorders>
                  <w:tcMar>
                    <w:top w:w="45" w:type="dxa"/>
                    <w:left w:w="75" w:type="dxa"/>
                    <w:bottom w:w="45" w:type="dxa"/>
                    <w:right w:w="75" w:type="dxa"/>
                  </w:tcMar>
                  <w:vAlign w:val="center"/>
                </w:tcPr>
                <w:p w14:paraId="6BAA9A84">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危险的分解/反应产物</w:t>
                  </w:r>
                </w:p>
              </w:tc>
              <w:tc>
                <w:tcPr>
                  <w:tcW w:w="6692" w:type="dxa"/>
                  <w:gridSpan w:val="4"/>
                  <w:tcBorders>
                    <w:top w:val="single" w:color="auto" w:sz="4" w:space="0"/>
                    <w:left w:val="outset" w:color="C3C3C3" w:sz="6" w:space="0"/>
                    <w:bottom w:val="single" w:color="auto" w:sz="4" w:space="0"/>
                    <w:right w:val="single" w:color="auto" w:sz="4" w:space="0"/>
                  </w:tcBorders>
                  <w:tcMar>
                    <w:top w:w="45" w:type="dxa"/>
                    <w:left w:w="75" w:type="dxa"/>
                    <w:bottom w:w="45" w:type="dxa"/>
                    <w:right w:w="75" w:type="dxa"/>
                  </w:tcMar>
                  <w:vAlign w:val="center"/>
                </w:tcPr>
                <w:p w14:paraId="33BDC1F3">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与异腈酸酯会有危险反应。</w:t>
                  </w:r>
                </w:p>
              </w:tc>
            </w:tr>
          </w:tbl>
          <w:p w14:paraId="27E03463">
            <w:pPr>
              <w:spacing w:line="360" w:lineRule="auto"/>
              <w:ind w:firstLine="482" w:firstLineChars="200"/>
              <w:rPr>
                <w:rFonts w:hint="eastAsia" w:cs="Times New Roman"/>
                <w:b/>
                <w:bCs w:val="0"/>
                <w:color w:val="auto"/>
                <w:sz w:val="24"/>
                <w:szCs w:val="24"/>
                <w:lang w:val="en-US" w:eastAsia="zh-CN"/>
              </w:rPr>
            </w:pPr>
            <w:r>
              <w:rPr>
                <w:rFonts w:hint="eastAsia" w:cs="Times New Roman"/>
                <w:b/>
                <w:bCs w:val="0"/>
                <w:color w:val="auto"/>
                <w:sz w:val="24"/>
                <w:szCs w:val="24"/>
                <w:lang w:val="en-US" w:eastAsia="zh-CN"/>
              </w:rPr>
              <w:t>⑦PU注塑B料（碳化二亚胺改性MDI）</w:t>
            </w:r>
          </w:p>
          <w:p w14:paraId="724DFB25">
            <w:pPr>
              <w:spacing w:line="360" w:lineRule="auto"/>
              <w:ind w:firstLine="480" w:firstLineChars="200"/>
              <w:rPr>
                <w:rFonts w:hint="eastAsia" w:cs="Times New Roman"/>
                <w:b w:val="0"/>
                <w:bCs/>
                <w:color w:val="auto"/>
                <w:sz w:val="24"/>
                <w:szCs w:val="24"/>
                <w:lang w:val="en-US" w:eastAsia="zh-CN"/>
              </w:rPr>
            </w:pPr>
            <w:r>
              <w:rPr>
                <w:rFonts w:hint="eastAsia" w:cs="Times New Roman"/>
                <w:b w:val="0"/>
                <w:bCs/>
                <w:color w:val="auto"/>
                <w:sz w:val="24"/>
                <w:szCs w:val="24"/>
                <w:lang w:val="en-US" w:eastAsia="zh-CN"/>
              </w:rPr>
              <w:t>外观：淡黄绿色液体；密度：1.02g/ml；粘度：25-50MPa.S（25℃）。一般在干燥的室内存放，并注意防水、防湿、防晒。必须盖好内塞和外盖，避免胶料吸收空气中的水份，影响使用效果。</w:t>
            </w:r>
            <w:r>
              <w:rPr>
                <w:rFonts w:hint="eastAsia" w:ascii="Times New Roman" w:hAnsi="Times New Roman" w:eastAsia="宋体" w:cs="Times New Roman"/>
                <w:b w:val="0"/>
                <w:bCs/>
                <w:color w:val="auto"/>
                <w:kern w:val="2"/>
                <w:sz w:val="24"/>
                <w:szCs w:val="24"/>
                <w:lang w:val="en-US" w:eastAsia="zh-CN" w:bidi="ar-SA"/>
              </w:rPr>
              <w:t>MDI的挥发性低、活性高,可赋予聚氨酯制品良好的力学性能,但纯MDI常温下为固体,且不稳定,给应用带来不便。对固态的MDI进行碳化二亚胺改性,可以制得液化MDI。液化MDI制备过程,首先在催化剂作用下,部分MDI单体先转化为含碳化二亚胺结构的多异氰酸酯。产品中的碳化二亚胺质量分数一般在10%～20%之间。碳化二亚胶改性 MDI(也称液化 MD1)是二苯基甲烷二异氰酸酯(MD1)的主要改性产品之一,由MDI在催化剂作用下发生缩合反应,生成碳化二亚胶基团,即一N=C=N一基团。 碳化二亚胶改性MDI具有常温下呈液态、易于贮存且贮存期长的特点,同时能够明显提高聚氨酯材料的耐水解性能。广泛应用聚氨酯弹性体、聚氨酯软泡、聚氨酯粘合剂等领域。</w:t>
            </w:r>
            <w:bookmarkStart w:id="3" w:name="2"/>
            <w:bookmarkEnd w:id="3"/>
            <w:bookmarkStart w:id="4" w:name="碳化二亚胺改性MDI"/>
            <w:bookmarkEnd w:id="4"/>
            <w:bookmarkStart w:id="5" w:name="sub8832716_2"/>
            <w:bookmarkEnd w:id="5"/>
          </w:p>
          <w:p w14:paraId="21779AE7">
            <w:pPr>
              <w:spacing w:line="360" w:lineRule="auto"/>
              <w:ind w:firstLine="482" w:firstLineChars="20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2、主要设备</w:t>
            </w:r>
          </w:p>
          <w:p w14:paraId="51CAB272">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本项目主要设备见表1-</w:t>
            </w:r>
            <w:r>
              <w:rPr>
                <w:rFonts w:hint="eastAsia" w:cs="Times New Roman"/>
                <w:color w:val="auto"/>
                <w:sz w:val="24"/>
                <w:szCs w:val="24"/>
                <w:lang w:val="en-US" w:eastAsia="zh-CN"/>
              </w:rPr>
              <w:t>6</w:t>
            </w:r>
            <w:r>
              <w:rPr>
                <w:rFonts w:hint="default" w:ascii="Times New Roman" w:hAnsi="Times New Roman" w:cs="Times New Roman"/>
                <w:color w:val="auto"/>
                <w:sz w:val="24"/>
                <w:szCs w:val="24"/>
              </w:rPr>
              <w:t>。</w:t>
            </w:r>
          </w:p>
          <w:p w14:paraId="57FD3317">
            <w:pPr>
              <w:spacing w:line="360" w:lineRule="auto"/>
              <w:ind w:firstLine="480"/>
              <w:jc w:val="center"/>
              <w:rPr>
                <w:rFonts w:hint="default" w:ascii="Times New Roman" w:hAnsi="Times New Roman" w:cs="Times New Roman" w:eastAsiaTheme="minorEastAsia"/>
                <w:b/>
                <w:bCs/>
                <w:color w:val="auto"/>
                <w:szCs w:val="21"/>
              </w:rPr>
            </w:pPr>
            <w:r>
              <w:rPr>
                <w:rFonts w:hint="default" w:ascii="Times New Roman" w:hAnsi="Times New Roman" w:cs="Times New Roman" w:eastAsiaTheme="minorEastAsia"/>
                <w:b/>
                <w:bCs/>
                <w:color w:val="auto"/>
                <w:szCs w:val="21"/>
              </w:rPr>
              <w:t>表1-</w:t>
            </w:r>
            <w:r>
              <w:rPr>
                <w:rFonts w:hint="eastAsia" w:cs="Times New Roman" w:eastAsiaTheme="minorEastAsia"/>
                <w:b/>
                <w:bCs/>
                <w:color w:val="auto"/>
                <w:szCs w:val="21"/>
                <w:lang w:val="en-US" w:eastAsia="zh-CN"/>
              </w:rPr>
              <w:t>6</w:t>
            </w:r>
            <w:r>
              <w:rPr>
                <w:rFonts w:hint="default" w:ascii="Times New Roman" w:hAnsi="Times New Roman" w:cs="Times New Roman" w:eastAsiaTheme="minorEastAsia"/>
                <w:b/>
                <w:bCs/>
                <w:color w:val="auto"/>
                <w:szCs w:val="21"/>
              </w:rPr>
              <w:t xml:space="preserve">  主要生产设备一览表</w:t>
            </w:r>
          </w:p>
          <w:tbl>
            <w:tblPr>
              <w:tblStyle w:val="23"/>
              <w:tblW w:w="99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24"/>
              <w:gridCol w:w="2564"/>
              <w:gridCol w:w="1992"/>
              <w:gridCol w:w="1996"/>
              <w:gridCol w:w="1992"/>
            </w:tblGrid>
            <w:tr w14:paraId="6D4B1E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43103F5F">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序号</w:t>
                  </w:r>
                </w:p>
              </w:tc>
              <w:tc>
                <w:tcPr>
                  <w:tcW w:w="2564" w:type="dxa"/>
                  <w:shd w:val="clear" w:color="auto" w:fill="auto"/>
                </w:tcPr>
                <w:p w14:paraId="0DE22A1F">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设备名称</w:t>
                  </w:r>
                </w:p>
              </w:tc>
              <w:tc>
                <w:tcPr>
                  <w:tcW w:w="1992" w:type="dxa"/>
                  <w:shd w:val="clear" w:color="auto" w:fill="auto"/>
                  <w:vAlign w:val="center"/>
                </w:tcPr>
                <w:p w14:paraId="15D34B20">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型号</w:t>
                  </w:r>
                </w:p>
              </w:tc>
              <w:tc>
                <w:tcPr>
                  <w:tcW w:w="1996" w:type="dxa"/>
                  <w:shd w:val="clear" w:color="auto" w:fill="auto"/>
                  <w:vAlign w:val="center"/>
                </w:tcPr>
                <w:p w14:paraId="618A3F99">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单位</w:t>
                  </w:r>
                </w:p>
              </w:tc>
              <w:tc>
                <w:tcPr>
                  <w:tcW w:w="1992" w:type="dxa"/>
                </w:tcPr>
                <w:p w14:paraId="33519176">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数量</w:t>
                  </w:r>
                </w:p>
              </w:tc>
            </w:tr>
            <w:tr w14:paraId="42302C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68" w:type="dxa"/>
                  <w:gridSpan w:val="5"/>
                  <w:shd w:val="clear" w:color="auto" w:fill="auto"/>
                  <w:vAlign w:val="center"/>
                </w:tcPr>
                <w:p w14:paraId="349751E4">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1#厂房</w:t>
                  </w:r>
                </w:p>
              </w:tc>
            </w:tr>
            <w:tr w14:paraId="08F2A3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6DFC71EC">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1</w:t>
                  </w:r>
                </w:p>
              </w:tc>
              <w:tc>
                <w:tcPr>
                  <w:tcW w:w="2564" w:type="dxa"/>
                  <w:shd w:val="clear" w:color="auto" w:fill="auto"/>
                  <w:vAlign w:val="center"/>
                </w:tcPr>
                <w:p w14:paraId="1A5DDC57">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注塑机</w:t>
                  </w:r>
                </w:p>
              </w:tc>
              <w:tc>
                <w:tcPr>
                  <w:tcW w:w="1992" w:type="dxa"/>
                  <w:shd w:val="clear" w:color="auto" w:fill="auto"/>
                  <w:vAlign w:val="center"/>
                </w:tcPr>
                <w:p w14:paraId="0ECC56EC">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4000g</w:t>
                  </w:r>
                </w:p>
              </w:tc>
              <w:tc>
                <w:tcPr>
                  <w:tcW w:w="1996" w:type="dxa"/>
                  <w:shd w:val="clear" w:color="auto" w:fill="auto"/>
                  <w:vAlign w:val="center"/>
                </w:tcPr>
                <w:p w14:paraId="1FB12753">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60CA9981">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25F109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29F54154">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2</w:t>
                  </w:r>
                </w:p>
              </w:tc>
              <w:tc>
                <w:tcPr>
                  <w:tcW w:w="2564" w:type="dxa"/>
                  <w:shd w:val="clear" w:color="auto" w:fill="auto"/>
                  <w:vAlign w:val="center"/>
                </w:tcPr>
                <w:p w14:paraId="6909C416">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注塑机</w:t>
                  </w:r>
                </w:p>
              </w:tc>
              <w:tc>
                <w:tcPr>
                  <w:tcW w:w="1992" w:type="dxa"/>
                  <w:shd w:val="clear" w:color="auto" w:fill="auto"/>
                  <w:vAlign w:val="center"/>
                </w:tcPr>
                <w:p w14:paraId="79E283CE">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1500g</w:t>
                  </w:r>
                </w:p>
              </w:tc>
              <w:tc>
                <w:tcPr>
                  <w:tcW w:w="1996" w:type="dxa"/>
                  <w:shd w:val="clear" w:color="auto" w:fill="auto"/>
                  <w:vAlign w:val="center"/>
                </w:tcPr>
                <w:p w14:paraId="58733EDD">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2EF86C41">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60DF6F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0EF55112">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3</w:t>
                  </w:r>
                </w:p>
              </w:tc>
              <w:tc>
                <w:tcPr>
                  <w:tcW w:w="2564" w:type="dxa"/>
                  <w:shd w:val="clear" w:color="auto" w:fill="auto"/>
                  <w:vAlign w:val="center"/>
                </w:tcPr>
                <w:p w14:paraId="5435482B">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注塑机</w:t>
                  </w:r>
                </w:p>
              </w:tc>
              <w:tc>
                <w:tcPr>
                  <w:tcW w:w="1992" w:type="dxa"/>
                  <w:shd w:val="clear" w:color="auto" w:fill="auto"/>
                  <w:vAlign w:val="center"/>
                </w:tcPr>
                <w:p w14:paraId="3F6821BF">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1000g</w:t>
                  </w:r>
                </w:p>
              </w:tc>
              <w:tc>
                <w:tcPr>
                  <w:tcW w:w="1996" w:type="dxa"/>
                  <w:shd w:val="clear" w:color="auto" w:fill="auto"/>
                  <w:vAlign w:val="center"/>
                </w:tcPr>
                <w:p w14:paraId="7AA45015">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1DC97683">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7DF61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3C44EA8D">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4</w:t>
                  </w:r>
                </w:p>
              </w:tc>
              <w:tc>
                <w:tcPr>
                  <w:tcW w:w="2564" w:type="dxa"/>
                  <w:shd w:val="clear" w:color="auto" w:fill="auto"/>
                  <w:vAlign w:val="center"/>
                </w:tcPr>
                <w:p w14:paraId="40939192">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注塑机</w:t>
                  </w:r>
                </w:p>
              </w:tc>
              <w:tc>
                <w:tcPr>
                  <w:tcW w:w="1992" w:type="dxa"/>
                  <w:shd w:val="clear" w:color="auto" w:fill="auto"/>
                  <w:vAlign w:val="center"/>
                </w:tcPr>
                <w:p w14:paraId="6643F907">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300g</w:t>
                  </w:r>
                </w:p>
              </w:tc>
              <w:tc>
                <w:tcPr>
                  <w:tcW w:w="1996" w:type="dxa"/>
                  <w:shd w:val="clear" w:color="auto" w:fill="auto"/>
                  <w:vAlign w:val="center"/>
                </w:tcPr>
                <w:p w14:paraId="77A0D752">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3755D899">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3B5215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64DFD2CA">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5</w:t>
                  </w:r>
                </w:p>
              </w:tc>
              <w:tc>
                <w:tcPr>
                  <w:tcW w:w="2564" w:type="dxa"/>
                  <w:shd w:val="clear" w:color="auto" w:fill="auto"/>
                  <w:vAlign w:val="center"/>
                </w:tcPr>
                <w:p w14:paraId="30326989">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粉碎机</w:t>
                  </w:r>
                </w:p>
              </w:tc>
              <w:tc>
                <w:tcPr>
                  <w:tcW w:w="1992" w:type="dxa"/>
                  <w:shd w:val="clear" w:color="auto" w:fill="auto"/>
                  <w:vAlign w:val="center"/>
                </w:tcPr>
                <w:p w14:paraId="7E982F35">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6006EB96">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14FCFB3C">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262443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69D4CF3E">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6</w:t>
                  </w:r>
                </w:p>
              </w:tc>
              <w:tc>
                <w:tcPr>
                  <w:tcW w:w="2564" w:type="dxa"/>
                  <w:shd w:val="clear" w:color="auto" w:fill="auto"/>
                  <w:vAlign w:val="center"/>
                </w:tcPr>
                <w:p w14:paraId="02768CF4">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吹塑机</w:t>
                  </w:r>
                </w:p>
              </w:tc>
              <w:tc>
                <w:tcPr>
                  <w:tcW w:w="1992" w:type="dxa"/>
                  <w:shd w:val="clear" w:color="auto" w:fill="auto"/>
                  <w:vAlign w:val="center"/>
                </w:tcPr>
                <w:p w14:paraId="6718C760">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110L</w:t>
                  </w:r>
                </w:p>
              </w:tc>
              <w:tc>
                <w:tcPr>
                  <w:tcW w:w="1996" w:type="dxa"/>
                  <w:shd w:val="clear" w:color="auto" w:fill="auto"/>
                  <w:vAlign w:val="center"/>
                </w:tcPr>
                <w:p w14:paraId="02DEE4F4">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68FAD753">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30BE3F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10F33AF9">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7</w:t>
                  </w:r>
                </w:p>
              </w:tc>
              <w:tc>
                <w:tcPr>
                  <w:tcW w:w="2564" w:type="dxa"/>
                  <w:shd w:val="clear" w:color="auto" w:fill="auto"/>
                  <w:vAlign w:val="center"/>
                </w:tcPr>
                <w:p w14:paraId="4E5AF241">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吹塑机</w:t>
                  </w:r>
                </w:p>
              </w:tc>
              <w:tc>
                <w:tcPr>
                  <w:tcW w:w="1992" w:type="dxa"/>
                  <w:shd w:val="clear" w:color="auto" w:fill="auto"/>
                  <w:vAlign w:val="center"/>
                </w:tcPr>
                <w:p w14:paraId="47A2D16B">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100L</w:t>
                  </w:r>
                </w:p>
              </w:tc>
              <w:tc>
                <w:tcPr>
                  <w:tcW w:w="1996" w:type="dxa"/>
                  <w:shd w:val="clear" w:color="auto" w:fill="auto"/>
                  <w:vAlign w:val="center"/>
                </w:tcPr>
                <w:p w14:paraId="5C22A090">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6FCFE10A">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2650D8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609B982D">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8</w:t>
                  </w:r>
                </w:p>
              </w:tc>
              <w:tc>
                <w:tcPr>
                  <w:tcW w:w="2564" w:type="dxa"/>
                  <w:shd w:val="clear" w:color="auto" w:fill="auto"/>
                  <w:vAlign w:val="center"/>
                </w:tcPr>
                <w:p w14:paraId="1B2790ED">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吹塑机</w:t>
                  </w:r>
                </w:p>
              </w:tc>
              <w:tc>
                <w:tcPr>
                  <w:tcW w:w="1992" w:type="dxa"/>
                  <w:shd w:val="clear" w:color="auto" w:fill="auto"/>
                  <w:vAlign w:val="center"/>
                </w:tcPr>
                <w:p w14:paraId="4608DD09">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90L</w:t>
                  </w:r>
                </w:p>
              </w:tc>
              <w:tc>
                <w:tcPr>
                  <w:tcW w:w="1996" w:type="dxa"/>
                  <w:shd w:val="clear" w:color="auto" w:fill="auto"/>
                  <w:vAlign w:val="center"/>
                </w:tcPr>
                <w:p w14:paraId="77EBF6E6">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5229E09B">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329FDE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00D623DD">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9</w:t>
                  </w:r>
                </w:p>
              </w:tc>
              <w:tc>
                <w:tcPr>
                  <w:tcW w:w="2564" w:type="dxa"/>
                  <w:shd w:val="clear" w:color="auto" w:fill="auto"/>
                  <w:vAlign w:val="center"/>
                </w:tcPr>
                <w:p w14:paraId="607C61D8">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吹塑机</w:t>
                  </w:r>
                </w:p>
              </w:tc>
              <w:tc>
                <w:tcPr>
                  <w:tcW w:w="1992" w:type="dxa"/>
                  <w:shd w:val="clear" w:color="auto" w:fill="auto"/>
                  <w:vAlign w:val="center"/>
                </w:tcPr>
                <w:p w14:paraId="3EE80F2F">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160L</w:t>
                  </w:r>
                </w:p>
              </w:tc>
              <w:tc>
                <w:tcPr>
                  <w:tcW w:w="1996" w:type="dxa"/>
                  <w:shd w:val="clear" w:color="auto" w:fill="auto"/>
                  <w:vAlign w:val="center"/>
                </w:tcPr>
                <w:p w14:paraId="1EDC87C7">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78477C6B">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78E137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60DD3711">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10</w:t>
                  </w:r>
                </w:p>
              </w:tc>
              <w:tc>
                <w:tcPr>
                  <w:tcW w:w="2564" w:type="dxa"/>
                  <w:shd w:val="clear" w:color="auto" w:fill="auto"/>
                  <w:vAlign w:val="center"/>
                </w:tcPr>
                <w:p w14:paraId="558CA645">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空压机</w:t>
                  </w:r>
                </w:p>
              </w:tc>
              <w:tc>
                <w:tcPr>
                  <w:tcW w:w="1992" w:type="dxa"/>
                  <w:shd w:val="clear" w:color="auto" w:fill="auto"/>
                  <w:vAlign w:val="center"/>
                </w:tcPr>
                <w:p w14:paraId="54CE3424">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GAa22P8.5</w:t>
                  </w:r>
                </w:p>
              </w:tc>
              <w:tc>
                <w:tcPr>
                  <w:tcW w:w="1996" w:type="dxa"/>
                  <w:shd w:val="clear" w:color="auto" w:fill="auto"/>
                  <w:vAlign w:val="center"/>
                </w:tcPr>
                <w:p w14:paraId="676E9879">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7EC3E6F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2</w:t>
                  </w:r>
                </w:p>
              </w:tc>
            </w:tr>
            <w:tr w14:paraId="0359F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70A65151">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11</w:t>
                  </w:r>
                </w:p>
              </w:tc>
              <w:tc>
                <w:tcPr>
                  <w:tcW w:w="2564" w:type="dxa"/>
                  <w:shd w:val="clear" w:color="auto" w:fill="auto"/>
                  <w:vAlign w:val="top"/>
                </w:tcPr>
                <w:p w14:paraId="3F0FF7DF">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冷水循环设备</w:t>
                  </w:r>
                </w:p>
              </w:tc>
              <w:tc>
                <w:tcPr>
                  <w:tcW w:w="1992" w:type="dxa"/>
                  <w:shd w:val="clear" w:color="auto" w:fill="auto"/>
                  <w:vAlign w:val="center"/>
                </w:tcPr>
                <w:p w14:paraId="15552980">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3A6F79AD">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743C46EE">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10899D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5C8773DB">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12</w:t>
                  </w:r>
                </w:p>
              </w:tc>
              <w:tc>
                <w:tcPr>
                  <w:tcW w:w="2564" w:type="dxa"/>
                  <w:shd w:val="clear" w:color="auto" w:fill="auto"/>
                  <w:vAlign w:val="center"/>
                </w:tcPr>
                <w:p w14:paraId="40E7E048">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高速带锯机</w:t>
                  </w:r>
                </w:p>
              </w:tc>
              <w:tc>
                <w:tcPr>
                  <w:tcW w:w="1992" w:type="dxa"/>
                  <w:shd w:val="clear" w:color="auto" w:fill="auto"/>
                  <w:vAlign w:val="center"/>
                </w:tcPr>
                <w:p w14:paraId="541FDC3B">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3F185C51">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6414DEF7">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2EA8F7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15526AD0">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13</w:t>
                  </w:r>
                </w:p>
              </w:tc>
              <w:tc>
                <w:tcPr>
                  <w:tcW w:w="2564" w:type="dxa"/>
                  <w:shd w:val="clear" w:color="auto" w:fill="auto"/>
                  <w:vAlign w:val="center"/>
                </w:tcPr>
                <w:p w14:paraId="5DC9DFC2">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10T行吊</w:t>
                  </w:r>
                </w:p>
              </w:tc>
              <w:tc>
                <w:tcPr>
                  <w:tcW w:w="1992" w:type="dxa"/>
                  <w:shd w:val="clear" w:color="auto" w:fill="auto"/>
                  <w:vAlign w:val="center"/>
                </w:tcPr>
                <w:p w14:paraId="3271D3E1">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42FD769B">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5F7B6674">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5C0A69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63F99966">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14</w:t>
                  </w:r>
                </w:p>
              </w:tc>
              <w:tc>
                <w:tcPr>
                  <w:tcW w:w="2564" w:type="dxa"/>
                  <w:shd w:val="clear" w:color="auto" w:fill="auto"/>
                  <w:vAlign w:val="top"/>
                </w:tcPr>
                <w:p w14:paraId="71FB838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滚筒式折纸机</w:t>
                  </w:r>
                </w:p>
              </w:tc>
              <w:tc>
                <w:tcPr>
                  <w:tcW w:w="1992" w:type="dxa"/>
                  <w:shd w:val="clear" w:color="auto" w:fill="auto"/>
                  <w:vAlign w:val="center"/>
                </w:tcPr>
                <w:p w14:paraId="29FDE140">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3A65DA19">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0AB2418C">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2</w:t>
                  </w:r>
                </w:p>
              </w:tc>
            </w:tr>
            <w:tr w14:paraId="1FA0E1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1DCEB6F1">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15</w:t>
                  </w:r>
                </w:p>
              </w:tc>
              <w:tc>
                <w:tcPr>
                  <w:tcW w:w="2564" w:type="dxa"/>
                  <w:shd w:val="clear" w:color="auto" w:fill="auto"/>
                  <w:vAlign w:val="top"/>
                </w:tcPr>
                <w:p w14:paraId="55EFAA75">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注胶机</w:t>
                  </w:r>
                </w:p>
              </w:tc>
              <w:tc>
                <w:tcPr>
                  <w:tcW w:w="1992" w:type="dxa"/>
                  <w:shd w:val="clear" w:color="auto" w:fill="auto"/>
                  <w:vAlign w:val="center"/>
                </w:tcPr>
                <w:p w14:paraId="1A4F1AB8">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2B0BE4B6">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5D769422">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2</w:t>
                  </w:r>
                </w:p>
              </w:tc>
            </w:tr>
            <w:tr w14:paraId="7B11F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2BD41FD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16</w:t>
                  </w:r>
                </w:p>
              </w:tc>
              <w:tc>
                <w:tcPr>
                  <w:tcW w:w="2564" w:type="dxa"/>
                  <w:shd w:val="clear" w:color="auto" w:fill="auto"/>
                  <w:vAlign w:val="top"/>
                </w:tcPr>
                <w:p w14:paraId="6905D88A">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排焊机</w:t>
                  </w:r>
                </w:p>
              </w:tc>
              <w:tc>
                <w:tcPr>
                  <w:tcW w:w="1992" w:type="dxa"/>
                  <w:shd w:val="clear" w:color="auto" w:fill="auto"/>
                  <w:vAlign w:val="center"/>
                </w:tcPr>
                <w:p w14:paraId="0A1ABC9C">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1EFF5D39">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17986E56">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2</w:t>
                  </w:r>
                </w:p>
              </w:tc>
            </w:tr>
            <w:tr w14:paraId="038DDB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57518ED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17</w:t>
                  </w:r>
                </w:p>
              </w:tc>
              <w:tc>
                <w:tcPr>
                  <w:tcW w:w="2564" w:type="dxa"/>
                  <w:shd w:val="clear" w:color="auto" w:fill="auto"/>
                  <w:vAlign w:val="center"/>
                </w:tcPr>
                <w:p w14:paraId="6AC4FD8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激光打码机</w:t>
                  </w:r>
                </w:p>
              </w:tc>
              <w:tc>
                <w:tcPr>
                  <w:tcW w:w="1992" w:type="dxa"/>
                  <w:shd w:val="clear" w:color="auto" w:fill="auto"/>
                  <w:vAlign w:val="center"/>
                </w:tcPr>
                <w:p w14:paraId="04DF7F29">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7F813887">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4E0F0C17">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7</w:t>
                  </w:r>
                </w:p>
              </w:tc>
            </w:tr>
            <w:tr w14:paraId="361918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239D19B4">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18</w:t>
                  </w:r>
                </w:p>
              </w:tc>
              <w:tc>
                <w:tcPr>
                  <w:tcW w:w="2564" w:type="dxa"/>
                  <w:shd w:val="clear" w:color="auto" w:fill="auto"/>
                  <w:vAlign w:val="center"/>
                </w:tcPr>
                <w:p w14:paraId="101F8B4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打包机</w:t>
                  </w:r>
                </w:p>
              </w:tc>
              <w:tc>
                <w:tcPr>
                  <w:tcW w:w="1992" w:type="dxa"/>
                  <w:shd w:val="clear" w:color="auto" w:fill="auto"/>
                  <w:vAlign w:val="center"/>
                </w:tcPr>
                <w:p w14:paraId="654AF7A6">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6A678E47">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0028B084">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8</w:t>
                  </w:r>
                </w:p>
              </w:tc>
            </w:tr>
            <w:tr w14:paraId="1E67EF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0489F07D">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19</w:t>
                  </w:r>
                </w:p>
              </w:tc>
              <w:tc>
                <w:tcPr>
                  <w:tcW w:w="2564" w:type="dxa"/>
                  <w:shd w:val="clear" w:color="auto" w:fill="auto"/>
                  <w:vAlign w:val="center"/>
                </w:tcPr>
                <w:p w14:paraId="08B1868B">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总装流水线</w:t>
                  </w:r>
                </w:p>
              </w:tc>
              <w:tc>
                <w:tcPr>
                  <w:tcW w:w="1992" w:type="dxa"/>
                  <w:shd w:val="clear" w:color="auto" w:fill="auto"/>
                  <w:vAlign w:val="center"/>
                </w:tcPr>
                <w:p w14:paraId="6960FA9E">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13967E77">
                  <w:pPr>
                    <w:spacing w:line="276" w:lineRule="auto"/>
                    <w:jc w:val="center"/>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条</w:t>
                  </w:r>
                </w:p>
              </w:tc>
              <w:tc>
                <w:tcPr>
                  <w:tcW w:w="1992" w:type="dxa"/>
                  <w:vAlign w:val="center"/>
                </w:tcPr>
                <w:p w14:paraId="1FB32BF3">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6</w:t>
                  </w:r>
                </w:p>
              </w:tc>
            </w:tr>
            <w:tr w14:paraId="4DA101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62DFBD03">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20</w:t>
                  </w:r>
                </w:p>
              </w:tc>
              <w:tc>
                <w:tcPr>
                  <w:tcW w:w="2564" w:type="dxa"/>
                  <w:shd w:val="clear" w:color="auto" w:fill="auto"/>
                  <w:vAlign w:val="center"/>
                </w:tcPr>
                <w:p w14:paraId="6E2DF0D5">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合力叉车</w:t>
                  </w:r>
                </w:p>
              </w:tc>
              <w:tc>
                <w:tcPr>
                  <w:tcW w:w="1992" w:type="dxa"/>
                  <w:shd w:val="clear" w:color="auto" w:fill="auto"/>
                  <w:vAlign w:val="center"/>
                </w:tcPr>
                <w:p w14:paraId="707403C5">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02A9F608">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7F63858B">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71AC00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68" w:type="dxa"/>
                  <w:gridSpan w:val="5"/>
                  <w:shd w:val="clear" w:color="auto" w:fill="auto"/>
                  <w:vAlign w:val="center"/>
                </w:tcPr>
                <w:p w14:paraId="37FA2838">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2#</w:t>
                  </w:r>
                  <w:r>
                    <w:rPr>
                      <w:rFonts w:hint="eastAsia" w:cs="Times New Roman"/>
                      <w:color w:val="auto"/>
                      <w:sz w:val="21"/>
                      <w:szCs w:val="21"/>
                      <w:lang w:val="en-US" w:eastAsia="zh-CN"/>
                    </w:rPr>
                    <w:t>厂房</w:t>
                  </w:r>
                </w:p>
              </w:tc>
            </w:tr>
            <w:tr w14:paraId="6CD5F5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24" w:type="dxa"/>
                  <w:shd w:val="clear" w:color="auto" w:fill="auto"/>
                  <w:vAlign w:val="center"/>
                </w:tcPr>
                <w:p w14:paraId="65EDD210">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21</w:t>
                  </w:r>
                </w:p>
              </w:tc>
              <w:tc>
                <w:tcPr>
                  <w:tcW w:w="2564" w:type="dxa"/>
                  <w:shd w:val="clear" w:color="auto" w:fill="auto"/>
                  <w:vAlign w:val="center"/>
                </w:tcPr>
                <w:p w14:paraId="3E780657">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管子卷圆机</w:t>
                  </w:r>
                </w:p>
              </w:tc>
              <w:tc>
                <w:tcPr>
                  <w:tcW w:w="1992" w:type="dxa"/>
                  <w:shd w:val="clear" w:color="auto" w:fill="auto"/>
                  <w:vAlign w:val="center"/>
                </w:tcPr>
                <w:p w14:paraId="5D5B2A66">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58A1351C">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5FDF2D64">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50D177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3AA53F62">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22</w:t>
                  </w:r>
                </w:p>
              </w:tc>
              <w:tc>
                <w:tcPr>
                  <w:tcW w:w="2564" w:type="dxa"/>
                  <w:shd w:val="clear" w:color="auto" w:fill="auto"/>
                  <w:vAlign w:val="center"/>
                </w:tcPr>
                <w:p w14:paraId="3E279E75">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外筒体卷圆机</w:t>
                  </w:r>
                </w:p>
              </w:tc>
              <w:tc>
                <w:tcPr>
                  <w:tcW w:w="1992" w:type="dxa"/>
                  <w:shd w:val="clear" w:color="auto" w:fill="auto"/>
                  <w:vAlign w:val="center"/>
                </w:tcPr>
                <w:p w14:paraId="24FCFE62">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342C0252">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5EDC8C3F">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2F22E1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35F13C10">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23</w:t>
                  </w:r>
                </w:p>
              </w:tc>
              <w:tc>
                <w:tcPr>
                  <w:tcW w:w="2564" w:type="dxa"/>
                  <w:shd w:val="clear" w:color="auto" w:fill="auto"/>
                  <w:vAlign w:val="center"/>
                </w:tcPr>
                <w:p w14:paraId="45F67896">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管子直缝焊</w:t>
                  </w:r>
                </w:p>
              </w:tc>
              <w:tc>
                <w:tcPr>
                  <w:tcW w:w="1992" w:type="dxa"/>
                  <w:shd w:val="clear" w:color="auto" w:fill="auto"/>
                  <w:vAlign w:val="center"/>
                </w:tcPr>
                <w:p w14:paraId="13A9772D">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02433C76">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531E46C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36278E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2A2DFB1B">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24</w:t>
                  </w:r>
                </w:p>
              </w:tc>
              <w:tc>
                <w:tcPr>
                  <w:tcW w:w="2564" w:type="dxa"/>
                  <w:shd w:val="clear" w:color="auto" w:fill="auto"/>
                  <w:vAlign w:val="center"/>
                </w:tcPr>
                <w:p w14:paraId="0ACE32C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外壳直缝焊</w:t>
                  </w:r>
                </w:p>
              </w:tc>
              <w:tc>
                <w:tcPr>
                  <w:tcW w:w="1992" w:type="dxa"/>
                  <w:shd w:val="clear" w:color="auto" w:fill="auto"/>
                  <w:vAlign w:val="center"/>
                </w:tcPr>
                <w:p w14:paraId="0C151B72">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770B632F">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230E86DD">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796D69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25E148AF">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25</w:t>
                  </w:r>
                </w:p>
              </w:tc>
              <w:tc>
                <w:tcPr>
                  <w:tcW w:w="2564" w:type="dxa"/>
                  <w:shd w:val="clear" w:color="auto" w:fill="auto"/>
                  <w:vAlign w:val="center"/>
                </w:tcPr>
                <w:p w14:paraId="0509978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焊机</w:t>
                  </w:r>
                </w:p>
              </w:tc>
              <w:tc>
                <w:tcPr>
                  <w:tcW w:w="1992" w:type="dxa"/>
                  <w:shd w:val="clear" w:color="auto" w:fill="auto"/>
                  <w:vAlign w:val="center"/>
                </w:tcPr>
                <w:p w14:paraId="333CFFED">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松下YD-400TX</w:t>
                  </w:r>
                </w:p>
              </w:tc>
              <w:tc>
                <w:tcPr>
                  <w:tcW w:w="1996" w:type="dxa"/>
                  <w:shd w:val="clear" w:color="auto" w:fill="auto"/>
                  <w:vAlign w:val="center"/>
                </w:tcPr>
                <w:p w14:paraId="3E441C0C">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48FF9062">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2</w:t>
                  </w:r>
                </w:p>
              </w:tc>
            </w:tr>
            <w:tr w14:paraId="02AC2B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40F05591">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26</w:t>
                  </w:r>
                </w:p>
              </w:tc>
              <w:tc>
                <w:tcPr>
                  <w:tcW w:w="2564" w:type="dxa"/>
                  <w:shd w:val="clear" w:color="auto" w:fill="auto"/>
                  <w:vAlign w:val="center"/>
                </w:tcPr>
                <w:p w14:paraId="305176BD">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水冷机</w:t>
                  </w:r>
                </w:p>
              </w:tc>
              <w:tc>
                <w:tcPr>
                  <w:tcW w:w="1992" w:type="dxa"/>
                  <w:shd w:val="clear" w:color="auto" w:fill="auto"/>
                  <w:vAlign w:val="center"/>
                </w:tcPr>
                <w:p w14:paraId="753D1532">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2727A095">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6AF3E967">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12FADF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4039A3BB">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27</w:t>
                  </w:r>
                </w:p>
              </w:tc>
              <w:tc>
                <w:tcPr>
                  <w:tcW w:w="2564" w:type="dxa"/>
                  <w:shd w:val="clear" w:color="auto" w:fill="auto"/>
                  <w:vAlign w:val="center"/>
                </w:tcPr>
                <w:p w14:paraId="13B93C91">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管子涨形机</w:t>
                  </w:r>
                </w:p>
              </w:tc>
              <w:tc>
                <w:tcPr>
                  <w:tcW w:w="1992" w:type="dxa"/>
                  <w:shd w:val="clear" w:color="auto" w:fill="auto"/>
                  <w:vAlign w:val="center"/>
                </w:tcPr>
                <w:p w14:paraId="05FE4187">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003ABA82">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5BBE170E">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0ECEBF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6572F889">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28</w:t>
                  </w:r>
                </w:p>
              </w:tc>
              <w:tc>
                <w:tcPr>
                  <w:tcW w:w="2564" w:type="dxa"/>
                  <w:shd w:val="clear" w:color="auto" w:fill="auto"/>
                  <w:vAlign w:val="center"/>
                </w:tcPr>
                <w:p w14:paraId="537DF1A3">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外壳涨形机</w:t>
                  </w:r>
                </w:p>
              </w:tc>
              <w:tc>
                <w:tcPr>
                  <w:tcW w:w="1992" w:type="dxa"/>
                  <w:shd w:val="clear" w:color="auto" w:fill="auto"/>
                  <w:vAlign w:val="center"/>
                </w:tcPr>
                <w:p w14:paraId="1215C17A">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101F3826">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411B3A6D">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4EC45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16D4B382">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29</w:t>
                  </w:r>
                </w:p>
              </w:tc>
              <w:tc>
                <w:tcPr>
                  <w:tcW w:w="2564" w:type="dxa"/>
                  <w:shd w:val="clear" w:color="auto" w:fill="auto"/>
                  <w:vAlign w:val="center"/>
                </w:tcPr>
                <w:p w14:paraId="73583EE8">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载体压装机</w:t>
                  </w:r>
                </w:p>
              </w:tc>
              <w:tc>
                <w:tcPr>
                  <w:tcW w:w="1992" w:type="dxa"/>
                  <w:shd w:val="clear" w:color="auto" w:fill="auto"/>
                  <w:vAlign w:val="center"/>
                </w:tcPr>
                <w:p w14:paraId="7382F5FD">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2CDE1717">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182D1352">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413F73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7B248F68">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30</w:t>
                  </w:r>
                </w:p>
              </w:tc>
              <w:tc>
                <w:tcPr>
                  <w:tcW w:w="2564" w:type="dxa"/>
                  <w:shd w:val="clear" w:color="auto" w:fill="auto"/>
                  <w:vAlign w:val="center"/>
                </w:tcPr>
                <w:p w14:paraId="7E996D11">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隔板压装机</w:t>
                  </w:r>
                </w:p>
              </w:tc>
              <w:tc>
                <w:tcPr>
                  <w:tcW w:w="1992" w:type="dxa"/>
                  <w:shd w:val="clear" w:color="auto" w:fill="auto"/>
                  <w:vAlign w:val="center"/>
                </w:tcPr>
                <w:p w14:paraId="4BFF131B">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0580D582">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468D8618">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5DA3CC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62DE4C65">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31</w:t>
                  </w:r>
                </w:p>
              </w:tc>
              <w:tc>
                <w:tcPr>
                  <w:tcW w:w="2564" w:type="dxa"/>
                  <w:shd w:val="clear" w:color="auto" w:fill="auto"/>
                  <w:vAlign w:val="center"/>
                </w:tcPr>
                <w:p w14:paraId="104DBAA3">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总成试漏机</w:t>
                  </w:r>
                </w:p>
              </w:tc>
              <w:tc>
                <w:tcPr>
                  <w:tcW w:w="1992" w:type="dxa"/>
                  <w:shd w:val="clear" w:color="auto" w:fill="auto"/>
                  <w:vAlign w:val="center"/>
                </w:tcPr>
                <w:p w14:paraId="59EEE089">
                  <w:pPr>
                    <w:jc w:val="center"/>
                    <w:rPr>
                      <w:rFonts w:hint="default" w:ascii="Times New Roman" w:hAnsi="Times New Roman" w:cs="Times New Roman"/>
                      <w:color w:val="auto"/>
                      <w:sz w:val="21"/>
                      <w:szCs w:val="21"/>
                      <w:lang w:val="en-US" w:eastAsia="zh-CN"/>
                    </w:rPr>
                  </w:pPr>
                  <w:r>
                    <w:rPr>
                      <w:rFonts w:hint="eastAsia"/>
                    </w:rPr>
                    <w:t>SR14-24H-4</w:t>
                  </w:r>
                </w:p>
              </w:tc>
              <w:tc>
                <w:tcPr>
                  <w:tcW w:w="1996" w:type="dxa"/>
                  <w:shd w:val="clear" w:color="auto" w:fill="auto"/>
                  <w:vAlign w:val="center"/>
                </w:tcPr>
                <w:p w14:paraId="63D7D3CB">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2F769338">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1657EC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07D1AA69">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32</w:t>
                  </w:r>
                </w:p>
              </w:tc>
              <w:tc>
                <w:tcPr>
                  <w:tcW w:w="2564" w:type="dxa"/>
                  <w:shd w:val="clear" w:color="auto" w:fill="auto"/>
                  <w:vAlign w:val="center"/>
                </w:tcPr>
                <w:p w14:paraId="399C5C84">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大族激光切割机</w:t>
                  </w:r>
                </w:p>
              </w:tc>
              <w:tc>
                <w:tcPr>
                  <w:tcW w:w="1992" w:type="dxa"/>
                  <w:shd w:val="clear" w:color="auto" w:fill="auto"/>
                  <w:vAlign w:val="center"/>
                </w:tcPr>
                <w:p w14:paraId="5FC4C203">
                  <w:pPr>
                    <w:jc w:val="center"/>
                    <w:rPr>
                      <w:rFonts w:hint="default" w:ascii="Times New Roman" w:hAnsi="Times New Roman" w:cs="Times New Roman"/>
                      <w:color w:val="auto"/>
                      <w:sz w:val="21"/>
                      <w:szCs w:val="21"/>
                      <w:lang w:val="en-US" w:eastAsia="zh-CN"/>
                    </w:rPr>
                  </w:pPr>
                  <w:r>
                    <w:rPr>
                      <w:rFonts w:hint="eastAsia" w:ascii="宋体" w:hAnsi="宋体" w:eastAsia="宋体" w:cs="宋体"/>
                      <w:i w:val="0"/>
                      <w:color w:val="000000"/>
                      <w:sz w:val="22"/>
                      <w:szCs w:val="22"/>
                      <w:u w:val="none"/>
                    </w:rPr>
                    <w:t>G3015F</w:t>
                  </w:r>
                </w:p>
              </w:tc>
              <w:tc>
                <w:tcPr>
                  <w:tcW w:w="1996" w:type="dxa"/>
                  <w:shd w:val="clear" w:color="auto" w:fill="auto"/>
                  <w:vAlign w:val="center"/>
                </w:tcPr>
                <w:p w14:paraId="72BEBBBA">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0C05657B">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4C115A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322782D9">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33</w:t>
                  </w:r>
                </w:p>
              </w:tc>
              <w:tc>
                <w:tcPr>
                  <w:tcW w:w="2564" w:type="dxa"/>
                  <w:shd w:val="clear" w:color="auto" w:fill="auto"/>
                  <w:vAlign w:val="center"/>
                </w:tcPr>
                <w:p w14:paraId="756915CF">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开式固定台压力机</w:t>
                  </w:r>
                </w:p>
              </w:tc>
              <w:tc>
                <w:tcPr>
                  <w:tcW w:w="1992" w:type="dxa"/>
                  <w:shd w:val="clear" w:color="auto" w:fill="auto"/>
                  <w:vAlign w:val="center"/>
                </w:tcPr>
                <w:p w14:paraId="7FEC00B5">
                  <w:pPr>
                    <w:jc w:val="center"/>
                    <w:rPr>
                      <w:rFonts w:hint="default" w:ascii="Times New Roman" w:hAnsi="Times New Roman" w:cs="Times New Roman"/>
                      <w:color w:val="auto"/>
                      <w:sz w:val="21"/>
                      <w:szCs w:val="21"/>
                      <w:lang w:val="en-US" w:eastAsia="zh-CN"/>
                    </w:rPr>
                  </w:pPr>
                  <w:r>
                    <w:rPr>
                      <w:rFonts w:hint="eastAsia" w:ascii="宋体" w:hAnsi="宋体" w:eastAsia="宋体" w:cs="宋体"/>
                      <w:i w:val="0"/>
                      <w:color w:val="000000"/>
                      <w:sz w:val="22"/>
                      <w:szCs w:val="22"/>
                      <w:u w:val="none"/>
                    </w:rPr>
                    <w:t>JH21-110</w:t>
                  </w:r>
                </w:p>
              </w:tc>
              <w:tc>
                <w:tcPr>
                  <w:tcW w:w="1996" w:type="dxa"/>
                  <w:shd w:val="clear" w:color="auto" w:fill="auto"/>
                  <w:vAlign w:val="center"/>
                </w:tcPr>
                <w:p w14:paraId="578BF194">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3FD4E885">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0B3E9A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5C58F365">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34</w:t>
                  </w:r>
                </w:p>
              </w:tc>
              <w:tc>
                <w:tcPr>
                  <w:tcW w:w="2564" w:type="dxa"/>
                  <w:shd w:val="clear" w:color="auto" w:fill="auto"/>
                  <w:vAlign w:val="center"/>
                </w:tcPr>
                <w:p w14:paraId="4A37DCE2">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四柱液压机</w:t>
                  </w:r>
                </w:p>
              </w:tc>
              <w:tc>
                <w:tcPr>
                  <w:tcW w:w="1992" w:type="dxa"/>
                  <w:shd w:val="clear" w:color="auto" w:fill="auto"/>
                  <w:vAlign w:val="center"/>
                </w:tcPr>
                <w:p w14:paraId="4552CD39">
                  <w:pPr>
                    <w:jc w:val="center"/>
                    <w:rPr>
                      <w:rFonts w:hint="default" w:ascii="Times New Roman" w:hAnsi="Times New Roman" w:cs="Times New Roman"/>
                      <w:color w:val="auto"/>
                      <w:sz w:val="21"/>
                      <w:szCs w:val="21"/>
                      <w:lang w:val="en-US" w:eastAsia="zh-CN"/>
                    </w:rPr>
                  </w:pPr>
                  <w:r>
                    <w:rPr>
                      <w:rFonts w:hint="eastAsia"/>
                    </w:rPr>
                    <w:t>YL32-200</w:t>
                  </w:r>
                </w:p>
              </w:tc>
              <w:tc>
                <w:tcPr>
                  <w:tcW w:w="1996" w:type="dxa"/>
                  <w:shd w:val="clear" w:color="auto" w:fill="auto"/>
                  <w:vAlign w:val="center"/>
                </w:tcPr>
                <w:p w14:paraId="283B6E0D">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13548B15">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35F146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035C7748">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35</w:t>
                  </w:r>
                </w:p>
              </w:tc>
              <w:tc>
                <w:tcPr>
                  <w:tcW w:w="2564" w:type="dxa"/>
                  <w:shd w:val="clear" w:color="auto" w:fill="auto"/>
                  <w:vAlign w:val="center"/>
                </w:tcPr>
                <w:p w14:paraId="20758351">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开式固定台压力机</w:t>
                  </w:r>
                </w:p>
              </w:tc>
              <w:tc>
                <w:tcPr>
                  <w:tcW w:w="1992" w:type="dxa"/>
                  <w:shd w:val="clear" w:color="auto" w:fill="auto"/>
                  <w:vAlign w:val="center"/>
                </w:tcPr>
                <w:p w14:paraId="4E6DDF12">
                  <w:pPr>
                    <w:jc w:val="center"/>
                    <w:rPr>
                      <w:rFonts w:hint="default" w:ascii="Times New Roman" w:hAnsi="Times New Roman" w:cs="Times New Roman"/>
                      <w:color w:val="auto"/>
                      <w:sz w:val="21"/>
                      <w:szCs w:val="21"/>
                      <w:lang w:val="en-US" w:eastAsia="zh-CN"/>
                    </w:rPr>
                  </w:pPr>
                  <w:r>
                    <w:rPr>
                      <w:rFonts w:hint="eastAsia" w:ascii="宋体" w:hAnsi="宋体" w:eastAsia="宋体" w:cs="宋体"/>
                      <w:i w:val="0"/>
                      <w:color w:val="000000"/>
                      <w:sz w:val="22"/>
                      <w:szCs w:val="22"/>
                      <w:u w:val="none"/>
                    </w:rPr>
                    <w:t>JH21-63</w:t>
                  </w:r>
                </w:p>
              </w:tc>
              <w:tc>
                <w:tcPr>
                  <w:tcW w:w="1996" w:type="dxa"/>
                  <w:shd w:val="clear" w:color="auto" w:fill="auto"/>
                  <w:vAlign w:val="center"/>
                </w:tcPr>
                <w:p w14:paraId="0F039E5B">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3DF759CC">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6C9850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4BDE4B2A">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36</w:t>
                  </w:r>
                </w:p>
              </w:tc>
              <w:tc>
                <w:tcPr>
                  <w:tcW w:w="2564" w:type="dxa"/>
                  <w:shd w:val="clear" w:color="auto" w:fill="auto"/>
                  <w:vAlign w:val="center"/>
                </w:tcPr>
                <w:p w14:paraId="4CBE16AF">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激光打标机</w:t>
                  </w:r>
                </w:p>
              </w:tc>
              <w:tc>
                <w:tcPr>
                  <w:tcW w:w="1992" w:type="dxa"/>
                  <w:shd w:val="clear" w:color="auto" w:fill="auto"/>
                  <w:vAlign w:val="center"/>
                </w:tcPr>
                <w:p w14:paraId="2D3AF64A">
                  <w:pPr>
                    <w:jc w:val="center"/>
                    <w:rPr>
                      <w:rFonts w:hint="default" w:ascii="Times New Roman" w:hAnsi="Times New Roman" w:cs="Times New Roman"/>
                      <w:color w:val="auto"/>
                      <w:sz w:val="21"/>
                      <w:szCs w:val="21"/>
                      <w:lang w:val="en-US" w:eastAsia="zh-CN"/>
                    </w:rPr>
                  </w:pPr>
                  <w:r>
                    <w:rPr>
                      <w:rFonts w:hint="eastAsia" w:ascii="宋体" w:hAnsi="宋体" w:eastAsia="宋体" w:cs="宋体"/>
                      <w:i w:val="0"/>
                      <w:color w:val="000000"/>
                      <w:sz w:val="22"/>
                      <w:szCs w:val="22"/>
                      <w:u w:val="none"/>
                    </w:rPr>
                    <w:t>HRL-GX-20</w:t>
                  </w:r>
                </w:p>
              </w:tc>
              <w:tc>
                <w:tcPr>
                  <w:tcW w:w="1996" w:type="dxa"/>
                  <w:shd w:val="clear" w:color="auto" w:fill="auto"/>
                  <w:vAlign w:val="center"/>
                </w:tcPr>
                <w:p w14:paraId="0B55EFD2">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299EFDF4">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4A3C59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78919709">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37</w:t>
                  </w:r>
                </w:p>
              </w:tc>
              <w:tc>
                <w:tcPr>
                  <w:tcW w:w="2564" w:type="dxa"/>
                  <w:shd w:val="clear" w:color="auto" w:fill="auto"/>
                  <w:vAlign w:val="center"/>
                </w:tcPr>
                <w:p w14:paraId="2CB7B087">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空压机</w:t>
                  </w:r>
                </w:p>
              </w:tc>
              <w:tc>
                <w:tcPr>
                  <w:tcW w:w="1992" w:type="dxa"/>
                  <w:shd w:val="clear" w:color="auto" w:fill="auto"/>
                  <w:vAlign w:val="center"/>
                </w:tcPr>
                <w:p w14:paraId="53E37EF1">
                  <w:pPr>
                    <w:jc w:val="center"/>
                    <w:rPr>
                      <w:rFonts w:hint="default" w:ascii="Times New Roman" w:hAnsi="Times New Roman" w:cs="Times New Roman"/>
                      <w:color w:val="auto"/>
                      <w:sz w:val="21"/>
                      <w:szCs w:val="21"/>
                      <w:lang w:val="en-US" w:eastAsia="zh-CN"/>
                    </w:rPr>
                  </w:pPr>
                  <w:r>
                    <w:rPr>
                      <w:rFonts w:hint="eastAsia" w:ascii="宋体" w:hAnsi="宋体" w:eastAsia="宋体" w:cs="宋体"/>
                      <w:i w:val="0"/>
                      <w:color w:val="000000"/>
                      <w:sz w:val="22"/>
                      <w:szCs w:val="22"/>
                      <w:u w:val="none"/>
                    </w:rPr>
                    <w:t>GAa22P8.5</w:t>
                  </w:r>
                </w:p>
              </w:tc>
              <w:tc>
                <w:tcPr>
                  <w:tcW w:w="1996" w:type="dxa"/>
                  <w:shd w:val="clear" w:color="auto" w:fill="auto"/>
                  <w:vAlign w:val="center"/>
                </w:tcPr>
                <w:p w14:paraId="0C13579B">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0184F03F">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2559D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362C64FE">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38</w:t>
                  </w:r>
                </w:p>
              </w:tc>
              <w:tc>
                <w:tcPr>
                  <w:tcW w:w="2564" w:type="dxa"/>
                  <w:shd w:val="clear" w:color="auto" w:fill="auto"/>
                  <w:vAlign w:val="center"/>
                </w:tcPr>
                <w:p w14:paraId="4D93A95A">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蓄电池平衡重叉车</w:t>
                  </w:r>
                </w:p>
              </w:tc>
              <w:tc>
                <w:tcPr>
                  <w:tcW w:w="1992" w:type="dxa"/>
                  <w:shd w:val="clear" w:color="auto" w:fill="auto"/>
                  <w:vAlign w:val="center"/>
                </w:tcPr>
                <w:p w14:paraId="20D1EE1A">
                  <w:pPr>
                    <w:jc w:val="center"/>
                    <w:rPr>
                      <w:rFonts w:hint="default" w:ascii="Times New Roman" w:hAnsi="Times New Roman" w:cs="Times New Roman"/>
                      <w:color w:val="auto"/>
                      <w:sz w:val="21"/>
                      <w:szCs w:val="21"/>
                      <w:lang w:val="en-US" w:eastAsia="zh-CN"/>
                    </w:rPr>
                  </w:pPr>
                  <w:r>
                    <w:rPr>
                      <w:rFonts w:hint="eastAsia" w:ascii="宋体" w:hAnsi="宋体" w:eastAsia="宋体" w:cs="宋体"/>
                      <w:i w:val="0"/>
                      <w:color w:val="000000"/>
                      <w:sz w:val="22"/>
                      <w:szCs w:val="22"/>
                      <w:u w:val="none"/>
                    </w:rPr>
                    <w:t>CPD-30</w:t>
                  </w:r>
                </w:p>
              </w:tc>
              <w:tc>
                <w:tcPr>
                  <w:tcW w:w="1996" w:type="dxa"/>
                  <w:shd w:val="clear" w:color="auto" w:fill="auto"/>
                  <w:vAlign w:val="center"/>
                </w:tcPr>
                <w:p w14:paraId="125568F3">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21E82D7F">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6FAB03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6FBA15E2">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39</w:t>
                  </w:r>
                </w:p>
              </w:tc>
              <w:tc>
                <w:tcPr>
                  <w:tcW w:w="2564" w:type="dxa"/>
                  <w:shd w:val="clear" w:color="auto" w:fill="auto"/>
                  <w:vAlign w:val="center"/>
                </w:tcPr>
                <w:p w14:paraId="0ABE1A88">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热熔胶机</w:t>
                  </w:r>
                </w:p>
              </w:tc>
              <w:tc>
                <w:tcPr>
                  <w:tcW w:w="1992" w:type="dxa"/>
                  <w:shd w:val="clear" w:color="auto" w:fill="auto"/>
                  <w:vAlign w:val="center"/>
                </w:tcPr>
                <w:p w14:paraId="20F4CB77">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240A0602">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4001CE27">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4B2C87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4E1C9CD9">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40</w:t>
                  </w:r>
                </w:p>
              </w:tc>
              <w:tc>
                <w:tcPr>
                  <w:tcW w:w="2564" w:type="dxa"/>
                  <w:shd w:val="clear" w:color="auto" w:fill="auto"/>
                  <w:vAlign w:val="center"/>
                </w:tcPr>
                <w:p w14:paraId="57F2E0BB">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注胶流水线</w:t>
                  </w:r>
                </w:p>
              </w:tc>
              <w:tc>
                <w:tcPr>
                  <w:tcW w:w="1992" w:type="dxa"/>
                  <w:shd w:val="clear" w:color="auto" w:fill="auto"/>
                  <w:vAlign w:val="center"/>
                </w:tcPr>
                <w:p w14:paraId="34387EEA">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6EC05502">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1886A54D">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263935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22C89DC5">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41</w:t>
                  </w:r>
                </w:p>
              </w:tc>
              <w:tc>
                <w:tcPr>
                  <w:tcW w:w="2564" w:type="dxa"/>
                  <w:shd w:val="clear" w:color="auto" w:fill="auto"/>
                  <w:vAlign w:val="center"/>
                </w:tcPr>
                <w:p w14:paraId="28537325">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折纸机</w:t>
                  </w:r>
                </w:p>
              </w:tc>
              <w:tc>
                <w:tcPr>
                  <w:tcW w:w="1992" w:type="dxa"/>
                  <w:shd w:val="clear" w:color="auto" w:fill="auto"/>
                  <w:vAlign w:val="center"/>
                </w:tcPr>
                <w:p w14:paraId="2FDB6DA9">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2B3CBB99">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637BBE03">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5DDD0F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2BF2D83C">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42</w:t>
                  </w:r>
                </w:p>
              </w:tc>
              <w:tc>
                <w:tcPr>
                  <w:tcW w:w="2564" w:type="dxa"/>
                  <w:shd w:val="clear" w:color="auto" w:fill="auto"/>
                  <w:vAlign w:val="center"/>
                </w:tcPr>
                <w:p w14:paraId="50813266">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空压机</w:t>
                  </w:r>
                </w:p>
              </w:tc>
              <w:tc>
                <w:tcPr>
                  <w:tcW w:w="1992" w:type="dxa"/>
                  <w:shd w:val="clear" w:color="auto" w:fill="auto"/>
                  <w:vAlign w:val="center"/>
                </w:tcPr>
                <w:p w14:paraId="0DCFDF0C">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013E8178">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5F2C2CCC">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684FB0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1B4FB714">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43</w:t>
                  </w:r>
                </w:p>
              </w:tc>
              <w:tc>
                <w:tcPr>
                  <w:tcW w:w="2564" w:type="dxa"/>
                  <w:shd w:val="clear" w:color="auto" w:fill="auto"/>
                  <w:vAlign w:val="center"/>
                </w:tcPr>
                <w:p w14:paraId="73E83C98">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伺服折纸机</w:t>
                  </w:r>
                </w:p>
              </w:tc>
              <w:tc>
                <w:tcPr>
                  <w:tcW w:w="1992" w:type="dxa"/>
                  <w:shd w:val="clear" w:color="auto" w:fill="auto"/>
                  <w:vAlign w:val="center"/>
                </w:tcPr>
                <w:p w14:paraId="6E27C426">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2EE00223">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32D5F52C">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1B3D28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2D5DD2D4">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44</w:t>
                  </w:r>
                </w:p>
              </w:tc>
              <w:tc>
                <w:tcPr>
                  <w:tcW w:w="2564" w:type="dxa"/>
                  <w:shd w:val="clear" w:color="auto" w:fill="auto"/>
                  <w:vAlign w:val="center"/>
                </w:tcPr>
                <w:p w14:paraId="78E4EBE0">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半自动束边机</w:t>
                  </w:r>
                </w:p>
              </w:tc>
              <w:tc>
                <w:tcPr>
                  <w:tcW w:w="1992" w:type="dxa"/>
                  <w:shd w:val="clear" w:color="auto" w:fill="auto"/>
                  <w:vAlign w:val="center"/>
                </w:tcPr>
                <w:p w14:paraId="7AC32F8B">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4CFD8CEF">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3AEBA638">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2</w:t>
                  </w:r>
                </w:p>
              </w:tc>
            </w:tr>
            <w:tr w14:paraId="787A00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02222D6E">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45</w:t>
                  </w:r>
                </w:p>
              </w:tc>
              <w:tc>
                <w:tcPr>
                  <w:tcW w:w="2564" w:type="dxa"/>
                  <w:shd w:val="clear" w:color="auto" w:fill="auto"/>
                  <w:vAlign w:val="center"/>
                </w:tcPr>
                <w:p w14:paraId="5B70F9F2">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470注塑机</w:t>
                  </w:r>
                </w:p>
              </w:tc>
              <w:tc>
                <w:tcPr>
                  <w:tcW w:w="1992" w:type="dxa"/>
                  <w:shd w:val="clear" w:color="auto" w:fill="auto"/>
                  <w:vAlign w:val="center"/>
                </w:tcPr>
                <w:p w14:paraId="52C746B3">
                  <w:pPr>
                    <w:jc w:val="center"/>
                    <w:rPr>
                      <w:rFonts w:hint="default" w:ascii="Times New Roman" w:hAnsi="Times New Roman" w:cs="Times New Roman"/>
                      <w:color w:val="auto"/>
                      <w:sz w:val="21"/>
                      <w:szCs w:val="21"/>
                      <w:lang w:val="en-US" w:eastAsia="zh-CN"/>
                    </w:rPr>
                  </w:pPr>
                  <w:r>
                    <w:rPr>
                      <w:rFonts w:hint="eastAsia" w:ascii="宋体" w:hAnsi="宋体" w:eastAsia="宋体" w:cs="宋体"/>
                      <w:i w:val="0"/>
                      <w:color w:val="000000"/>
                      <w:sz w:val="22"/>
                      <w:szCs w:val="22"/>
                      <w:u w:val="none"/>
                      <w:lang w:val="en-US" w:eastAsia="zh-CN"/>
                    </w:rPr>
                    <w:t>470T</w:t>
                  </w:r>
                </w:p>
              </w:tc>
              <w:tc>
                <w:tcPr>
                  <w:tcW w:w="1996" w:type="dxa"/>
                  <w:shd w:val="clear" w:color="auto" w:fill="auto"/>
                  <w:vAlign w:val="center"/>
                </w:tcPr>
                <w:p w14:paraId="54CA53DB">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2E902944">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4</w:t>
                  </w:r>
                </w:p>
              </w:tc>
            </w:tr>
            <w:tr w14:paraId="2004A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3073EA8B">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46</w:t>
                  </w:r>
                </w:p>
              </w:tc>
              <w:tc>
                <w:tcPr>
                  <w:tcW w:w="2564" w:type="dxa"/>
                  <w:shd w:val="clear" w:color="auto" w:fill="auto"/>
                  <w:vAlign w:val="center"/>
                </w:tcPr>
                <w:p w14:paraId="6E93E5DA">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200注塑机</w:t>
                  </w:r>
                </w:p>
              </w:tc>
              <w:tc>
                <w:tcPr>
                  <w:tcW w:w="1992" w:type="dxa"/>
                  <w:shd w:val="clear" w:color="auto" w:fill="auto"/>
                  <w:vAlign w:val="center"/>
                </w:tcPr>
                <w:p w14:paraId="26FE6049">
                  <w:pPr>
                    <w:jc w:val="center"/>
                    <w:rPr>
                      <w:rFonts w:hint="default" w:ascii="Times New Roman" w:hAnsi="Times New Roman" w:cs="Times New Roman"/>
                      <w:color w:val="auto"/>
                      <w:sz w:val="21"/>
                      <w:szCs w:val="21"/>
                      <w:lang w:val="en-US" w:eastAsia="zh-CN"/>
                    </w:rPr>
                  </w:pPr>
                  <w:r>
                    <w:rPr>
                      <w:rFonts w:hint="eastAsia" w:ascii="宋体" w:hAnsi="宋体" w:eastAsia="宋体" w:cs="宋体"/>
                      <w:i w:val="0"/>
                      <w:color w:val="000000"/>
                      <w:sz w:val="22"/>
                      <w:szCs w:val="22"/>
                      <w:u w:val="none"/>
                      <w:lang w:val="en-US" w:eastAsia="zh-CN"/>
                    </w:rPr>
                    <w:t>200T</w:t>
                  </w:r>
                </w:p>
              </w:tc>
              <w:tc>
                <w:tcPr>
                  <w:tcW w:w="1996" w:type="dxa"/>
                  <w:shd w:val="clear" w:color="auto" w:fill="auto"/>
                  <w:vAlign w:val="center"/>
                </w:tcPr>
                <w:p w14:paraId="2F02C0F8">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4AE0684A">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3CA69F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400301D2">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47</w:t>
                  </w:r>
                </w:p>
              </w:tc>
              <w:tc>
                <w:tcPr>
                  <w:tcW w:w="2564" w:type="dxa"/>
                  <w:shd w:val="clear" w:color="auto" w:fill="auto"/>
                  <w:vAlign w:val="center"/>
                </w:tcPr>
                <w:p w14:paraId="394B6182">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高速折纸机</w:t>
                  </w:r>
                </w:p>
              </w:tc>
              <w:tc>
                <w:tcPr>
                  <w:tcW w:w="1992" w:type="dxa"/>
                  <w:shd w:val="clear" w:color="auto" w:fill="auto"/>
                  <w:vAlign w:val="center"/>
                </w:tcPr>
                <w:p w14:paraId="4EAFDD2D">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7C653827">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3F2A2900">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6B9785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15E9A1AB">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48</w:t>
                  </w:r>
                </w:p>
              </w:tc>
              <w:tc>
                <w:tcPr>
                  <w:tcW w:w="2564" w:type="dxa"/>
                  <w:shd w:val="clear" w:color="auto" w:fill="auto"/>
                  <w:vAlign w:val="center"/>
                </w:tcPr>
                <w:p w14:paraId="290E7DE3">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三组份注胶机</w:t>
                  </w:r>
                </w:p>
              </w:tc>
              <w:tc>
                <w:tcPr>
                  <w:tcW w:w="1992" w:type="dxa"/>
                  <w:shd w:val="clear" w:color="auto" w:fill="auto"/>
                  <w:vAlign w:val="center"/>
                </w:tcPr>
                <w:p w14:paraId="45651B73">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3201BB1B">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41FD8A0D">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098D27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1CA9A2EA">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49</w:t>
                  </w:r>
                </w:p>
              </w:tc>
              <w:tc>
                <w:tcPr>
                  <w:tcW w:w="2564" w:type="dxa"/>
                  <w:shd w:val="clear" w:color="auto" w:fill="auto"/>
                  <w:vAlign w:val="center"/>
                </w:tcPr>
                <w:p w14:paraId="0E286C83">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冷水机</w:t>
                  </w:r>
                </w:p>
              </w:tc>
              <w:tc>
                <w:tcPr>
                  <w:tcW w:w="1992" w:type="dxa"/>
                  <w:shd w:val="clear" w:color="auto" w:fill="auto"/>
                  <w:vAlign w:val="center"/>
                </w:tcPr>
                <w:p w14:paraId="671202BB">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6483E0E2">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7BF7974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5</w:t>
                  </w:r>
                </w:p>
              </w:tc>
            </w:tr>
            <w:tr w14:paraId="41323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18ADC427">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50</w:t>
                  </w:r>
                </w:p>
              </w:tc>
              <w:tc>
                <w:tcPr>
                  <w:tcW w:w="2564" w:type="dxa"/>
                  <w:shd w:val="clear" w:color="auto" w:fill="auto"/>
                  <w:vAlign w:val="center"/>
                </w:tcPr>
                <w:p w14:paraId="317AFD1E">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条码机</w:t>
                  </w:r>
                </w:p>
              </w:tc>
              <w:tc>
                <w:tcPr>
                  <w:tcW w:w="1992" w:type="dxa"/>
                  <w:shd w:val="clear" w:color="auto" w:fill="auto"/>
                  <w:vAlign w:val="center"/>
                </w:tcPr>
                <w:p w14:paraId="30BEA0EB">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1AB4B243">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7EAFD0EF">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560AD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4AB2F93E">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51</w:t>
                  </w:r>
                </w:p>
              </w:tc>
              <w:tc>
                <w:tcPr>
                  <w:tcW w:w="2564" w:type="dxa"/>
                  <w:shd w:val="clear" w:color="auto" w:fill="auto"/>
                  <w:vAlign w:val="center"/>
                </w:tcPr>
                <w:p w14:paraId="41E669F3">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定型热熔胶线</w:t>
                  </w:r>
                </w:p>
              </w:tc>
              <w:tc>
                <w:tcPr>
                  <w:tcW w:w="1992" w:type="dxa"/>
                  <w:shd w:val="clear" w:color="auto" w:fill="auto"/>
                  <w:vAlign w:val="center"/>
                </w:tcPr>
                <w:p w14:paraId="27F1E4EC">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1F215D7A">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3E0270C2">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r w14:paraId="5102A4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4" w:type="dxa"/>
                  <w:shd w:val="clear" w:color="auto" w:fill="auto"/>
                  <w:vAlign w:val="center"/>
                </w:tcPr>
                <w:p w14:paraId="572262FF">
                  <w:pPr>
                    <w:spacing w:line="276" w:lineRule="auto"/>
                    <w:jc w:val="center"/>
                    <w:rPr>
                      <w:rFonts w:hint="eastAsia" w:ascii="Times New Roman" w:hAnsi="Times New Roman" w:cs="Times New Roman"/>
                      <w:color w:val="auto"/>
                      <w:sz w:val="21"/>
                      <w:szCs w:val="21"/>
                      <w:lang w:val="en-US" w:eastAsia="zh-CN"/>
                    </w:rPr>
                  </w:pPr>
                  <w:r>
                    <w:rPr>
                      <w:rFonts w:hint="eastAsia" w:cs="Times New Roman"/>
                      <w:color w:val="auto"/>
                      <w:sz w:val="21"/>
                      <w:szCs w:val="21"/>
                      <w:lang w:val="en-US" w:eastAsia="zh-CN"/>
                    </w:rPr>
                    <w:t>52</w:t>
                  </w:r>
                </w:p>
              </w:tc>
              <w:tc>
                <w:tcPr>
                  <w:tcW w:w="2564" w:type="dxa"/>
                  <w:shd w:val="clear" w:color="auto" w:fill="auto"/>
                  <w:vAlign w:val="center"/>
                </w:tcPr>
                <w:p w14:paraId="1E15B329">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发泡线</w:t>
                  </w:r>
                </w:p>
              </w:tc>
              <w:tc>
                <w:tcPr>
                  <w:tcW w:w="1992" w:type="dxa"/>
                  <w:shd w:val="clear" w:color="auto" w:fill="auto"/>
                  <w:vAlign w:val="center"/>
                </w:tcPr>
                <w:p w14:paraId="5530151C">
                  <w:pPr>
                    <w:spacing w:line="276" w:lineRule="auto"/>
                    <w:jc w:val="center"/>
                    <w:rPr>
                      <w:rFonts w:hint="default" w:ascii="Times New Roman" w:hAnsi="Times New Roman" w:cs="Times New Roman"/>
                      <w:color w:val="auto"/>
                      <w:sz w:val="21"/>
                      <w:szCs w:val="21"/>
                      <w:lang w:val="en-US" w:eastAsia="zh-CN"/>
                    </w:rPr>
                  </w:pPr>
                </w:p>
              </w:tc>
              <w:tc>
                <w:tcPr>
                  <w:tcW w:w="1996" w:type="dxa"/>
                  <w:shd w:val="clear" w:color="auto" w:fill="auto"/>
                  <w:vAlign w:val="center"/>
                </w:tcPr>
                <w:p w14:paraId="4BFE224B">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台</w:t>
                  </w:r>
                </w:p>
              </w:tc>
              <w:tc>
                <w:tcPr>
                  <w:tcW w:w="1992" w:type="dxa"/>
                  <w:vAlign w:val="center"/>
                </w:tcPr>
                <w:p w14:paraId="1823A8E0">
                  <w:pPr>
                    <w:spacing w:line="276" w:lineRule="auto"/>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r>
          </w:tbl>
          <w:p w14:paraId="32128E4C">
            <w:pPr>
              <w:spacing w:line="360" w:lineRule="auto"/>
              <w:rPr>
                <w:rFonts w:hint="eastAsia" w:ascii="Times New Roman" w:hAnsi="Times New Roman" w:eastAsia="黑体" w:cs="Times New Roman"/>
                <w:color w:val="auto"/>
                <w:sz w:val="28"/>
                <w:szCs w:val="28"/>
                <w:lang w:val="en-US" w:eastAsia="zh-CN"/>
              </w:rPr>
            </w:pPr>
            <w:r>
              <w:rPr>
                <w:rFonts w:hint="default" w:ascii="Times New Roman" w:hAnsi="Times New Roman" w:eastAsia="黑体" w:cs="Times New Roman"/>
                <w:color w:val="auto"/>
                <w:sz w:val="28"/>
                <w:szCs w:val="28"/>
              </w:rPr>
              <w:t>九、</w:t>
            </w:r>
            <w:r>
              <w:rPr>
                <w:rFonts w:hint="eastAsia" w:eastAsia="黑体" w:cs="Times New Roman"/>
                <w:color w:val="auto"/>
                <w:sz w:val="28"/>
                <w:szCs w:val="28"/>
                <w:lang w:val="en-US" w:eastAsia="zh-CN"/>
              </w:rPr>
              <w:t>公用工程</w:t>
            </w:r>
          </w:p>
          <w:p w14:paraId="603AB25C">
            <w:pPr>
              <w:spacing w:line="360" w:lineRule="auto"/>
              <w:ind w:firstLine="482" w:firstLineChars="20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1、给水</w:t>
            </w:r>
          </w:p>
          <w:p w14:paraId="690E1AB0">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本项目用水由市政自来水管网接入，主要用于生活、生产、消防用水等，给水可满足项目用水需求。</w:t>
            </w:r>
          </w:p>
          <w:p w14:paraId="56D8FFE4">
            <w:pPr>
              <w:spacing w:line="360" w:lineRule="auto"/>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cs="Times New Roman"/>
                <w:color w:val="auto"/>
                <w:sz w:val="24"/>
                <w:szCs w:val="24"/>
              </w:rPr>
              <w:t>本项目设置</w:t>
            </w:r>
            <w:r>
              <w:rPr>
                <w:rFonts w:hint="eastAsia" w:cs="Times New Roman"/>
                <w:color w:val="auto"/>
                <w:sz w:val="24"/>
                <w:szCs w:val="24"/>
                <w:lang w:val="en-US" w:eastAsia="zh-CN"/>
              </w:rPr>
              <w:t>办公楼、</w:t>
            </w:r>
            <w:r>
              <w:rPr>
                <w:rFonts w:hint="default" w:ascii="Times New Roman" w:hAnsi="Times New Roman" w:cs="Times New Roman"/>
                <w:color w:val="auto"/>
                <w:sz w:val="24"/>
                <w:szCs w:val="24"/>
              </w:rPr>
              <w:t>员工食堂和</w:t>
            </w:r>
            <w:r>
              <w:rPr>
                <w:rFonts w:hint="default" w:ascii="Times New Roman" w:hAnsi="Times New Roman" w:cs="Times New Roman"/>
                <w:color w:val="auto"/>
                <w:sz w:val="24"/>
                <w:szCs w:val="24"/>
                <w:lang w:eastAsia="zh-CN"/>
              </w:rPr>
              <w:t>倒班房，</w:t>
            </w:r>
            <w:r>
              <w:rPr>
                <w:rFonts w:hint="default" w:ascii="Times New Roman" w:hAnsi="Times New Roman" w:cs="Times New Roman"/>
                <w:color w:val="auto"/>
                <w:sz w:val="24"/>
                <w:szCs w:val="24"/>
              </w:rPr>
              <w:t>营运期生产车间内地坪日常清洁使用扫帚打扫，不进行冲洗。</w:t>
            </w:r>
            <w:r>
              <w:rPr>
                <w:rFonts w:hint="eastAsia" w:cs="Times New Roman"/>
                <w:color w:val="auto"/>
                <w:sz w:val="24"/>
                <w:szCs w:val="24"/>
                <w:lang w:val="en-US" w:eastAsia="zh-CN"/>
              </w:rPr>
              <w:t>注吹塑工艺使用自循环冷却系统，用于注塑机油冷器及模具的冷却，冷却水循环水量为0.625m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/h，循环率为98%，则需定期补充新鲜水0.0125m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/h，水消耗量为高温蒸发（0.1吨/天），日常无排放。</w:t>
            </w:r>
            <w:r>
              <w:rPr>
                <w:rFonts w:hint="default" w:ascii="Times New Roman" w:hAnsi="Times New Roman" w:cs="Times New Roman"/>
                <w:color w:val="auto"/>
                <w:sz w:val="24"/>
                <w:szCs w:val="24"/>
              </w:rPr>
              <w:t>项目用水主要为生活用水</w:t>
            </w:r>
            <w:r>
              <w:rPr>
                <w:rFonts w:hint="default" w:ascii="Times New Roman" w:hAnsi="Times New Roman" w:cs="Times New Roman"/>
                <w:color w:val="auto"/>
                <w:sz w:val="24"/>
                <w:szCs w:val="24"/>
                <w:lang w:eastAsia="zh-CN"/>
              </w:rPr>
              <w:t>，</w:t>
            </w:r>
            <w:r>
              <w:rPr>
                <w:rFonts w:hint="eastAsia" w:cs="Times New Roman"/>
                <w:color w:val="auto"/>
                <w:sz w:val="24"/>
                <w:szCs w:val="24"/>
                <w:lang w:val="en-US" w:eastAsia="zh-CN"/>
              </w:rPr>
              <w:t>冷却用水</w:t>
            </w:r>
            <w:r>
              <w:rPr>
                <w:rFonts w:hint="default" w:ascii="Times New Roman" w:hAnsi="Times New Roman" w:cs="Times New Roman"/>
                <w:color w:val="auto"/>
                <w:sz w:val="24"/>
                <w:szCs w:val="24"/>
                <w:lang w:eastAsia="zh-CN"/>
              </w:rPr>
              <w:t>。</w:t>
            </w:r>
          </w:p>
          <w:p w14:paraId="55275EFE">
            <w:pPr>
              <w:snapToGrid w:val="0"/>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本项目劳动定员</w:t>
            </w:r>
            <w:r>
              <w:rPr>
                <w:rFonts w:hint="eastAsia" w:cs="Times New Roman"/>
                <w:color w:val="auto"/>
                <w:sz w:val="24"/>
                <w:szCs w:val="24"/>
                <w:lang w:val="en-US" w:eastAsia="zh-CN"/>
              </w:rPr>
              <w:t>59</w:t>
            </w:r>
            <w:r>
              <w:rPr>
                <w:rFonts w:hint="default" w:ascii="Times New Roman" w:hAnsi="Times New Roman" w:cs="Times New Roman"/>
                <w:color w:val="auto"/>
                <w:sz w:val="24"/>
                <w:szCs w:val="24"/>
              </w:rPr>
              <w:t>人，年工作</w:t>
            </w:r>
            <w:r>
              <w:rPr>
                <w:rFonts w:hint="default" w:ascii="Times New Roman" w:hAnsi="Times New Roman" w:cs="Times New Roman"/>
                <w:color w:val="auto"/>
                <w:sz w:val="24"/>
                <w:szCs w:val="24"/>
                <w:lang w:val="en-US" w:eastAsia="zh-CN"/>
              </w:rPr>
              <w:t>300</w:t>
            </w:r>
            <w:r>
              <w:rPr>
                <w:rFonts w:hint="default" w:ascii="Times New Roman" w:hAnsi="Times New Roman" w:cs="Times New Roman"/>
                <w:color w:val="auto"/>
                <w:sz w:val="24"/>
                <w:szCs w:val="24"/>
              </w:rPr>
              <w:t>天。根据《建筑给水排水设计规范（2009年版）》（GB50015-2003）和《四川省用水定额》（DB51/T 2138-2016）制定的各项用水定额，本项目用水预测及分配情况见表1-</w:t>
            </w:r>
            <w:r>
              <w:rPr>
                <w:rFonts w:hint="eastAsia" w:cs="Times New Roman"/>
                <w:color w:val="auto"/>
                <w:sz w:val="24"/>
                <w:szCs w:val="24"/>
                <w:lang w:val="en-US" w:eastAsia="zh-CN"/>
              </w:rPr>
              <w:t>7</w:t>
            </w:r>
            <w:r>
              <w:rPr>
                <w:rFonts w:hint="default" w:ascii="Times New Roman" w:hAnsi="Times New Roman" w:cs="Times New Roman"/>
                <w:color w:val="auto"/>
                <w:sz w:val="24"/>
                <w:szCs w:val="24"/>
              </w:rPr>
              <w:t>。</w:t>
            </w:r>
          </w:p>
          <w:p w14:paraId="298A6360">
            <w:pPr>
              <w:snapToGrid w:val="0"/>
              <w:spacing w:line="360" w:lineRule="auto"/>
              <w:jc w:val="center"/>
              <w:rPr>
                <w:rFonts w:hint="default" w:ascii="Times New Roman" w:hAnsi="Times New Roman" w:cs="Times New Roman" w:eastAsiaTheme="minorEastAsia"/>
                <w:b/>
                <w:bCs/>
                <w:color w:val="auto"/>
                <w:szCs w:val="21"/>
              </w:rPr>
            </w:pPr>
            <w:r>
              <w:rPr>
                <w:rFonts w:hint="default" w:ascii="Times New Roman" w:hAnsi="Times New Roman" w:cs="Times New Roman" w:eastAsiaTheme="minorEastAsia"/>
                <w:b/>
                <w:bCs/>
                <w:color w:val="auto"/>
                <w:szCs w:val="21"/>
              </w:rPr>
              <w:t>表1-</w:t>
            </w:r>
            <w:r>
              <w:rPr>
                <w:rFonts w:hint="eastAsia" w:cs="Times New Roman" w:eastAsiaTheme="minorEastAsia"/>
                <w:b/>
                <w:bCs/>
                <w:color w:val="auto"/>
                <w:szCs w:val="21"/>
                <w:lang w:val="en-US" w:eastAsia="zh-CN"/>
              </w:rPr>
              <w:t>7</w:t>
            </w:r>
            <w:r>
              <w:rPr>
                <w:rFonts w:hint="default" w:ascii="Times New Roman" w:hAnsi="Times New Roman" w:cs="Times New Roman" w:eastAsiaTheme="minorEastAsia"/>
                <w:b/>
                <w:bCs/>
                <w:color w:val="auto"/>
                <w:szCs w:val="21"/>
              </w:rPr>
              <w:t xml:space="preserve">  项目用水及分配情况</w:t>
            </w:r>
          </w:p>
          <w:tbl>
            <w:tblPr>
              <w:tblStyle w:val="24"/>
              <w:tblW w:w="99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64"/>
              <w:gridCol w:w="1421"/>
              <w:gridCol w:w="1441"/>
              <w:gridCol w:w="1617"/>
              <w:gridCol w:w="3525"/>
            </w:tblGrid>
            <w:tr w14:paraId="30A621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3" w:hRule="atLeast"/>
                <w:jc w:val="center"/>
              </w:trPr>
              <w:tc>
                <w:tcPr>
                  <w:tcW w:w="1964" w:type="dxa"/>
                  <w:vAlign w:val="center"/>
                </w:tcPr>
                <w:p w14:paraId="7A36EAFB">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类型</w:t>
                  </w:r>
                </w:p>
              </w:tc>
              <w:tc>
                <w:tcPr>
                  <w:tcW w:w="1421" w:type="dxa"/>
                  <w:vAlign w:val="center"/>
                </w:tcPr>
                <w:p w14:paraId="7298A18F">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日最大容量</w:t>
                  </w:r>
                </w:p>
              </w:tc>
              <w:tc>
                <w:tcPr>
                  <w:tcW w:w="1441" w:type="dxa"/>
                  <w:vAlign w:val="center"/>
                </w:tcPr>
                <w:p w14:paraId="1BB3FB8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用水标准</w:t>
                  </w:r>
                </w:p>
              </w:tc>
              <w:tc>
                <w:tcPr>
                  <w:tcW w:w="1617" w:type="dxa"/>
                  <w:vAlign w:val="center"/>
                </w:tcPr>
                <w:p w14:paraId="107EAD1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最大日用水量</w:t>
                  </w:r>
                </w:p>
              </w:tc>
              <w:tc>
                <w:tcPr>
                  <w:tcW w:w="3525" w:type="dxa"/>
                  <w:vAlign w:val="center"/>
                </w:tcPr>
                <w:p w14:paraId="7BD2D31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备注</w:t>
                  </w:r>
                </w:p>
              </w:tc>
            </w:tr>
            <w:tr w14:paraId="6A738D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 w:hRule="atLeast"/>
                <w:jc w:val="center"/>
              </w:trPr>
              <w:tc>
                <w:tcPr>
                  <w:tcW w:w="1964" w:type="dxa"/>
                  <w:vAlign w:val="center"/>
                </w:tcPr>
                <w:p w14:paraId="51303DE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生活用水</w:t>
                  </w:r>
                </w:p>
              </w:tc>
              <w:tc>
                <w:tcPr>
                  <w:tcW w:w="1421" w:type="dxa"/>
                  <w:vAlign w:val="center"/>
                </w:tcPr>
                <w:p w14:paraId="5F1C6A98">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59</w:t>
                  </w:r>
                  <w:r>
                    <w:rPr>
                      <w:rFonts w:hint="default" w:ascii="Times New Roman" w:hAnsi="Times New Roman" w:cs="Times New Roman"/>
                      <w:color w:val="auto"/>
                      <w:sz w:val="21"/>
                      <w:szCs w:val="21"/>
                    </w:rPr>
                    <w:t>人</w:t>
                  </w:r>
                </w:p>
              </w:tc>
              <w:tc>
                <w:tcPr>
                  <w:tcW w:w="1441" w:type="dxa"/>
                  <w:vAlign w:val="center"/>
                </w:tcPr>
                <w:p w14:paraId="1465A575">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0.15</w:t>
                  </w:r>
                  <w:r>
                    <w:rPr>
                      <w:rFonts w:hint="default" w:ascii="Times New Roman" w:hAnsi="Times New Roman" w:cs="Times New Roman"/>
                      <w:color w:val="auto"/>
                      <w:sz w:val="21"/>
                      <w:szCs w:val="21"/>
                    </w:rPr>
                    <w:t>m</w:t>
                  </w:r>
                  <w:r>
                    <w:rPr>
                      <w:rFonts w:hint="default" w:ascii="Times New Roman" w:hAnsi="Times New Roman" w:cs="Times New Roman"/>
                      <w:color w:val="auto"/>
                      <w:sz w:val="21"/>
                      <w:szCs w:val="21"/>
                      <w:vertAlign w:val="superscript"/>
                    </w:rPr>
                    <w:t>3</w:t>
                  </w:r>
                  <w:r>
                    <w:rPr>
                      <w:rFonts w:hint="default" w:ascii="Times New Roman" w:hAnsi="Times New Roman" w:cs="Times New Roman"/>
                      <w:color w:val="auto"/>
                      <w:sz w:val="21"/>
                      <w:szCs w:val="21"/>
                    </w:rPr>
                    <w:t>/人·d</w:t>
                  </w:r>
                </w:p>
              </w:tc>
              <w:tc>
                <w:tcPr>
                  <w:tcW w:w="1617" w:type="dxa"/>
                  <w:vAlign w:val="center"/>
                </w:tcPr>
                <w:p w14:paraId="07B777FE">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8.85</w:t>
                  </w:r>
                  <w:r>
                    <w:rPr>
                      <w:rFonts w:hint="default" w:ascii="Times New Roman" w:hAnsi="Times New Roman" w:cs="Times New Roman"/>
                      <w:color w:val="auto"/>
                      <w:sz w:val="21"/>
                      <w:szCs w:val="21"/>
                    </w:rPr>
                    <w:t>m</w:t>
                  </w:r>
                  <w:r>
                    <w:rPr>
                      <w:rFonts w:hint="default" w:ascii="Times New Roman" w:hAnsi="Times New Roman" w:cs="Times New Roman"/>
                      <w:color w:val="auto"/>
                      <w:sz w:val="21"/>
                      <w:szCs w:val="21"/>
                      <w:vertAlign w:val="superscript"/>
                    </w:rPr>
                    <w:t>3</w:t>
                  </w:r>
                  <w:r>
                    <w:rPr>
                      <w:rFonts w:hint="default" w:ascii="Times New Roman" w:hAnsi="Times New Roman" w:cs="Times New Roman"/>
                      <w:color w:val="auto"/>
                      <w:sz w:val="21"/>
                      <w:szCs w:val="21"/>
                    </w:rPr>
                    <w:t>/d</w:t>
                  </w:r>
                </w:p>
              </w:tc>
              <w:tc>
                <w:tcPr>
                  <w:tcW w:w="3525" w:type="dxa"/>
                  <w:vAlign w:val="center"/>
                </w:tcPr>
                <w:p w14:paraId="6C761A9E">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预处理池</w:t>
                  </w:r>
                  <w:r>
                    <w:rPr>
                      <w:rFonts w:hint="default" w:ascii="Times New Roman" w:hAnsi="Times New Roman" w:cs="Times New Roman"/>
                      <w:color w:val="auto"/>
                      <w:sz w:val="21"/>
                      <w:szCs w:val="21"/>
                      <w:lang w:eastAsia="zh-CN"/>
                    </w:rPr>
                    <w:t>、食堂隔油池</w:t>
                  </w:r>
                  <w:r>
                    <w:rPr>
                      <w:rFonts w:hint="default" w:ascii="Times New Roman" w:hAnsi="Times New Roman" w:cs="Times New Roman"/>
                      <w:color w:val="auto"/>
                      <w:sz w:val="21"/>
                      <w:szCs w:val="21"/>
                    </w:rPr>
                    <w:t>处理后经园区污水管网排入</w:t>
                  </w:r>
                  <w:r>
                    <w:rPr>
                      <w:rFonts w:hint="default" w:ascii="Times New Roman" w:hAnsi="Times New Roman" w:cs="Times New Roman"/>
                      <w:color w:val="auto"/>
                      <w:sz w:val="21"/>
                      <w:szCs w:val="21"/>
                      <w:lang w:eastAsia="zh-CN"/>
                    </w:rPr>
                    <w:t>龙眼井污水处理厂</w:t>
                  </w:r>
                </w:p>
              </w:tc>
            </w:tr>
            <w:tr w14:paraId="138A70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8" w:hRule="atLeast"/>
                <w:jc w:val="center"/>
              </w:trPr>
              <w:tc>
                <w:tcPr>
                  <w:tcW w:w="1964" w:type="dxa"/>
                  <w:vAlign w:val="center"/>
                </w:tcPr>
                <w:p w14:paraId="11B11F1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eastAsia="zh-CN"/>
                    </w:rPr>
                    <w:t>冷却循环水补充</w:t>
                  </w:r>
                </w:p>
              </w:tc>
              <w:tc>
                <w:tcPr>
                  <w:tcW w:w="1421" w:type="dxa"/>
                  <w:vAlign w:val="center"/>
                </w:tcPr>
                <w:p w14:paraId="20444D8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1441" w:type="dxa"/>
                  <w:vAlign w:val="center"/>
                </w:tcPr>
                <w:p w14:paraId="0AF478EB">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1617" w:type="dxa"/>
                  <w:vAlign w:val="center"/>
                </w:tcPr>
                <w:p w14:paraId="40C5E588">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0.1</w:t>
                  </w:r>
                  <w:r>
                    <w:rPr>
                      <w:rFonts w:hint="default" w:ascii="Times New Roman" w:hAnsi="Times New Roman" w:cs="Times New Roman"/>
                      <w:color w:val="auto"/>
                      <w:sz w:val="21"/>
                      <w:szCs w:val="21"/>
                    </w:rPr>
                    <w:t>m</w:t>
                  </w:r>
                  <w:r>
                    <w:rPr>
                      <w:rFonts w:hint="default" w:ascii="Times New Roman" w:hAnsi="Times New Roman" w:cs="Times New Roman"/>
                      <w:color w:val="auto"/>
                      <w:sz w:val="21"/>
                      <w:szCs w:val="21"/>
                      <w:vertAlign w:val="superscript"/>
                    </w:rPr>
                    <w:t>3</w:t>
                  </w:r>
                  <w:r>
                    <w:rPr>
                      <w:rFonts w:hint="default" w:ascii="Times New Roman" w:hAnsi="Times New Roman" w:cs="Times New Roman"/>
                      <w:color w:val="auto"/>
                      <w:sz w:val="21"/>
                      <w:szCs w:val="21"/>
                    </w:rPr>
                    <w:t>/d</w:t>
                  </w:r>
                </w:p>
              </w:tc>
              <w:tc>
                <w:tcPr>
                  <w:tcW w:w="3525" w:type="dxa"/>
                  <w:vAlign w:val="center"/>
                </w:tcPr>
                <w:p w14:paraId="1E68C42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循环使用不外排</w:t>
                  </w:r>
                </w:p>
              </w:tc>
            </w:tr>
            <w:tr w14:paraId="7619BD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8" w:hRule="atLeast"/>
                <w:jc w:val="center"/>
              </w:trPr>
              <w:tc>
                <w:tcPr>
                  <w:tcW w:w="1964" w:type="dxa"/>
                  <w:vAlign w:val="center"/>
                </w:tcPr>
                <w:p w14:paraId="2D1FB95E">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未预见用水</w:t>
                  </w:r>
                </w:p>
              </w:tc>
              <w:tc>
                <w:tcPr>
                  <w:tcW w:w="2862" w:type="dxa"/>
                  <w:gridSpan w:val="2"/>
                  <w:vAlign w:val="center"/>
                </w:tcPr>
                <w:p w14:paraId="2A51503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按用水总量的10%计算</w:t>
                  </w:r>
                </w:p>
              </w:tc>
              <w:tc>
                <w:tcPr>
                  <w:tcW w:w="1617" w:type="dxa"/>
                  <w:vAlign w:val="center"/>
                </w:tcPr>
                <w:p w14:paraId="0BD073EF">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0.885m</w:t>
                  </w:r>
                  <w:r>
                    <w:rPr>
                      <w:rFonts w:hint="eastAsia" w:cs="Times New Roman"/>
                      <w:color w:val="auto"/>
                      <w:sz w:val="21"/>
                      <w:szCs w:val="21"/>
                      <w:vertAlign w:val="superscript"/>
                      <w:lang w:val="en-US" w:eastAsia="zh-CN"/>
                    </w:rPr>
                    <w:t>3</w:t>
                  </w:r>
                  <w:r>
                    <w:rPr>
                      <w:rFonts w:hint="eastAsia" w:cs="Times New Roman"/>
                      <w:color w:val="auto"/>
                      <w:sz w:val="21"/>
                      <w:szCs w:val="21"/>
                      <w:lang w:val="en-US" w:eastAsia="zh-CN"/>
                    </w:rPr>
                    <w:t>/d</w:t>
                  </w:r>
                </w:p>
              </w:tc>
              <w:tc>
                <w:tcPr>
                  <w:tcW w:w="3525" w:type="dxa"/>
                  <w:vAlign w:val="center"/>
                </w:tcPr>
                <w:p w14:paraId="7E25FCBA">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w:t>
                  </w:r>
                </w:p>
              </w:tc>
            </w:tr>
            <w:tr w14:paraId="18911B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8" w:hRule="atLeast"/>
                <w:jc w:val="center"/>
              </w:trPr>
              <w:tc>
                <w:tcPr>
                  <w:tcW w:w="1964" w:type="dxa"/>
                  <w:vAlign w:val="center"/>
                </w:tcPr>
                <w:p w14:paraId="36F0AA50">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总计</w:t>
                  </w:r>
                </w:p>
              </w:tc>
              <w:tc>
                <w:tcPr>
                  <w:tcW w:w="1421" w:type="dxa"/>
                  <w:vAlign w:val="center"/>
                </w:tcPr>
                <w:p w14:paraId="303DD2C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1441" w:type="dxa"/>
                  <w:vAlign w:val="center"/>
                </w:tcPr>
                <w:p w14:paraId="00CD5B7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1617" w:type="dxa"/>
                  <w:vAlign w:val="center"/>
                </w:tcPr>
                <w:p w14:paraId="0F9615A8">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9.835m</w:t>
                  </w:r>
                  <w:r>
                    <w:rPr>
                      <w:rFonts w:hint="eastAsia" w:cs="Times New Roman"/>
                      <w:color w:val="auto"/>
                      <w:sz w:val="21"/>
                      <w:szCs w:val="21"/>
                      <w:vertAlign w:val="superscript"/>
                      <w:lang w:val="en-US" w:eastAsia="zh-CN"/>
                    </w:rPr>
                    <w:t>3/</w:t>
                  </w:r>
                  <w:r>
                    <w:rPr>
                      <w:rFonts w:hint="eastAsia" w:cs="Times New Roman"/>
                      <w:color w:val="auto"/>
                      <w:sz w:val="21"/>
                      <w:szCs w:val="21"/>
                      <w:lang w:val="en-US" w:eastAsia="zh-CN"/>
                    </w:rPr>
                    <w:t>d</w:t>
                  </w:r>
                </w:p>
              </w:tc>
              <w:tc>
                <w:tcPr>
                  <w:tcW w:w="3525" w:type="dxa"/>
                  <w:vAlign w:val="center"/>
                </w:tcPr>
                <w:p w14:paraId="73E4FBE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r>
          </w:tbl>
          <w:p w14:paraId="493E21DD">
            <w:pPr>
              <w:spacing w:line="360" w:lineRule="auto"/>
              <w:ind w:firstLine="482" w:firstLineChars="20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2、排水</w:t>
            </w:r>
          </w:p>
          <w:p w14:paraId="03E9AED6">
            <w:pPr>
              <w:spacing w:line="360" w:lineRule="auto"/>
              <w:ind w:firstLine="480"/>
              <w:rPr>
                <w:rFonts w:hint="eastAsia" w:ascii="Times New Roman" w:hAnsi="Times New Roman" w:eastAsia="宋体" w:cs="Times New Roman"/>
                <w:color w:val="auto"/>
                <w:sz w:val="24"/>
                <w:szCs w:val="24"/>
                <w:lang w:val="en-GB" w:eastAsia="zh-CN"/>
              </w:rPr>
            </w:pPr>
            <w:r>
              <w:rPr>
                <w:rFonts w:hint="default" w:ascii="Times New Roman" w:hAnsi="Times New Roman" w:cs="Times New Roman"/>
                <w:color w:val="auto"/>
                <w:sz w:val="24"/>
                <w:szCs w:val="24"/>
                <w:lang w:val="en-GB"/>
              </w:rPr>
              <w:t>项目排水</w:t>
            </w:r>
            <w:r>
              <w:rPr>
                <w:rFonts w:hint="default" w:ascii="Times New Roman" w:hAnsi="Times New Roman" w:cs="Times New Roman"/>
                <w:color w:val="auto"/>
                <w:sz w:val="24"/>
                <w:szCs w:val="24"/>
                <w:lang w:val="en-GB" w:eastAsia="zh-CN"/>
              </w:rPr>
              <w:t>严格</w:t>
            </w:r>
            <w:r>
              <w:rPr>
                <w:rFonts w:hint="default" w:ascii="Times New Roman" w:hAnsi="Times New Roman" w:cs="Times New Roman"/>
                <w:color w:val="auto"/>
                <w:sz w:val="24"/>
                <w:szCs w:val="24"/>
                <w:lang w:val="en-GB"/>
              </w:rPr>
              <w:t>实行雨污分流制</w:t>
            </w:r>
            <w:r>
              <w:rPr>
                <w:rFonts w:hint="eastAsia" w:cs="Times New Roman"/>
                <w:color w:val="auto"/>
                <w:sz w:val="24"/>
                <w:szCs w:val="24"/>
                <w:lang w:val="en-GB" w:eastAsia="zh-CN"/>
              </w:rPr>
              <w:t>。</w:t>
            </w:r>
          </w:p>
          <w:p w14:paraId="773D7642">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GB"/>
              </w:rPr>
              <w:t>雨水：</w:t>
            </w:r>
            <w:r>
              <w:rPr>
                <w:rFonts w:hint="default" w:ascii="Times New Roman" w:hAnsi="Times New Roman" w:cs="Times New Roman"/>
                <w:color w:val="auto"/>
                <w:sz w:val="24"/>
                <w:szCs w:val="24"/>
              </w:rPr>
              <w:t>本项目的屋面雨水经过雨水斗、管道收集后排入室外雨水检查井，场地雨水经雨水口收集后排入</w:t>
            </w:r>
            <w:r>
              <w:rPr>
                <w:rFonts w:hint="default" w:ascii="Times New Roman" w:hAnsi="Times New Roman" w:cs="Times New Roman"/>
                <w:color w:val="auto"/>
                <w:sz w:val="24"/>
                <w:szCs w:val="24"/>
                <w:lang w:eastAsia="zh-CN"/>
              </w:rPr>
              <w:t>市政</w:t>
            </w:r>
            <w:r>
              <w:rPr>
                <w:rFonts w:hint="default" w:ascii="Times New Roman" w:hAnsi="Times New Roman" w:cs="Times New Roman"/>
                <w:color w:val="auto"/>
                <w:sz w:val="24"/>
                <w:szCs w:val="24"/>
              </w:rPr>
              <w:t>雨水</w:t>
            </w:r>
            <w:r>
              <w:rPr>
                <w:rFonts w:hint="default" w:ascii="Times New Roman" w:hAnsi="Times New Roman" w:cs="Times New Roman"/>
                <w:color w:val="auto"/>
                <w:sz w:val="24"/>
                <w:szCs w:val="24"/>
                <w:lang w:eastAsia="zh-CN"/>
              </w:rPr>
              <w:t>管网。</w:t>
            </w:r>
          </w:p>
          <w:p w14:paraId="5678DCF6">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生活污水：生活污水经预处理池处理达到《污水综合排放标准》（GB8978-1996）三级标准后排入园区污水管网，经</w:t>
            </w:r>
            <w:r>
              <w:rPr>
                <w:rFonts w:hint="default" w:ascii="Times New Roman" w:hAnsi="Times New Roman" w:cs="Times New Roman"/>
                <w:color w:val="auto"/>
                <w:sz w:val="24"/>
                <w:szCs w:val="24"/>
                <w:lang w:eastAsia="zh-CN"/>
              </w:rPr>
              <w:t>龙眼井</w:t>
            </w:r>
            <w:r>
              <w:rPr>
                <w:rFonts w:hint="default" w:ascii="Times New Roman" w:hAnsi="Times New Roman" w:cs="Times New Roman"/>
                <w:color w:val="auto"/>
                <w:sz w:val="24"/>
                <w:szCs w:val="24"/>
              </w:rPr>
              <w:t>污水处理厂处理达《城镇污水处理厂污染物排放标准》（GB18918-2002）一级A标准后排至</w:t>
            </w:r>
            <w:r>
              <w:rPr>
                <w:rFonts w:hint="default" w:ascii="Times New Roman" w:hAnsi="Times New Roman" w:cs="Times New Roman"/>
                <w:color w:val="auto"/>
                <w:sz w:val="24"/>
                <w:szCs w:val="24"/>
                <w:lang w:eastAsia="zh-CN"/>
              </w:rPr>
              <w:t>琼江</w:t>
            </w:r>
            <w:r>
              <w:rPr>
                <w:rFonts w:hint="default" w:ascii="Times New Roman" w:hAnsi="Times New Roman" w:cs="Times New Roman"/>
                <w:color w:val="auto"/>
                <w:sz w:val="24"/>
                <w:szCs w:val="24"/>
              </w:rPr>
              <w:t>。</w:t>
            </w:r>
          </w:p>
          <w:p w14:paraId="654C8164">
            <w:pPr>
              <w:pStyle w:val="28"/>
              <w:spacing w:line="360" w:lineRule="auto"/>
              <w:ind w:firstLine="480" w:firstLineChars="200"/>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食堂含油废水</w:t>
            </w:r>
            <w:r>
              <w:rPr>
                <w:rFonts w:hint="eastAsia" w:ascii="Times New Roman" w:hAnsi="Times New Roman" w:eastAsia="宋体" w:cs="Times New Roman"/>
                <w:color w:val="auto"/>
                <w:kern w:val="2"/>
                <w:sz w:val="24"/>
                <w:szCs w:val="24"/>
                <w:lang w:val="en-US" w:eastAsia="zh-CN" w:bidi="ar-SA"/>
              </w:rPr>
              <w:t>：经食堂隔油池预处理后再汇同生活污水进入化粪池处理达到《污水综合排放标准》（GB8978-1996）三级标准后排入园区污水管网，经龙眼井污水处理厂处理达《城镇污水处理厂污染物排放标准》（GB18918-2002）一级A标准后排至琼江。</w:t>
            </w:r>
          </w:p>
          <w:p w14:paraId="445983A9">
            <w:pPr>
              <w:spacing w:line="360" w:lineRule="auto"/>
              <w:ind w:firstLine="480"/>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生产废水：项目生产</w:t>
            </w:r>
            <w:r>
              <w:rPr>
                <w:rFonts w:hint="eastAsia" w:ascii="Times New Roman" w:hAnsi="Times New Roman" w:eastAsia="宋体" w:cs="Times New Roman"/>
                <w:color w:val="auto"/>
                <w:kern w:val="2"/>
                <w:sz w:val="24"/>
                <w:szCs w:val="24"/>
                <w:lang w:val="en-US" w:eastAsia="zh-CN" w:bidi="ar-SA"/>
              </w:rPr>
              <w:t>用水</w:t>
            </w:r>
            <w:r>
              <w:rPr>
                <w:rFonts w:hint="default" w:ascii="Times New Roman" w:hAnsi="Times New Roman" w:eastAsia="宋体" w:cs="Times New Roman"/>
                <w:color w:val="auto"/>
                <w:kern w:val="2"/>
                <w:sz w:val="24"/>
                <w:szCs w:val="24"/>
                <w:lang w:val="en-US" w:eastAsia="zh-CN" w:bidi="ar-SA"/>
              </w:rPr>
              <w:t>主要</w:t>
            </w:r>
            <w:r>
              <w:rPr>
                <w:rFonts w:hint="eastAsia" w:ascii="Times New Roman" w:hAnsi="Times New Roman" w:eastAsia="宋体" w:cs="Times New Roman"/>
                <w:color w:val="auto"/>
                <w:kern w:val="2"/>
                <w:sz w:val="24"/>
                <w:szCs w:val="24"/>
                <w:lang w:val="en-US" w:eastAsia="zh-CN" w:bidi="ar-SA"/>
              </w:rPr>
              <w:t>用于</w:t>
            </w:r>
            <w:r>
              <w:rPr>
                <w:rFonts w:hint="default" w:ascii="Times New Roman" w:hAnsi="Times New Roman" w:eastAsia="宋体" w:cs="Times New Roman"/>
                <w:color w:val="auto"/>
                <w:kern w:val="2"/>
                <w:sz w:val="24"/>
                <w:szCs w:val="24"/>
                <w:lang w:val="en-US" w:eastAsia="zh-CN" w:bidi="ar-SA"/>
              </w:rPr>
              <w:t>注吹塑工艺使用自循环冷却系统，用于注塑机油冷器及模具的冷却，水消耗量为高温蒸发（0.1吨/天），日常无排放。</w:t>
            </w:r>
          </w:p>
          <w:p w14:paraId="2DB2E14E">
            <w:pPr>
              <w:spacing w:line="360" w:lineRule="auto"/>
              <w:ind w:firstLine="482" w:firstLineChars="20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3、供电</w:t>
            </w:r>
          </w:p>
          <w:p w14:paraId="1E080397">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本项目用电由园区电网供给，电源为380/220V</w:t>
            </w:r>
            <w:r>
              <w:rPr>
                <w:rFonts w:hint="eastAsia" w:cs="Times New Roman"/>
                <w:color w:val="auto"/>
                <w:sz w:val="24"/>
                <w:szCs w:val="24"/>
                <w:lang w:eastAsia="zh-CN"/>
              </w:rPr>
              <w:t>，</w:t>
            </w:r>
            <w:r>
              <w:rPr>
                <w:rFonts w:hint="default" w:ascii="Times New Roman" w:hAnsi="Times New Roman" w:cs="Times New Roman"/>
                <w:color w:val="auto"/>
                <w:sz w:val="24"/>
                <w:szCs w:val="24"/>
              </w:rPr>
              <w:t>年用电量预计约为</w:t>
            </w:r>
            <w:r>
              <w:rPr>
                <w:rFonts w:hint="eastAsia" w:cs="Times New Roman"/>
                <w:color w:val="auto"/>
                <w:sz w:val="24"/>
                <w:szCs w:val="24"/>
                <w:lang w:val="en-US" w:eastAsia="zh-CN"/>
              </w:rPr>
              <w:t>60</w:t>
            </w:r>
            <w:r>
              <w:rPr>
                <w:rFonts w:hint="default" w:ascii="Times New Roman" w:hAnsi="Times New Roman" w:cs="Times New Roman"/>
                <w:color w:val="auto"/>
                <w:sz w:val="24"/>
                <w:szCs w:val="24"/>
              </w:rPr>
              <w:t>万kW·h。</w:t>
            </w:r>
          </w:p>
          <w:p w14:paraId="7FB742A6">
            <w:pPr>
              <w:spacing w:line="360" w:lineRule="auto"/>
              <w:ind w:firstLine="482" w:firstLineChars="20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4、空调系统</w:t>
            </w:r>
          </w:p>
          <w:p w14:paraId="265B2928">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本项目生产车间未设置空调系统，仅在办公区设置分体式空调。</w:t>
            </w:r>
          </w:p>
          <w:p w14:paraId="29DC60A0">
            <w:pPr>
              <w:spacing w:line="360" w:lineRule="auto"/>
              <w:rPr>
                <w:rFonts w:hint="default" w:ascii="Times New Roman" w:hAnsi="Times New Roman" w:eastAsia="黑体" w:cs="Times New Roman"/>
                <w:color w:val="auto"/>
                <w:sz w:val="28"/>
                <w:szCs w:val="28"/>
              </w:rPr>
            </w:pPr>
            <w:r>
              <w:rPr>
                <w:rFonts w:hint="default" w:ascii="Times New Roman" w:hAnsi="Times New Roman" w:eastAsia="黑体" w:cs="Times New Roman"/>
                <w:color w:val="auto"/>
                <w:sz w:val="28"/>
                <w:szCs w:val="28"/>
              </w:rPr>
              <w:t>十、劳动定员及工作制度</w:t>
            </w:r>
          </w:p>
          <w:p w14:paraId="324A9F65">
            <w:pPr>
              <w:spacing w:line="360" w:lineRule="auto"/>
              <w:ind w:firstLine="48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1、劳动定员</w:t>
            </w:r>
          </w:p>
          <w:p w14:paraId="2634109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本项目劳动定员</w:t>
            </w:r>
            <w:r>
              <w:rPr>
                <w:rFonts w:hint="eastAsia" w:cs="Times New Roman"/>
                <w:color w:val="auto"/>
                <w:sz w:val="24"/>
                <w:szCs w:val="24"/>
                <w:lang w:val="en-US" w:eastAsia="zh-CN"/>
              </w:rPr>
              <w:t>59</w:t>
            </w:r>
            <w:r>
              <w:rPr>
                <w:rFonts w:hint="default" w:ascii="Times New Roman" w:hAnsi="Times New Roman" w:cs="Times New Roman"/>
                <w:color w:val="auto"/>
                <w:sz w:val="24"/>
                <w:szCs w:val="24"/>
              </w:rPr>
              <w:t>人。</w:t>
            </w:r>
          </w:p>
          <w:p w14:paraId="63DF4DD5">
            <w:pPr>
              <w:spacing w:line="360" w:lineRule="auto"/>
              <w:ind w:firstLine="48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2、工作制度</w:t>
            </w:r>
          </w:p>
          <w:p w14:paraId="35FAACA4">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本项目实行8小时工作制，年工作</w:t>
            </w:r>
            <w:r>
              <w:rPr>
                <w:rFonts w:hint="default" w:ascii="Times New Roman" w:hAnsi="Times New Roman" w:cs="Times New Roman"/>
                <w:color w:val="auto"/>
                <w:sz w:val="24"/>
                <w:szCs w:val="24"/>
                <w:lang w:val="en-US" w:eastAsia="zh-CN"/>
              </w:rPr>
              <w:t>300</w:t>
            </w:r>
            <w:r>
              <w:rPr>
                <w:rFonts w:hint="default" w:ascii="Times New Roman" w:hAnsi="Times New Roman" w:cs="Times New Roman"/>
                <w:color w:val="auto"/>
                <w:sz w:val="24"/>
                <w:szCs w:val="24"/>
              </w:rPr>
              <w:t>天。</w:t>
            </w:r>
          </w:p>
          <w:p w14:paraId="0686C162">
            <w:pPr>
              <w:spacing w:line="360" w:lineRule="auto"/>
              <w:ind w:firstLine="480" w:firstLineChars="200"/>
              <w:rPr>
                <w:rFonts w:hint="default" w:ascii="Times New Roman" w:hAnsi="Times New Roman" w:cs="Times New Roman"/>
                <w:color w:val="auto"/>
                <w:sz w:val="24"/>
                <w:szCs w:val="24"/>
              </w:rPr>
            </w:pPr>
          </w:p>
          <w:p w14:paraId="76EDC770">
            <w:pPr>
              <w:spacing w:line="360" w:lineRule="auto"/>
              <w:ind w:firstLine="480" w:firstLineChars="200"/>
              <w:rPr>
                <w:rFonts w:hint="default" w:ascii="Times New Roman" w:hAnsi="Times New Roman" w:cs="Times New Roman"/>
                <w:color w:val="auto"/>
                <w:sz w:val="24"/>
                <w:szCs w:val="24"/>
              </w:rPr>
            </w:pPr>
          </w:p>
          <w:p w14:paraId="7AE23A0B">
            <w:pPr>
              <w:spacing w:line="360" w:lineRule="auto"/>
              <w:ind w:firstLine="480" w:firstLineChars="200"/>
              <w:rPr>
                <w:rFonts w:hint="default" w:ascii="Times New Roman" w:hAnsi="Times New Roman" w:cs="Times New Roman"/>
                <w:color w:val="auto"/>
                <w:sz w:val="24"/>
                <w:szCs w:val="24"/>
              </w:rPr>
            </w:pPr>
          </w:p>
          <w:p w14:paraId="7E93DA9E">
            <w:pPr>
              <w:spacing w:line="360" w:lineRule="auto"/>
              <w:ind w:firstLine="480" w:firstLineChars="200"/>
              <w:rPr>
                <w:rFonts w:hint="default" w:ascii="Times New Roman" w:hAnsi="Times New Roman" w:eastAsia="宋体" w:cs="Times New Roman"/>
                <w:color w:val="auto"/>
                <w:sz w:val="24"/>
                <w:szCs w:val="24"/>
                <w:lang w:eastAsia="zh-CN"/>
              </w:rPr>
            </w:pPr>
          </w:p>
        </w:tc>
      </w:tr>
      <w:tr w14:paraId="389B58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10194" w:type="dxa"/>
            <w:gridSpan w:val="7"/>
            <w:shd w:val="clear" w:color="auto" w:fill="auto"/>
          </w:tcPr>
          <w:p w14:paraId="1468B2CE">
            <w:pPr>
              <w:spacing w:line="360" w:lineRule="auto"/>
              <w:rPr>
                <w:rFonts w:hint="default" w:ascii="Times New Roman" w:hAnsi="Times New Roman" w:cs="Times New Roman"/>
                <w:b/>
                <w:bCs/>
                <w:color w:val="auto"/>
                <w:sz w:val="28"/>
                <w:szCs w:val="28"/>
                <w:lang w:eastAsia="zh-CN"/>
              </w:rPr>
            </w:pPr>
            <w:r>
              <w:rPr>
                <w:rFonts w:hint="default" w:ascii="Times New Roman" w:hAnsi="Times New Roman" w:cs="Times New Roman"/>
                <w:b/>
                <w:bCs/>
                <w:color w:val="auto"/>
                <w:sz w:val="28"/>
                <w:szCs w:val="28"/>
                <w:lang w:eastAsia="zh-CN"/>
              </w:rPr>
              <w:t>与本项目有关的原有污染情况及主要环境问题</w:t>
            </w:r>
          </w:p>
          <w:p w14:paraId="4DEE1CC6">
            <w:pPr>
              <w:spacing w:line="360" w:lineRule="auto"/>
              <w:ind w:firstLine="480" w:firstLineChars="200"/>
              <w:rPr>
                <w:rFonts w:hint="default"/>
                <w:lang w:val="en-US" w:eastAsia="zh-CN"/>
              </w:rPr>
            </w:pPr>
            <w:r>
              <w:rPr>
                <w:rFonts w:hint="default" w:ascii="Times New Roman" w:hAnsi="Times New Roman" w:cs="Times New Roman"/>
                <w:color w:val="auto"/>
                <w:sz w:val="24"/>
                <w:szCs w:val="24"/>
                <w:lang w:eastAsia="zh-CN"/>
              </w:rPr>
              <w:t>本项目为新建项目，选址位于遂宁市</w:t>
            </w:r>
            <w:r>
              <w:rPr>
                <w:rFonts w:hint="eastAsia" w:ascii="Times New Roman" w:hAnsi="Times New Roman" w:cs="Times New Roman"/>
                <w:color w:val="auto"/>
                <w:sz w:val="24"/>
                <w:szCs w:val="24"/>
                <w:lang w:val="en-US" w:eastAsia="zh-CN"/>
              </w:rPr>
              <w:t>安居区汽摩产业园内</w:t>
            </w:r>
            <w:r>
              <w:rPr>
                <w:rFonts w:hint="default" w:ascii="Times New Roman" w:hAnsi="Times New Roman" w:cs="Times New Roman"/>
                <w:color w:val="auto"/>
                <w:sz w:val="24"/>
                <w:szCs w:val="24"/>
                <w:lang w:eastAsia="zh-CN"/>
              </w:rPr>
              <w:t>，周边主要为</w:t>
            </w:r>
            <w:r>
              <w:rPr>
                <w:rFonts w:hint="eastAsia" w:ascii="Times New Roman" w:hAnsi="Times New Roman" w:cs="Times New Roman"/>
                <w:color w:val="auto"/>
                <w:sz w:val="24"/>
                <w:szCs w:val="24"/>
                <w:lang w:val="en-US" w:eastAsia="zh-CN"/>
              </w:rPr>
              <w:t>已建厂房和待建空地</w:t>
            </w:r>
            <w:r>
              <w:rPr>
                <w:rFonts w:hint="default" w:ascii="Times New Roman" w:hAnsi="Times New Roman" w:cs="Times New Roman"/>
                <w:color w:val="auto"/>
                <w:sz w:val="24"/>
                <w:szCs w:val="24"/>
                <w:lang w:eastAsia="zh-CN"/>
              </w:rPr>
              <w:t>，根据现场踏勘，项目地现状为待建空地，无遗留环境问题，项目现状见下图</w:t>
            </w:r>
            <w:r>
              <w:rPr>
                <w:rFonts w:hint="default" w:ascii="Times New Roman" w:hAnsi="Times New Roman" w:cs="Times New Roman"/>
                <w:color w:val="auto"/>
                <w:sz w:val="24"/>
                <w:szCs w:val="24"/>
                <w:lang w:val="en-US" w:eastAsia="zh-CN"/>
              </w:rPr>
              <w:t>1-2~7</w:t>
            </w:r>
            <w:r>
              <w:rPr>
                <w:rFonts w:hint="default" w:ascii="Times New Roman" w:hAnsi="Times New Roman" w:cs="Times New Roman"/>
                <w:color w:val="auto"/>
                <w:sz w:val="24"/>
                <w:szCs w:val="24"/>
                <w:lang w:eastAsia="zh-CN"/>
              </w:rPr>
              <w:t>：</w:t>
            </w:r>
            <w:r>
              <w:rPr>
                <w:rFonts w:hint="eastAsia"/>
                <w:lang w:val="en-US" w:eastAsia="zh-CN"/>
              </w:rPr>
              <w:t xml:space="preserve"> </w:t>
            </w:r>
            <w:r>
              <w:rPr>
                <w:rFonts w:hint="default"/>
                <w:lang w:eastAsia="zh-CN"/>
              </w:rPr>
              <w:drawing>
                <wp:inline distT="0" distB="0" distL="114300" distR="114300">
                  <wp:extent cx="3060700" cy="2059305"/>
                  <wp:effectExtent l="0" t="0" r="6350" b="17145"/>
                  <wp:docPr id="4" name="图片 4" descr="QQ图片20180712112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QQ图片20180712112608"/>
                          <pic:cNvPicPr>
                            <a:picLocks noChangeAspect="1"/>
                          </pic:cNvPicPr>
                        </pic:nvPicPr>
                        <pic:blipFill>
                          <a:blip r:embed="rId11"/>
                          <a:stretch>
                            <a:fillRect/>
                          </a:stretch>
                        </pic:blipFill>
                        <pic:spPr>
                          <a:xfrm>
                            <a:off x="0" y="0"/>
                            <a:ext cx="3060700" cy="2059305"/>
                          </a:xfrm>
                          <a:prstGeom prst="rect">
                            <a:avLst/>
                          </a:prstGeom>
                        </pic:spPr>
                      </pic:pic>
                    </a:graphicData>
                  </a:graphic>
                </wp:inline>
              </w:drawing>
            </w:r>
            <w:r>
              <w:rPr>
                <w:rFonts w:hint="eastAsia"/>
                <w:lang w:val="en-US" w:eastAsia="zh-CN"/>
              </w:rPr>
              <w:t xml:space="preserve"> </w:t>
            </w:r>
            <w:r>
              <w:rPr>
                <w:rFonts w:hint="default"/>
                <w:lang w:val="en-US" w:eastAsia="zh-CN"/>
              </w:rPr>
              <w:drawing>
                <wp:inline distT="0" distB="0" distL="114300" distR="114300">
                  <wp:extent cx="3192145" cy="2082800"/>
                  <wp:effectExtent l="0" t="0" r="8255" b="12700"/>
                  <wp:docPr id="22" name="图片 22" descr="QQ图片20180712112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QQ图片20180712112612"/>
                          <pic:cNvPicPr>
                            <a:picLocks noChangeAspect="1"/>
                          </pic:cNvPicPr>
                        </pic:nvPicPr>
                        <pic:blipFill>
                          <a:blip r:embed="rId12"/>
                          <a:stretch>
                            <a:fillRect/>
                          </a:stretch>
                        </pic:blipFill>
                        <pic:spPr>
                          <a:xfrm>
                            <a:off x="0" y="0"/>
                            <a:ext cx="3192145" cy="2082800"/>
                          </a:xfrm>
                          <a:prstGeom prst="rect">
                            <a:avLst/>
                          </a:prstGeom>
                        </pic:spPr>
                      </pic:pic>
                    </a:graphicData>
                  </a:graphic>
                </wp:inline>
              </w:drawing>
            </w:r>
          </w:p>
          <w:p w14:paraId="79BCC431">
            <w:pPr>
              <w:pStyle w:val="28"/>
              <w:ind w:firstLine="960" w:firstLineChars="400"/>
              <w:rPr>
                <w:rFonts w:hint="eastAsia"/>
                <w:lang w:val="en-US" w:eastAsia="zh-CN"/>
              </w:rPr>
            </w:pPr>
            <w:r>
              <w:rPr>
                <w:rFonts w:hint="eastAsia"/>
                <w:lang w:val="en-US" w:eastAsia="zh-CN"/>
              </w:rPr>
              <w:t>项目所在地现状及北侧情况            项目西侧安东大道  隔道为园区待建空地</w:t>
            </w:r>
          </w:p>
          <w:p w14:paraId="3A932560">
            <w:pPr>
              <w:pStyle w:val="28"/>
              <w:rPr>
                <w:rFonts w:hint="default"/>
                <w:lang w:val="en-US" w:eastAsia="zh-CN"/>
              </w:rPr>
            </w:pPr>
            <w:r>
              <w:rPr>
                <w:rFonts w:hint="default"/>
                <w:lang w:val="en-US" w:eastAsia="zh-CN"/>
              </w:rPr>
              <w:drawing>
                <wp:inline distT="0" distB="0" distL="114300" distR="114300">
                  <wp:extent cx="3091180" cy="2108200"/>
                  <wp:effectExtent l="0" t="0" r="13970" b="6350"/>
                  <wp:docPr id="25" name="图片 25" descr="QQ图片20180712112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QQ图片20180712112616"/>
                          <pic:cNvPicPr>
                            <a:picLocks noChangeAspect="1"/>
                          </pic:cNvPicPr>
                        </pic:nvPicPr>
                        <pic:blipFill>
                          <a:blip r:embed="rId13"/>
                          <a:stretch>
                            <a:fillRect/>
                          </a:stretch>
                        </pic:blipFill>
                        <pic:spPr>
                          <a:xfrm>
                            <a:off x="0" y="0"/>
                            <a:ext cx="3091180" cy="2108200"/>
                          </a:xfrm>
                          <a:prstGeom prst="rect">
                            <a:avLst/>
                          </a:prstGeom>
                        </pic:spPr>
                      </pic:pic>
                    </a:graphicData>
                  </a:graphic>
                </wp:inline>
              </w:drawing>
            </w:r>
            <w:r>
              <w:rPr>
                <w:rFonts w:hint="eastAsia"/>
                <w:lang w:val="en-US" w:eastAsia="zh-CN"/>
              </w:rPr>
              <w:t xml:space="preserve"> </w:t>
            </w:r>
            <w:r>
              <w:rPr>
                <w:rFonts w:hint="default"/>
                <w:lang w:val="en-US" w:eastAsia="zh-CN"/>
              </w:rPr>
              <w:drawing>
                <wp:inline distT="0" distB="0" distL="114300" distR="114300">
                  <wp:extent cx="3115945" cy="2070100"/>
                  <wp:effectExtent l="0" t="0" r="8255" b="6350"/>
                  <wp:docPr id="37" name="图片 37" descr="QQ图片20180712112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QQ图片20180712112626"/>
                          <pic:cNvPicPr>
                            <a:picLocks noChangeAspect="1"/>
                          </pic:cNvPicPr>
                        </pic:nvPicPr>
                        <pic:blipFill>
                          <a:blip r:embed="rId14"/>
                          <a:stretch>
                            <a:fillRect/>
                          </a:stretch>
                        </pic:blipFill>
                        <pic:spPr>
                          <a:xfrm>
                            <a:off x="0" y="0"/>
                            <a:ext cx="3115945" cy="2070100"/>
                          </a:xfrm>
                          <a:prstGeom prst="rect">
                            <a:avLst/>
                          </a:prstGeom>
                        </pic:spPr>
                      </pic:pic>
                    </a:graphicData>
                  </a:graphic>
                </wp:inline>
              </w:drawing>
            </w:r>
          </w:p>
          <w:p w14:paraId="6FFAF409">
            <w:pPr>
              <w:pStyle w:val="28"/>
              <w:rPr>
                <w:rFonts w:hint="default"/>
                <w:lang w:val="en-US" w:eastAsia="zh-CN"/>
              </w:rPr>
            </w:pPr>
            <w:r>
              <w:rPr>
                <w:rFonts w:hint="eastAsia"/>
                <w:lang w:val="en-US" w:eastAsia="zh-CN"/>
              </w:rPr>
              <w:t xml:space="preserve">              项目北侧坡地                               项目南侧空地</w:t>
            </w:r>
          </w:p>
        </w:tc>
      </w:tr>
    </w:tbl>
    <w:p w14:paraId="01498C0B">
      <w:pPr>
        <w:pStyle w:val="3"/>
        <w:spacing w:before="0" w:after="0" w:line="240" w:lineRule="auto"/>
        <w:rPr>
          <w:rFonts w:hint="default" w:ascii="Times New Roman" w:hAnsi="Times New Roman" w:cs="Times New Roman"/>
          <w:color w:val="auto"/>
          <w:sz w:val="28"/>
          <w:szCs w:val="28"/>
        </w:rPr>
      </w:pPr>
    </w:p>
    <w:p w14:paraId="2FC83912">
      <w:pPr>
        <w:pStyle w:val="3"/>
        <w:spacing w:before="0" w:after="0" w:line="240" w:lineRule="auto"/>
        <w:rPr>
          <w:rFonts w:hint="default" w:ascii="Times New Roman" w:hAnsi="Times New Roman" w:cs="Times New Roman"/>
          <w:color w:val="auto"/>
          <w:sz w:val="28"/>
          <w:szCs w:val="28"/>
        </w:rPr>
      </w:pPr>
    </w:p>
    <w:p w14:paraId="3977B5FA">
      <w:pPr>
        <w:pStyle w:val="3"/>
        <w:spacing w:before="0" w:after="0" w:line="240" w:lineRule="auto"/>
        <w:rPr>
          <w:rFonts w:hint="default" w:ascii="Times New Roman" w:hAnsi="Times New Roman" w:cs="Times New Roman"/>
          <w:color w:val="auto"/>
          <w:sz w:val="28"/>
          <w:szCs w:val="28"/>
        </w:rPr>
      </w:pPr>
    </w:p>
    <w:p w14:paraId="703EC929">
      <w:pPr>
        <w:rPr>
          <w:rFonts w:hint="default" w:ascii="Times New Roman" w:hAnsi="Times New Roman" w:cs="Times New Roman"/>
          <w:color w:val="auto"/>
          <w:sz w:val="28"/>
          <w:szCs w:val="28"/>
        </w:rPr>
      </w:pPr>
    </w:p>
    <w:p w14:paraId="1575221D">
      <w:pPr>
        <w:pStyle w:val="2"/>
        <w:rPr>
          <w:rFonts w:hint="default" w:ascii="Times New Roman" w:hAnsi="Times New Roman" w:cs="Times New Roman"/>
          <w:color w:val="auto"/>
          <w:sz w:val="28"/>
          <w:szCs w:val="28"/>
        </w:rPr>
      </w:pPr>
    </w:p>
    <w:p w14:paraId="158B5C3E">
      <w:pPr>
        <w:pStyle w:val="2"/>
        <w:rPr>
          <w:rFonts w:hint="default" w:ascii="Times New Roman" w:hAnsi="Times New Roman" w:cs="Times New Roman"/>
          <w:color w:val="auto"/>
          <w:sz w:val="28"/>
          <w:szCs w:val="28"/>
        </w:rPr>
      </w:pPr>
    </w:p>
    <w:p w14:paraId="1597C176">
      <w:pPr>
        <w:pStyle w:val="2"/>
        <w:rPr>
          <w:rFonts w:hint="default" w:ascii="Times New Roman" w:hAnsi="Times New Roman" w:cs="Times New Roman"/>
          <w:color w:val="auto"/>
          <w:sz w:val="28"/>
          <w:szCs w:val="28"/>
        </w:rPr>
      </w:pPr>
    </w:p>
    <w:p w14:paraId="2CBC0F7D">
      <w:pPr>
        <w:pStyle w:val="3"/>
        <w:spacing w:before="0" w:after="0" w:line="240" w:lineRule="auto"/>
        <w:rPr>
          <w:rFonts w:hint="default" w:ascii="Times New Roman" w:hAnsi="Times New Roman" w:cs="Times New Roman"/>
          <w:color w:val="auto"/>
          <w:szCs w:val="28"/>
        </w:rPr>
      </w:pPr>
      <w:r>
        <w:rPr>
          <w:rFonts w:hint="default" w:ascii="Times New Roman" w:hAnsi="Times New Roman" w:cs="Times New Roman"/>
          <w:color w:val="auto"/>
          <w:sz w:val="28"/>
          <w:szCs w:val="28"/>
        </w:rPr>
        <w:t xml:space="preserve">建设项目所在地自然环境社会环境简况                         </w:t>
      </w:r>
      <w:r>
        <w:rPr>
          <w:rFonts w:hint="default" w:ascii="Times New Roman" w:hAnsi="Times New Roman" w:cs="Times New Roman"/>
          <w:color w:val="auto"/>
          <w:sz w:val="28"/>
          <w:szCs w:val="28"/>
          <w:lang w:val="en-US" w:eastAsia="zh-CN"/>
        </w:rPr>
        <w:t xml:space="preserve">      </w:t>
      </w:r>
      <w:r>
        <w:rPr>
          <w:rFonts w:hint="default" w:ascii="Times New Roman" w:hAnsi="Times New Roman" w:cs="Times New Roman"/>
          <w:color w:val="auto"/>
          <w:sz w:val="28"/>
          <w:szCs w:val="28"/>
        </w:rPr>
        <w:t>（表二）</w:t>
      </w:r>
    </w:p>
    <w:tbl>
      <w:tblPr>
        <w:tblStyle w:val="23"/>
        <w:tblW w:w="101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94"/>
      </w:tblGrid>
      <w:tr w14:paraId="4ACD0E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194" w:type="dxa"/>
            <w:shd w:val="clear" w:color="auto" w:fill="auto"/>
          </w:tcPr>
          <w:p w14:paraId="396FA63E">
            <w:pPr>
              <w:spacing w:line="360" w:lineRule="auto"/>
              <w:rPr>
                <w:rFonts w:hint="default" w:ascii="Times New Roman" w:hAnsi="Times New Roman" w:cs="Times New Roman" w:eastAsiaTheme="minorEastAsia"/>
                <w:b/>
                <w:color w:val="auto"/>
                <w:sz w:val="24"/>
                <w:szCs w:val="24"/>
              </w:rPr>
            </w:pPr>
            <w:r>
              <w:rPr>
                <w:rFonts w:hint="default" w:ascii="Times New Roman" w:hAnsi="Times New Roman" w:cs="Times New Roman" w:eastAsiaTheme="minorEastAsia"/>
                <w:b/>
                <w:color w:val="auto"/>
                <w:sz w:val="24"/>
                <w:szCs w:val="24"/>
              </w:rPr>
              <w:t>自然环境简况(地形、地貌、地质、气候、气象、水文、植被、生物多样性等)：</w:t>
            </w:r>
          </w:p>
          <w:p w14:paraId="63F32835">
            <w:pPr>
              <w:pStyle w:val="20"/>
              <w:spacing w:before="0" w:beforeAutospacing="0" w:after="0" w:afterAutospacing="0" w:line="360" w:lineRule="auto"/>
              <w:ind w:firstLine="482" w:firstLineChars="200"/>
              <w:rPr>
                <w:rFonts w:hint="default" w:ascii="Times New Roman" w:hAnsi="Times New Roman" w:cs="Times New Roman" w:eastAsiaTheme="minorEastAsia"/>
                <w:b/>
                <w:color w:val="auto"/>
                <w:sz w:val="24"/>
                <w:szCs w:val="24"/>
              </w:rPr>
            </w:pPr>
            <w:r>
              <w:rPr>
                <w:rFonts w:hint="default" w:ascii="Times New Roman" w:hAnsi="Times New Roman" w:cs="Times New Roman" w:eastAsiaTheme="minorEastAsia"/>
                <w:b/>
                <w:color w:val="auto"/>
                <w:sz w:val="24"/>
                <w:szCs w:val="24"/>
              </w:rPr>
              <w:t>一、地理位置</w:t>
            </w:r>
          </w:p>
          <w:p w14:paraId="376E9974">
            <w:pPr>
              <w:wordWrap w:val="0"/>
              <w:adjustRightInd w:val="0"/>
              <w:snapToGrid w:val="0"/>
              <w:spacing w:line="360" w:lineRule="auto"/>
              <w:ind w:firstLine="480" w:firstLineChars="200"/>
              <w:rPr>
                <w:rFonts w:hint="default" w:ascii="Times New Roman" w:hAnsi="Times New Roman" w:cs="Times New Roman" w:eastAsiaTheme="minorEastAsia"/>
                <w:color w:val="auto"/>
                <w:sz w:val="24"/>
                <w:szCs w:val="24"/>
              </w:rPr>
            </w:pPr>
            <w:r>
              <w:rPr>
                <w:rFonts w:hint="default" w:ascii="Times New Roman" w:hAnsi="Times New Roman" w:cs="Times New Roman" w:eastAsiaTheme="minorEastAsia"/>
                <w:color w:val="auto"/>
                <w:sz w:val="24"/>
                <w:szCs w:val="24"/>
              </w:rPr>
              <w:t>遂宁市安居区位于四川盆地中部，遂宁市西南部，距遂宁市城区27公里。介于东经105</w:t>
            </w:r>
            <w:r>
              <w:rPr>
                <w:rFonts w:hint="default" w:ascii="Times New Roman" w:hAnsi="Times New Roman" w:cs="Times New Roman" w:eastAsiaTheme="minorEastAsia"/>
                <w:color w:val="auto"/>
                <w:sz w:val="24"/>
                <w:szCs w:val="24"/>
                <w:vertAlign w:val="superscript"/>
              </w:rPr>
              <w:t>o</w:t>
            </w:r>
            <w:r>
              <w:rPr>
                <w:rFonts w:hint="default" w:ascii="Times New Roman" w:hAnsi="Times New Roman" w:cs="Times New Roman" w:eastAsiaTheme="minorEastAsia"/>
                <w:color w:val="auto"/>
                <w:sz w:val="24"/>
                <w:szCs w:val="24"/>
              </w:rPr>
              <w:t>03′-105</w:t>
            </w:r>
            <w:r>
              <w:rPr>
                <w:rFonts w:hint="default" w:ascii="Times New Roman" w:hAnsi="Times New Roman" w:cs="Times New Roman" w:eastAsiaTheme="minorEastAsia"/>
                <w:color w:val="auto"/>
                <w:sz w:val="24"/>
                <w:szCs w:val="24"/>
                <w:vertAlign w:val="superscript"/>
              </w:rPr>
              <w:t>o</w:t>
            </w:r>
            <w:r>
              <w:rPr>
                <w:rFonts w:hint="default" w:ascii="Times New Roman" w:hAnsi="Times New Roman" w:cs="Times New Roman" w:eastAsiaTheme="minorEastAsia"/>
                <w:color w:val="auto"/>
                <w:sz w:val="24"/>
                <w:szCs w:val="24"/>
              </w:rPr>
              <w:t>44′，北纬30</w:t>
            </w:r>
            <w:r>
              <w:rPr>
                <w:rFonts w:hint="default" w:ascii="Times New Roman" w:hAnsi="Times New Roman" w:cs="Times New Roman" w:eastAsiaTheme="minorEastAsia"/>
                <w:color w:val="auto"/>
                <w:sz w:val="24"/>
                <w:szCs w:val="24"/>
                <w:vertAlign w:val="superscript"/>
              </w:rPr>
              <w:t>o</w:t>
            </w:r>
            <w:r>
              <w:rPr>
                <w:rFonts w:hint="default" w:ascii="Times New Roman" w:hAnsi="Times New Roman" w:cs="Times New Roman" w:eastAsiaTheme="minorEastAsia"/>
                <w:color w:val="auto"/>
                <w:sz w:val="24"/>
                <w:szCs w:val="24"/>
              </w:rPr>
              <w:t>10′-30</w:t>
            </w:r>
            <w:r>
              <w:rPr>
                <w:rFonts w:hint="default" w:ascii="Times New Roman" w:hAnsi="Times New Roman" w:cs="Times New Roman" w:eastAsiaTheme="minorEastAsia"/>
                <w:color w:val="auto"/>
                <w:sz w:val="24"/>
                <w:szCs w:val="24"/>
                <w:vertAlign w:val="superscript"/>
              </w:rPr>
              <w:t>o</w:t>
            </w:r>
            <w:r>
              <w:rPr>
                <w:rFonts w:hint="default" w:ascii="Times New Roman" w:hAnsi="Times New Roman" w:cs="Times New Roman" w:eastAsiaTheme="minorEastAsia"/>
                <w:color w:val="auto"/>
                <w:sz w:val="24"/>
                <w:szCs w:val="24"/>
              </w:rPr>
              <w:t>35′。东临遂宁市船山区，南接资阳市安岳县、重庆市潼南县，西至资阳市乐至县，北靠遂宁市大英县，处于成渝经济走廊的腹心地带。区域由原遂宁市中区南部区域分出，东西宽62.5公里，南北长44.3公里，幅员面积1258.2平方公里，耕地面积68.71万亩。公路及铁路交通都十分方便。</w:t>
            </w:r>
          </w:p>
          <w:p w14:paraId="4A32B558">
            <w:pPr>
              <w:pStyle w:val="53"/>
              <w:snapToGrid w:val="0"/>
              <w:spacing w:line="360" w:lineRule="auto"/>
              <w:ind w:firstLine="480"/>
              <w:rPr>
                <w:rFonts w:hint="default" w:ascii="Times New Roman" w:hAnsi="Times New Roman" w:cs="Times New Roman" w:eastAsiaTheme="minorEastAsia"/>
                <w:b/>
                <w:color w:val="auto"/>
                <w:sz w:val="24"/>
                <w:szCs w:val="24"/>
              </w:rPr>
            </w:pPr>
            <w:r>
              <w:rPr>
                <w:rFonts w:hint="default" w:ascii="Times New Roman" w:hAnsi="Times New Roman" w:cs="Times New Roman" w:eastAsiaTheme="minorEastAsia"/>
                <w:color w:val="auto"/>
                <w:sz w:val="24"/>
                <w:szCs w:val="24"/>
              </w:rPr>
              <w:t>项目具体地理位置详见附图1。</w:t>
            </w:r>
          </w:p>
          <w:p w14:paraId="090F5854">
            <w:pPr>
              <w:pStyle w:val="20"/>
              <w:spacing w:before="0" w:beforeAutospacing="0" w:after="0" w:afterAutospacing="0" w:line="360" w:lineRule="auto"/>
              <w:ind w:firstLine="482" w:firstLineChars="200"/>
              <w:outlineLvl w:val="0"/>
              <w:rPr>
                <w:rFonts w:hint="default" w:ascii="Times New Roman" w:hAnsi="Times New Roman" w:cs="Times New Roman" w:eastAsiaTheme="minorEastAsia"/>
                <w:b/>
                <w:color w:val="auto"/>
                <w:sz w:val="24"/>
                <w:szCs w:val="24"/>
              </w:rPr>
            </w:pPr>
            <w:r>
              <w:rPr>
                <w:rFonts w:hint="default" w:ascii="Times New Roman" w:hAnsi="Times New Roman" w:cs="Times New Roman" w:eastAsiaTheme="minorEastAsia"/>
                <w:b/>
                <w:color w:val="auto"/>
                <w:sz w:val="24"/>
                <w:szCs w:val="24"/>
              </w:rPr>
              <w:t>二、地形、地貌</w:t>
            </w:r>
          </w:p>
          <w:p w14:paraId="5BD3939D">
            <w:pPr>
              <w:spacing w:line="360" w:lineRule="auto"/>
              <w:ind w:firstLine="480" w:firstLineChars="200"/>
              <w:rPr>
                <w:rFonts w:hint="default" w:ascii="Times New Roman" w:hAnsi="Times New Roman" w:cs="Times New Roman" w:eastAsiaTheme="minorEastAsia"/>
                <w:color w:val="auto"/>
                <w:sz w:val="24"/>
                <w:szCs w:val="24"/>
                <w:shd w:val="clear" w:color="auto" w:fill="FFFFFF"/>
              </w:rPr>
            </w:pPr>
            <w:r>
              <w:rPr>
                <w:rFonts w:hint="default" w:ascii="Times New Roman" w:hAnsi="Times New Roman" w:cs="Times New Roman" w:eastAsiaTheme="minorEastAsia"/>
                <w:color w:val="auto"/>
                <w:sz w:val="24"/>
                <w:szCs w:val="24"/>
                <w:shd w:val="clear" w:color="auto" w:fill="FFFFFF"/>
              </w:rPr>
              <w:t>安居区地处川中丘陵腹地，地质构造简单，褶皱平缓，地貌类型单一，属中生代侏罗纪岩层，经流水侵蚀、切割、堆积形成侵蚀</w:t>
            </w:r>
            <w:r>
              <w:rPr>
                <w:rFonts w:hint="default" w:ascii="Times New Roman" w:hAnsi="Times New Roman" w:cs="Times New Roman" w:eastAsiaTheme="minorEastAsia"/>
                <w:color w:val="auto"/>
                <w:sz w:val="24"/>
                <w:szCs w:val="24"/>
              </w:rPr>
              <w:fldChar w:fldCharType="begin"/>
            </w:r>
            <w:r>
              <w:rPr>
                <w:rFonts w:hint="default" w:ascii="Times New Roman" w:hAnsi="Times New Roman" w:cs="Times New Roman" w:eastAsiaTheme="minorEastAsia"/>
                <w:color w:val="auto"/>
                <w:sz w:val="24"/>
                <w:szCs w:val="24"/>
              </w:rPr>
              <w:instrText xml:space="preserve"> HYPERLINK "https://baike.baidu.com/item/%E4%B8%98%E9%99%B5%E5%9C%B0%E8%B2%8C" \t "_blank" </w:instrText>
            </w:r>
            <w:r>
              <w:rPr>
                <w:rFonts w:hint="default" w:ascii="Times New Roman" w:hAnsi="Times New Roman" w:cs="Times New Roman" w:eastAsiaTheme="minorEastAsia"/>
                <w:color w:val="auto"/>
                <w:sz w:val="24"/>
                <w:szCs w:val="24"/>
              </w:rPr>
              <w:fldChar w:fldCharType="separate"/>
            </w:r>
            <w:r>
              <w:rPr>
                <w:rStyle w:val="26"/>
                <w:rFonts w:hint="default" w:ascii="Times New Roman" w:hAnsi="Times New Roman" w:cs="Times New Roman" w:eastAsiaTheme="minorEastAsia"/>
                <w:color w:val="auto"/>
                <w:sz w:val="24"/>
                <w:szCs w:val="24"/>
                <w:u w:val="none"/>
                <w:shd w:val="clear" w:color="auto" w:fill="FFFFFF"/>
              </w:rPr>
              <w:t>丘陵地貌</w:t>
            </w:r>
            <w:r>
              <w:rPr>
                <w:rFonts w:hint="default" w:ascii="Times New Roman" w:hAnsi="Times New Roman" w:cs="Times New Roman" w:eastAsiaTheme="minorEastAsia"/>
                <w:color w:val="auto"/>
                <w:sz w:val="24"/>
                <w:szCs w:val="24"/>
              </w:rPr>
              <w:fldChar w:fldCharType="end"/>
            </w:r>
            <w:r>
              <w:rPr>
                <w:rFonts w:hint="default" w:ascii="Times New Roman" w:hAnsi="Times New Roman" w:cs="Times New Roman" w:eastAsiaTheme="minorEastAsia"/>
                <w:color w:val="auto"/>
                <w:sz w:val="24"/>
                <w:szCs w:val="24"/>
                <w:shd w:val="clear" w:color="auto" w:fill="FFFFFF"/>
              </w:rPr>
              <w:t>，海拔高度在300~600米之间。全境岩层下部以石灰岩为主，上部以紫红色沙土、泥岩为主，似为</w:t>
            </w:r>
            <w:r>
              <w:rPr>
                <w:rFonts w:hint="eastAsia" w:ascii="Times New Roman" w:hAnsi="Times New Roman" w:cs="Times New Roman" w:eastAsiaTheme="minorEastAsia"/>
                <w:color w:val="auto"/>
                <w:sz w:val="24"/>
                <w:szCs w:val="24"/>
                <w:shd w:val="clear" w:color="auto" w:fill="FFFFFF"/>
                <w:lang w:eastAsia="zh-CN"/>
              </w:rPr>
              <w:t>“</w:t>
            </w:r>
            <w:r>
              <w:rPr>
                <w:rFonts w:hint="default" w:ascii="Times New Roman" w:hAnsi="Times New Roman" w:cs="Times New Roman" w:eastAsiaTheme="minorEastAsia"/>
                <w:color w:val="auto"/>
                <w:sz w:val="24"/>
                <w:szCs w:val="24"/>
              </w:rPr>
              <w:fldChar w:fldCharType="begin"/>
            </w:r>
            <w:r>
              <w:rPr>
                <w:rFonts w:hint="default" w:ascii="Times New Roman" w:hAnsi="Times New Roman" w:cs="Times New Roman" w:eastAsiaTheme="minorEastAsia"/>
                <w:color w:val="auto"/>
                <w:sz w:val="24"/>
                <w:szCs w:val="24"/>
              </w:rPr>
              <w:instrText xml:space="preserve"> HYPERLINK "https://baike.baidu.com/item/%E7%BA%A2%E5%9C%9F%E5%9C%B0" \t "_blank" </w:instrText>
            </w:r>
            <w:r>
              <w:rPr>
                <w:rFonts w:hint="default" w:ascii="Times New Roman" w:hAnsi="Times New Roman" w:cs="Times New Roman" w:eastAsiaTheme="minorEastAsia"/>
                <w:color w:val="auto"/>
                <w:sz w:val="24"/>
                <w:szCs w:val="24"/>
              </w:rPr>
              <w:fldChar w:fldCharType="separate"/>
            </w:r>
            <w:r>
              <w:rPr>
                <w:rStyle w:val="26"/>
                <w:rFonts w:hint="default" w:ascii="Times New Roman" w:hAnsi="Times New Roman" w:cs="Times New Roman" w:eastAsiaTheme="minorEastAsia"/>
                <w:color w:val="auto"/>
                <w:sz w:val="24"/>
                <w:szCs w:val="24"/>
                <w:u w:val="none"/>
                <w:shd w:val="clear" w:color="auto" w:fill="FFFFFF"/>
              </w:rPr>
              <w:t>红土地</w:t>
            </w:r>
            <w:r>
              <w:rPr>
                <w:rFonts w:hint="default" w:ascii="Times New Roman" w:hAnsi="Times New Roman" w:cs="Times New Roman" w:eastAsiaTheme="minorEastAsia"/>
                <w:color w:val="auto"/>
                <w:sz w:val="24"/>
                <w:szCs w:val="24"/>
              </w:rPr>
              <w:fldChar w:fldCharType="end"/>
            </w:r>
            <w:r>
              <w:rPr>
                <w:rFonts w:hint="eastAsia" w:ascii="Times New Roman" w:hAnsi="Times New Roman" w:cs="Times New Roman" w:eastAsiaTheme="minorEastAsia"/>
                <w:color w:val="auto"/>
                <w:sz w:val="24"/>
                <w:szCs w:val="24"/>
                <w:shd w:val="clear" w:color="auto" w:fill="FFFFFF"/>
                <w:lang w:eastAsia="zh-CN"/>
              </w:rPr>
              <w:t>”</w:t>
            </w:r>
            <w:r>
              <w:rPr>
                <w:rFonts w:hint="default" w:ascii="Times New Roman" w:hAnsi="Times New Roman" w:cs="Times New Roman" w:eastAsiaTheme="minorEastAsia"/>
                <w:color w:val="auto"/>
                <w:sz w:val="24"/>
                <w:szCs w:val="24"/>
                <w:shd w:val="clear" w:color="auto" w:fill="FFFFFF"/>
              </w:rPr>
              <w:t>。</w:t>
            </w:r>
          </w:p>
          <w:p w14:paraId="6CF94A2D">
            <w:pPr>
              <w:spacing w:line="360" w:lineRule="auto"/>
              <w:ind w:firstLine="480" w:firstLineChars="200"/>
              <w:rPr>
                <w:rFonts w:hint="default" w:ascii="Times New Roman" w:hAnsi="Times New Roman" w:cs="Times New Roman" w:eastAsiaTheme="minorEastAsia"/>
                <w:color w:val="auto"/>
                <w:sz w:val="24"/>
                <w:szCs w:val="24"/>
              </w:rPr>
            </w:pPr>
            <w:r>
              <w:rPr>
                <w:rFonts w:hint="default" w:ascii="Times New Roman" w:hAnsi="Times New Roman" w:cs="Times New Roman" w:eastAsiaTheme="minorEastAsia"/>
                <w:color w:val="auto"/>
                <w:sz w:val="24"/>
                <w:szCs w:val="24"/>
              </w:rPr>
              <w:t>本项目建设场地及邻近无大规模的区域性活动断裂通过，地质构造较简单，地震活动微弱，区域稳定性较好。场地内无滑坡、泥石流、崩塌等不良地质作用。综合分析，场地处于可进行建设的一般地段，稳定性较好，适宜建筑。</w:t>
            </w:r>
          </w:p>
          <w:p w14:paraId="4AE8C1BF">
            <w:pPr>
              <w:pStyle w:val="20"/>
              <w:spacing w:before="0" w:beforeAutospacing="0" w:after="0" w:afterAutospacing="0" w:line="360" w:lineRule="auto"/>
              <w:ind w:firstLine="482" w:firstLineChars="200"/>
              <w:outlineLvl w:val="0"/>
              <w:rPr>
                <w:rFonts w:hint="default" w:ascii="Times New Roman" w:hAnsi="Times New Roman" w:cs="Times New Roman" w:eastAsiaTheme="minorEastAsia"/>
                <w:b/>
                <w:color w:val="auto"/>
                <w:sz w:val="24"/>
                <w:szCs w:val="24"/>
              </w:rPr>
            </w:pPr>
            <w:r>
              <w:rPr>
                <w:rFonts w:hint="default" w:ascii="Times New Roman" w:hAnsi="Times New Roman" w:cs="Times New Roman" w:eastAsiaTheme="minorEastAsia"/>
                <w:b/>
                <w:color w:val="auto"/>
                <w:sz w:val="24"/>
                <w:szCs w:val="24"/>
              </w:rPr>
              <w:t>三、气候特征</w:t>
            </w:r>
          </w:p>
          <w:p w14:paraId="6D9E4735">
            <w:pPr>
              <w:pStyle w:val="20"/>
              <w:spacing w:before="0" w:beforeAutospacing="0" w:after="0" w:afterAutospacing="0" w:line="360" w:lineRule="auto"/>
              <w:ind w:firstLine="480" w:firstLineChars="200"/>
              <w:outlineLvl w:val="0"/>
              <w:rPr>
                <w:rFonts w:hint="default" w:ascii="Times New Roman" w:hAnsi="Times New Roman" w:cs="Times New Roman" w:eastAsiaTheme="minorEastAsia"/>
                <w:color w:val="auto"/>
                <w:sz w:val="24"/>
                <w:szCs w:val="24"/>
                <w:shd w:val="clear" w:color="auto" w:fill="FFFFFF"/>
              </w:rPr>
            </w:pPr>
            <w:r>
              <w:rPr>
                <w:rFonts w:hint="default" w:ascii="Times New Roman" w:hAnsi="Times New Roman" w:cs="Times New Roman" w:eastAsiaTheme="minorEastAsia"/>
                <w:color w:val="auto"/>
                <w:sz w:val="24"/>
                <w:szCs w:val="24"/>
                <w:shd w:val="clear" w:color="auto" w:fill="FFFFFF"/>
              </w:rPr>
              <w:t>安居区属亚热带季风气候，气候温和、四季分明，无霜期长，热量充足，雨量充沛，湿度大，云雾多。7~8月平均气温26~28℃，12~2月平均气温6~8℃；降水集中在6~8月，4~5月和9~10月次之，11~3月降水较少。风速一年四季较小，10~12月定时观测2分钟最大风速1.6~10.</w:t>
            </w:r>
            <w:r>
              <w:rPr>
                <w:rFonts w:hint="default" w:ascii="Times New Roman" w:hAnsi="Times New Roman" w:cs="Times New Roman" w:eastAsiaTheme="minorEastAsia"/>
                <w:color w:val="auto"/>
                <w:sz w:val="24"/>
                <w:szCs w:val="24"/>
                <w:shd w:val="clear" w:color="auto" w:fill="FFFFFF"/>
                <w:vertAlign w:val="superscript"/>
              </w:rPr>
              <w:t>2</w:t>
            </w:r>
            <w:r>
              <w:rPr>
                <w:rFonts w:hint="default" w:ascii="Times New Roman" w:hAnsi="Times New Roman" w:cs="Times New Roman" w:eastAsiaTheme="minorEastAsia"/>
                <w:color w:val="auto"/>
                <w:sz w:val="24"/>
                <w:szCs w:val="24"/>
                <w:shd w:val="clear" w:color="auto" w:fill="FFFFFF"/>
              </w:rPr>
              <w:t>m/s，静风频率5.4~12.6%，近地面盛行偏北风，约占43%；其次是偏南风，约占18%。</w:t>
            </w:r>
          </w:p>
          <w:p w14:paraId="041D05E9">
            <w:pPr>
              <w:pStyle w:val="20"/>
              <w:spacing w:before="0" w:beforeAutospacing="0" w:after="0" w:afterAutospacing="0" w:line="360" w:lineRule="auto"/>
              <w:ind w:firstLine="482" w:firstLineChars="200"/>
              <w:outlineLvl w:val="0"/>
              <w:rPr>
                <w:rFonts w:hint="default" w:ascii="Times New Roman" w:hAnsi="Times New Roman" w:cs="Times New Roman" w:eastAsiaTheme="minorEastAsia"/>
                <w:b/>
                <w:color w:val="auto"/>
                <w:sz w:val="24"/>
                <w:szCs w:val="24"/>
              </w:rPr>
            </w:pPr>
            <w:r>
              <w:rPr>
                <w:rFonts w:hint="default" w:ascii="Times New Roman" w:hAnsi="Times New Roman" w:cs="Times New Roman" w:eastAsiaTheme="minorEastAsia"/>
                <w:b/>
                <w:color w:val="auto"/>
                <w:sz w:val="24"/>
                <w:szCs w:val="24"/>
              </w:rPr>
              <w:t>四、区域水系及水文特征</w:t>
            </w:r>
          </w:p>
          <w:p w14:paraId="7D748FF4">
            <w:pPr>
              <w:spacing w:line="360" w:lineRule="auto"/>
              <w:ind w:firstLine="480" w:firstLineChars="200"/>
              <w:rPr>
                <w:rFonts w:hint="default" w:ascii="Times New Roman" w:hAnsi="Times New Roman" w:cs="Times New Roman" w:eastAsiaTheme="minorEastAsia"/>
                <w:color w:val="auto"/>
                <w:sz w:val="24"/>
                <w:szCs w:val="24"/>
              </w:rPr>
            </w:pPr>
            <w:r>
              <w:rPr>
                <w:rFonts w:hint="default" w:ascii="Times New Roman" w:hAnsi="Times New Roman" w:cs="Times New Roman" w:eastAsiaTheme="minorEastAsia"/>
                <w:color w:val="auto"/>
                <w:sz w:val="24"/>
                <w:szCs w:val="24"/>
              </w:rPr>
              <w:t>（1）地表水</w:t>
            </w:r>
          </w:p>
          <w:p w14:paraId="093BFD88">
            <w:pPr>
              <w:adjustRightInd w:val="0"/>
              <w:snapToGrid w:val="0"/>
              <w:spacing w:line="360" w:lineRule="auto"/>
              <w:ind w:firstLine="480" w:firstLineChars="200"/>
              <w:rPr>
                <w:rFonts w:hint="default" w:ascii="Times New Roman" w:hAnsi="Times New Roman" w:cs="Times New Roman" w:eastAsiaTheme="minorEastAsia"/>
                <w:bCs/>
                <w:color w:val="auto"/>
                <w:sz w:val="24"/>
                <w:szCs w:val="24"/>
              </w:rPr>
            </w:pPr>
            <w:r>
              <w:rPr>
                <w:rFonts w:hint="default" w:ascii="Times New Roman" w:hAnsi="Times New Roman" w:cs="Times New Roman" w:eastAsiaTheme="minorEastAsia"/>
                <w:bCs/>
                <w:color w:val="auto"/>
                <w:sz w:val="24"/>
                <w:szCs w:val="24"/>
              </w:rPr>
              <w:t>全区过境地表水数量较大，主要有王店子河、鲫江河、东西醴泉江、思蒙河、蟆颐埝，过境地表水多年平均径流量为132.58亿m</w:t>
            </w:r>
            <w:r>
              <w:rPr>
                <w:rFonts w:hint="default" w:ascii="Times New Roman" w:hAnsi="Times New Roman" w:cs="Times New Roman" w:eastAsiaTheme="minorEastAsia"/>
                <w:bCs/>
                <w:color w:val="auto"/>
                <w:sz w:val="24"/>
                <w:szCs w:val="24"/>
                <w:vertAlign w:val="superscript"/>
              </w:rPr>
              <w:t>3</w:t>
            </w:r>
            <w:r>
              <w:rPr>
                <w:rFonts w:hint="default" w:ascii="Times New Roman" w:hAnsi="Times New Roman" w:cs="Times New Roman" w:eastAsiaTheme="minorEastAsia"/>
                <w:bCs/>
                <w:color w:val="auto"/>
                <w:sz w:val="24"/>
                <w:szCs w:val="24"/>
              </w:rPr>
              <w:t>。全区地下水年径流量为2.37亿m</w:t>
            </w:r>
            <w:r>
              <w:rPr>
                <w:rFonts w:hint="default" w:ascii="Times New Roman" w:hAnsi="Times New Roman" w:cs="Times New Roman" w:eastAsiaTheme="minorEastAsia"/>
                <w:bCs/>
                <w:color w:val="auto"/>
                <w:sz w:val="24"/>
                <w:szCs w:val="24"/>
                <w:vertAlign w:val="superscript"/>
              </w:rPr>
              <w:t>3</w:t>
            </w:r>
            <w:r>
              <w:rPr>
                <w:rFonts w:hint="default" w:ascii="Times New Roman" w:hAnsi="Times New Roman" w:cs="Times New Roman" w:eastAsiaTheme="minorEastAsia"/>
                <w:bCs/>
                <w:color w:val="auto"/>
                <w:sz w:val="24"/>
                <w:szCs w:val="24"/>
              </w:rPr>
              <w:t>。</w:t>
            </w:r>
          </w:p>
          <w:p w14:paraId="343F879C">
            <w:pPr>
              <w:adjustRightInd w:val="0"/>
              <w:snapToGrid w:val="0"/>
              <w:spacing w:line="360" w:lineRule="auto"/>
              <w:ind w:firstLine="480" w:firstLineChars="200"/>
              <w:rPr>
                <w:rFonts w:hint="default" w:ascii="Times New Roman" w:hAnsi="Times New Roman" w:cs="Times New Roman" w:eastAsiaTheme="minorEastAsia"/>
                <w:bCs/>
                <w:color w:val="auto"/>
                <w:sz w:val="24"/>
                <w:szCs w:val="24"/>
              </w:rPr>
            </w:pPr>
            <w:r>
              <w:rPr>
                <w:rFonts w:hint="default" w:ascii="Times New Roman" w:hAnsi="Times New Roman" w:cs="Times New Roman" w:eastAsiaTheme="minorEastAsia"/>
                <w:bCs/>
                <w:color w:val="auto"/>
                <w:sz w:val="24"/>
                <w:szCs w:val="24"/>
              </w:rPr>
              <w:t>区内曾经有大马口水文站和安居雨量站等水文站，但都因各种原因在很短时间内撤消，水文资料奇缺，目前大都采用琼江下游潼南泰安水文站（距安居城区87.6公里）的观测数据。据潼南县泰安水文站测定，琼江最大洪水多发生在7月，洪峰流量均值为1300立方米/秒。1965年7月14日琼江干流出现最大洪峰流量为2370立方米/秒，同年4月20日曾出现最小流量1.97立方米/秒，二者相差1203倍，丰枯差异大，调节能力差。</w:t>
            </w:r>
          </w:p>
          <w:p w14:paraId="77D198B2">
            <w:pPr>
              <w:spacing w:line="360" w:lineRule="auto"/>
              <w:ind w:firstLine="480" w:firstLineChars="200"/>
              <w:jc w:val="both"/>
              <w:rPr>
                <w:rFonts w:hint="default" w:ascii="Times New Roman" w:hAnsi="Times New Roman" w:cs="Times New Roman" w:eastAsiaTheme="minorEastAsia"/>
                <w:bCs/>
                <w:color w:val="auto"/>
                <w:sz w:val="24"/>
                <w:szCs w:val="24"/>
              </w:rPr>
            </w:pPr>
            <w:r>
              <w:rPr>
                <w:rFonts w:hint="default" w:ascii="Times New Roman" w:hAnsi="Times New Roman" w:cs="Times New Roman" w:eastAsiaTheme="minorEastAsia"/>
                <w:bCs/>
                <w:color w:val="auto"/>
                <w:sz w:val="24"/>
                <w:szCs w:val="24"/>
              </w:rPr>
              <w:t>安居区境内溪河棋布，境内有大小溪河37条，总长 438.2公里，总集雨面积1282.81平方公里，其中：集雨面积大于100平方公里的有3条；50~100平方公里的l条，属常年性流水，20～40平方公里的有7条，10～20平方公里的有9条，冬春有较小流水3～10平方公里的14条，小于3平方公里的3条，为深短流量小的季节性间流，冬春自动干枯，无水可取。</w:t>
            </w:r>
          </w:p>
          <w:p w14:paraId="6172E850">
            <w:pPr>
              <w:adjustRightInd w:val="0"/>
              <w:snapToGrid w:val="0"/>
              <w:spacing w:line="360" w:lineRule="auto"/>
              <w:ind w:firstLine="480" w:firstLineChars="200"/>
              <w:rPr>
                <w:rFonts w:hint="default" w:ascii="Times New Roman" w:hAnsi="Times New Roman" w:cs="Times New Roman" w:eastAsiaTheme="minorEastAsia"/>
                <w:bCs/>
                <w:color w:val="auto"/>
                <w:sz w:val="24"/>
                <w:szCs w:val="24"/>
              </w:rPr>
            </w:pPr>
            <w:r>
              <w:rPr>
                <w:rFonts w:hint="default" w:ascii="Times New Roman" w:hAnsi="Times New Roman" w:cs="Times New Roman" w:eastAsiaTheme="minorEastAsia"/>
                <w:bCs/>
                <w:color w:val="auto"/>
                <w:sz w:val="24"/>
                <w:szCs w:val="24"/>
              </w:rPr>
              <w:t>安居段上游水库成群，共有麻子滩水库、跑马滩水库、新生水库等中型水库7座，小型水库100多座，总蓄水2.98亿立方米，占整个琼江流域总蓄水量的72.3%。此外，沿江有13座小水电站。</w:t>
            </w:r>
          </w:p>
          <w:p w14:paraId="7B5DDFB8">
            <w:pPr>
              <w:adjustRightInd w:val="0"/>
              <w:snapToGrid w:val="0"/>
              <w:spacing w:line="360" w:lineRule="auto"/>
              <w:ind w:firstLine="480" w:firstLineChars="200"/>
              <w:rPr>
                <w:rFonts w:hint="default" w:ascii="Times New Roman" w:hAnsi="Times New Roman" w:cs="Times New Roman" w:eastAsiaTheme="minorEastAsia"/>
                <w:bCs/>
                <w:color w:val="auto"/>
                <w:sz w:val="24"/>
                <w:szCs w:val="24"/>
              </w:rPr>
            </w:pPr>
            <w:r>
              <w:rPr>
                <w:rFonts w:hint="default" w:ascii="Times New Roman" w:hAnsi="Times New Roman" w:cs="Times New Roman" w:eastAsiaTheme="minorEastAsia"/>
                <w:bCs/>
                <w:color w:val="auto"/>
                <w:sz w:val="24"/>
                <w:szCs w:val="24"/>
              </w:rPr>
              <w:t>安居境内水系发达，主要河道有：琼江、蟠龙河、白安河等；水库有：麻子滩水库、三仙湖水库、跑马滩水库、双龙桥水库、新园水库、狮子湾水库、新生水库等。航道里程共计147.28公里，其中，琼江29.98公里，水库117.3公里，白安河、琼江两条河流穿越全区。</w:t>
            </w:r>
          </w:p>
          <w:p w14:paraId="22826E9D">
            <w:pPr>
              <w:adjustRightInd w:val="0"/>
              <w:snapToGrid w:val="0"/>
              <w:spacing w:line="360" w:lineRule="auto"/>
              <w:ind w:firstLine="480" w:firstLineChars="200"/>
              <w:rPr>
                <w:rFonts w:hint="default" w:ascii="Times New Roman" w:hAnsi="Times New Roman" w:cs="Times New Roman" w:eastAsiaTheme="minorEastAsia"/>
                <w:bCs/>
                <w:color w:val="auto"/>
                <w:sz w:val="24"/>
                <w:szCs w:val="24"/>
              </w:rPr>
            </w:pPr>
            <w:r>
              <w:rPr>
                <w:rFonts w:hint="default" w:ascii="Times New Roman" w:hAnsi="Times New Roman" w:cs="Times New Roman" w:eastAsiaTheme="minorEastAsia"/>
                <w:bCs/>
                <w:color w:val="auto"/>
                <w:sz w:val="24"/>
                <w:szCs w:val="24"/>
              </w:rPr>
              <w:t>琼江河又称安居河，横贯区域东西，为遂宁境内涪江最大支流。琼江在遂宁市安居区以上分为南北两支，南支名蟠龙河，北支称为白安河，分别经过跑马滩和麻子滩水库，在安居区汇合后始称琼江。据潼南县泰安水文站测定，琼江最大洪水多发生在7月，洪峰流量均值为1300立方米/秒。1965年7月14日琼江干流出现最大洪峰流量为2370立方米/秒，同年4月20日曾出现最小流量1.97立方米/秒，二者相差1203倍，丰枯差异大，调节能力差。</w:t>
            </w:r>
          </w:p>
          <w:p w14:paraId="39EA9686">
            <w:pPr>
              <w:adjustRightInd w:val="0"/>
              <w:snapToGrid w:val="0"/>
              <w:spacing w:line="360" w:lineRule="auto"/>
              <w:ind w:firstLine="480" w:firstLineChars="200"/>
              <w:rPr>
                <w:rFonts w:hint="default" w:ascii="Times New Roman" w:hAnsi="Times New Roman" w:cs="Times New Roman" w:eastAsiaTheme="minorEastAsia"/>
                <w:bCs/>
                <w:color w:val="auto"/>
                <w:sz w:val="24"/>
                <w:szCs w:val="24"/>
              </w:rPr>
            </w:pPr>
            <w:r>
              <w:rPr>
                <w:rFonts w:hint="default" w:ascii="Times New Roman" w:hAnsi="Times New Roman" w:cs="Times New Roman" w:eastAsiaTheme="minorEastAsia"/>
                <w:bCs/>
                <w:color w:val="auto"/>
                <w:sz w:val="24"/>
                <w:szCs w:val="24"/>
              </w:rPr>
              <w:t>琼江遂宁段全长116.6公里，干流平均坡降1.1‰，多年平均流量9.73m</w:t>
            </w:r>
            <w:r>
              <w:rPr>
                <w:rFonts w:hint="default" w:ascii="Times New Roman" w:hAnsi="Times New Roman" w:cs="Times New Roman" w:eastAsiaTheme="minorEastAsia"/>
                <w:bCs/>
                <w:color w:val="auto"/>
                <w:sz w:val="24"/>
                <w:szCs w:val="24"/>
                <w:vertAlign w:val="superscript"/>
              </w:rPr>
              <w:t>3</w:t>
            </w:r>
            <w:r>
              <w:rPr>
                <w:rFonts w:hint="default" w:ascii="Times New Roman" w:hAnsi="Times New Roman" w:cs="Times New Roman" w:eastAsiaTheme="minorEastAsia"/>
                <w:bCs/>
                <w:color w:val="auto"/>
                <w:sz w:val="24"/>
                <w:szCs w:val="24"/>
                <w:vertAlign w:val="baseline"/>
                <w:lang w:val="en-US" w:eastAsia="zh-CN"/>
              </w:rPr>
              <w:t>/s</w:t>
            </w:r>
            <w:r>
              <w:rPr>
                <w:rFonts w:hint="default" w:ascii="Times New Roman" w:hAnsi="Times New Roman" w:cs="Times New Roman" w:eastAsiaTheme="minorEastAsia"/>
                <w:bCs/>
                <w:color w:val="auto"/>
                <w:sz w:val="24"/>
                <w:szCs w:val="24"/>
              </w:rPr>
              <w:t>，流经遂宁市安居区的白马、拦江、东禅、安居、三家等17个乡镇及横山、西眉二镇的部分地区，集雨面积共1021.85平方公里，占安居区幅员面积的81.2％。其中安居境内流程42km。</w:t>
            </w:r>
          </w:p>
          <w:p w14:paraId="4796FF20">
            <w:pPr>
              <w:adjustRightInd w:val="0"/>
              <w:snapToGrid w:val="0"/>
              <w:spacing w:line="360" w:lineRule="auto"/>
              <w:ind w:firstLine="480" w:firstLineChars="200"/>
              <w:rPr>
                <w:rFonts w:hint="default" w:ascii="Times New Roman" w:hAnsi="Times New Roman" w:cs="Times New Roman" w:eastAsiaTheme="minorEastAsia"/>
                <w:bCs/>
                <w:color w:val="auto"/>
                <w:sz w:val="24"/>
                <w:szCs w:val="24"/>
              </w:rPr>
            </w:pPr>
            <w:r>
              <w:rPr>
                <w:rFonts w:hint="default" w:ascii="Times New Roman" w:hAnsi="Times New Roman" w:cs="Times New Roman" w:eastAsiaTheme="minorEastAsia"/>
                <w:bCs/>
                <w:color w:val="auto"/>
                <w:sz w:val="24"/>
                <w:szCs w:val="24"/>
              </w:rPr>
              <w:t>本项目位于</w:t>
            </w:r>
            <w:r>
              <w:rPr>
                <w:rFonts w:hint="default" w:ascii="Times New Roman" w:hAnsi="Times New Roman" w:cs="Times New Roman"/>
                <w:color w:val="auto"/>
                <w:sz w:val="24"/>
                <w:szCs w:val="24"/>
                <w:lang w:eastAsia="zh-CN"/>
              </w:rPr>
              <w:t>遂宁市安居区工业集中发展区汽摩产业园</w:t>
            </w:r>
            <w:r>
              <w:rPr>
                <w:rFonts w:hint="default" w:ascii="Times New Roman" w:hAnsi="Times New Roman" w:cs="Times New Roman" w:eastAsiaTheme="minorEastAsia"/>
                <w:bCs/>
                <w:color w:val="auto"/>
                <w:sz w:val="24"/>
                <w:szCs w:val="24"/>
              </w:rPr>
              <w:t>，周边主要地表水体为琼江，根据调查，本项目产生的废水排至园区污水管网，最终排至龙眼井污水处理厂进行处理，最终排放至琼江。本项目琼江评价河段属于Ⅲ类水域，其主要功能为行洪和纳污，为本项目的最终受纳水体。</w:t>
            </w:r>
          </w:p>
          <w:p w14:paraId="0B45E930">
            <w:pPr>
              <w:spacing w:line="360" w:lineRule="auto"/>
              <w:ind w:firstLine="480" w:firstLineChars="200"/>
              <w:rPr>
                <w:rFonts w:hint="default" w:ascii="Times New Roman" w:hAnsi="Times New Roman" w:cs="Times New Roman" w:eastAsiaTheme="minorEastAsia"/>
                <w:color w:val="auto"/>
                <w:sz w:val="24"/>
                <w:szCs w:val="24"/>
              </w:rPr>
            </w:pPr>
            <w:r>
              <w:rPr>
                <w:rFonts w:hint="default" w:ascii="Times New Roman" w:hAnsi="Times New Roman" w:cs="Times New Roman" w:eastAsiaTheme="minorEastAsia"/>
                <w:color w:val="auto"/>
                <w:sz w:val="24"/>
                <w:szCs w:val="24"/>
              </w:rPr>
              <w:t>（2）地下水</w:t>
            </w:r>
          </w:p>
          <w:p w14:paraId="49907544">
            <w:pPr>
              <w:adjustRightInd w:val="0"/>
              <w:snapToGrid w:val="0"/>
              <w:spacing w:line="360" w:lineRule="auto"/>
              <w:ind w:firstLine="480" w:firstLineChars="200"/>
              <w:rPr>
                <w:rFonts w:hint="default" w:ascii="Times New Roman" w:hAnsi="Times New Roman" w:cs="Times New Roman" w:eastAsiaTheme="minorEastAsia"/>
                <w:b/>
                <w:bCs/>
                <w:color w:val="auto"/>
                <w:sz w:val="24"/>
                <w:szCs w:val="24"/>
              </w:rPr>
            </w:pPr>
            <w:r>
              <w:rPr>
                <w:rFonts w:hint="default" w:ascii="Times New Roman" w:hAnsi="Times New Roman" w:cs="Times New Roman" w:eastAsiaTheme="minorEastAsia"/>
                <w:bCs/>
                <w:color w:val="auto"/>
                <w:sz w:val="24"/>
                <w:szCs w:val="24"/>
              </w:rPr>
              <w:t>根据地形、地貌、地质构造、地层岩性和地下水空间分布、含水介质、赋存条件、水力性质和水动力条件，场地区地下水类型主要为第四系松散堆积层孔隙水、基岩风化裂隙水。</w:t>
            </w:r>
          </w:p>
          <w:p w14:paraId="43EAA9C5">
            <w:pPr>
              <w:adjustRightInd w:val="0"/>
              <w:snapToGrid w:val="0"/>
              <w:spacing w:line="360" w:lineRule="auto"/>
              <w:ind w:firstLine="480" w:firstLineChars="200"/>
              <w:rPr>
                <w:rFonts w:hint="default" w:ascii="Times New Roman" w:hAnsi="Times New Roman" w:cs="Times New Roman" w:eastAsiaTheme="minorEastAsia"/>
                <w:b/>
                <w:bCs/>
                <w:color w:val="auto"/>
                <w:sz w:val="24"/>
                <w:szCs w:val="24"/>
              </w:rPr>
            </w:pPr>
            <w:r>
              <w:rPr>
                <w:rFonts w:hint="default" w:ascii="Times New Roman" w:hAnsi="Times New Roman" w:cs="Times New Roman" w:eastAsiaTheme="minorEastAsia"/>
                <w:bCs/>
                <w:color w:val="auto"/>
                <w:sz w:val="24"/>
                <w:szCs w:val="24"/>
              </w:rPr>
              <w:t>第四系松散堆积层孔隙水主要赋存于第四系坡洪积粉质粘土层中，其中粉质粘土层呈软塑～可塑状，岩性结构较为紧密，几乎不含自由水，仅在局部地段富有少量的上层滞水，该层富水性贫乏、透水性差，具有相对隔水意义。</w:t>
            </w:r>
          </w:p>
          <w:p w14:paraId="107E3A19">
            <w:pPr>
              <w:adjustRightInd w:val="0"/>
              <w:snapToGrid w:val="0"/>
              <w:spacing w:line="360" w:lineRule="auto"/>
              <w:ind w:firstLine="480" w:firstLineChars="200"/>
              <w:rPr>
                <w:rFonts w:hint="default" w:ascii="Times New Roman" w:hAnsi="Times New Roman" w:cs="Times New Roman" w:eastAsiaTheme="minorEastAsia"/>
                <w:b/>
                <w:bCs/>
                <w:color w:val="auto"/>
                <w:sz w:val="24"/>
                <w:szCs w:val="24"/>
              </w:rPr>
            </w:pPr>
            <w:r>
              <w:rPr>
                <w:rFonts w:hint="default" w:ascii="Times New Roman" w:hAnsi="Times New Roman" w:cs="Times New Roman" w:eastAsiaTheme="minorEastAsia"/>
                <w:bCs/>
                <w:color w:val="auto"/>
                <w:sz w:val="24"/>
                <w:szCs w:val="24"/>
              </w:rPr>
              <w:t>基岩风化裂隙水：浅层风化裂隙水主要为埋藏于侏罗系中统沙溪庙组(J</w:t>
            </w:r>
            <w:r>
              <w:rPr>
                <w:rFonts w:hint="default" w:ascii="Times New Roman" w:hAnsi="Times New Roman" w:cs="Times New Roman" w:eastAsiaTheme="minorEastAsia"/>
                <w:bCs/>
                <w:color w:val="auto"/>
                <w:sz w:val="24"/>
                <w:szCs w:val="24"/>
                <w:vertAlign w:val="subscript"/>
              </w:rPr>
              <w:t>2s</w:t>
            </w:r>
            <w:r>
              <w:rPr>
                <w:rFonts w:hint="default" w:ascii="Times New Roman" w:hAnsi="Times New Roman" w:cs="Times New Roman" w:eastAsiaTheme="minorEastAsia"/>
                <w:bCs/>
                <w:color w:val="auto"/>
                <w:sz w:val="24"/>
                <w:szCs w:val="24"/>
              </w:rPr>
              <w:t>)砂、泥岩浅层风化裂隙带中，是区内分布最广泛的一种地下水类型。该类型地下水以砂岩裂隙和泥岩网状微细裂隙储集为主，孔隙储集次之，局部兼有溶蚀孔隙、裂隙储水，属潜水类型。部分微具承压性，具有地下水分布广泛，埋藏浅、水质好的特点。但富水性分布极不均匀，相对富水带主要位于汇水面积较大的沟谷地带，水量一般较小，埋深一般3-5m。该风化带厚度25～30m，面裂隙率1.0-2.5%。单井出水量一般0.8～5m</w:t>
            </w:r>
            <w:r>
              <w:rPr>
                <w:rFonts w:hint="default" w:ascii="Times New Roman" w:hAnsi="Times New Roman" w:cs="Times New Roman" w:eastAsiaTheme="minorEastAsia"/>
                <w:bCs/>
                <w:color w:val="auto"/>
                <w:sz w:val="24"/>
                <w:szCs w:val="24"/>
                <w:vertAlign w:val="superscript"/>
              </w:rPr>
              <w:t>3</w:t>
            </w:r>
            <w:r>
              <w:rPr>
                <w:rFonts w:hint="default" w:ascii="Times New Roman" w:hAnsi="Times New Roman" w:cs="Times New Roman" w:eastAsiaTheme="minorEastAsia"/>
                <w:bCs/>
                <w:color w:val="auto"/>
                <w:sz w:val="24"/>
                <w:szCs w:val="24"/>
              </w:rPr>
              <w:t>/d。在丘包顶部及斜坡地带未见井、泉等地下水出露点。</w:t>
            </w:r>
          </w:p>
          <w:p w14:paraId="28F80927">
            <w:pPr>
              <w:pStyle w:val="20"/>
              <w:spacing w:before="0" w:beforeAutospacing="0" w:after="0" w:afterAutospacing="0" w:line="360" w:lineRule="auto"/>
              <w:ind w:firstLine="482" w:firstLineChars="200"/>
              <w:outlineLvl w:val="0"/>
              <w:rPr>
                <w:rFonts w:hint="default" w:ascii="Times New Roman" w:hAnsi="Times New Roman" w:cs="Times New Roman" w:eastAsiaTheme="minorEastAsia"/>
                <w:b/>
                <w:color w:val="auto"/>
                <w:sz w:val="24"/>
                <w:szCs w:val="24"/>
              </w:rPr>
            </w:pPr>
            <w:r>
              <w:rPr>
                <w:rFonts w:hint="default" w:ascii="Times New Roman" w:hAnsi="Times New Roman" w:cs="Times New Roman" w:eastAsiaTheme="minorEastAsia"/>
                <w:b/>
                <w:color w:val="auto"/>
                <w:sz w:val="24"/>
                <w:szCs w:val="24"/>
              </w:rPr>
              <w:t>五、生物资源</w:t>
            </w:r>
          </w:p>
          <w:p w14:paraId="3148BDCC">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安居区境内地势平坦，土壤肥沃，适宜水稻、玉米、小麦等多种粮食作物；棉花、油料、</w:t>
            </w:r>
            <w:r>
              <w:rPr>
                <w:rFonts w:hint="eastAsia" w:cs="Times New Roman"/>
                <w:b w:val="0"/>
                <w:bCs/>
                <w:color w:val="auto"/>
                <w:sz w:val="24"/>
                <w:szCs w:val="24"/>
                <w:lang w:eastAsia="zh-CN"/>
              </w:rPr>
              <w:t>甘蔗</w:t>
            </w:r>
            <w:r>
              <w:rPr>
                <w:rFonts w:hint="default" w:ascii="Times New Roman" w:hAnsi="Times New Roman" w:cs="Times New Roman"/>
                <w:b w:val="0"/>
                <w:bCs/>
                <w:color w:val="auto"/>
                <w:sz w:val="24"/>
                <w:szCs w:val="24"/>
              </w:rPr>
              <w:t>、海椒、麻竹笋、中药材等经济作物；柑桔、苹果、梨、桃等多种水果。</w:t>
            </w:r>
          </w:p>
          <w:p w14:paraId="7FFF8E84">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安居区林地总面积41990.21公顷，森林覆盖率32.6%；全区共有木本植物110种，隶属于61科、66属。属国家保护植物的有水杉、攀枝花苏铁、银杏、鹅掌楸、翠柏、红豆树等，还有百年以上的黄桷树等古树。</w:t>
            </w:r>
          </w:p>
          <w:p w14:paraId="2FEB767C">
            <w:pPr>
              <w:spacing w:line="360" w:lineRule="auto"/>
              <w:ind w:firstLine="482" w:firstLineChars="200"/>
              <w:rPr>
                <w:rFonts w:hint="default" w:ascii="Times New Roman" w:hAnsi="Times New Roman" w:cs="Times New Roman"/>
                <w:b/>
                <w:color w:val="auto"/>
                <w:sz w:val="24"/>
                <w:szCs w:val="24"/>
              </w:rPr>
            </w:pPr>
            <w:r>
              <w:rPr>
                <w:rFonts w:hint="default" w:ascii="Times New Roman" w:hAnsi="Times New Roman" w:cs="Times New Roman" w:eastAsiaTheme="minorEastAsia"/>
                <w:b/>
                <w:color w:val="auto"/>
                <w:sz w:val="24"/>
                <w:szCs w:val="24"/>
              </w:rPr>
              <w:t>本项目建设区属</w:t>
            </w:r>
            <w:r>
              <w:rPr>
                <w:rFonts w:hint="default" w:ascii="Times New Roman" w:hAnsi="Times New Roman" w:cs="Times New Roman" w:eastAsiaTheme="minorEastAsia"/>
                <w:b/>
                <w:color w:val="auto"/>
                <w:sz w:val="24"/>
                <w:szCs w:val="24"/>
                <w:lang w:eastAsia="zh-CN"/>
              </w:rPr>
              <w:t>遂宁市安居区工业集中发展区汽摩产业园</w:t>
            </w:r>
            <w:r>
              <w:rPr>
                <w:rFonts w:hint="default" w:ascii="Times New Roman" w:hAnsi="Times New Roman" w:cs="Times New Roman" w:eastAsiaTheme="minorEastAsia"/>
                <w:b/>
                <w:color w:val="auto"/>
                <w:sz w:val="24"/>
                <w:szCs w:val="24"/>
              </w:rPr>
              <w:t>，目前为</w:t>
            </w:r>
            <w:r>
              <w:rPr>
                <w:rFonts w:hint="default" w:ascii="Times New Roman" w:hAnsi="Times New Roman" w:cs="Times New Roman" w:eastAsiaTheme="minorEastAsia"/>
                <w:b/>
                <w:color w:val="auto"/>
                <w:sz w:val="24"/>
                <w:szCs w:val="24"/>
                <w:lang w:eastAsia="zh-CN"/>
              </w:rPr>
              <w:t>待建空地</w:t>
            </w:r>
            <w:r>
              <w:rPr>
                <w:rFonts w:hint="default" w:ascii="Times New Roman" w:hAnsi="Times New Roman" w:cs="Times New Roman" w:eastAsiaTheme="minorEastAsia"/>
                <w:b/>
                <w:color w:val="auto"/>
                <w:sz w:val="24"/>
                <w:szCs w:val="24"/>
              </w:rPr>
              <w:t>，评价区域内无珍稀保护动植物、古大树木、文物古迹、风景名胜区、自然保护区等敏感点分布。</w:t>
            </w:r>
          </w:p>
        </w:tc>
      </w:tr>
      <w:tr w14:paraId="6D3021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194" w:type="dxa"/>
            <w:shd w:val="clear" w:color="auto" w:fill="auto"/>
          </w:tcPr>
          <w:p w14:paraId="670D98AD">
            <w:pPr>
              <w:snapToGrid w:val="0"/>
              <w:spacing w:line="360" w:lineRule="auto"/>
              <w:rPr>
                <w:rFonts w:hint="default" w:ascii="Times New Roman" w:hAnsi="Times New Roman" w:cs="Times New Roman"/>
                <w:b/>
                <w:bCs/>
                <w:sz w:val="28"/>
                <w:szCs w:val="28"/>
              </w:rPr>
            </w:pPr>
            <w:r>
              <w:rPr>
                <w:rFonts w:hint="default" w:ascii="Times New Roman" w:hAnsi="Times New Roman" w:cs="Times New Roman"/>
                <w:b/>
                <w:bCs/>
                <w:sz w:val="28"/>
                <w:szCs w:val="28"/>
              </w:rPr>
              <w:t>遂宁</w:t>
            </w:r>
            <w:r>
              <w:rPr>
                <w:rFonts w:hint="default" w:ascii="Times New Roman" w:hAnsi="Times New Roman" w:cs="Times New Roman"/>
                <w:b/>
                <w:bCs/>
                <w:sz w:val="28"/>
                <w:szCs w:val="28"/>
                <w:lang w:eastAsia="zh-CN"/>
              </w:rPr>
              <w:t>安居区化工工业园区</w:t>
            </w:r>
            <w:r>
              <w:rPr>
                <w:rFonts w:hint="default" w:ascii="Times New Roman" w:hAnsi="Times New Roman" w:cs="Times New Roman"/>
                <w:b/>
                <w:bCs/>
                <w:sz w:val="28"/>
                <w:szCs w:val="28"/>
              </w:rPr>
              <w:t>概况：</w:t>
            </w:r>
          </w:p>
          <w:p w14:paraId="498ECBA8">
            <w:pPr>
              <w:snapToGri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lang w:eastAsia="zh-CN"/>
              </w:rPr>
              <w:t>化工工业园</w:t>
            </w:r>
            <w:r>
              <w:rPr>
                <w:rFonts w:hint="default" w:ascii="Times New Roman" w:hAnsi="Times New Roman" w:cs="Times New Roman"/>
                <w:sz w:val="24"/>
                <w:szCs w:val="24"/>
              </w:rPr>
              <w:t>位于安居</w:t>
            </w:r>
            <w:r>
              <w:rPr>
                <w:rFonts w:hint="default" w:ascii="Times New Roman" w:hAnsi="Times New Roman" w:cs="Times New Roman"/>
                <w:sz w:val="24"/>
                <w:szCs w:val="24"/>
                <w:lang w:eastAsia="zh-CN"/>
              </w:rPr>
              <w:t>城区</w:t>
            </w:r>
            <w:r>
              <w:rPr>
                <w:rFonts w:hint="default" w:ascii="Times New Roman" w:hAnsi="Times New Roman" w:cs="Times New Roman"/>
                <w:sz w:val="24"/>
                <w:szCs w:val="24"/>
              </w:rPr>
              <w:t>东</w:t>
            </w:r>
            <w:r>
              <w:rPr>
                <w:rFonts w:hint="default" w:ascii="Times New Roman" w:hAnsi="Times New Roman" w:cs="Times New Roman"/>
                <w:sz w:val="24"/>
                <w:szCs w:val="24"/>
                <w:lang w:eastAsia="zh-CN"/>
              </w:rPr>
              <w:t>南</w:t>
            </w:r>
            <w:r>
              <w:rPr>
                <w:rFonts w:hint="default" w:ascii="Times New Roman" w:hAnsi="Times New Roman" w:cs="Times New Roman"/>
                <w:sz w:val="24"/>
                <w:szCs w:val="24"/>
              </w:rPr>
              <w:t>部，</w:t>
            </w:r>
            <w:r>
              <w:rPr>
                <w:rFonts w:hint="default" w:ascii="Times New Roman" w:hAnsi="Times New Roman" w:cs="Times New Roman"/>
                <w:sz w:val="24"/>
                <w:szCs w:val="24"/>
                <w:lang w:eastAsia="zh-CN"/>
              </w:rPr>
              <w:t>西靠琼江，北到遂内高速公路连接线，东部边缘有遂内高速公路斜穿基地，规划总用地面积</w:t>
            </w:r>
            <w:r>
              <w:rPr>
                <w:rFonts w:hint="default" w:ascii="Times New Roman" w:hAnsi="Times New Roman" w:cs="Times New Roman"/>
                <w:sz w:val="24"/>
                <w:szCs w:val="24"/>
                <w:lang w:val="en-US" w:eastAsia="zh-CN"/>
              </w:rPr>
              <w:t>5.75平方公里</w:t>
            </w:r>
            <w:r>
              <w:rPr>
                <w:rFonts w:hint="default" w:ascii="Times New Roman" w:hAnsi="Times New Roman" w:cs="Times New Roman"/>
                <w:sz w:val="24"/>
                <w:szCs w:val="24"/>
              </w:rPr>
              <w:t>。</w:t>
            </w:r>
            <w:r>
              <w:rPr>
                <w:rFonts w:hint="default" w:ascii="Times New Roman" w:hAnsi="Times New Roman" w:cs="Times New Roman"/>
                <w:sz w:val="24"/>
                <w:szCs w:val="24"/>
                <w:lang w:eastAsia="zh-CN"/>
              </w:rPr>
              <w:t>规划区总占地面积</w:t>
            </w:r>
            <w:r>
              <w:rPr>
                <w:rFonts w:hint="default" w:ascii="Times New Roman" w:hAnsi="Times New Roman" w:cs="Times New Roman"/>
                <w:sz w:val="24"/>
                <w:szCs w:val="24"/>
                <w:lang w:val="en-US" w:eastAsia="zh-CN"/>
              </w:rPr>
              <w:t>570公顷，重点发展天然气制乙炔、氢氰酸、合成氨及盐化工和精细化工产业，规划目标至2020年，产业规模达100亿元</w:t>
            </w:r>
            <w:r>
              <w:rPr>
                <w:rFonts w:hint="default" w:ascii="Times New Roman" w:hAnsi="Times New Roman" w:cs="Times New Roman"/>
                <w:sz w:val="24"/>
                <w:szCs w:val="24"/>
              </w:rPr>
              <w:t>。以建设循环型和生态型工业理念为宗旨，大力发展绿色经济，实施环境保护和资源再生循环利用，倾力打造特色鲜明、环境优美、健康舒适的生态化工工业园区。　　      </w:t>
            </w:r>
          </w:p>
          <w:p w14:paraId="5B2FE0A6">
            <w:pPr>
              <w:snapToGrid w:val="0"/>
              <w:spacing w:line="360" w:lineRule="auto"/>
              <w:ind w:firstLine="480" w:firstLineChars="200"/>
              <w:rPr>
                <w:rFonts w:hint="default" w:ascii="Times New Roman" w:hAnsi="Times New Roman" w:eastAsia="宋体" w:cs="Times New Roman"/>
                <w:lang w:val="en-US" w:eastAsia="zh-CN"/>
              </w:rPr>
            </w:pPr>
            <w:r>
              <w:rPr>
                <w:rFonts w:hint="default" w:ascii="Times New Roman" w:hAnsi="Times New Roman" w:cs="Times New Roman"/>
                <w:sz w:val="24"/>
                <w:szCs w:val="24"/>
              </w:rPr>
              <w:t>园区规划结构为</w:t>
            </w:r>
            <w:r>
              <w:rPr>
                <w:rFonts w:hint="eastAsia" w:ascii="Times New Roman" w:hAnsi="Times New Roman" w:cs="Times New Roman"/>
                <w:sz w:val="24"/>
                <w:szCs w:val="24"/>
                <w:lang w:eastAsia="zh-CN"/>
              </w:rPr>
              <w:t>“</w:t>
            </w:r>
            <w:r>
              <w:rPr>
                <w:rFonts w:hint="default" w:ascii="Times New Roman" w:hAnsi="Times New Roman" w:cs="Times New Roman"/>
                <w:sz w:val="24"/>
                <w:szCs w:val="24"/>
              </w:rPr>
              <w:t>五轴、六区、多廊道</w:t>
            </w:r>
            <w:r>
              <w:rPr>
                <w:rFonts w:hint="eastAsia" w:ascii="Times New Roman" w:hAnsi="Times New Roman" w:cs="Times New Roman"/>
                <w:sz w:val="24"/>
                <w:szCs w:val="24"/>
                <w:lang w:eastAsia="zh-CN"/>
              </w:rPr>
              <w:t>”</w:t>
            </w:r>
            <w:r>
              <w:rPr>
                <w:rFonts w:hint="default" w:ascii="Times New Roman" w:hAnsi="Times New Roman" w:cs="Times New Roman"/>
                <w:sz w:val="24"/>
                <w:szCs w:val="24"/>
              </w:rPr>
              <w:t>的整体空间用地布局。</w:t>
            </w:r>
            <w:r>
              <w:rPr>
                <w:rFonts w:hint="eastAsia" w:ascii="Times New Roman" w:hAnsi="Times New Roman" w:cs="Times New Roman"/>
                <w:sz w:val="24"/>
                <w:szCs w:val="24"/>
                <w:lang w:eastAsia="zh-CN"/>
              </w:rPr>
              <w:t>“</w:t>
            </w:r>
            <w:r>
              <w:rPr>
                <w:rFonts w:hint="default" w:ascii="Times New Roman" w:hAnsi="Times New Roman" w:cs="Times New Roman"/>
                <w:sz w:val="24"/>
                <w:szCs w:val="24"/>
              </w:rPr>
              <w:t>五轴</w:t>
            </w:r>
            <w:r>
              <w:rPr>
                <w:rFonts w:hint="eastAsia" w:ascii="Times New Roman" w:hAnsi="Times New Roman" w:cs="Times New Roman"/>
                <w:sz w:val="24"/>
                <w:szCs w:val="24"/>
                <w:lang w:eastAsia="zh-CN"/>
              </w:rPr>
              <w:t>”</w:t>
            </w:r>
            <w:r>
              <w:rPr>
                <w:rFonts w:hint="default" w:ascii="Times New Roman" w:hAnsi="Times New Roman" w:cs="Times New Roman"/>
                <w:sz w:val="24"/>
                <w:szCs w:val="24"/>
              </w:rPr>
              <w:t>即规划区内结合重要的公共服务设施和重要景观要素形成的通达山水轴线；</w:t>
            </w:r>
            <w:r>
              <w:rPr>
                <w:rFonts w:hint="eastAsia" w:ascii="Times New Roman" w:hAnsi="Times New Roman" w:cs="Times New Roman"/>
                <w:sz w:val="24"/>
                <w:szCs w:val="24"/>
                <w:lang w:eastAsia="zh-CN"/>
              </w:rPr>
              <w:t>“</w:t>
            </w:r>
            <w:r>
              <w:rPr>
                <w:rFonts w:hint="default" w:ascii="Times New Roman" w:hAnsi="Times New Roman" w:cs="Times New Roman"/>
                <w:sz w:val="24"/>
                <w:szCs w:val="24"/>
              </w:rPr>
              <w:t>六区</w:t>
            </w:r>
            <w:r>
              <w:rPr>
                <w:rFonts w:hint="eastAsia" w:ascii="Times New Roman" w:hAnsi="Times New Roman" w:cs="Times New Roman"/>
                <w:sz w:val="24"/>
                <w:szCs w:val="24"/>
                <w:lang w:eastAsia="zh-CN"/>
              </w:rPr>
              <w:t>”</w:t>
            </w:r>
            <w:r>
              <w:rPr>
                <w:rFonts w:hint="default" w:ascii="Times New Roman" w:hAnsi="Times New Roman" w:cs="Times New Roman"/>
                <w:sz w:val="24"/>
                <w:szCs w:val="24"/>
              </w:rPr>
              <w:t>即美丰工业区、综合服务区、军创工业区、泰禾工业区、滨水生态保护区、山体生态控制区；</w:t>
            </w:r>
            <w:r>
              <w:rPr>
                <w:rFonts w:hint="eastAsia" w:ascii="Times New Roman" w:hAnsi="Times New Roman" w:cs="Times New Roman"/>
                <w:sz w:val="24"/>
                <w:szCs w:val="24"/>
                <w:lang w:eastAsia="zh-CN"/>
              </w:rPr>
              <w:t>“</w:t>
            </w:r>
            <w:r>
              <w:rPr>
                <w:rFonts w:hint="default" w:ascii="Times New Roman" w:hAnsi="Times New Roman" w:cs="Times New Roman"/>
                <w:sz w:val="24"/>
                <w:szCs w:val="24"/>
              </w:rPr>
              <w:t>多廊道</w:t>
            </w:r>
            <w:r>
              <w:rPr>
                <w:rFonts w:hint="eastAsia" w:ascii="Times New Roman" w:hAnsi="Times New Roman" w:cs="Times New Roman"/>
                <w:sz w:val="24"/>
                <w:szCs w:val="24"/>
                <w:lang w:eastAsia="zh-CN"/>
              </w:rPr>
              <w:t>”</w:t>
            </w:r>
            <w:r>
              <w:rPr>
                <w:rFonts w:hint="default" w:ascii="Times New Roman" w:hAnsi="Times New Roman" w:cs="Times New Roman"/>
                <w:sz w:val="24"/>
                <w:szCs w:val="24"/>
              </w:rPr>
              <w:t>指依据场地单元形成以开敞空间为主要内容的视觉通廊及步行走廊。园区将充分利用丰富的盐卤资源和天然气资源，依托已引进的三个化工项目进一步做长产业链，重点发展环保型精细化工产业</w:t>
            </w:r>
            <w:r>
              <w:rPr>
                <w:rFonts w:hint="default" w:ascii="Times New Roman" w:hAnsi="Times New Roman" w:cs="Times New Roman"/>
                <w:sz w:val="24"/>
                <w:szCs w:val="24"/>
                <w:lang w:eastAsia="zh-CN"/>
              </w:rPr>
              <w:t>。</w:t>
            </w:r>
            <w:r>
              <w:rPr>
                <w:rFonts w:hint="default" w:ascii="Times New Roman" w:hAnsi="Times New Roman" w:cs="Times New Roman"/>
                <w:sz w:val="24"/>
                <w:szCs w:val="24"/>
              </w:rPr>
              <w:t>力争到2010年培育2家主营业务收入上亿元的化工企业，其中上10亿元的企业1家，园区主营业务收入达到38亿元；力争用五年时间把化工工业园建成百亿园区；到2015年达到176亿元；到2020年达到680亿元。</w:t>
            </w:r>
            <w:r>
              <w:rPr>
                <w:rFonts w:hint="default" w:ascii="Times New Roman" w:hAnsi="Times New Roman" w:cs="Times New Roman"/>
                <w:b w:val="0"/>
                <w:bCs w:val="0"/>
                <w:color w:val="auto"/>
                <w:sz w:val="24"/>
                <w:szCs w:val="24"/>
                <w:lang w:eastAsia="zh-CN"/>
              </w:rPr>
              <w:t>准入条件：规划区支持发展符合国家产业政策的天然气化工、盐化工及精细化工产业；</w:t>
            </w:r>
            <w:r>
              <w:rPr>
                <w:rFonts w:hint="default" w:ascii="Times New Roman" w:hAnsi="Times New Roman" w:cs="Times New Roman"/>
                <w:b/>
                <w:bCs/>
                <w:color w:val="auto"/>
                <w:sz w:val="24"/>
                <w:szCs w:val="24"/>
                <w:lang w:eastAsia="zh-CN"/>
              </w:rPr>
              <w:t>禁止发展农副食品、饮料、烟草业，造纸、医药、化学纤维制造业，非金属矿物制品业，黑色、有色金属冶炼及压延加工业。根据《遂宁市安居区人民政府关于调整遂宁市安居区工业集中发展区规划区域的通知》遂安府函【</w:t>
            </w:r>
            <w:r>
              <w:rPr>
                <w:rFonts w:hint="default" w:ascii="Times New Roman" w:hAnsi="Times New Roman" w:cs="Times New Roman"/>
                <w:b/>
                <w:bCs/>
                <w:color w:val="auto"/>
                <w:sz w:val="24"/>
                <w:szCs w:val="24"/>
                <w:lang w:val="en-US" w:eastAsia="zh-CN"/>
              </w:rPr>
              <w:t>2013</w:t>
            </w:r>
            <w:r>
              <w:rPr>
                <w:rFonts w:hint="default" w:ascii="Times New Roman" w:hAnsi="Times New Roman" w:cs="Times New Roman"/>
                <w:b/>
                <w:bCs/>
                <w:color w:val="auto"/>
                <w:sz w:val="24"/>
                <w:szCs w:val="24"/>
                <w:lang w:eastAsia="zh-CN"/>
              </w:rPr>
              <w:t>】</w:t>
            </w:r>
            <w:r>
              <w:rPr>
                <w:rFonts w:hint="default" w:ascii="Times New Roman" w:hAnsi="Times New Roman" w:cs="Times New Roman"/>
                <w:b/>
                <w:bCs/>
                <w:color w:val="auto"/>
                <w:sz w:val="24"/>
                <w:szCs w:val="24"/>
                <w:lang w:val="en-US" w:eastAsia="zh-CN"/>
              </w:rPr>
              <w:t>56号文件，原龙眼井精细化工园（即遂宁安居区化工工业园区）用地作为汽摩机械产业拓展区。本项目为汽车零部件及配件制造</w:t>
            </w:r>
            <w:r>
              <w:rPr>
                <w:rFonts w:hint="eastAsia" w:cs="Times New Roman"/>
                <w:b/>
                <w:bCs/>
                <w:color w:val="auto"/>
                <w:sz w:val="24"/>
                <w:szCs w:val="24"/>
                <w:lang w:val="en-US" w:eastAsia="zh-CN"/>
              </w:rPr>
              <w:t>行业</w:t>
            </w:r>
            <w:r>
              <w:rPr>
                <w:rFonts w:hint="default" w:ascii="Times New Roman" w:hAnsi="Times New Roman" w:cs="Times New Roman"/>
                <w:b/>
                <w:bCs/>
                <w:color w:val="auto"/>
                <w:sz w:val="24"/>
                <w:szCs w:val="24"/>
                <w:lang w:val="en-US" w:eastAsia="zh-CN"/>
              </w:rPr>
              <w:t>，属于园区</w:t>
            </w:r>
            <w:r>
              <w:rPr>
                <w:rFonts w:hint="eastAsia" w:cs="Times New Roman"/>
                <w:b/>
                <w:bCs/>
                <w:color w:val="auto"/>
                <w:sz w:val="24"/>
                <w:szCs w:val="24"/>
                <w:lang w:val="en-US" w:eastAsia="zh-CN"/>
              </w:rPr>
              <w:t>鼓励</w:t>
            </w:r>
            <w:r>
              <w:rPr>
                <w:rFonts w:hint="default" w:ascii="Times New Roman" w:hAnsi="Times New Roman" w:cs="Times New Roman"/>
                <w:b/>
                <w:bCs/>
                <w:color w:val="auto"/>
                <w:sz w:val="24"/>
                <w:szCs w:val="24"/>
                <w:lang w:val="en-US" w:eastAsia="zh-CN"/>
              </w:rPr>
              <w:t>引入的产业。</w:t>
            </w:r>
          </w:p>
        </w:tc>
      </w:tr>
      <w:tr w14:paraId="3DB975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194" w:type="dxa"/>
            <w:shd w:val="clear" w:color="auto" w:fill="auto"/>
          </w:tcPr>
          <w:p w14:paraId="734458AA">
            <w:pPr>
              <w:snapToGrid w:val="0"/>
              <w:spacing w:line="360" w:lineRule="auto"/>
              <w:rPr>
                <w:rFonts w:hint="default" w:ascii="Times New Roman" w:hAnsi="Times New Roman" w:cs="Times New Roman"/>
                <w:b/>
                <w:bCs/>
                <w:sz w:val="28"/>
                <w:szCs w:val="28"/>
              </w:rPr>
            </w:pPr>
            <w:r>
              <w:rPr>
                <w:rFonts w:hint="default" w:ascii="Times New Roman" w:hAnsi="Times New Roman" w:cs="Times New Roman"/>
                <w:b/>
                <w:bCs/>
                <w:sz w:val="28"/>
                <w:szCs w:val="28"/>
                <w:lang w:eastAsia="zh-CN"/>
              </w:rPr>
              <w:t>龙眼井污水</w:t>
            </w:r>
            <w:r>
              <w:rPr>
                <w:rFonts w:hint="default" w:ascii="Times New Roman" w:hAnsi="Times New Roman" w:cs="Times New Roman"/>
                <w:b/>
                <w:bCs/>
                <w:sz w:val="28"/>
                <w:szCs w:val="28"/>
              </w:rPr>
              <w:t>处理厂概况：</w:t>
            </w:r>
          </w:p>
          <w:p w14:paraId="1A0FD722">
            <w:pPr>
              <w:snapToGrid w:val="0"/>
              <w:spacing w:line="360" w:lineRule="auto"/>
              <w:ind w:firstLine="480" w:firstLineChars="2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龙眼井污水处理厂位于安居区龙眼井村，占地面积约50亩，设计废水处理规模为1.6万m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d，采用CASS+D型滤池污水处理工艺，尾水达《城镇污水处理厂污染物排放标准》（GB18918-2002）中一级A标准排入琼江。该污水处理厂工程于2013年10月开工建设，已于2015年4月完工并投入运行。根据园区规划环评可知，龙眼井污水处理厂主要为处理园区所有企业的废水，因此，本项目产生的废水能够进入龙眼井污水处理厂进行处理。</w:t>
            </w:r>
          </w:p>
          <w:p w14:paraId="5E931D9E">
            <w:pPr>
              <w:snapToGrid w:val="0"/>
              <w:spacing w:line="360" w:lineRule="auto"/>
              <w:ind w:firstLine="482" w:firstLineChars="200"/>
              <w:rPr>
                <w:rFonts w:hint="default" w:ascii="Times New Roman" w:hAnsi="Times New Roman" w:cs="Times New Roman"/>
                <w:b/>
                <w:bCs/>
                <w:sz w:val="24"/>
                <w:szCs w:val="24"/>
                <w:lang w:val="en-US" w:eastAsia="zh-CN"/>
              </w:rPr>
            </w:pPr>
            <w:r>
              <w:rPr>
                <w:rFonts w:hint="default" w:ascii="Times New Roman" w:hAnsi="Times New Roman" w:cs="Times New Roman"/>
                <w:b/>
                <w:bCs/>
                <w:sz w:val="24"/>
                <w:szCs w:val="24"/>
                <w:lang w:val="en-US" w:eastAsia="zh-CN"/>
              </w:rPr>
              <w:t>本项目废水排放量</w:t>
            </w:r>
            <w:r>
              <w:rPr>
                <w:rFonts w:hint="default" w:ascii="Times New Roman" w:hAnsi="Times New Roman" w:cs="Times New Roman"/>
                <w:b/>
                <w:bCs/>
                <w:color w:val="auto"/>
                <w:sz w:val="24"/>
                <w:szCs w:val="24"/>
                <w:lang w:val="en-US" w:eastAsia="zh-CN"/>
              </w:rPr>
              <w:t>为</w:t>
            </w:r>
            <w:r>
              <w:rPr>
                <w:rFonts w:hint="eastAsia" w:cs="Times New Roman"/>
                <w:b/>
                <w:bCs/>
                <w:color w:val="auto"/>
                <w:sz w:val="24"/>
                <w:szCs w:val="24"/>
                <w:lang w:val="en-US" w:eastAsia="zh-CN"/>
              </w:rPr>
              <w:t>7.08</w:t>
            </w:r>
            <w:r>
              <w:rPr>
                <w:rFonts w:hint="default" w:ascii="Times New Roman" w:hAnsi="Times New Roman" w:cs="Times New Roman"/>
                <w:b/>
                <w:bCs/>
                <w:color w:val="auto"/>
                <w:sz w:val="24"/>
                <w:szCs w:val="24"/>
                <w:lang w:val="en-US" w:eastAsia="zh-CN"/>
              </w:rPr>
              <w:t>m</w:t>
            </w:r>
            <w:r>
              <w:rPr>
                <w:rFonts w:hint="default" w:ascii="Times New Roman" w:hAnsi="Times New Roman" w:cs="Times New Roman"/>
                <w:b/>
                <w:bCs/>
                <w:color w:val="auto"/>
                <w:sz w:val="24"/>
                <w:szCs w:val="24"/>
                <w:vertAlign w:val="superscript"/>
                <w:lang w:val="en-US" w:eastAsia="zh-CN"/>
              </w:rPr>
              <w:t>3</w:t>
            </w:r>
            <w:r>
              <w:rPr>
                <w:rFonts w:hint="default" w:ascii="Times New Roman" w:hAnsi="Times New Roman" w:cs="Times New Roman"/>
                <w:b/>
                <w:bCs/>
                <w:color w:val="auto"/>
                <w:sz w:val="24"/>
                <w:szCs w:val="24"/>
                <w:lang w:val="en-US" w:eastAsia="zh-CN"/>
              </w:rPr>
              <w:t>/d，仅占龙眼井污水处理厂处理能力的0.0</w:t>
            </w:r>
            <w:r>
              <w:rPr>
                <w:rFonts w:hint="eastAsia" w:cs="Times New Roman"/>
                <w:b/>
                <w:bCs/>
                <w:color w:val="auto"/>
                <w:sz w:val="24"/>
                <w:szCs w:val="24"/>
                <w:lang w:val="en-US" w:eastAsia="zh-CN"/>
              </w:rPr>
              <w:t>4</w:t>
            </w:r>
            <w:r>
              <w:rPr>
                <w:rFonts w:hint="default" w:ascii="Times New Roman" w:hAnsi="Times New Roman" w:cs="Times New Roman"/>
                <w:b/>
                <w:bCs/>
                <w:color w:val="auto"/>
                <w:sz w:val="24"/>
                <w:szCs w:val="24"/>
                <w:lang w:val="en-US" w:eastAsia="zh-CN"/>
              </w:rPr>
              <w:t>%，因</w:t>
            </w:r>
            <w:r>
              <w:rPr>
                <w:rFonts w:hint="default" w:ascii="Times New Roman" w:hAnsi="Times New Roman" w:cs="Times New Roman"/>
                <w:b/>
                <w:bCs/>
                <w:sz w:val="24"/>
                <w:szCs w:val="24"/>
                <w:lang w:val="en-US" w:eastAsia="zh-CN"/>
              </w:rPr>
              <w:t>此，不会对污水处理厂的污水处理系统造成冲击。</w:t>
            </w:r>
          </w:p>
          <w:p w14:paraId="77648B61">
            <w:pPr>
              <w:snapToGrid w:val="0"/>
              <w:spacing w:line="360" w:lineRule="auto"/>
              <w:rPr>
                <w:rFonts w:hint="default"/>
              </w:rPr>
            </w:pPr>
            <w:r>
              <w:rPr>
                <w:rFonts w:hint="default"/>
              </w:rPr>
              <w:t xml:space="preserve">  </w:t>
            </w:r>
          </w:p>
          <w:p w14:paraId="11F4559D">
            <w:pPr>
              <w:snapToGrid w:val="0"/>
              <w:spacing w:line="360" w:lineRule="auto"/>
              <w:rPr>
                <w:rFonts w:hint="default"/>
              </w:rPr>
            </w:pPr>
          </w:p>
          <w:p w14:paraId="4A9E3101">
            <w:pPr>
              <w:spacing w:line="360" w:lineRule="auto"/>
              <w:ind w:firstLine="420" w:firstLineChars="200"/>
              <w:rPr>
                <w:rFonts w:hint="default"/>
              </w:rPr>
            </w:pPr>
          </w:p>
          <w:p w14:paraId="5B1F4E89">
            <w:pPr>
              <w:pStyle w:val="3"/>
              <w:rPr>
                <w:rFonts w:hint="default"/>
              </w:rPr>
            </w:pPr>
          </w:p>
          <w:p w14:paraId="5F511B72">
            <w:pPr>
              <w:rPr>
                <w:rFonts w:hint="default"/>
              </w:rPr>
            </w:pPr>
          </w:p>
          <w:p w14:paraId="280EB4D7">
            <w:pPr>
              <w:pStyle w:val="3"/>
              <w:rPr>
                <w:rFonts w:hint="default"/>
              </w:rPr>
            </w:pPr>
          </w:p>
          <w:p w14:paraId="7A61B58C">
            <w:pPr>
              <w:rPr>
                <w:rFonts w:hint="default"/>
              </w:rPr>
            </w:pPr>
          </w:p>
          <w:p w14:paraId="0B41F1D5">
            <w:pPr>
              <w:pStyle w:val="3"/>
              <w:rPr>
                <w:rFonts w:hint="default"/>
              </w:rPr>
            </w:pPr>
          </w:p>
          <w:p w14:paraId="30C999C7">
            <w:pPr>
              <w:rPr>
                <w:rFonts w:hint="default"/>
              </w:rPr>
            </w:pPr>
          </w:p>
          <w:p w14:paraId="55FEEDAC">
            <w:pPr>
              <w:pStyle w:val="3"/>
              <w:rPr>
                <w:rFonts w:hint="default"/>
              </w:rPr>
            </w:pPr>
          </w:p>
          <w:p w14:paraId="441F08ED">
            <w:pPr>
              <w:spacing w:line="360" w:lineRule="auto"/>
              <w:rPr>
                <w:rFonts w:hint="default"/>
              </w:rPr>
            </w:pPr>
          </w:p>
          <w:p w14:paraId="50344560">
            <w:pPr>
              <w:pStyle w:val="2"/>
              <w:rPr>
                <w:rFonts w:hint="default" w:ascii="Times New Roman" w:hAnsi="Times New Roman" w:cs="Times New Roman"/>
                <w:b/>
                <w:color w:val="auto"/>
                <w:sz w:val="28"/>
                <w:szCs w:val="24"/>
              </w:rPr>
            </w:pPr>
          </w:p>
          <w:p w14:paraId="461739F8">
            <w:pPr>
              <w:pStyle w:val="2"/>
              <w:rPr>
                <w:rFonts w:hint="default" w:ascii="Times New Roman" w:hAnsi="Times New Roman" w:cs="Times New Roman"/>
                <w:b/>
                <w:color w:val="auto"/>
                <w:sz w:val="28"/>
                <w:szCs w:val="24"/>
              </w:rPr>
            </w:pPr>
          </w:p>
          <w:p w14:paraId="6CD0A9DA">
            <w:pPr>
              <w:pStyle w:val="2"/>
              <w:rPr>
                <w:rFonts w:hint="default" w:ascii="Times New Roman" w:hAnsi="Times New Roman" w:cs="Times New Roman"/>
                <w:b/>
                <w:color w:val="auto"/>
                <w:sz w:val="28"/>
                <w:szCs w:val="24"/>
              </w:rPr>
            </w:pPr>
          </w:p>
          <w:p w14:paraId="44A6D7A3">
            <w:pPr>
              <w:pStyle w:val="2"/>
              <w:rPr>
                <w:rFonts w:hint="default" w:ascii="Times New Roman" w:hAnsi="Times New Roman" w:cs="Times New Roman"/>
                <w:b/>
                <w:color w:val="auto"/>
                <w:sz w:val="28"/>
                <w:szCs w:val="24"/>
              </w:rPr>
            </w:pPr>
          </w:p>
        </w:tc>
      </w:tr>
    </w:tbl>
    <w:p w14:paraId="5F88FD5A">
      <w:pPr>
        <w:pStyle w:val="3"/>
        <w:spacing w:before="0" w:after="0" w:line="240" w:lineRule="auto"/>
        <w:rPr>
          <w:rFonts w:hint="default" w:ascii="Times New Roman" w:hAnsi="Times New Roman" w:cs="Times New Roman"/>
          <w:color w:val="auto"/>
          <w:sz w:val="28"/>
          <w:szCs w:val="28"/>
        </w:rPr>
      </w:pPr>
      <w:r>
        <w:rPr>
          <w:rFonts w:hint="default" w:ascii="Times New Roman" w:hAnsi="Times New Roman" w:cs="Times New Roman"/>
          <w:color w:val="auto"/>
          <w:sz w:val="28"/>
          <w:szCs w:val="28"/>
        </w:rPr>
        <w:t>环境质量状况                                                     （表三）</w:t>
      </w:r>
    </w:p>
    <w:tbl>
      <w:tblPr>
        <w:tblStyle w:val="23"/>
        <w:tblW w:w="101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94"/>
      </w:tblGrid>
      <w:tr w14:paraId="42B071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194" w:type="dxa"/>
            <w:shd w:val="clear" w:color="auto" w:fill="auto"/>
          </w:tcPr>
          <w:p w14:paraId="00ECF278">
            <w:pPr>
              <w:spacing w:line="360" w:lineRule="auto"/>
              <w:rPr>
                <w:rFonts w:hint="default" w:ascii="Times New Roman" w:hAnsi="Times New Roman" w:cs="Times New Roman"/>
                <w:b/>
                <w:color w:val="auto"/>
                <w:sz w:val="28"/>
                <w:szCs w:val="24"/>
              </w:rPr>
            </w:pPr>
            <w:r>
              <w:rPr>
                <w:rFonts w:hint="default" w:ascii="Times New Roman" w:hAnsi="Times New Roman" w:cs="Times New Roman"/>
                <w:b/>
                <w:color w:val="auto"/>
                <w:sz w:val="28"/>
                <w:szCs w:val="24"/>
              </w:rPr>
              <w:t>建设项目所在地区域环境质量现状及主要环境问题（环境空气、地表水、地下水、声环境、生态环境等）：</w:t>
            </w:r>
          </w:p>
          <w:p w14:paraId="4D4DED9D">
            <w:pPr>
              <w:spacing w:line="360" w:lineRule="auto"/>
              <w:rPr>
                <w:rFonts w:hint="default" w:ascii="Times New Roman" w:hAnsi="Times New Roman" w:eastAsia="黑体" w:cs="Times New Roman"/>
                <w:color w:val="auto"/>
                <w:sz w:val="28"/>
                <w:szCs w:val="28"/>
              </w:rPr>
            </w:pPr>
            <w:r>
              <w:rPr>
                <w:rFonts w:hint="default" w:ascii="Times New Roman" w:hAnsi="Times New Roman" w:eastAsia="黑体" w:cs="Times New Roman"/>
                <w:color w:val="auto"/>
                <w:sz w:val="28"/>
                <w:szCs w:val="28"/>
              </w:rPr>
              <w:t>一、大气环境质量现状评价</w:t>
            </w:r>
          </w:p>
          <w:p w14:paraId="32DBEB51">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为了解项目所在区域大气环境质量现状,引用四川省中晟环保科技有限公司对</w:t>
            </w:r>
            <w:r>
              <w:rPr>
                <w:rFonts w:hint="eastAsia" w:cs="Times New Roman"/>
                <w:color w:val="auto"/>
                <w:sz w:val="24"/>
                <w:szCs w:val="24"/>
                <w:lang w:val="en-US" w:eastAsia="zh-CN"/>
              </w:rPr>
              <w:t>四川丰科汽车部件有限公司</w:t>
            </w:r>
            <w:r>
              <w:rPr>
                <w:rFonts w:hint="default" w:ascii="Times New Roman" w:hAnsi="Times New Roman" w:cs="Times New Roman"/>
                <w:color w:val="auto"/>
                <w:sz w:val="24"/>
                <w:szCs w:val="24"/>
                <w:lang w:val="en-US" w:eastAsia="zh-CN"/>
              </w:rPr>
              <w:t>“</w:t>
            </w:r>
            <w:r>
              <w:rPr>
                <w:rFonts w:hint="eastAsia" w:cs="Times New Roman"/>
                <w:color w:val="auto"/>
                <w:sz w:val="24"/>
                <w:szCs w:val="24"/>
                <w:lang w:val="en-US" w:eastAsia="zh-CN"/>
              </w:rPr>
              <w:t>汽车零部件深加工</w:t>
            </w:r>
            <w:r>
              <w:rPr>
                <w:rFonts w:hint="default" w:ascii="Times New Roman" w:hAnsi="Times New Roman" w:cs="Times New Roman"/>
                <w:color w:val="auto"/>
                <w:sz w:val="24"/>
                <w:szCs w:val="24"/>
                <w:lang w:val="en-US" w:eastAsia="zh-CN"/>
              </w:rPr>
              <w:t>项目”的环境空气监测数据，该数据距离本项目委托环评时效相隔</w:t>
            </w:r>
            <w:r>
              <w:rPr>
                <w:rFonts w:hint="eastAsia" w:cs="Times New Roman"/>
                <w:color w:val="auto"/>
                <w:sz w:val="24"/>
                <w:szCs w:val="24"/>
                <w:lang w:val="en-US" w:eastAsia="zh-CN"/>
              </w:rPr>
              <w:t>一年</w:t>
            </w:r>
            <w:r>
              <w:rPr>
                <w:rFonts w:hint="default" w:ascii="Times New Roman" w:hAnsi="Times New Roman" w:cs="Times New Roman"/>
                <w:color w:val="auto"/>
                <w:sz w:val="24"/>
                <w:szCs w:val="24"/>
                <w:lang w:val="en-US" w:eastAsia="zh-CN"/>
              </w:rPr>
              <w:t>半，在</w:t>
            </w:r>
            <w:r>
              <w:rPr>
                <w:rFonts w:hint="eastAsia" w:cs="Times New Roman"/>
                <w:color w:val="auto"/>
                <w:sz w:val="24"/>
                <w:szCs w:val="24"/>
                <w:lang w:val="en-US" w:eastAsia="zh-CN"/>
              </w:rPr>
              <w:t>这期间</w:t>
            </w:r>
            <w:r>
              <w:rPr>
                <w:rFonts w:hint="default" w:ascii="Times New Roman" w:hAnsi="Times New Roman" w:cs="Times New Roman"/>
                <w:color w:val="auto"/>
                <w:sz w:val="24"/>
                <w:szCs w:val="24"/>
                <w:lang w:val="en-US" w:eastAsia="zh-CN"/>
              </w:rPr>
              <w:t>，该区域未发生重大变化，未引入大型工业，环境基本未发生变化，具有一定的时效性和代表性。且四川丰科汽车部件有限公司“汽车零部件深加工项目”位于本项目西南侧约</w:t>
            </w:r>
            <w:r>
              <w:rPr>
                <w:rFonts w:hint="eastAsia" w:cs="Times New Roman"/>
                <w:color w:val="auto"/>
                <w:sz w:val="24"/>
                <w:szCs w:val="24"/>
                <w:lang w:val="en-US" w:eastAsia="zh-CN"/>
              </w:rPr>
              <w:t>970</w:t>
            </w:r>
            <w:r>
              <w:rPr>
                <w:rFonts w:hint="default" w:ascii="Times New Roman" w:hAnsi="Times New Roman" w:cs="Times New Roman"/>
                <w:color w:val="auto"/>
                <w:sz w:val="24"/>
                <w:szCs w:val="24"/>
                <w:lang w:val="en-US" w:eastAsia="zh-CN"/>
              </w:rPr>
              <w:t xml:space="preserve">m。其监测布点及监测内容具体情况见下表。 </w:t>
            </w:r>
          </w:p>
          <w:p w14:paraId="08AEB3BE">
            <w:pPr>
              <w:spacing w:line="360" w:lineRule="auto"/>
              <w:ind w:firstLine="482" w:firstLineChars="20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1、大气环境质量现状监测</w:t>
            </w:r>
          </w:p>
          <w:p w14:paraId="05F4C008">
            <w:pPr>
              <w:spacing w:line="360" w:lineRule="auto"/>
              <w:ind w:firstLine="482" w:firstLineChars="200"/>
              <w:rPr>
                <w:rFonts w:hint="default" w:ascii="Times New Roman" w:hAnsi="Times New Roman" w:cs="Times New Roman"/>
                <w:b/>
                <w:color w:val="auto"/>
                <w:sz w:val="24"/>
              </w:rPr>
            </w:pPr>
            <w:r>
              <w:rPr>
                <w:rFonts w:hint="default" w:ascii="Times New Roman" w:hAnsi="Times New Roman" w:cs="Times New Roman"/>
                <w:b/>
                <w:color w:val="auto"/>
                <w:sz w:val="24"/>
              </w:rPr>
              <w:t>（1）监测项目</w:t>
            </w:r>
          </w:p>
          <w:p w14:paraId="466D0DD6">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SO</w:t>
            </w:r>
            <w:r>
              <w:rPr>
                <w:rFonts w:hint="default" w:ascii="Times New Roman" w:hAnsi="Times New Roman" w:cs="Times New Roman"/>
                <w:color w:val="auto"/>
                <w:sz w:val="24"/>
                <w:szCs w:val="24"/>
                <w:vertAlign w:val="subscript"/>
              </w:rPr>
              <w:t>2</w:t>
            </w:r>
            <w:r>
              <w:rPr>
                <w:rFonts w:hint="default" w:ascii="Times New Roman" w:hAnsi="Times New Roman" w:cs="Times New Roman"/>
                <w:color w:val="auto"/>
                <w:sz w:val="24"/>
                <w:szCs w:val="24"/>
              </w:rPr>
              <w:t>、NO</w:t>
            </w:r>
            <w:r>
              <w:rPr>
                <w:rFonts w:hint="default" w:ascii="Times New Roman" w:hAnsi="Times New Roman" w:cs="Times New Roman"/>
                <w:color w:val="auto"/>
                <w:sz w:val="24"/>
                <w:szCs w:val="24"/>
                <w:vertAlign w:val="subscript"/>
              </w:rPr>
              <w:t>2</w:t>
            </w:r>
            <w:r>
              <w:rPr>
                <w:rFonts w:hint="default" w:ascii="Times New Roman" w:hAnsi="Times New Roman" w:cs="Times New Roman"/>
                <w:color w:val="auto"/>
                <w:sz w:val="24"/>
                <w:szCs w:val="24"/>
              </w:rPr>
              <w:t>、</w:t>
            </w:r>
            <w:r>
              <w:rPr>
                <w:rFonts w:hint="eastAsia" w:cs="Times New Roman"/>
                <w:color w:val="auto"/>
                <w:sz w:val="24"/>
                <w:szCs w:val="24"/>
                <w:lang w:val="en-US" w:eastAsia="zh-CN"/>
              </w:rPr>
              <w:t>PM</w:t>
            </w:r>
            <w:r>
              <w:rPr>
                <w:rFonts w:hint="eastAsia" w:cs="Times New Roman"/>
                <w:color w:val="auto"/>
                <w:sz w:val="24"/>
                <w:szCs w:val="24"/>
                <w:vertAlign w:val="subscript"/>
                <w:lang w:val="en-US" w:eastAsia="zh-CN"/>
              </w:rPr>
              <w:t>10</w:t>
            </w:r>
            <w:r>
              <w:rPr>
                <w:rFonts w:hint="eastAsia" w:cs="Times New Roman"/>
                <w:color w:val="auto"/>
                <w:sz w:val="24"/>
                <w:szCs w:val="24"/>
                <w:lang w:val="en-US" w:eastAsia="zh-CN"/>
              </w:rPr>
              <w:t>、甲苯、二甲苯、TVOC</w:t>
            </w:r>
            <w:r>
              <w:rPr>
                <w:rFonts w:hint="default" w:ascii="Times New Roman" w:hAnsi="Times New Roman" w:cs="Times New Roman"/>
                <w:color w:val="auto"/>
                <w:sz w:val="24"/>
                <w:szCs w:val="24"/>
              </w:rPr>
              <w:t>，共</w:t>
            </w:r>
            <w:r>
              <w:rPr>
                <w:rFonts w:hint="eastAsia" w:cs="Times New Roman"/>
                <w:color w:val="auto"/>
                <w:sz w:val="24"/>
                <w:szCs w:val="24"/>
                <w:lang w:val="en-US" w:eastAsia="zh-CN"/>
              </w:rPr>
              <w:t>6</w:t>
            </w:r>
            <w:r>
              <w:rPr>
                <w:rFonts w:hint="default" w:ascii="Times New Roman" w:hAnsi="Times New Roman" w:cs="Times New Roman"/>
                <w:color w:val="auto"/>
                <w:sz w:val="24"/>
                <w:szCs w:val="24"/>
              </w:rPr>
              <w:t>项。</w:t>
            </w:r>
          </w:p>
          <w:p w14:paraId="018F4C23">
            <w:pPr>
              <w:spacing w:line="360" w:lineRule="auto"/>
              <w:ind w:firstLine="482" w:firstLineChars="200"/>
              <w:rPr>
                <w:rFonts w:hint="eastAsia" w:ascii="Times New Roman" w:hAnsi="Times New Roman" w:eastAsia="宋体" w:cs="Times New Roman"/>
                <w:b/>
                <w:color w:val="auto"/>
                <w:sz w:val="24"/>
                <w:lang w:val="en-US" w:eastAsia="zh-CN"/>
              </w:rPr>
            </w:pPr>
            <w:r>
              <w:rPr>
                <w:rFonts w:hint="default" w:ascii="Times New Roman" w:hAnsi="Times New Roman" w:cs="Times New Roman"/>
                <w:b/>
                <w:color w:val="auto"/>
                <w:sz w:val="24"/>
              </w:rPr>
              <w:t>（2）监测时间</w:t>
            </w:r>
            <w:r>
              <w:rPr>
                <w:rFonts w:hint="eastAsia" w:cs="Times New Roman"/>
                <w:b/>
                <w:color w:val="auto"/>
                <w:sz w:val="24"/>
                <w:lang w:val="en-US" w:eastAsia="zh-CN"/>
              </w:rPr>
              <w:t>及频次</w:t>
            </w:r>
          </w:p>
          <w:p w14:paraId="75D344B7">
            <w:pPr>
              <w:spacing w:line="360" w:lineRule="auto"/>
              <w:ind w:firstLine="480"/>
              <w:rPr>
                <w:rFonts w:hint="eastAsia" w:ascii="Times New Roman" w:hAnsi="Times New Roman" w:eastAsia="宋体" w:cs="Times New Roman"/>
                <w:color w:val="auto"/>
                <w:sz w:val="24"/>
                <w:szCs w:val="24"/>
                <w:lang w:val="en-US" w:eastAsia="zh-CN"/>
              </w:rPr>
            </w:pPr>
            <w:r>
              <w:rPr>
                <w:rFonts w:hint="default" w:ascii="Times New Roman" w:hAnsi="Times New Roman" w:cs="Times New Roman"/>
                <w:color w:val="auto"/>
                <w:sz w:val="24"/>
                <w:szCs w:val="24"/>
              </w:rPr>
              <w:t>201</w:t>
            </w:r>
            <w:r>
              <w:rPr>
                <w:rFonts w:hint="default" w:ascii="Times New Roman" w:hAnsi="Times New Roman" w:cs="Times New Roman"/>
                <w:color w:val="auto"/>
                <w:sz w:val="24"/>
                <w:szCs w:val="24"/>
                <w:lang w:val="en-US" w:eastAsia="zh-CN"/>
              </w:rPr>
              <w:t>6</w:t>
            </w:r>
            <w:r>
              <w:rPr>
                <w:rFonts w:hint="default" w:ascii="Times New Roman" w:hAnsi="Times New Roman" w:cs="Times New Roman"/>
                <w:color w:val="auto"/>
                <w:sz w:val="24"/>
                <w:szCs w:val="24"/>
              </w:rPr>
              <w:t>年</w:t>
            </w:r>
            <w:r>
              <w:rPr>
                <w:rFonts w:hint="default" w:ascii="Times New Roman" w:hAnsi="Times New Roman" w:cs="Times New Roman"/>
                <w:color w:val="auto"/>
                <w:sz w:val="24"/>
                <w:szCs w:val="24"/>
                <w:lang w:val="en-US" w:eastAsia="zh-CN"/>
              </w:rPr>
              <w:t>12</w:t>
            </w:r>
            <w:r>
              <w:rPr>
                <w:rFonts w:hint="default" w:ascii="Times New Roman" w:hAnsi="Times New Roman" w:cs="Times New Roman"/>
                <w:color w:val="auto"/>
                <w:sz w:val="24"/>
                <w:szCs w:val="24"/>
              </w:rPr>
              <w:t>月</w:t>
            </w:r>
            <w:r>
              <w:rPr>
                <w:rFonts w:hint="default" w:ascii="Times New Roman" w:hAnsi="Times New Roman" w:cs="Times New Roman"/>
                <w:color w:val="auto"/>
                <w:sz w:val="24"/>
                <w:szCs w:val="24"/>
                <w:lang w:val="en-US" w:eastAsia="zh-CN"/>
              </w:rPr>
              <w:t>1</w:t>
            </w:r>
            <w:r>
              <w:rPr>
                <w:rFonts w:hint="default" w:ascii="Times New Roman" w:hAnsi="Times New Roman" w:cs="Times New Roman"/>
                <w:color w:val="auto"/>
                <w:sz w:val="24"/>
                <w:szCs w:val="24"/>
              </w:rPr>
              <w:t>日～201</w:t>
            </w:r>
            <w:r>
              <w:rPr>
                <w:rFonts w:hint="default" w:ascii="Times New Roman" w:hAnsi="Times New Roman" w:cs="Times New Roman"/>
                <w:color w:val="auto"/>
                <w:sz w:val="24"/>
                <w:szCs w:val="24"/>
                <w:lang w:val="en-US" w:eastAsia="zh-CN"/>
              </w:rPr>
              <w:t>6</w:t>
            </w:r>
            <w:r>
              <w:rPr>
                <w:rFonts w:hint="default" w:ascii="Times New Roman" w:hAnsi="Times New Roman" w:cs="Times New Roman"/>
                <w:color w:val="auto"/>
                <w:sz w:val="24"/>
                <w:szCs w:val="24"/>
              </w:rPr>
              <w:t>年</w:t>
            </w:r>
            <w:r>
              <w:rPr>
                <w:rFonts w:hint="default" w:ascii="Times New Roman" w:hAnsi="Times New Roman" w:cs="Times New Roman"/>
                <w:color w:val="auto"/>
                <w:sz w:val="24"/>
                <w:szCs w:val="24"/>
                <w:lang w:val="en-US" w:eastAsia="zh-CN"/>
              </w:rPr>
              <w:t>12</w:t>
            </w:r>
            <w:r>
              <w:rPr>
                <w:rFonts w:hint="default" w:ascii="Times New Roman" w:hAnsi="Times New Roman" w:cs="Times New Roman"/>
                <w:color w:val="auto"/>
                <w:sz w:val="24"/>
                <w:szCs w:val="24"/>
              </w:rPr>
              <w:t>月</w:t>
            </w:r>
            <w:r>
              <w:rPr>
                <w:rFonts w:hint="default" w:ascii="Times New Roman" w:hAnsi="Times New Roman" w:cs="Times New Roman"/>
                <w:color w:val="auto"/>
                <w:sz w:val="24"/>
                <w:szCs w:val="24"/>
                <w:lang w:val="en-US" w:eastAsia="zh-CN"/>
              </w:rPr>
              <w:t>7</w:t>
            </w:r>
            <w:r>
              <w:rPr>
                <w:rFonts w:hint="default" w:ascii="Times New Roman" w:hAnsi="Times New Roman" w:cs="Times New Roman"/>
                <w:color w:val="auto"/>
                <w:sz w:val="24"/>
                <w:szCs w:val="24"/>
              </w:rPr>
              <w:t>日，共</w:t>
            </w:r>
            <w:r>
              <w:rPr>
                <w:rFonts w:hint="default" w:ascii="Times New Roman" w:hAnsi="Times New Roman" w:cs="Times New Roman"/>
                <w:color w:val="auto"/>
                <w:sz w:val="24"/>
                <w:szCs w:val="24"/>
                <w:lang w:val="en-US" w:eastAsia="zh-CN"/>
              </w:rPr>
              <w:t>7</w:t>
            </w:r>
            <w:r>
              <w:rPr>
                <w:rFonts w:hint="default" w:ascii="Times New Roman" w:hAnsi="Times New Roman" w:cs="Times New Roman"/>
                <w:color w:val="auto"/>
                <w:sz w:val="24"/>
                <w:szCs w:val="24"/>
              </w:rPr>
              <w:t>天</w:t>
            </w:r>
            <w:r>
              <w:rPr>
                <w:rFonts w:hint="eastAsia" w:cs="Times New Roman"/>
                <w:color w:val="auto"/>
                <w:sz w:val="24"/>
                <w:szCs w:val="24"/>
                <w:lang w:eastAsia="zh-CN"/>
              </w:rPr>
              <w:t>。</w:t>
            </w:r>
            <w:r>
              <w:rPr>
                <w:rFonts w:hint="eastAsia" w:cs="Times New Roman"/>
                <w:color w:val="auto"/>
                <w:sz w:val="24"/>
                <w:szCs w:val="24"/>
                <w:lang w:val="en-US" w:eastAsia="zh-CN"/>
              </w:rPr>
              <w:t>其中SO</w:t>
            </w:r>
            <w:r>
              <w:rPr>
                <w:rFonts w:hint="eastAsia" w:cs="Times New Roman"/>
                <w:color w:val="auto"/>
                <w:sz w:val="24"/>
                <w:szCs w:val="24"/>
                <w:vertAlign w:val="subscript"/>
                <w:lang w:val="en-US" w:eastAsia="zh-CN"/>
              </w:rPr>
              <w:t>2</w:t>
            </w:r>
            <w:r>
              <w:rPr>
                <w:rFonts w:hint="eastAsia" w:cs="Times New Roman"/>
                <w:color w:val="auto"/>
                <w:sz w:val="24"/>
                <w:szCs w:val="24"/>
                <w:lang w:val="en-US" w:eastAsia="zh-CN"/>
              </w:rPr>
              <w:t>、NO</w:t>
            </w:r>
            <w:r>
              <w:rPr>
                <w:rFonts w:hint="eastAsia" w:cs="Times New Roman"/>
                <w:color w:val="auto"/>
                <w:sz w:val="24"/>
                <w:szCs w:val="24"/>
                <w:vertAlign w:val="subscript"/>
                <w:lang w:val="en-US" w:eastAsia="zh-CN"/>
              </w:rPr>
              <w:t>2</w:t>
            </w:r>
            <w:r>
              <w:rPr>
                <w:rFonts w:hint="eastAsia" w:cs="Times New Roman"/>
                <w:color w:val="auto"/>
                <w:sz w:val="24"/>
                <w:szCs w:val="24"/>
                <w:lang w:val="en-US" w:eastAsia="zh-CN"/>
              </w:rPr>
              <w:t>、甲苯、二甲苯监测小时均值；PM</w:t>
            </w:r>
            <w:r>
              <w:rPr>
                <w:rFonts w:hint="eastAsia" w:cs="Times New Roman"/>
                <w:color w:val="auto"/>
                <w:sz w:val="24"/>
                <w:szCs w:val="24"/>
                <w:vertAlign w:val="subscript"/>
                <w:lang w:val="en-US" w:eastAsia="zh-CN"/>
              </w:rPr>
              <w:t>10</w:t>
            </w:r>
            <w:r>
              <w:rPr>
                <w:rFonts w:hint="eastAsia" w:cs="Times New Roman"/>
                <w:color w:val="auto"/>
                <w:sz w:val="24"/>
                <w:szCs w:val="24"/>
                <w:lang w:val="en-US" w:eastAsia="zh-CN"/>
              </w:rPr>
              <w:t>监测日均值；TVOC监测一天为8小时均值</w:t>
            </w:r>
          </w:p>
          <w:p w14:paraId="2A03D6FA">
            <w:pPr>
              <w:spacing w:line="360" w:lineRule="auto"/>
              <w:ind w:firstLine="482" w:firstLineChars="200"/>
              <w:rPr>
                <w:rFonts w:hint="default" w:ascii="Times New Roman" w:hAnsi="Times New Roman" w:cs="Times New Roman"/>
                <w:b/>
                <w:color w:val="auto"/>
                <w:sz w:val="24"/>
                <w:lang w:eastAsia="zh-CN"/>
              </w:rPr>
            </w:pPr>
            <w:r>
              <w:rPr>
                <w:rFonts w:hint="default" w:ascii="Times New Roman" w:hAnsi="Times New Roman" w:cs="Times New Roman"/>
                <w:b/>
                <w:bCs/>
                <w:color w:val="auto"/>
                <w:sz w:val="24"/>
                <w:szCs w:val="24"/>
                <w:lang w:eastAsia="zh-CN"/>
              </w:rPr>
              <w:t>（</w:t>
            </w:r>
            <w:r>
              <w:rPr>
                <w:rFonts w:hint="default" w:ascii="Times New Roman" w:hAnsi="Times New Roman" w:cs="Times New Roman"/>
                <w:b/>
                <w:bCs/>
                <w:color w:val="auto"/>
                <w:sz w:val="24"/>
                <w:szCs w:val="24"/>
                <w:lang w:val="en-US" w:eastAsia="zh-CN"/>
              </w:rPr>
              <w:t>3</w:t>
            </w:r>
            <w:r>
              <w:rPr>
                <w:rFonts w:hint="default" w:ascii="Times New Roman" w:hAnsi="Times New Roman" w:cs="Times New Roman"/>
                <w:b/>
                <w:bCs/>
                <w:color w:val="auto"/>
                <w:sz w:val="24"/>
                <w:szCs w:val="24"/>
                <w:lang w:eastAsia="zh-CN"/>
              </w:rPr>
              <w:t>）</w:t>
            </w:r>
            <w:r>
              <w:rPr>
                <w:rFonts w:hint="default" w:ascii="Times New Roman" w:hAnsi="Times New Roman" w:cs="Times New Roman"/>
                <w:b/>
                <w:color w:val="auto"/>
                <w:sz w:val="24"/>
              </w:rPr>
              <w:t>监测</w:t>
            </w:r>
            <w:r>
              <w:rPr>
                <w:rFonts w:hint="default" w:ascii="Times New Roman" w:hAnsi="Times New Roman" w:cs="Times New Roman"/>
                <w:b/>
                <w:color w:val="auto"/>
                <w:sz w:val="24"/>
                <w:lang w:eastAsia="zh-CN"/>
              </w:rPr>
              <w:t>点位</w:t>
            </w:r>
          </w:p>
          <w:p w14:paraId="66E7173C">
            <w:pPr>
              <w:numPr>
                <w:ilvl w:val="0"/>
                <w:numId w:val="0"/>
              </w:numPr>
              <w:spacing w:line="360" w:lineRule="auto"/>
              <w:ind w:firstLine="480" w:firstLineChars="200"/>
              <w:rPr>
                <w:rFonts w:hint="default" w:ascii="Times New Roman" w:hAnsi="Times New Roman" w:cs="Times New Roman"/>
                <w:b w:val="0"/>
                <w:bCs/>
                <w:color w:val="auto"/>
                <w:sz w:val="24"/>
                <w:lang w:val="en-US" w:eastAsia="zh-CN"/>
              </w:rPr>
            </w:pPr>
            <w:r>
              <w:rPr>
                <w:rFonts w:hint="default" w:ascii="Times New Roman" w:hAnsi="Times New Roman" w:cs="Times New Roman"/>
                <w:b w:val="0"/>
                <w:bCs/>
                <w:color w:val="auto"/>
                <w:sz w:val="24"/>
                <w:lang w:val="en-US" w:eastAsia="zh-CN"/>
              </w:rPr>
              <w:t>监测点位置见表3-1及附图。</w:t>
            </w:r>
          </w:p>
          <w:p w14:paraId="20B909AE">
            <w:pPr>
              <w:keepNext w:val="0"/>
              <w:keepLines w:val="0"/>
              <w:pageBreakBefore w:val="0"/>
              <w:widowControl w:val="0"/>
              <w:numPr>
                <w:ilvl w:val="0"/>
                <w:numId w:val="0"/>
              </w:numPr>
              <w:tabs>
                <w:tab w:val="center" w:pos="4153"/>
              </w:tabs>
              <w:kinsoku/>
              <w:wordWrap/>
              <w:overflowPunct/>
              <w:topLinePunct w:val="0"/>
              <w:autoSpaceDE/>
              <w:autoSpaceDN/>
              <w:bidi w:val="0"/>
              <w:adjustRightInd/>
              <w:snapToGrid/>
              <w:spacing w:line="360" w:lineRule="auto"/>
              <w:ind w:leftChars="0" w:right="0" w:rightChars="0"/>
              <w:jc w:val="center"/>
              <w:textAlignment w:val="auto"/>
              <w:outlineLvl w:val="9"/>
              <w:rPr>
                <w:rFonts w:hint="default" w:ascii="Times New Roman" w:hAnsi="Times New Roman" w:cs="Times New Roman" w:eastAsiaTheme="minorEastAsia"/>
                <w:b/>
                <w:bCs w:val="0"/>
                <w:color w:val="auto"/>
                <w:sz w:val="21"/>
                <w:szCs w:val="21"/>
                <w:lang w:eastAsia="zh-CN"/>
              </w:rPr>
            </w:pPr>
            <w:r>
              <w:rPr>
                <w:rFonts w:hint="default" w:ascii="Times New Roman" w:hAnsi="Times New Roman" w:cs="Times New Roman" w:eastAsiaTheme="minorEastAsia"/>
                <w:b/>
                <w:bCs w:val="0"/>
                <w:color w:val="auto"/>
                <w:sz w:val="21"/>
                <w:szCs w:val="21"/>
                <w:lang w:val="en-US" w:eastAsia="zh-CN"/>
              </w:rPr>
              <w:t>表3-1环境空气监测点位</w:t>
            </w:r>
          </w:p>
          <w:tbl>
            <w:tblPr>
              <w:tblStyle w:val="24"/>
              <w:tblW w:w="9003"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246"/>
              <w:gridCol w:w="2174"/>
              <w:gridCol w:w="4583"/>
            </w:tblGrid>
            <w:tr w14:paraId="3F85EAC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246" w:type="dxa"/>
                  <w:tcBorders>
                    <w:bottom w:val="single" w:color="auto" w:sz="12" w:space="0"/>
                  </w:tcBorders>
                  <w:vAlign w:val="center"/>
                </w:tcPr>
                <w:p w14:paraId="245C47E5">
                  <w:pPr>
                    <w:tabs>
                      <w:tab w:val="center" w:pos="4153"/>
                    </w:tabs>
                    <w:jc w:val="center"/>
                    <w:rPr>
                      <w:rFonts w:hint="default" w:ascii="Times New Roman" w:hAnsi="Times New Roman" w:cs="Times New Roman" w:eastAsiaTheme="minorEastAsia"/>
                      <w:bCs/>
                      <w:color w:val="auto"/>
                      <w:sz w:val="21"/>
                      <w:szCs w:val="21"/>
                    </w:rPr>
                  </w:pPr>
                  <w:r>
                    <w:rPr>
                      <w:rFonts w:hint="default" w:ascii="Times New Roman" w:hAnsi="Times New Roman" w:cs="Times New Roman" w:eastAsiaTheme="minorEastAsia"/>
                      <w:bCs/>
                      <w:color w:val="auto"/>
                      <w:sz w:val="21"/>
                      <w:szCs w:val="21"/>
                    </w:rPr>
                    <w:t>监测类别</w:t>
                  </w:r>
                </w:p>
              </w:tc>
              <w:tc>
                <w:tcPr>
                  <w:tcW w:w="2174" w:type="dxa"/>
                  <w:tcBorders>
                    <w:bottom w:val="single" w:color="auto" w:sz="12" w:space="0"/>
                  </w:tcBorders>
                  <w:vAlign w:val="center"/>
                </w:tcPr>
                <w:p w14:paraId="3A8FF146">
                  <w:pPr>
                    <w:tabs>
                      <w:tab w:val="center" w:pos="4153"/>
                    </w:tabs>
                    <w:jc w:val="center"/>
                    <w:rPr>
                      <w:rFonts w:hint="default" w:ascii="Times New Roman" w:hAnsi="Times New Roman" w:cs="Times New Roman" w:eastAsiaTheme="minorEastAsia"/>
                      <w:bCs/>
                      <w:color w:val="auto"/>
                      <w:sz w:val="21"/>
                      <w:szCs w:val="21"/>
                    </w:rPr>
                  </w:pPr>
                  <w:r>
                    <w:rPr>
                      <w:rFonts w:hint="default" w:ascii="Times New Roman" w:hAnsi="Times New Roman" w:cs="Times New Roman" w:eastAsiaTheme="minorEastAsia"/>
                      <w:bCs/>
                      <w:color w:val="auto"/>
                      <w:sz w:val="21"/>
                      <w:szCs w:val="21"/>
                    </w:rPr>
                    <w:t>监测点位编号</w:t>
                  </w:r>
                </w:p>
              </w:tc>
              <w:tc>
                <w:tcPr>
                  <w:tcW w:w="4583" w:type="dxa"/>
                  <w:tcBorders>
                    <w:bottom w:val="single" w:color="auto" w:sz="12" w:space="0"/>
                  </w:tcBorders>
                  <w:vAlign w:val="center"/>
                </w:tcPr>
                <w:p w14:paraId="4AFCB010">
                  <w:pPr>
                    <w:tabs>
                      <w:tab w:val="center" w:pos="4153"/>
                    </w:tabs>
                    <w:jc w:val="center"/>
                    <w:rPr>
                      <w:rFonts w:hint="default" w:ascii="Times New Roman" w:hAnsi="Times New Roman" w:cs="Times New Roman" w:eastAsiaTheme="minorEastAsia"/>
                      <w:bCs/>
                      <w:color w:val="auto"/>
                      <w:sz w:val="21"/>
                      <w:szCs w:val="21"/>
                    </w:rPr>
                  </w:pPr>
                  <w:r>
                    <w:rPr>
                      <w:rFonts w:hint="default" w:ascii="Times New Roman" w:hAnsi="Times New Roman" w:cs="Times New Roman" w:eastAsiaTheme="minorEastAsia"/>
                      <w:bCs/>
                      <w:color w:val="auto"/>
                      <w:sz w:val="21"/>
                      <w:szCs w:val="21"/>
                    </w:rPr>
                    <w:t>监测点位置</w:t>
                  </w:r>
                </w:p>
              </w:tc>
            </w:tr>
            <w:tr w14:paraId="66E7402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246" w:type="dxa"/>
                  <w:tcBorders>
                    <w:top w:val="single" w:color="auto" w:sz="12" w:space="0"/>
                    <w:bottom w:val="single" w:color="auto" w:sz="12" w:space="0"/>
                  </w:tcBorders>
                  <w:vAlign w:val="center"/>
                </w:tcPr>
                <w:p w14:paraId="29524DCE">
                  <w:pPr>
                    <w:tabs>
                      <w:tab w:val="center" w:pos="4153"/>
                    </w:tabs>
                    <w:jc w:val="center"/>
                    <w:rPr>
                      <w:rFonts w:hint="default" w:ascii="Times New Roman" w:hAnsi="Times New Roman" w:cs="Times New Roman" w:eastAsiaTheme="minorEastAsia"/>
                      <w:bCs/>
                      <w:color w:val="auto"/>
                      <w:sz w:val="21"/>
                      <w:szCs w:val="21"/>
                    </w:rPr>
                  </w:pPr>
                  <w:r>
                    <w:rPr>
                      <w:rFonts w:hint="default" w:ascii="Times New Roman" w:hAnsi="Times New Roman" w:cs="Times New Roman" w:eastAsiaTheme="minorEastAsia"/>
                      <w:bCs/>
                      <w:color w:val="auto"/>
                      <w:sz w:val="21"/>
                      <w:szCs w:val="21"/>
                    </w:rPr>
                    <w:t>环境空气</w:t>
                  </w:r>
                </w:p>
              </w:tc>
              <w:tc>
                <w:tcPr>
                  <w:tcW w:w="2174" w:type="dxa"/>
                  <w:tcBorders>
                    <w:top w:val="single" w:color="auto" w:sz="12" w:space="0"/>
                    <w:bottom w:val="single" w:color="auto" w:sz="12" w:space="0"/>
                  </w:tcBorders>
                  <w:vAlign w:val="center"/>
                </w:tcPr>
                <w:p w14:paraId="5EE189C1">
                  <w:pPr>
                    <w:tabs>
                      <w:tab w:val="center" w:pos="4153"/>
                    </w:tabs>
                    <w:jc w:val="center"/>
                    <w:rPr>
                      <w:rFonts w:hint="default" w:ascii="Times New Roman" w:hAnsi="Times New Roman" w:cs="Times New Roman" w:eastAsiaTheme="minorEastAsia"/>
                      <w:bCs/>
                      <w:color w:val="auto"/>
                      <w:sz w:val="21"/>
                      <w:szCs w:val="21"/>
                    </w:rPr>
                  </w:pPr>
                  <w:r>
                    <w:rPr>
                      <w:rFonts w:hint="default" w:ascii="Times New Roman" w:hAnsi="Times New Roman" w:cs="Times New Roman" w:eastAsiaTheme="minorEastAsia"/>
                      <w:bCs/>
                      <w:color w:val="auto"/>
                      <w:sz w:val="21"/>
                      <w:szCs w:val="21"/>
                    </w:rPr>
                    <w:t>1#</w:t>
                  </w:r>
                </w:p>
              </w:tc>
              <w:tc>
                <w:tcPr>
                  <w:tcW w:w="4583" w:type="dxa"/>
                  <w:tcBorders>
                    <w:top w:val="single" w:color="auto" w:sz="12" w:space="0"/>
                    <w:bottom w:val="single" w:color="auto" w:sz="12" w:space="0"/>
                  </w:tcBorders>
                  <w:vAlign w:val="center"/>
                </w:tcPr>
                <w:p w14:paraId="624EDCA1">
                  <w:pPr>
                    <w:jc w:val="center"/>
                    <w:rPr>
                      <w:rFonts w:hint="default" w:ascii="Times New Roman" w:hAnsi="Times New Roman" w:cs="Times New Roman" w:eastAsiaTheme="minorEastAsia"/>
                      <w:bCs/>
                      <w:color w:val="auto"/>
                      <w:sz w:val="21"/>
                      <w:szCs w:val="21"/>
                      <w:lang w:val="en-US" w:eastAsia="zh-CN"/>
                    </w:rPr>
                  </w:pPr>
                  <w:r>
                    <w:rPr>
                      <w:rFonts w:hint="default" w:ascii="Times New Roman" w:hAnsi="Times New Roman" w:cs="Times New Roman"/>
                      <w:bCs/>
                      <w:color w:val="auto"/>
                      <w:sz w:val="21"/>
                      <w:szCs w:val="21"/>
                      <w:lang w:eastAsia="zh-CN"/>
                    </w:rPr>
                    <w:t>项目所在地</w:t>
                  </w:r>
                  <w:r>
                    <w:rPr>
                      <w:rFonts w:hint="eastAsia" w:cs="Times New Roman"/>
                      <w:bCs/>
                      <w:color w:val="auto"/>
                      <w:sz w:val="21"/>
                      <w:szCs w:val="21"/>
                      <w:lang w:val="en-US" w:eastAsia="zh-CN"/>
                    </w:rPr>
                    <w:t>上风向</w:t>
                  </w:r>
                </w:p>
              </w:tc>
            </w:tr>
            <w:tr w14:paraId="42EBB89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246" w:type="dxa"/>
                  <w:tcBorders>
                    <w:top w:val="single" w:color="auto" w:sz="12" w:space="0"/>
                    <w:bottom w:val="single" w:color="auto" w:sz="12" w:space="0"/>
                  </w:tcBorders>
                  <w:vAlign w:val="center"/>
                </w:tcPr>
                <w:p w14:paraId="56685D2B">
                  <w:pPr>
                    <w:tabs>
                      <w:tab w:val="center" w:pos="4153"/>
                    </w:tabs>
                    <w:jc w:val="center"/>
                    <w:rPr>
                      <w:rFonts w:hint="default" w:ascii="Times New Roman" w:hAnsi="Times New Roman" w:cs="Times New Roman" w:eastAsiaTheme="minorEastAsia"/>
                      <w:bCs/>
                      <w:color w:val="auto"/>
                      <w:sz w:val="21"/>
                      <w:szCs w:val="21"/>
                    </w:rPr>
                  </w:pPr>
                  <w:r>
                    <w:rPr>
                      <w:rFonts w:hint="default" w:ascii="Times New Roman" w:hAnsi="Times New Roman" w:cs="Times New Roman" w:eastAsiaTheme="minorEastAsia"/>
                      <w:bCs/>
                      <w:color w:val="auto"/>
                      <w:sz w:val="21"/>
                      <w:szCs w:val="21"/>
                    </w:rPr>
                    <w:t>环境空气</w:t>
                  </w:r>
                </w:p>
              </w:tc>
              <w:tc>
                <w:tcPr>
                  <w:tcW w:w="2174" w:type="dxa"/>
                  <w:tcBorders>
                    <w:top w:val="single" w:color="auto" w:sz="12" w:space="0"/>
                    <w:bottom w:val="single" w:color="auto" w:sz="12" w:space="0"/>
                  </w:tcBorders>
                  <w:vAlign w:val="center"/>
                </w:tcPr>
                <w:p w14:paraId="1314E291">
                  <w:pPr>
                    <w:tabs>
                      <w:tab w:val="center" w:pos="4153"/>
                    </w:tabs>
                    <w:jc w:val="center"/>
                    <w:rPr>
                      <w:rFonts w:hint="eastAsia" w:ascii="Times New Roman" w:hAnsi="Times New Roman" w:cs="Times New Roman" w:eastAsiaTheme="minorEastAsia"/>
                      <w:bCs/>
                      <w:color w:val="auto"/>
                      <w:sz w:val="21"/>
                      <w:szCs w:val="21"/>
                      <w:lang w:val="en-US" w:eastAsia="zh-CN"/>
                    </w:rPr>
                  </w:pPr>
                  <w:r>
                    <w:rPr>
                      <w:rFonts w:hint="eastAsia" w:cs="Times New Roman" w:eastAsiaTheme="minorEastAsia"/>
                      <w:bCs/>
                      <w:color w:val="auto"/>
                      <w:sz w:val="21"/>
                      <w:szCs w:val="21"/>
                      <w:lang w:val="en-US" w:eastAsia="zh-CN"/>
                    </w:rPr>
                    <w:t>2#</w:t>
                  </w:r>
                </w:p>
              </w:tc>
              <w:tc>
                <w:tcPr>
                  <w:tcW w:w="4583" w:type="dxa"/>
                  <w:tcBorders>
                    <w:top w:val="single" w:color="auto" w:sz="12" w:space="0"/>
                    <w:bottom w:val="single" w:color="auto" w:sz="12" w:space="0"/>
                  </w:tcBorders>
                  <w:vAlign w:val="center"/>
                </w:tcPr>
                <w:p w14:paraId="6996A2E3">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项目所在地</w:t>
                  </w:r>
                </w:p>
              </w:tc>
            </w:tr>
            <w:tr w14:paraId="310C31B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246" w:type="dxa"/>
                  <w:tcBorders>
                    <w:top w:val="single" w:color="auto" w:sz="12" w:space="0"/>
                    <w:bottom w:val="single" w:color="auto" w:sz="12" w:space="0"/>
                  </w:tcBorders>
                  <w:vAlign w:val="center"/>
                </w:tcPr>
                <w:p w14:paraId="3939B4B7">
                  <w:pPr>
                    <w:tabs>
                      <w:tab w:val="center" w:pos="4153"/>
                    </w:tabs>
                    <w:jc w:val="center"/>
                    <w:rPr>
                      <w:rFonts w:hint="default" w:ascii="Times New Roman" w:hAnsi="Times New Roman" w:cs="Times New Roman" w:eastAsiaTheme="minorEastAsia"/>
                      <w:bCs/>
                      <w:color w:val="auto"/>
                      <w:sz w:val="21"/>
                      <w:szCs w:val="21"/>
                    </w:rPr>
                  </w:pPr>
                  <w:r>
                    <w:rPr>
                      <w:rFonts w:hint="default" w:ascii="Times New Roman" w:hAnsi="Times New Roman" w:cs="Times New Roman" w:eastAsiaTheme="minorEastAsia"/>
                      <w:bCs/>
                      <w:color w:val="auto"/>
                      <w:sz w:val="21"/>
                      <w:szCs w:val="21"/>
                    </w:rPr>
                    <w:t>环境空气</w:t>
                  </w:r>
                </w:p>
              </w:tc>
              <w:tc>
                <w:tcPr>
                  <w:tcW w:w="2174" w:type="dxa"/>
                  <w:tcBorders>
                    <w:top w:val="single" w:color="auto" w:sz="12" w:space="0"/>
                    <w:bottom w:val="single" w:color="auto" w:sz="12" w:space="0"/>
                  </w:tcBorders>
                  <w:vAlign w:val="center"/>
                </w:tcPr>
                <w:p w14:paraId="4D75D11F">
                  <w:pPr>
                    <w:tabs>
                      <w:tab w:val="center" w:pos="4153"/>
                    </w:tabs>
                    <w:jc w:val="center"/>
                    <w:rPr>
                      <w:rFonts w:hint="eastAsia" w:ascii="Times New Roman" w:hAnsi="Times New Roman" w:cs="Times New Roman" w:eastAsiaTheme="minorEastAsia"/>
                      <w:bCs/>
                      <w:color w:val="auto"/>
                      <w:sz w:val="21"/>
                      <w:szCs w:val="21"/>
                      <w:lang w:val="en-US" w:eastAsia="zh-CN"/>
                    </w:rPr>
                  </w:pPr>
                  <w:r>
                    <w:rPr>
                      <w:rFonts w:hint="eastAsia" w:cs="Times New Roman" w:eastAsiaTheme="minorEastAsia"/>
                      <w:bCs/>
                      <w:color w:val="auto"/>
                      <w:sz w:val="21"/>
                      <w:szCs w:val="21"/>
                      <w:lang w:val="en-US" w:eastAsia="zh-CN"/>
                    </w:rPr>
                    <w:t>3#</w:t>
                  </w:r>
                </w:p>
              </w:tc>
              <w:tc>
                <w:tcPr>
                  <w:tcW w:w="4583" w:type="dxa"/>
                  <w:tcBorders>
                    <w:top w:val="single" w:color="auto" w:sz="12" w:space="0"/>
                    <w:bottom w:val="single" w:color="auto" w:sz="12" w:space="0"/>
                  </w:tcBorders>
                  <w:vAlign w:val="center"/>
                </w:tcPr>
                <w:p w14:paraId="538D3A92">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项目所在地下风向</w:t>
                  </w:r>
                </w:p>
              </w:tc>
            </w:tr>
          </w:tbl>
          <w:p w14:paraId="5AA55119">
            <w:pPr>
              <w:numPr>
                <w:ilvl w:val="0"/>
                <w:numId w:val="0"/>
              </w:numPr>
              <w:spacing w:line="360" w:lineRule="auto"/>
              <w:ind w:firstLine="482" w:firstLineChars="200"/>
              <w:rPr>
                <w:rFonts w:hint="default" w:ascii="Times New Roman" w:hAnsi="Times New Roman" w:cs="Times New Roman"/>
                <w:b/>
                <w:color w:val="auto"/>
                <w:sz w:val="24"/>
                <w:lang w:val="en-US" w:eastAsia="zh-CN"/>
              </w:rPr>
            </w:pPr>
            <w:r>
              <w:rPr>
                <w:rFonts w:hint="default" w:ascii="Times New Roman" w:hAnsi="Times New Roman" w:cs="Times New Roman"/>
                <w:b/>
                <w:color w:val="auto"/>
                <w:sz w:val="24"/>
                <w:lang w:val="en-US" w:eastAsia="zh-CN"/>
              </w:rPr>
              <w:t>（4）监测结果</w:t>
            </w:r>
          </w:p>
          <w:p w14:paraId="12CDA31A">
            <w:pPr>
              <w:snapToGrid w:val="0"/>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本次大气环境质量现状监测数据见表3-</w:t>
            </w:r>
            <w:r>
              <w:rPr>
                <w:rFonts w:hint="default" w:ascii="Times New Roman" w:hAnsi="Times New Roman" w:cs="Times New Roman"/>
                <w:color w:val="auto"/>
                <w:sz w:val="24"/>
                <w:szCs w:val="24"/>
                <w:lang w:val="en-US" w:eastAsia="zh-CN"/>
              </w:rPr>
              <w:t>2</w:t>
            </w:r>
            <w:r>
              <w:rPr>
                <w:rFonts w:hint="default" w:ascii="Times New Roman" w:hAnsi="Times New Roman" w:cs="Times New Roman"/>
                <w:color w:val="auto"/>
                <w:sz w:val="24"/>
                <w:szCs w:val="24"/>
              </w:rPr>
              <w:t>。</w:t>
            </w:r>
          </w:p>
          <w:p w14:paraId="2E996CF9">
            <w:pPr>
              <w:snapToGrid w:val="0"/>
              <w:spacing w:line="360" w:lineRule="auto"/>
              <w:jc w:val="center"/>
              <w:rPr>
                <w:rFonts w:hint="default" w:ascii="Times New Roman" w:hAnsi="Times New Roman" w:cs="Times New Roman" w:eastAsiaTheme="minorEastAsia"/>
                <w:b/>
                <w:bCs/>
                <w:color w:val="auto"/>
                <w:szCs w:val="21"/>
                <w:vertAlign w:val="superscript"/>
              </w:rPr>
            </w:pPr>
            <w:r>
              <w:rPr>
                <w:rFonts w:hint="default" w:ascii="Times New Roman" w:hAnsi="Times New Roman" w:cs="Times New Roman" w:eastAsiaTheme="minorEastAsia"/>
                <w:b/>
                <w:bCs/>
                <w:color w:val="auto"/>
                <w:szCs w:val="21"/>
              </w:rPr>
              <w:t>表3-</w:t>
            </w:r>
            <w:r>
              <w:rPr>
                <w:rFonts w:hint="default" w:ascii="Times New Roman" w:hAnsi="Times New Roman" w:cs="Times New Roman" w:eastAsiaTheme="minorEastAsia"/>
                <w:b/>
                <w:bCs/>
                <w:color w:val="auto"/>
                <w:szCs w:val="21"/>
                <w:lang w:val="en-US" w:eastAsia="zh-CN"/>
              </w:rPr>
              <w:t>2</w:t>
            </w:r>
            <w:r>
              <w:rPr>
                <w:rFonts w:hint="default" w:ascii="Times New Roman" w:hAnsi="Times New Roman" w:cs="Times New Roman" w:eastAsiaTheme="minorEastAsia"/>
                <w:b/>
                <w:bCs/>
                <w:color w:val="auto"/>
                <w:szCs w:val="21"/>
              </w:rPr>
              <w:t xml:space="preserve">  大气环境质量现状监测结果  单位：mg/m</w:t>
            </w:r>
            <w:r>
              <w:rPr>
                <w:rFonts w:hint="default" w:ascii="Times New Roman" w:hAnsi="Times New Roman" w:cs="Times New Roman" w:eastAsiaTheme="minorEastAsia"/>
                <w:b/>
                <w:bCs/>
                <w:color w:val="auto"/>
                <w:szCs w:val="21"/>
                <w:vertAlign w:val="superscript"/>
              </w:rPr>
              <w:t>3</w:t>
            </w:r>
          </w:p>
          <w:p w14:paraId="44F1162C">
            <w:pPr>
              <w:pStyle w:val="28"/>
              <w:rPr>
                <w:rFonts w:hint="default"/>
              </w:rPr>
            </w:pPr>
          </w:p>
          <w:tbl>
            <w:tblPr>
              <w:tblStyle w:val="24"/>
              <w:tblW w:w="10144" w:type="dxa"/>
              <w:tblInd w:w="0" w:type="dxa"/>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
            <w:tblGrid>
              <w:gridCol w:w="1295"/>
              <w:gridCol w:w="1778"/>
              <w:gridCol w:w="2567"/>
              <w:gridCol w:w="2256"/>
              <w:gridCol w:w="2248"/>
            </w:tblGrid>
            <w:tr w14:paraId="0F178FFF">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604" w:hRule="atLeast"/>
              </w:trPr>
              <w:tc>
                <w:tcPr>
                  <w:tcW w:w="1295" w:type="dxa"/>
                  <w:tcBorders>
                    <w:tl2br w:val="nil"/>
                    <w:tr2bl w:val="nil"/>
                  </w:tcBorders>
                  <w:vAlign w:val="center"/>
                </w:tcPr>
                <w:p w14:paraId="5D896C38">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监测</w:t>
                  </w:r>
                </w:p>
                <w:p w14:paraId="2BCBBF72">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点位</w:t>
                  </w:r>
                </w:p>
              </w:tc>
              <w:tc>
                <w:tcPr>
                  <w:tcW w:w="1778" w:type="dxa"/>
                  <w:tcBorders>
                    <w:tl2br w:val="nil"/>
                    <w:tr2bl w:val="nil"/>
                  </w:tcBorders>
                  <w:vAlign w:val="center"/>
                </w:tcPr>
                <w:p w14:paraId="5A1EDCEC">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监测</w:t>
                  </w:r>
                </w:p>
                <w:p w14:paraId="519E2C40">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项目</w:t>
                  </w:r>
                </w:p>
              </w:tc>
              <w:tc>
                <w:tcPr>
                  <w:tcW w:w="2567" w:type="dxa"/>
                  <w:tcBorders>
                    <w:tl2br w:val="nil"/>
                    <w:tr2bl w:val="nil"/>
                  </w:tcBorders>
                  <w:vAlign w:val="center"/>
                </w:tcPr>
                <w:p w14:paraId="178CDFDA">
                  <w:pPr>
                    <w:jc w:val="center"/>
                    <w:rPr>
                      <w:rFonts w:hint="eastAsia"/>
                      <w:lang w:val="en-US" w:eastAsia="zh-CN"/>
                    </w:rPr>
                  </w:pPr>
                  <w:r>
                    <w:rPr>
                      <w:rFonts w:hint="eastAsia"/>
                      <w:lang w:val="en-US" w:eastAsia="zh-CN"/>
                    </w:rPr>
                    <w:t>监测时间</w:t>
                  </w:r>
                </w:p>
                <w:p w14:paraId="0FB13726">
                  <w:pPr>
                    <w:pStyle w:val="28"/>
                    <w:jc w:val="center"/>
                    <w:rPr>
                      <w:rFonts w:hint="eastAsia"/>
                      <w:lang w:val="en-US" w:eastAsia="zh-CN"/>
                    </w:rPr>
                  </w:pPr>
                  <w:r>
                    <w:rPr>
                      <w:rFonts w:hint="eastAsia" w:ascii="Times New Roman" w:hAnsi="Times New Roman" w:cs="Times New Roman" w:eastAsiaTheme="minorEastAsia"/>
                      <w:color w:val="auto"/>
                      <w:kern w:val="2"/>
                      <w:sz w:val="21"/>
                      <w:szCs w:val="21"/>
                      <w:lang w:val="en-US" w:eastAsia="zh-CN" w:bidi="ar-SA"/>
                    </w:rPr>
                    <w:t>2016.12.1</w:t>
                  </w:r>
                  <w:r>
                    <w:rPr>
                      <w:rFonts w:hint="eastAsia" w:ascii="Times New Roman" w:cs="Times New Roman" w:eastAsiaTheme="minorEastAsia"/>
                      <w:color w:val="auto"/>
                      <w:kern w:val="2"/>
                      <w:sz w:val="21"/>
                      <w:szCs w:val="21"/>
                      <w:lang w:val="en-US" w:eastAsia="zh-CN" w:bidi="ar-SA"/>
                    </w:rPr>
                    <w:t>-2016.12.7</w:t>
                  </w:r>
                </w:p>
              </w:tc>
              <w:tc>
                <w:tcPr>
                  <w:tcW w:w="2256" w:type="dxa"/>
                  <w:tcBorders>
                    <w:tl2br w:val="nil"/>
                    <w:tr2bl w:val="nil"/>
                  </w:tcBorders>
                  <w:vAlign w:val="center"/>
                </w:tcPr>
                <w:p w14:paraId="5E523683">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监测结果（范围）</w:t>
                  </w:r>
                </w:p>
              </w:tc>
              <w:tc>
                <w:tcPr>
                  <w:tcW w:w="2248" w:type="dxa"/>
                  <w:tcBorders>
                    <w:tl2br w:val="nil"/>
                    <w:tr2bl w:val="nil"/>
                  </w:tcBorders>
                  <w:vAlign w:val="center"/>
                </w:tcPr>
                <w:p w14:paraId="0C6BA07D">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标准值</w:t>
                  </w:r>
                </w:p>
              </w:tc>
            </w:tr>
            <w:tr w14:paraId="5C3017B9">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restart"/>
                  <w:tcBorders>
                    <w:tl2br w:val="nil"/>
                    <w:tr2bl w:val="nil"/>
                  </w:tcBorders>
                  <w:vAlign w:val="center"/>
                </w:tcPr>
                <w:p w14:paraId="464EEA42">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1#</w:t>
                  </w:r>
                </w:p>
              </w:tc>
              <w:tc>
                <w:tcPr>
                  <w:tcW w:w="1778" w:type="dxa"/>
                  <w:tcBorders>
                    <w:tl2br w:val="nil"/>
                    <w:tr2bl w:val="nil"/>
                  </w:tcBorders>
                  <w:vAlign w:val="center"/>
                </w:tcPr>
                <w:p w14:paraId="578939CE">
                  <w:pPr>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lang w:val="en-US" w:eastAsia="zh-CN"/>
                    </w:rPr>
                    <w:t>PM</w:t>
                  </w:r>
                  <w:r>
                    <w:rPr>
                      <w:rFonts w:hint="default" w:ascii="Times New Roman" w:hAnsi="Times New Roman" w:cs="Times New Roman" w:eastAsiaTheme="minorEastAsia"/>
                      <w:color w:val="auto"/>
                      <w:sz w:val="21"/>
                      <w:szCs w:val="21"/>
                      <w:vertAlign w:val="subscript"/>
                      <w:lang w:val="en-US" w:eastAsia="zh-CN"/>
                    </w:rPr>
                    <w:t>10</w:t>
                  </w:r>
                </w:p>
              </w:tc>
              <w:tc>
                <w:tcPr>
                  <w:tcW w:w="2567" w:type="dxa"/>
                  <w:tcBorders>
                    <w:tl2br w:val="nil"/>
                    <w:tr2bl w:val="nil"/>
                  </w:tcBorders>
                  <w:vAlign w:val="center"/>
                </w:tcPr>
                <w:p w14:paraId="3806E0D2">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日均值</w:t>
                  </w:r>
                </w:p>
              </w:tc>
              <w:tc>
                <w:tcPr>
                  <w:tcW w:w="2256" w:type="dxa"/>
                  <w:tcBorders>
                    <w:tl2br w:val="nil"/>
                    <w:tr2bl w:val="nil"/>
                  </w:tcBorders>
                  <w:vAlign w:val="center"/>
                </w:tcPr>
                <w:p w14:paraId="60432D77">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0.077-0.110</w:t>
                  </w:r>
                </w:p>
              </w:tc>
              <w:tc>
                <w:tcPr>
                  <w:tcW w:w="2248" w:type="dxa"/>
                  <w:tcBorders>
                    <w:tl2br w:val="nil"/>
                    <w:tr2bl w:val="nil"/>
                  </w:tcBorders>
                  <w:vAlign w:val="center"/>
                </w:tcPr>
                <w:p w14:paraId="7299998D">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0.15</w:t>
                  </w:r>
                </w:p>
              </w:tc>
            </w:tr>
            <w:tr w14:paraId="57708BAC">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continue"/>
                  <w:tcBorders>
                    <w:tl2br w:val="nil"/>
                    <w:tr2bl w:val="nil"/>
                  </w:tcBorders>
                  <w:vAlign w:val="center"/>
                </w:tcPr>
                <w:p w14:paraId="13120889">
                  <w:pPr>
                    <w:jc w:val="center"/>
                    <w:rPr>
                      <w:rFonts w:hint="eastAsia" w:cs="Times New Roman" w:eastAsiaTheme="minorEastAsia"/>
                      <w:color w:val="auto"/>
                      <w:sz w:val="21"/>
                      <w:szCs w:val="21"/>
                      <w:lang w:val="en-US" w:eastAsia="zh-CN"/>
                    </w:rPr>
                  </w:pPr>
                </w:p>
              </w:tc>
              <w:tc>
                <w:tcPr>
                  <w:tcW w:w="1778" w:type="dxa"/>
                  <w:tcBorders>
                    <w:tl2br w:val="nil"/>
                    <w:tr2bl w:val="nil"/>
                  </w:tcBorders>
                  <w:vAlign w:val="center"/>
                </w:tcPr>
                <w:p w14:paraId="28E38E61">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二氧化硫</w:t>
                  </w:r>
                </w:p>
              </w:tc>
              <w:tc>
                <w:tcPr>
                  <w:tcW w:w="2567" w:type="dxa"/>
                  <w:tcBorders>
                    <w:tl2br w:val="nil"/>
                    <w:tr2bl w:val="nil"/>
                  </w:tcBorders>
                  <w:vAlign w:val="center"/>
                </w:tcPr>
                <w:p w14:paraId="1B5C6F4C">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小时均值</w:t>
                  </w:r>
                </w:p>
              </w:tc>
              <w:tc>
                <w:tcPr>
                  <w:tcW w:w="2256" w:type="dxa"/>
                  <w:tcBorders>
                    <w:tl2br w:val="nil"/>
                    <w:tr2bl w:val="nil"/>
                  </w:tcBorders>
                  <w:vAlign w:val="center"/>
                </w:tcPr>
                <w:p w14:paraId="1E984EA9">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0.007-0.016</w:t>
                  </w:r>
                </w:p>
              </w:tc>
              <w:tc>
                <w:tcPr>
                  <w:tcW w:w="2248" w:type="dxa"/>
                  <w:tcBorders>
                    <w:tl2br w:val="nil"/>
                    <w:tr2bl w:val="nil"/>
                  </w:tcBorders>
                  <w:vAlign w:val="center"/>
                </w:tcPr>
                <w:p w14:paraId="5C0E16E0">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0.5</w:t>
                  </w:r>
                </w:p>
              </w:tc>
            </w:tr>
            <w:tr w14:paraId="35D27F80">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continue"/>
                  <w:tcBorders>
                    <w:tl2br w:val="nil"/>
                    <w:tr2bl w:val="nil"/>
                  </w:tcBorders>
                  <w:vAlign w:val="center"/>
                </w:tcPr>
                <w:p w14:paraId="546022EC">
                  <w:pPr>
                    <w:jc w:val="center"/>
                    <w:rPr>
                      <w:rFonts w:hint="default" w:ascii="Times New Roman" w:hAnsi="Times New Roman" w:cs="Times New Roman" w:eastAsiaTheme="minorEastAsia"/>
                      <w:color w:val="auto"/>
                      <w:sz w:val="21"/>
                      <w:szCs w:val="21"/>
                    </w:rPr>
                  </w:pPr>
                </w:p>
              </w:tc>
              <w:tc>
                <w:tcPr>
                  <w:tcW w:w="1778" w:type="dxa"/>
                  <w:tcBorders>
                    <w:tl2br w:val="nil"/>
                    <w:tr2bl w:val="nil"/>
                  </w:tcBorders>
                  <w:vAlign w:val="center"/>
                </w:tcPr>
                <w:p w14:paraId="6E00B3D0">
                  <w:pPr>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lang w:val="en-US" w:eastAsia="zh-CN"/>
                    </w:rPr>
                    <w:t>二氧化氮</w:t>
                  </w:r>
                </w:p>
              </w:tc>
              <w:tc>
                <w:tcPr>
                  <w:tcW w:w="2567" w:type="dxa"/>
                  <w:tcBorders>
                    <w:tl2br w:val="nil"/>
                    <w:tr2bl w:val="nil"/>
                  </w:tcBorders>
                  <w:vAlign w:val="center"/>
                </w:tcPr>
                <w:p w14:paraId="5FF0BD42">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小时均值</w:t>
                  </w:r>
                </w:p>
              </w:tc>
              <w:tc>
                <w:tcPr>
                  <w:tcW w:w="2256" w:type="dxa"/>
                  <w:tcBorders>
                    <w:tl2br w:val="nil"/>
                    <w:tr2bl w:val="nil"/>
                  </w:tcBorders>
                  <w:vAlign w:val="center"/>
                </w:tcPr>
                <w:p w14:paraId="750624C5">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0.006-0.038</w:t>
                  </w:r>
                </w:p>
              </w:tc>
              <w:tc>
                <w:tcPr>
                  <w:tcW w:w="2248" w:type="dxa"/>
                  <w:tcBorders>
                    <w:tl2br w:val="nil"/>
                    <w:tr2bl w:val="nil"/>
                  </w:tcBorders>
                  <w:vAlign w:val="center"/>
                </w:tcPr>
                <w:p w14:paraId="781E6519">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0.2</w:t>
                  </w:r>
                </w:p>
              </w:tc>
            </w:tr>
            <w:tr w14:paraId="52470814">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continue"/>
                  <w:tcBorders>
                    <w:tl2br w:val="nil"/>
                    <w:tr2bl w:val="nil"/>
                  </w:tcBorders>
                  <w:vAlign w:val="center"/>
                </w:tcPr>
                <w:p w14:paraId="5EF4EF68">
                  <w:pPr>
                    <w:jc w:val="center"/>
                    <w:rPr>
                      <w:rFonts w:hint="default" w:ascii="Times New Roman" w:hAnsi="Times New Roman" w:cs="Times New Roman" w:eastAsiaTheme="minorEastAsia"/>
                      <w:color w:val="auto"/>
                      <w:sz w:val="21"/>
                      <w:szCs w:val="21"/>
                    </w:rPr>
                  </w:pPr>
                </w:p>
              </w:tc>
              <w:tc>
                <w:tcPr>
                  <w:tcW w:w="1778" w:type="dxa"/>
                  <w:tcBorders>
                    <w:tl2br w:val="nil"/>
                    <w:tr2bl w:val="nil"/>
                  </w:tcBorders>
                  <w:vAlign w:val="center"/>
                </w:tcPr>
                <w:p w14:paraId="4E727650">
                  <w:pPr>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lang w:val="en-US" w:eastAsia="zh-CN"/>
                    </w:rPr>
                    <w:t>甲苯</w:t>
                  </w:r>
                </w:p>
              </w:tc>
              <w:tc>
                <w:tcPr>
                  <w:tcW w:w="2567" w:type="dxa"/>
                  <w:tcBorders>
                    <w:tl2br w:val="nil"/>
                    <w:tr2bl w:val="nil"/>
                  </w:tcBorders>
                  <w:vAlign w:val="center"/>
                </w:tcPr>
                <w:p w14:paraId="3C34AC3F">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小时均值</w:t>
                  </w:r>
                </w:p>
              </w:tc>
              <w:tc>
                <w:tcPr>
                  <w:tcW w:w="2256" w:type="dxa"/>
                  <w:tcBorders>
                    <w:tl2br w:val="nil"/>
                    <w:tr2bl w:val="nil"/>
                  </w:tcBorders>
                  <w:vAlign w:val="center"/>
                </w:tcPr>
                <w:p w14:paraId="69CC0CE2">
                  <w:pPr>
                    <w:jc w:val="center"/>
                    <w:rPr>
                      <w:rFonts w:hint="eastAsia" w:ascii="Times New Roman" w:hAnsi="Times New Roman" w:cs="Times New Roman" w:eastAsiaTheme="minorEastAsia"/>
                      <w:color w:val="auto"/>
                      <w:sz w:val="21"/>
                      <w:szCs w:val="21"/>
                      <w:lang w:val="en-US" w:eastAsia="zh-CN"/>
                    </w:rPr>
                  </w:pPr>
                  <w:r>
                    <w:rPr>
                      <w:rFonts w:hint="eastAsia" w:ascii="Times New Roman" w:hAnsi="Times New Roman" w:cs="Times New Roman" w:eastAsiaTheme="minorEastAsia"/>
                      <w:color w:val="auto"/>
                      <w:sz w:val="21"/>
                      <w:szCs w:val="21"/>
                      <w:lang w:val="en-US" w:eastAsia="zh-CN"/>
                    </w:rPr>
                    <w:t>7.5×10</w:t>
                  </w:r>
                  <w:r>
                    <w:rPr>
                      <w:rFonts w:hint="eastAsia" w:ascii="Times New Roman" w:hAnsi="Times New Roman" w:cs="Times New Roman" w:eastAsiaTheme="minorEastAsia"/>
                      <w:color w:val="auto"/>
                      <w:sz w:val="21"/>
                      <w:szCs w:val="21"/>
                      <w:vertAlign w:val="superscript"/>
                      <w:lang w:val="en-US" w:eastAsia="zh-CN"/>
                    </w:rPr>
                    <w:t>-4</w:t>
                  </w:r>
                </w:p>
              </w:tc>
              <w:tc>
                <w:tcPr>
                  <w:tcW w:w="2248" w:type="dxa"/>
                  <w:tcBorders>
                    <w:tl2br w:val="nil"/>
                    <w:tr2bl w:val="nil"/>
                  </w:tcBorders>
                  <w:vAlign w:val="center"/>
                </w:tcPr>
                <w:p w14:paraId="27FCD357">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0.2</w:t>
                  </w:r>
                </w:p>
              </w:tc>
            </w:tr>
            <w:tr w14:paraId="087CEB54">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continue"/>
                  <w:tcBorders>
                    <w:tl2br w:val="nil"/>
                    <w:tr2bl w:val="nil"/>
                  </w:tcBorders>
                  <w:vAlign w:val="center"/>
                </w:tcPr>
                <w:p w14:paraId="657BB1B5">
                  <w:pPr>
                    <w:jc w:val="center"/>
                    <w:rPr>
                      <w:rFonts w:hint="default" w:ascii="Times New Roman" w:hAnsi="Times New Roman" w:cs="Times New Roman" w:eastAsiaTheme="minorEastAsia"/>
                      <w:color w:val="auto"/>
                      <w:sz w:val="21"/>
                      <w:szCs w:val="21"/>
                    </w:rPr>
                  </w:pPr>
                </w:p>
              </w:tc>
              <w:tc>
                <w:tcPr>
                  <w:tcW w:w="1778" w:type="dxa"/>
                  <w:tcBorders>
                    <w:tl2br w:val="nil"/>
                    <w:tr2bl w:val="nil"/>
                  </w:tcBorders>
                  <w:vAlign w:val="center"/>
                </w:tcPr>
                <w:p w14:paraId="10EA3419">
                  <w:pPr>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lang w:val="en-US" w:eastAsia="zh-CN"/>
                    </w:rPr>
                    <w:t>二甲苯</w:t>
                  </w:r>
                </w:p>
              </w:tc>
              <w:tc>
                <w:tcPr>
                  <w:tcW w:w="2567" w:type="dxa"/>
                  <w:tcBorders>
                    <w:tl2br w:val="nil"/>
                    <w:tr2bl w:val="nil"/>
                  </w:tcBorders>
                  <w:vAlign w:val="center"/>
                </w:tcPr>
                <w:p w14:paraId="44849924">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小时均值</w:t>
                  </w:r>
                </w:p>
              </w:tc>
              <w:tc>
                <w:tcPr>
                  <w:tcW w:w="2256" w:type="dxa"/>
                  <w:tcBorders>
                    <w:tl2br w:val="nil"/>
                    <w:tr2bl w:val="nil"/>
                  </w:tcBorders>
                  <w:vAlign w:val="center"/>
                </w:tcPr>
                <w:p w14:paraId="4E515A15">
                  <w:pPr>
                    <w:jc w:val="center"/>
                    <w:rPr>
                      <w:rFonts w:hint="eastAsia" w:ascii="Times New Roman" w:hAnsi="Times New Roman" w:cs="Times New Roman" w:eastAsiaTheme="minorEastAsia"/>
                      <w:color w:val="auto"/>
                      <w:sz w:val="21"/>
                      <w:szCs w:val="21"/>
                      <w:lang w:val="en-US" w:eastAsia="zh-CN"/>
                    </w:rPr>
                  </w:pPr>
                  <w:r>
                    <w:rPr>
                      <w:rFonts w:hint="eastAsia" w:ascii="Times New Roman" w:hAnsi="Times New Roman" w:cs="Times New Roman" w:eastAsiaTheme="minorEastAsia"/>
                      <w:color w:val="auto"/>
                      <w:sz w:val="21"/>
                      <w:szCs w:val="21"/>
                      <w:lang w:val="en-US" w:eastAsia="zh-CN"/>
                    </w:rPr>
                    <w:t>7.5×10</w:t>
                  </w:r>
                  <w:r>
                    <w:rPr>
                      <w:rFonts w:hint="eastAsia" w:ascii="Times New Roman" w:hAnsi="Times New Roman" w:cs="Times New Roman" w:eastAsiaTheme="minorEastAsia"/>
                      <w:color w:val="auto"/>
                      <w:sz w:val="21"/>
                      <w:szCs w:val="21"/>
                      <w:vertAlign w:val="superscript"/>
                      <w:lang w:val="en-US" w:eastAsia="zh-CN"/>
                    </w:rPr>
                    <w:t>-4</w:t>
                  </w:r>
                </w:p>
              </w:tc>
              <w:tc>
                <w:tcPr>
                  <w:tcW w:w="2248" w:type="dxa"/>
                  <w:tcBorders>
                    <w:tl2br w:val="nil"/>
                    <w:tr2bl w:val="nil"/>
                  </w:tcBorders>
                  <w:vAlign w:val="center"/>
                </w:tcPr>
                <w:p w14:paraId="037F0BBA">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0.2</w:t>
                  </w:r>
                </w:p>
              </w:tc>
            </w:tr>
            <w:tr w14:paraId="603B069D">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continue"/>
                  <w:tcBorders>
                    <w:tl2br w:val="nil"/>
                    <w:tr2bl w:val="nil"/>
                  </w:tcBorders>
                  <w:vAlign w:val="center"/>
                </w:tcPr>
                <w:p w14:paraId="6232E4E0">
                  <w:pPr>
                    <w:jc w:val="center"/>
                    <w:rPr>
                      <w:rFonts w:hint="eastAsia" w:cs="Times New Roman" w:eastAsiaTheme="minorEastAsia"/>
                      <w:color w:val="auto"/>
                      <w:sz w:val="21"/>
                      <w:szCs w:val="21"/>
                      <w:lang w:val="en-US" w:eastAsia="zh-CN"/>
                    </w:rPr>
                  </w:pPr>
                </w:p>
              </w:tc>
              <w:tc>
                <w:tcPr>
                  <w:tcW w:w="1778" w:type="dxa"/>
                  <w:tcBorders>
                    <w:tl2br w:val="nil"/>
                    <w:tr2bl w:val="nil"/>
                  </w:tcBorders>
                  <w:vAlign w:val="center"/>
                </w:tcPr>
                <w:p w14:paraId="52A658B0">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TVOC</w:t>
                  </w:r>
                </w:p>
              </w:tc>
              <w:tc>
                <w:tcPr>
                  <w:tcW w:w="2567" w:type="dxa"/>
                  <w:tcBorders>
                    <w:tl2br w:val="nil"/>
                    <w:tr2bl w:val="nil"/>
                  </w:tcBorders>
                  <w:vAlign w:val="center"/>
                </w:tcPr>
                <w:p w14:paraId="21241FB4">
                  <w:pPr>
                    <w:jc w:val="center"/>
                    <w:rPr>
                      <w:rFonts w:hint="default" w:ascii="Times New Roman" w:hAnsi="Times New Roman" w:cs="Times New Roman" w:eastAsiaTheme="minorEastAsia"/>
                      <w:color w:val="auto"/>
                      <w:sz w:val="21"/>
                      <w:szCs w:val="21"/>
                      <w:lang w:val="en-US"/>
                    </w:rPr>
                  </w:pPr>
                  <w:r>
                    <w:rPr>
                      <w:rFonts w:hint="eastAsia" w:cs="Times New Roman" w:eastAsiaTheme="minorEastAsia"/>
                      <w:color w:val="auto"/>
                      <w:sz w:val="21"/>
                      <w:szCs w:val="21"/>
                      <w:lang w:val="en-US" w:eastAsia="zh-CN"/>
                    </w:rPr>
                    <w:t>8小时均值</w:t>
                  </w:r>
                </w:p>
              </w:tc>
              <w:tc>
                <w:tcPr>
                  <w:tcW w:w="2256" w:type="dxa"/>
                  <w:tcBorders>
                    <w:tl2br w:val="nil"/>
                    <w:tr2bl w:val="nil"/>
                  </w:tcBorders>
                  <w:vAlign w:val="center"/>
                </w:tcPr>
                <w:p w14:paraId="79253403">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3.09×10</w:t>
                  </w:r>
                  <w:r>
                    <w:rPr>
                      <w:rFonts w:hint="eastAsia" w:cs="Times New Roman" w:eastAsiaTheme="minorEastAsia"/>
                      <w:color w:val="auto"/>
                      <w:sz w:val="21"/>
                      <w:szCs w:val="21"/>
                      <w:vertAlign w:val="superscript"/>
                      <w:lang w:val="en-US" w:eastAsia="zh-CN"/>
                    </w:rPr>
                    <w:t>-2</w:t>
                  </w:r>
                </w:p>
              </w:tc>
              <w:tc>
                <w:tcPr>
                  <w:tcW w:w="2248" w:type="dxa"/>
                  <w:tcBorders>
                    <w:tl2br w:val="nil"/>
                    <w:tr2bl w:val="nil"/>
                  </w:tcBorders>
                  <w:vAlign w:val="center"/>
                </w:tcPr>
                <w:p w14:paraId="35F2E878">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0.6</w:t>
                  </w:r>
                </w:p>
              </w:tc>
            </w:tr>
            <w:tr w14:paraId="66F961D0">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restart"/>
                  <w:tcBorders>
                    <w:tl2br w:val="nil"/>
                    <w:tr2bl w:val="nil"/>
                  </w:tcBorders>
                  <w:vAlign w:val="center"/>
                </w:tcPr>
                <w:p w14:paraId="5F575723">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2#</w:t>
                  </w:r>
                </w:p>
              </w:tc>
              <w:tc>
                <w:tcPr>
                  <w:tcW w:w="1778" w:type="dxa"/>
                  <w:tcBorders>
                    <w:tl2br w:val="nil"/>
                    <w:tr2bl w:val="nil"/>
                  </w:tcBorders>
                  <w:vAlign w:val="center"/>
                </w:tcPr>
                <w:p w14:paraId="546900FF">
                  <w:pPr>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lang w:val="en-US" w:eastAsia="zh-CN"/>
                    </w:rPr>
                    <w:t>PM</w:t>
                  </w:r>
                  <w:r>
                    <w:rPr>
                      <w:rFonts w:hint="default" w:ascii="Times New Roman" w:hAnsi="Times New Roman" w:cs="Times New Roman" w:eastAsiaTheme="minorEastAsia"/>
                      <w:color w:val="auto"/>
                      <w:sz w:val="21"/>
                      <w:szCs w:val="21"/>
                      <w:vertAlign w:val="subscript"/>
                      <w:lang w:val="en-US" w:eastAsia="zh-CN"/>
                    </w:rPr>
                    <w:t>10</w:t>
                  </w:r>
                </w:p>
              </w:tc>
              <w:tc>
                <w:tcPr>
                  <w:tcW w:w="2567" w:type="dxa"/>
                  <w:tcBorders>
                    <w:tl2br w:val="nil"/>
                    <w:tr2bl w:val="nil"/>
                  </w:tcBorders>
                  <w:vAlign w:val="center"/>
                </w:tcPr>
                <w:p w14:paraId="0E6BC1F5">
                  <w:pPr>
                    <w:jc w:val="center"/>
                    <w:rPr>
                      <w:rFonts w:hint="default" w:ascii="Times New Roman" w:hAnsi="Times New Roman" w:cs="Times New Roman" w:eastAsiaTheme="minorEastAsia"/>
                      <w:color w:val="auto"/>
                      <w:sz w:val="21"/>
                      <w:szCs w:val="21"/>
                    </w:rPr>
                  </w:pPr>
                  <w:r>
                    <w:rPr>
                      <w:rFonts w:hint="eastAsia" w:cs="Times New Roman" w:eastAsiaTheme="minorEastAsia"/>
                      <w:color w:val="auto"/>
                      <w:sz w:val="21"/>
                      <w:szCs w:val="21"/>
                      <w:lang w:val="en-US" w:eastAsia="zh-CN"/>
                    </w:rPr>
                    <w:t>日均值</w:t>
                  </w:r>
                </w:p>
              </w:tc>
              <w:tc>
                <w:tcPr>
                  <w:tcW w:w="2256" w:type="dxa"/>
                  <w:tcBorders>
                    <w:tl2br w:val="nil"/>
                    <w:tr2bl w:val="nil"/>
                  </w:tcBorders>
                  <w:vAlign w:val="center"/>
                </w:tcPr>
                <w:p w14:paraId="56578500">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0.086-0.120</w:t>
                  </w:r>
                </w:p>
              </w:tc>
              <w:tc>
                <w:tcPr>
                  <w:tcW w:w="2248" w:type="dxa"/>
                  <w:tcBorders>
                    <w:tl2br w:val="nil"/>
                    <w:tr2bl w:val="nil"/>
                  </w:tcBorders>
                  <w:vAlign w:val="center"/>
                </w:tcPr>
                <w:p w14:paraId="3A1983B4">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0.15</w:t>
                  </w:r>
                </w:p>
              </w:tc>
            </w:tr>
            <w:tr w14:paraId="4C4BAE6B">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continue"/>
                  <w:tcBorders>
                    <w:tl2br w:val="nil"/>
                    <w:tr2bl w:val="nil"/>
                  </w:tcBorders>
                  <w:vAlign w:val="center"/>
                </w:tcPr>
                <w:p w14:paraId="5017B55A">
                  <w:pPr>
                    <w:jc w:val="center"/>
                    <w:rPr>
                      <w:rFonts w:hint="default" w:ascii="Times New Roman" w:hAnsi="Times New Roman" w:cs="Times New Roman" w:eastAsiaTheme="minorEastAsia"/>
                      <w:color w:val="auto"/>
                      <w:sz w:val="21"/>
                      <w:szCs w:val="21"/>
                    </w:rPr>
                  </w:pPr>
                </w:p>
              </w:tc>
              <w:tc>
                <w:tcPr>
                  <w:tcW w:w="1778" w:type="dxa"/>
                  <w:tcBorders>
                    <w:tl2br w:val="nil"/>
                    <w:tr2bl w:val="nil"/>
                  </w:tcBorders>
                  <w:vAlign w:val="center"/>
                </w:tcPr>
                <w:p w14:paraId="39B25B9B">
                  <w:pPr>
                    <w:jc w:val="center"/>
                    <w:rPr>
                      <w:rFonts w:hint="default" w:ascii="Times New Roman" w:hAnsi="Times New Roman" w:cs="Times New Roman" w:eastAsiaTheme="minorEastAsia"/>
                      <w:color w:val="auto"/>
                      <w:sz w:val="21"/>
                      <w:szCs w:val="21"/>
                    </w:rPr>
                  </w:pPr>
                  <w:r>
                    <w:rPr>
                      <w:rFonts w:hint="eastAsia" w:cs="Times New Roman" w:eastAsiaTheme="minorEastAsia"/>
                      <w:color w:val="auto"/>
                      <w:sz w:val="21"/>
                      <w:szCs w:val="21"/>
                      <w:lang w:val="en-US" w:eastAsia="zh-CN"/>
                    </w:rPr>
                    <w:t>二氧化硫</w:t>
                  </w:r>
                </w:p>
              </w:tc>
              <w:tc>
                <w:tcPr>
                  <w:tcW w:w="2567" w:type="dxa"/>
                  <w:tcBorders>
                    <w:tl2br w:val="nil"/>
                    <w:tr2bl w:val="nil"/>
                  </w:tcBorders>
                  <w:vAlign w:val="center"/>
                </w:tcPr>
                <w:p w14:paraId="2D2D274E">
                  <w:pPr>
                    <w:jc w:val="center"/>
                    <w:rPr>
                      <w:rFonts w:hint="default" w:ascii="Times New Roman" w:hAnsi="Times New Roman" w:cs="Times New Roman" w:eastAsiaTheme="minorEastAsia"/>
                      <w:color w:val="auto"/>
                      <w:sz w:val="21"/>
                      <w:szCs w:val="21"/>
                    </w:rPr>
                  </w:pPr>
                  <w:r>
                    <w:rPr>
                      <w:rFonts w:hint="eastAsia" w:cs="Times New Roman" w:eastAsiaTheme="minorEastAsia"/>
                      <w:color w:val="auto"/>
                      <w:sz w:val="21"/>
                      <w:szCs w:val="21"/>
                      <w:lang w:val="en-US" w:eastAsia="zh-CN"/>
                    </w:rPr>
                    <w:t>小时均值</w:t>
                  </w:r>
                </w:p>
              </w:tc>
              <w:tc>
                <w:tcPr>
                  <w:tcW w:w="2256" w:type="dxa"/>
                  <w:tcBorders>
                    <w:tl2br w:val="nil"/>
                    <w:tr2bl w:val="nil"/>
                  </w:tcBorders>
                  <w:vAlign w:val="center"/>
                </w:tcPr>
                <w:p w14:paraId="4130C3B0">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0.007-0.024</w:t>
                  </w:r>
                </w:p>
              </w:tc>
              <w:tc>
                <w:tcPr>
                  <w:tcW w:w="2248" w:type="dxa"/>
                  <w:tcBorders>
                    <w:tl2br w:val="nil"/>
                    <w:tr2bl w:val="nil"/>
                  </w:tcBorders>
                  <w:vAlign w:val="center"/>
                </w:tcPr>
                <w:p w14:paraId="5C2E029F">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0.5</w:t>
                  </w:r>
                </w:p>
              </w:tc>
            </w:tr>
            <w:tr w14:paraId="43A9D6FD">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continue"/>
                  <w:tcBorders>
                    <w:tl2br w:val="nil"/>
                    <w:tr2bl w:val="nil"/>
                  </w:tcBorders>
                  <w:vAlign w:val="center"/>
                </w:tcPr>
                <w:p w14:paraId="7DE42E5C">
                  <w:pPr>
                    <w:jc w:val="center"/>
                    <w:rPr>
                      <w:rFonts w:hint="default" w:ascii="Times New Roman" w:hAnsi="Times New Roman" w:cs="Times New Roman" w:eastAsiaTheme="minorEastAsia"/>
                      <w:color w:val="auto"/>
                      <w:sz w:val="21"/>
                      <w:szCs w:val="21"/>
                    </w:rPr>
                  </w:pPr>
                </w:p>
              </w:tc>
              <w:tc>
                <w:tcPr>
                  <w:tcW w:w="1778" w:type="dxa"/>
                  <w:tcBorders>
                    <w:tl2br w:val="nil"/>
                    <w:tr2bl w:val="nil"/>
                  </w:tcBorders>
                  <w:vAlign w:val="center"/>
                </w:tcPr>
                <w:p w14:paraId="78ED3BC3">
                  <w:pPr>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lang w:val="en-US" w:eastAsia="zh-CN"/>
                    </w:rPr>
                    <w:t>二氧化氮</w:t>
                  </w:r>
                </w:p>
              </w:tc>
              <w:tc>
                <w:tcPr>
                  <w:tcW w:w="2567" w:type="dxa"/>
                  <w:tcBorders>
                    <w:tl2br w:val="nil"/>
                    <w:tr2bl w:val="nil"/>
                  </w:tcBorders>
                  <w:vAlign w:val="center"/>
                </w:tcPr>
                <w:p w14:paraId="6B9FB95C">
                  <w:pPr>
                    <w:jc w:val="center"/>
                    <w:rPr>
                      <w:rFonts w:hint="default" w:ascii="Times New Roman" w:hAnsi="Times New Roman" w:cs="Times New Roman" w:eastAsiaTheme="minorEastAsia"/>
                      <w:color w:val="auto"/>
                      <w:sz w:val="21"/>
                      <w:szCs w:val="21"/>
                    </w:rPr>
                  </w:pPr>
                  <w:r>
                    <w:rPr>
                      <w:rFonts w:hint="eastAsia" w:cs="Times New Roman" w:eastAsiaTheme="minorEastAsia"/>
                      <w:color w:val="auto"/>
                      <w:sz w:val="21"/>
                      <w:szCs w:val="21"/>
                      <w:lang w:val="en-US" w:eastAsia="zh-CN"/>
                    </w:rPr>
                    <w:t>小时均值</w:t>
                  </w:r>
                </w:p>
              </w:tc>
              <w:tc>
                <w:tcPr>
                  <w:tcW w:w="2256" w:type="dxa"/>
                  <w:tcBorders>
                    <w:tl2br w:val="nil"/>
                    <w:tr2bl w:val="nil"/>
                  </w:tcBorders>
                  <w:vAlign w:val="center"/>
                </w:tcPr>
                <w:p w14:paraId="7AC599BB">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0.007-0.048</w:t>
                  </w:r>
                </w:p>
              </w:tc>
              <w:tc>
                <w:tcPr>
                  <w:tcW w:w="2248" w:type="dxa"/>
                  <w:tcBorders>
                    <w:tl2br w:val="nil"/>
                    <w:tr2bl w:val="nil"/>
                  </w:tcBorders>
                  <w:vAlign w:val="center"/>
                </w:tcPr>
                <w:p w14:paraId="05410877">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0.2</w:t>
                  </w:r>
                </w:p>
              </w:tc>
            </w:tr>
            <w:tr w14:paraId="6EBD71FA">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continue"/>
                  <w:tcBorders>
                    <w:tl2br w:val="nil"/>
                    <w:tr2bl w:val="nil"/>
                  </w:tcBorders>
                  <w:vAlign w:val="center"/>
                </w:tcPr>
                <w:p w14:paraId="667EB52E">
                  <w:pPr>
                    <w:jc w:val="center"/>
                    <w:rPr>
                      <w:rFonts w:hint="eastAsia" w:cs="Times New Roman" w:eastAsiaTheme="minorEastAsia"/>
                      <w:color w:val="auto"/>
                      <w:sz w:val="21"/>
                      <w:szCs w:val="21"/>
                      <w:lang w:val="en-US" w:eastAsia="zh-CN"/>
                    </w:rPr>
                  </w:pPr>
                </w:p>
              </w:tc>
              <w:tc>
                <w:tcPr>
                  <w:tcW w:w="1778" w:type="dxa"/>
                  <w:tcBorders>
                    <w:tl2br w:val="nil"/>
                    <w:tr2bl w:val="nil"/>
                  </w:tcBorders>
                  <w:vAlign w:val="center"/>
                </w:tcPr>
                <w:p w14:paraId="54966E45">
                  <w:pPr>
                    <w:jc w:val="center"/>
                    <w:rPr>
                      <w:rFonts w:hint="eastAsia" w:ascii="Times New Roman" w:hAnsi="Times New Roman"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lang w:val="en-US" w:eastAsia="zh-CN"/>
                    </w:rPr>
                    <w:t>甲苯</w:t>
                  </w:r>
                </w:p>
              </w:tc>
              <w:tc>
                <w:tcPr>
                  <w:tcW w:w="2567" w:type="dxa"/>
                  <w:tcBorders>
                    <w:tl2br w:val="nil"/>
                    <w:tr2bl w:val="nil"/>
                  </w:tcBorders>
                  <w:vAlign w:val="center"/>
                </w:tcPr>
                <w:p w14:paraId="49A88DE3">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小时均值</w:t>
                  </w:r>
                </w:p>
              </w:tc>
              <w:tc>
                <w:tcPr>
                  <w:tcW w:w="2256" w:type="dxa"/>
                  <w:tcBorders>
                    <w:tl2br w:val="nil"/>
                    <w:tr2bl w:val="nil"/>
                  </w:tcBorders>
                  <w:vAlign w:val="center"/>
                </w:tcPr>
                <w:p w14:paraId="1A374C7C">
                  <w:pPr>
                    <w:jc w:val="center"/>
                    <w:rPr>
                      <w:rFonts w:hint="eastAsia" w:ascii="Times New Roman" w:hAnsi="Times New Roman" w:cs="Times New Roman" w:eastAsiaTheme="minorEastAsia"/>
                      <w:color w:val="auto"/>
                      <w:sz w:val="21"/>
                      <w:szCs w:val="21"/>
                      <w:lang w:val="en-US" w:eastAsia="zh-CN"/>
                    </w:rPr>
                  </w:pPr>
                  <w:r>
                    <w:rPr>
                      <w:rFonts w:hint="eastAsia" w:ascii="Times New Roman" w:hAnsi="Times New Roman" w:cs="Times New Roman" w:eastAsiaTheme="minorEastAsia"/>
                      <w:color w:val="auto"/>
                      <w:sz w:val="21"/>
                      <w:szCs w:val="21"/>
                      <w:lang w:val="en-US" w:eastAsia="zh-CN"/>
                    </w:rPr>
                    <w:t>7.5×10</w:t>
                  </w:r>
                  <w:r>
                    <w:rPr>
                      <w:rFonts w:hint="eastAsia" w:ascii="Times New Roman" w:hAnsi="Times New Roman" w:cs="Times New Roman" w:eastAsiaTheme="minorEastAsia"/>
                      <w:color w:val="auto"/>
                      <w:sz w:val="21"/>
                      <w:szCs w:val="21"/>
                      <w:vertAlign w:val="superscript"/>
                      <w:lang w:val="en-US" w:eastAsia="zh-CN"/>
                    </w:rPr>
                    <w:t>-4</w:t>
                  </w:r>
                </w:p>
              </w:tc>
              <w:tc>
                <w:tcPr>
                  <w:tcW w:w="2248" w:type="dxa"/>
                  <w:tcBorders>
                    <w:tl2br w:val="nil"/>
                    <w:tr2bl w:val="nil"/>
                  </w:tcBorders>
                  <w:vAlign w:val="center"/>
                </w:tcPr>
                <w:p w14:paraId="7818FE54">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0.2</w:t>
                  </w:r>
                </w:p>
              </w:tc>
            </w:tr>
            <w:tr w14:paraId="7FA5FFBC">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continue"/>
                  <w:tcBorders>
                    <w:tl2br w:val="nil"/>
                    <w:tr2bl w:val="nil"/>
                  </w:tcBorders>
                  <w:vAlign w:val="center"/>
                </w:tcPr>
                <w:p w14:paraId="2F569E59">
                  <w:pPr>
                    <w:jc w:val="center"/>
                    <w:rPr>
                      <w:rFonts w:hint="eastAsia" w:cs="Times New Roman" w:eastAsiaTheme="minorEastAsia"/>
                      <w:color w:val="auto"/>
                      <w:sz w:val="21"/>
                      <w:szCs w:val="21"/>
                      <w:lang w:val="en-US" w:eastAsia="zh-CN"/>
                    </w:rPr>
                  </w:pPr>
                </w:p>
              </w:tc>
              <w:tc>
                <w:tcPr>
                  <w:tcW w:w="1778" w:type="dxa"/>
                  <w:tcBorders>
                    <w:tl2br w:val="nil"/>
                    <w:tr2bl w:val="nil"/>
                  </w:tcBorders>
                  <w:vAlign w:val="center"/>
                </w:tcPr>
                <w:p w14:paraId="147A9A09">
                  <w:pPr>
                    <w:jc w:val="center"/>
                    <w:rPr>
                      <w:rFonts w:hint="eastAsia" w:ascii="Times New Roman" w:hAnsi="Times New Roman"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lang w:val="en-US" w:eastAsia="zh-CN"/>
                    </w:rPr>
                    <w:t>二甲苯</w:t>
                  </w:r>
                </w:p>
              </w:tc>
              <w:tc>
                <w:tcPr>
                  <w:tcW w:w="2567" w:type="dxa"/>
                  <w:tcBorders>
                    <w:tl2br w:val="nil"/>
                    <w:tr2bl w:val="nil"/>
                  </w:tcBorders>
                  <w:vAlign w:val="center"/>
                </w:tcPr>
                <w:p w14:paraId="2E7B1702">
                  <w:pPr>
                    <w:jc w:val="center"/>
                    <w:rPr>
                      <w:rFonts w:hint="default" w:ascii="Times New Roman" w:hAnsi="Times New Roman" w:cs="Times New Roman" w:eastAsiaTheme="minorEastAsia"/>
                      <w:color w:val="auto"/>
                      <w:sz w:val="21"/>
                      <w:szCs w:val="21"/>
                    </w:rPr>
                  </w:pPr>
                  <w:r>
                    <w:rPr>
                      <w:rFonts w:hint="eastAsia" w:cs="Times New Roman" w:eastAsiaTheme="minorEastAsia"/>
                      <w:color w:val="auto"/>
                      <w:sz w:val="21"/>
                      <w:szCs w:val="21"/>
                      <w:lang w:val="en-US" w:eastAsia="zh-CN"/>
                    </w:rPr>
                    <w:t>小时均值</w:t>
                  </w:r>
                </w:p>
              </w:tc>
              <w:tc>
                <w:tcPr>
                  <w:tcW w:w="2256" w:type="dxa"/>
                  <w:tcBorders>
                    <w:tl2br w:val="nil"/>
                    <w:tr2bl w:val="nil"/>
                  </w:tcBorders>
                  <w:vAlign w:val="center"/>
                </w:tcPr>
                <w:p w14:paraId="2DBECFB8">
                  <w:pPr>
                    <w:jc w:val="center"/>
                    <w:rPr>
                      <w:rFonts w:hint="eastAsia" w:cs="Times New Roman" w:eastAsiaTheme="minorEastAsia"/>
                      <w:color w:val="auto"/>
                      <w:sz w:val="21"/>
                      <w:szCs w:val="21"/>
                      <w:lang w:val="en-US" w:eastAsia="zh-CN"/>
                    </w:rPr>
                  </w:pPr>
                  <w:r>
                    <w:rPr>
                      <w:rFonts w:hint="eastAsia" w:ascii="Times New Roman" w:hAnsi="Times New Roman" w:cs="Times New Roman" w:eastAsiaTheme="minorEastAsia"/>
                      <w:color w:val="auto"/>
                      <w:sz w:val="21"/>
                      <w:szCs w:val="21"/>
                      <w:lang w:val="en-US" w:eastAsia="zh-CN"/>
                    </w:rPr>
                    <w:t>7.5×10</w:t>
                  </w:r>
                  <w:r>
                    <w:rPr>
                      <w:rFonts w:hint="eastAsia" w:ascii="Times New Roman" w:hAnsi="Times New Roman" w:cs="Times New Roman" w:eastAsiaTheme="minorEastAsia"/>
                      <w:color w:val="auto"/>
                      <w:sz w:val="21"/>
                      <w:szCs w:val="21"/>
                      <w:vertAlign w:val="superscript"/>
                      <w:lang w:val="en-US" w:eastAsia="zh-CN"/>
                    </w:rPr>
                    <w:t>-4</w:t>
                  </w:r>
                </w:p>
              </w:tc>
              <w:tc>
                <w:tcPr>
                  <w:tcW w:w="2248" w:type="dxa"/>
                  <w:tcBorders>
                    <w:tl2br w:val="nil"/>
                    <w:tr2bl w:val="nil"/>
                  </w:tcBorders>
                  <w:vAlign w:val="center"/>
                </w:tcPr>
                <w:p w14:paraId="658DC6EC">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0.2</w:t>
                  </w:r>
                </w:p>
              </w:tc>
            </w:tr>
            <w:tr w14:paraId="4C204A46">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continue"/>
                  <w:tcBorders>
                    <w:tl2br w:val="nil"/>
                    <w:tr2bl w:val="nil"/>
                  </w:tcBorders>
                  <w:vAlign w:val="center"/>
                </w:tcPr>
                <w:p w14:paraId="5C08CC25">
                  <w:pPr>
                    <w:jc w:val="center"/>
                    <w:rPr>
                      <w:rFonts w:hint="eastAsia" w:cs="Times New Roman" w:eastAsiaTheme="minorEastAsia"/>
                      <w:color w:val="auto"/>
                      <w:sz w:val="21"/>
                      <w:szCs w:val="21"/>
                      <w:lang w:val="en-US" w:eastAsia="zh-CN"/>
                    </w:rPr>
                  </w:pPr>
                </w:p>
              </w:tc>
              <w:tc>
                <w:tcPr>
                  <w:tcW w:w="1778" w:type="dxa"/>
                  <w:tcBorders>
                    <w:tl2br w:val="nil"/>
                    <w:tr2bl w:val="nil"/>
                  </w:tcBorders>
                  <w:vAlign w:val="center"/>
                </w:tcPr>
                <w:p w14:paraId="4011DB35">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TVOC</w:t>
                  </w:r>
                </w:p>
              </w:tc>
              <w:tc>
                <w:tcPr>
                  <w:tcW w:w="2567" w:type="dxa"/>
                  <w:tcBorders>
                    <w:tl2br w:val="nil"/>
                    <w:tr2bl w:val="nil"/>
                  </w:tcBorders>
                  <w:vAlign w:val="center"/>
                </w:tcPr>
                <w:p w14:paraId="64228F39">
                  <w:pPr>
                    <w:jc w:val="center"/>
                    <w:rPr>
                      <w:rFonts w:hint="default" w:ascii="Times New Roman" w:hAnsi="Times New Roman" w:cs="Times New Roman" w:eastAsiaTheme="minorEastAsia"/>
                      <w:color w:val="auto"/>
                      <w:sz w:val="21"/>
                      <w:szCs w:val="21"/>
                    </w:rPr>
                  </w:pPr>
                  <w:r>
                    <w:rPr>
                      <w:rFonts w:hint="eastAsia" w:cs="Times New Roman" w:eastAsiaTheme="minorEastAsia"/>
                      <w:color w:val="auto"/>
                      <w:sz w:val="21"/>
                      <w:szCs w:val="21"/>
                      <w:lang w:val="en-US" w:eastAsia="zh-CN"/>
                    </w:rPr>
                    <w:t>8小时均值</w:t>
                  </w:r>
                </w:p>
              </w:tc>
              <w:tc>
                <w:tcPr>
                  <w:tcW w:w="2256" w:type="dxa"/>
                  <w:tcBorders>
                    <w:tl2br w:val="nil"/>
                    <w:tr2bl w:val="nil"/>
                  </w:tcBorders>
                  <w:vAlign w:val="center"/>
                </w:tcPr>
                <w:p w14:paraId="27593574">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0.183</w:t>
                  </w:r>
                </w:p>
              </w:tc>
              <w:tc>
                <w:tcPr>
                  <w:tcW w:w="2248" w:type="dxa"/>
                  <w:tcBorders>
                    <w:tl2br w:val="nil"/>
                    <w:tr2bl w:val="nil"/>
                  </w:tcBorders>
                  <w:vAlign w:val="center"/>
                </w:tcPr>
                <w:p w14:paraId="39F5B06D">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0.6</w:t>
                  </w:r>
                </w:p>
              </w:tc>
            </w:tr>
            <w:tr w14:paraId="27D158F7">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restart"/>
                  <w:tcBorders>
                    <w:tl2br w:val="nil"/>
                    <w:tr2bl w:val="nil"/>
                  </w:tcBorders>
                  <w:vAlign w:val="center"/>
                </w:tcPr>
                <w:p w14:paraId="727C2665">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3#</w:t>
                  </w:r>
                </w:p>
              </w:tc>
              <w:tc>
                <w:tcPr>
                  <w:tcW w:w="1778" w:type="dxa"/>
                  <w:tcBorders>
                    <w:tl2br w:val="nil"/>
                    <w:tr2bl w:val="nil"/>
                  </w:tcBorders>
                  <w:vAlign w:val="center"/>
                </w:tcPr>
                <w:p w14:paraId="06FD2251">
                  <w:pPr>
                    <w:jc w:val="center"/>
                    <w:rPr>
                      <w:rFonts w:hint="eastAsia"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lang w:val="en-US" w:eastAsia="zh-CN"/>
                    </w:rPr>
                    <w:t>PM</w:t>
                  </w:r>
                  <w:r>
                    <w:rPr>
                      <w:rFonts w:hint="default" w:ascii="Times New Roman" w:hAnsi="Times New Roman" w:cs="Times New Roman" w:eastAsiaTheme="minorEastAsia"/>
                      <w:color w:val="auto"/>
                      <w:sz w:val="21"/>
                      <w:szCs w:val="21"/>
                      <w:vertAlign w:val="subscript"/>
                      <w:lang w:val="en-US" w:eastAsia="zh-CN"/>
                    </w:rPr>
                    <w:t>10</w:t>
                  </w:r>
                </w:p>
              </w:tc>
              <w:tc>
                <w:tcPr>
                  <w:tcW w:w="2567" w:type="dxa"/>
                  <w:tcBorders>
                    <w:tl2br w:val="nil"/>
                    <w:tr2bl w:val="nil"/>
                  </w:tcBorders>
                  <w:vAlign w:val="center"/>
                </w:tcPr>
                <w:p w14:paraId="3626ED89">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日均值</w:t>
                  </w:r>
                </w:p>
              </w:tc>
              <w:tc>
                <w:tcPr>
                  <w:tcW w:w="2256" w:type="dxa"/>
                  <w:tcBorders>
                    <w:tl2br w:val="nil"/>
                    <w:tr2bl w:val="nil"/>
                  </w:tcBorders>
                  <w:vAlign w:val="center"/>
                </w:tcPr>
                <w:p w14:paraId="03AB6A92">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0.081-0.116</w:t>
                  </w:r>
                </w:p>
              </w:tc>
              <w:tc>
                <w:tcPr>
                  <w:tcW w:w="2248" w:type="dxa"/>
                  <w:tcBorders>
                    <w:tl2br w:val="nil"/>
                    <w:tr2bl w:val="nil"/>
                  </w:tcBorders>
                  <w:vAlign w:val="center"/>
                </w:tcPr>
                <w:p w14:paraId="69A08BCC">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0.15</w:t>
                  </w:r>
                </w:p>
              </w:tc>
            </w:tr>
            <w:tr w14:paraId="690938CE">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continue"/>
                  <w:tcBorders>
                    <w:tl2br w:val="nil"/>
                    <w:tr2bl w:val="nil"/>
                  </w:tcBorders>
                  <w:vAlign w:val="center"/>
                </w:tcPr>
                <w:p w14:paraId="298F878E">
                  <w:pPr>
                    <w:jc w:val="center"/>
                    <w:rPr>
                      <w:rFonts w:hint="eastAsia" w:cs="Times New Roman" w:eastAsiaTheme="minorEastAsia"/>
                      <w:color w:val="auto"/>
                      <w:sz w:val="21"/>
                      <w:szCs w:val="21"/>
                      <w:lang w:val="en-US" w:eastAsia="zh-CN"/>
                    </w:rPr>
                  </w:pPr>
                </w:p>
              </w:tc>
              <w:tc>
                <w:tcPr>
                  <w:tcW w:w="1778" w:type="dxa"/>
                  <w:tcBorders>
                    <w:tl2br w:val="nil"/>
                    <w:tr2bl w:val="nil"/>
                  </w:tcBorders>
                  <w:vAlign w:val="center"/>
                </w:tcPr>
                <w:p w14:paraId="15A71FEB">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二氧化硫</w:t>
                  </w:r>
                </w:p>
              </w:tc>
              <w:tc>
                <w:tcPr>
                  <w:tcW w:w="2567" w:type="dxa"/>
                  <w:tcBorders>
                    <w:tl2br w:val="nil"/>
                    <w:tr2bl w:val="nil"/>
                  </w:tcBorders>
                  <w:vAlign w:val="center"/>
                </w:tcPr>
                <w:p w14:paraId="33871AEF">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小时均值</w:t>
                  </w:r>
                </w:p>
              </w:tc>
              <w:tc>
                <w:tcPr>
                  <w:tcW w:w="2256" w:type="dxa"/>
                  <w:tcBorders>
                    <w:tl2br w:val="nil"/>
                    <w:tr2bl w:val="nil"/>
                  </w:tcBorders>
                  <w:vAlign w:val="center"/>
                </w:tcPr>
                <w:p w14:paraId="1D658AFA">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0.007-0.027</w:t>
                  </w:r>
                </w:p>
              </w:tc>
              <w:tc>
                <w:tcPr>
                  <w:tcW w:w="2248" w:type="dxa"/>
                  <w:tcBorders>
                    <w:tl2br w:val="nil"/>
                    <w:tr2bl w:val="nil"/>
                  </w:tcBorders>
                  <w:vAlign w:val="center"/>
                </w:tcPr>
                <w:p w14:paraId="71C3EC86">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0.5</w:t>
                  </w:r>
                </w:p>
              </w:tc>
            </w:tr>
            <w:tr w14:paraId="3551F88C">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continue"/>
                  <w:tcBorders>
                    <w:tl2br w:val="nil"/>
                    <w:tr2bl w:val="nil"/>
                  </w:tcBorders>
                  <w:vAlign w:val="center"/>
                </w:tcPr>
                <w:p w14:paraId="06CEA7E2">
                  <w:pPr>
                    <w:jc w:val="center"/>
                    <w:rPr>
                      <w:rFonts w:hint="eastAsia" w:cs="Times New Roman" w:eastAsiaTheme="minorEastAsia"/>
                      <w:color w:val="auto"/>
                      <w:sz w:val="21"/>
                      <w:szCs w:val="21"/>
                      <w:lang w:val="en-US" w:eastAsia="zh-CN"/>
                    </w:rPr>
                  </w:pPr>
                </w:p>
              </w:tc>
              <w:tc>
                <w:tcPr>
                  <w:tcW w:w="1778" w:type="dxa"/>
                  <w:tcBorders>
                    <w:tl2br w:val="nil"/>
                    <w:tr2bl w:val="nil"/>
                  </w:tcBorders>
                  <w:vAlign w:val="center"/>
                </w:tcPr>
                <w:p w14:paraId="28E3224E">
                  <w:pPr>
                    <w:jc w:val="center"/>
                    <w:rPr>
                      <w:rFonts w:hint="eastAsia"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lang w:val="en-US" w:eastAsia="zh-CN"/>
                    </w:rPr>
                    <w:t>二氧化氮</w:t>
                  </w:r>
                </w:p>
              </w:tc>
              <w:tc>
                <w:tcPr>
                  <w:tcW w:w="2567" w:type="dxa"/>
                  <w:tcBorders>
                    <w:tl2br w:val="nil"/>
                    <w:tr2bl w:val="nil"/>
                  </w:tcBorders>
                  <w:vAlign w:val="center"/>
                </w:tcPr>
                <w:p w14:paraId="3524D8D9">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小时均值</w:t>
                  </w:r>
                </w:p>
              </w:tc>
              <w:tc>
                <w:tcPr>
                  <w:tcW w:w="2256" w:type="dxa"/>
                  <w:tcBorders>
                    <w:tl2br w:val="nil"/>
                    <w:tr2bl w:val="nil"/>
                  </w:tcBorders>
                  <w:vAlign w:val="center"/>
                </w:tcPr>
                <w:p w14:paraId="6E6A4700">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0.015-0.054</w:t>
                  </w:r>
                </w:p>
              </w:tc>
              <w:tc>
                <w:tcPr>
                  <w:tcW w:w="2248" w:type="dxa"/>
                  <w:tcBorders>
                    <w:tl2br w:val="nil"/>
                    <w:tr2bl w:val="nil"/>
                  </w:tcBorders>
                  <w:vAlign w:val="center"/>
                </w:tcPr>
                <w:p w14:paraId="5FD918C6">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0.2</w:t>
                  </w:r>
                </w:p>
              </w:tc>
            </w:tr>
            <w:tr w14:paraId="25DD9448">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continue"/>
                  <w:tcBorders>
                    <w:tl2br w:val="nil"/>
                    <w:tr2bl w:val="nil"/>
                  </w:tcBorders>
                  <w:vAlign w:val="center"/>
                </w:tcPr>
                <w:p w14:paraId="030809AA">
                  <w:pPr>
                    <w:jc w:val="center"/>
                    <w:rPr>
                      <w:rFonts w:hint="eastAsia" w:cs="Times New Roman" w:eastAsiaTheme="minorEastAsia"/>
                      <w:color w:val="auto"/>
                      <w:sz w:val="21"/>
                      <w:szCs w:val="21"/>
                      <w:lang w:val="en-US" w:eastAsia="zh-CN"/>
                    </w:rPr>
                  </w:pPr>
                </w:p>
              </w:tc>
              <w:tc>
                <w:tcPr>
                  <w:tcW w:w="1778" w:type="dxa"/>
                  <w:tcBorders>
                    <w:tl2br w:val="nil"/>
                    <w:tr2bl w:val="nil"/>
                  </w:tcBorders>
                  <w:vAlign w:val="center"/>
                </w:tcPr>
                <w:p w14:paraId="7227AA5B">
                  <w:pPr>
                    <w:jc w:val="center"/>
                    <w:rPr>
                      <w:rFonts w:hint="eastAsia"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lang w:val="en-US" w:eastAsia="zh-CN"/>
                    </w:rPr>
                    <w:t>甲苯</w:t>
                  </w:r>
                </w:p>
              </w:tc>
              <w:tc>
                <w:tcPr>
                  <w:tcW w:w="2567" w:type="dxa"/>
                  <w:tcBorders>
                    <w:tl2br w:val="nil"/>
                    <w:tr2bl w:val="nil"/>
                  </w:tcBorders>
                  <w:vAlign w:val="center"/>
                </w:tcPr>
                <w:p w14:paraId="563CA584">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小时均值</w:t>
                  </w:r>
                </w:p>
              </w:tc>
              <w:tc>
                <w:tcPr>
                  <w:tcW w:w="2256" w:type="dxa"/>
                  <w:tcBorders>
                    <w:tl2br w:val="nil"/>
                    <w:tr2bl w:val="nil"/>
                  </w:tcBorders>
                  <w:vAlign w:val="center"/>
                </w:tcPr>
                <w:p w14:paraId="21FB6C8C">
                  <w:pPr>
                    <w:jc w:val="center"/>
                    <w:rPr>
                      <w:rFonts w:hint="eastAsia" w:cs="Times New Roman" w:eastAsiaTheme="minorEastAsia"/>
                      <w:color w:val="auto"/>
                      <w:sz w:val="21"/>
                      <w:szCs w:val="21"/>
                      <w:lang w:val="en-US" w:eastAsia="zh-CN"/>
                    </w:rPr>
                  </w:pPr>
                  <w:r>
                    <w:rPr>
                      <w:rFonts w:hint="eastAsia" w:ascii="Times New Roman" w:hAnsi="Times New Roman" w:cs="Times New Roman" w:eastAsiaTheme="minorEastAsia"/>
                      <w:color w:val="auto"/>
                      <w:sz w:val="21"/>
                      <w:szCs w:val="21"/>
                      <w:lang w:val="en-US" w:eastAsia="zh-CN"/>
                    </w:rPr>
                    <w:t>7.5×10</w:t>
                  </w:r>
                  <w:r>
                    <w:rPr>
                      <w:rFonts w:hint="eastAsia" w:ascii="Times New Roman" w:hAnsi="Times New Roman" w:cs="Times New Roman" w:eastAsiaTheme="minorEastAsia"/>
                      <w:color w:val="auto"/>
                      <w:sz w:val="21"/>
                      <w:szCs w:val="21"/>
                      <w:vertAlign w:val="superscript"/>
                      <w:lang w:val="en-US" w:eastAsia="zh-CN"/>
                    </w:rPr>
                    <w:t>-4</w:t>
                  </w:r>
                </w:p>
              </w:tc>
              <w:tc>
                <w:tcPr>
                  <w:tcW w:w="2248" w:type="dxa"/>
                  <w:tcBorders>
                    <w:tl2br w:val="nil"/>
                    <w:tr2bl w:val="nil"/>
                  </w:tcBorders>
                  <w:vAlign w:val="center"/>
                </w:tcPr>
                <w:p w14:paraId="3AC87C09">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0.2</w:t>
                  </w:r>
                </w:p>
              </w:tc>
            </w:tr>
            <w:tr w14:paraId="19EBE9EB">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continue"/>
                  <w:tcBorders>
                    <w:tl2br w:val="nil"/>
                    <w:tr2bl w:val="nil"/>
                  </w:tcBorders>
                  <w:vAlign w:val="center"/>
                </w:tcPr>
                <w:p w14:paraId="1ECDB34B">
                  <w:pPr>
                    <w:jc w:val="center"/>
                    <w:rPr>
                      <w:rFonts w:hint="eastAsia" w:cs="Times New Roman" w:eastAsiaTheme="minorEastAsia"/>
                      <w:color w:val="auto"/>
                      <w:sz w:val="21"/>
                      <w:szCs w:val="21"/>
                      <w:lang w:val="en-US" w:eastAsia="zh-CN"/>
                    </w:rPr>
                  </w:pPr>
                </w:p>
              </w:tc>
              <w:tc>
                <w:tcPr>
                  <w:tcW w:w="1778" w:type="dxa"/>
                  <w:tcBorders>
                    <w:tl2br w:val="nil"/>
                    <w:tr2bl w:val="nil"/>
                  </w:tcBorders>
                  <w:vAlign w:val="center"/>
                </w:tcPr>
                <w:p w14:paraId="6E981C40">
                  <w:pPr>
                    <w:jc w:val="center"/>
                    <w:rPr>
                      <w:rFonts w:hint="eastAsia"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lang w:val="en-US" w:eastAsia="zh-CN"/>
                    </w:rPr>
                    <w:t>二甲苯</w:t>
                  </w:r>
                </w:p>
              </w:tc>
              <w:tc>
                <w:tcPr>
                  <w:tcW w:w="2567" w:type="dxa"/>
                  <w:tcBorders>
                    <w:tl2br w:val="nil"/>
                    <w:tr2bl w:val="nil"/>
                  </w:tcBorders>
                  <w:vAlign w:val="center"/>
                </w:tcPr>
                <w:p w14:paraId="7A8D3695">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小时均值</w:t>
                  </w:r>
                </w:p>
              </w:tc>
              <w:tc>
                <w:tcPr>
                  <w:tcW w:w="2256" w:type="dxa"/>
                  <w:tcBorders>
                    <w:tl2br w:val="nil"/>
                    <w:tr2bl w:val="nil"/>
                  </w:tcBorders>
                  <w:vAlign w:val="center"/>
                </w:tcPr>
                <w:p w14:paraId="4EC69F3C">
                  <w:pPr>
                    <w:jc w:val="center"/>
                    <w:rPr>
                      <w:rFonts w:hint="eastAsia" w:cs="Times New Roman" w:eastAsiaTheme="minorEastAsia"/>
                      <w:color w:val="auto"/>
                      <w:sz w:val="21"/>
                      <w:szCs w:val="21"/>
                      <w:lang w:val="en-US" w:eastAsia="zh-CN"/>
                    </w:rPr>
                  </w:pPr>
                  <w:r>
                    <w:rPr>
                      <w:rFonts w:hint="eastAsia" w:ascii="Times New Roman" w:hAnsi="Times New Roman" w:cs="Times New Roman" w:eastAsiaTheme="minorEastAsia"/>
                      <w:color w:val="auto"/>
                      <w:sz w:val="21"/>
                      <w:szCs w:val="21"/>
                      <w:lang w:val="en-US" w:eastAsia="zh-CN"/>
                    </w:rPr>
                    <w:t>7.5×10</w:t>
                  </w:r>
                  <w:r>
                    <w:rPr>
                      <w:rFonts w:hint="eastAsia" w:ascii="Times New Roman" w:hAnsi="Times New Roman" w:cs="Times New Roman" w:eastAsiaTheme="minorEastAsia"/>
                      <w:color w:val="auto"/>
                      <w:sz w:val="21"/>
                      <w:szCs w:val="21"/>
                      <w:vertAlign w:val="superscript"/>
                      <w:lang w:val="en-US" w:eastAsia="zh-CN"/>
                    </w:rPr>
                    <w:t>-4</w:t>
                  </w:r>
                </w:p>
              </w:tc>
              <w:tc>
                <w:tcPr>
                  <w:tcW w:w="2248" w:type="dxa"/>
                  <w:tcBorders>
                    <w:tl2br w:val="nil"/>
                    <w:tr2bl w:val="nil"/>
                  </w:tcBorders>
                  <w:vAlign w:val="center"/>
                </w:tcPr>
                <w:p w14:paraId="0FA58787">
                  <w:pPr>
                    <w:jc w:val="center"/>
                    <w:rPr>
                      <w:rFonts w:hint="eastAsia"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0.2</w:t>
                  </w:r>
                </w:p>
              </w:tc>
            </w:tr>
            <w:tr w14:paraId="39BB4BB7">
              <w:tblPrEx>
                <w:tblBorders>
                  <w:top w:val="single" w:color="auto" w:sz="4" w:space="0"/>
                  <w:left w:val="none" w:color="auto" w:sz="0" w:space="0"/>
                  <w:bottom w:val="single" w:color="auto" w:sz="4" w:space="0"/>
                  <w:right w:val="none" w:color="auto" w:sz="0" w:space="0"/>
                  <w:insideH w:val="single" w:color="000000" w:sz="4" w:space="0"/>
                  <w:insideV w:val="single" w:color="000000" w:sz="4" w:space="0"/>
                </w:tblBorders>
                <w:tblCellMar>
                  <w:top w:w="0" w:type="dxa"/>
                  <w:left w:w="108" w:type="dxa"/>
                  <w:bottom w:w="0" w:type="dxa"/>
                  <w:right w:w="108" w:type="dxa"/>
                </w:tblCellMar>
              </w:tblPrEx>
              <w:tc>
                <w:tcPr>
                  <w:tcW w:w="1295" w:type="dxa"/>
                  <w:vMerge w:val="continue"/>
                  <w:tcBorders>
                    <w:tl2br w:val="nil"/>
                    <w:tr2bl w:val="nil"/>
                  </w:tcBorders>
                  <w:vAlign w:val="center"/>
                </w:tcPr>
                <w:p w14:paraId="371B2A8B">
                  <w:pPr>
                    <w:jc w:val="center"/>
                    <w:rPr>
                      <w:rFonts w:hint="eastAsia" w:cs="Times New Roman" w:eastAsiaTheme="minorEastAsia"/>
                      <w:color w:val="auto"/>
                      <w:sz w:val="21"/>
                      <w:szCs w:val="21"/>
                      <w:lang w:val="en-US" w:eastAsia="zh-CN"/>
                    </w:rPr>
                  </w:pPr>
                </w:p>
              </w:tc>
              <w:tc>
                <w:tcPr>
                  <w:tcW w:w="1778" w:type="dxa"/>
                  <w:tcBorders>
                    <w:tl2br w:val="nil"/>
                    <w:tr2bl w:val="nil"/>
                  </w:tcBorders>
                  <w:vAlign w:val="center"/>
                </w:tcPr>
                <w:p w14:paraId="27DE3C4A">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TVOC</w:t>
                  </w:r>
                </w:p>
              </w:tc>
              <w:tc>
                <w:tcPr>
                  <w:tcW w:w="2567" w:type="dxa"/>
                  <w:tcBorders>
                    <w:tl2br w:val="nil"/>
                    <w:tr2bl w:val="nil"/>
                  </w:tcBorders>
                  <w:vAlign w:val="center"/>
                </w:tcPr>
                <w:p w14:paraId="3BBC250F">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8小时均值</w:t>
                  </w:r>
                </w:p>
              </w:tc>
              <w:tc>
                <w:tcPr>
                  <w:tcW w:w="2256" w:type="dxa"/>
                  <w:tcBorders>
                    <w:tl2br w:val="nil"/>
                    <w:tr2bl w:val="nil"/>
                  </w:tcBorders>
                  <w:vAlign w:val="center"/>
                </w:tcPr>
                <w:p w14:paraId="3D27237F">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6.43×10</w:t>
                  </w:r>
                  <w:r>
                    <w:rPr>
                      <w:rFonts w:hint="eastAsia" w:cs="Times New Roman" w:eastAsiaTheme="minorEastAsia"/>
                      <w:color w:val="auto"/>
                      <w:sz w:val="21"/>
                      <w:szCs w:val="21"/>
                      <w:vertAlign w:val="superscript"/>
                      <w:lang w:val="en-US" w:eastAsia="zh-CN"/>
                    </w:rPr>
                    <w:t>-2</w:t>
                  </w:r>
                </w:p>
              </w:tc>
              <w:tc>
                <w:tcPr>
                  <w:tcW w:w="2248" w:type="dxa"/>
                  <w:tcBorders>
                    <w:tl2br w:val="nil"/>
                    <w:tr2bl w:val="nil"/>
                  </w:tcBorders>
                  <w:vAlign w:val="center"/>
                </w:tcPr>
                <w:p w14:paraId="4121F4AE">
                  <w:pPr>
                    <w:jc w:val="center"/>
                    <w:rPr>
                      <w:rFonts w:hint="eastAsia"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0.6</w:t>
                  </w:r>
                </w:p>
              </w:tc>
            </w:tr>
          </w:tbl>
          <w:p w14:paraId="6A404366">
            <w:pPr>
              <w:pStyle w:val="28"/>
              <w:rPr>
                <w:rFonts w:hint="default"/>
              </w:rPr>
            </w:pPr>
          </w:p>
          <w:p w14:paraId="11DB7772">
            <w:pPr>
              <w:spacing w:line="360" w:lineRule="auto"/>
              <w:ind w:firstLine="482" w:firstLineChars="20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2、大气环境质量现状评价</w:t>
            </w:r>
          </w:p>
          <w:p w14:paraId="5FAEE387">
            <w:pPr>
              <w:spacing w:line="360" w:lineRule="auto"/>
              <w:ind w:firstLine="361" w:firstLineChars="150"/>
              <w:rPr>
                <w:rFonts w:hint="default" w:ascii="Times New Roman" w:hAnsi="Times New Roman" w:cs="Times New Roman"/>
                <w:b/>
                <w:color w:val="auto"/>
                <w:sz w:val="24"/>
              </w:rPr>
            </w:pPr>
            <w:r>
              <w:rPr>
                <w:rFonts w:hint="default" w:ascii="Times New Roman" w:hAnsi="Times New Roman" w:cs="Times New Roman"/>
                <w:b/>
                <w:color w:val="auto"/>
                <w:sz w:val="24"/>
              </w:rPr>
              <w:t>（1）评价因子</w:t>
            </w:r>
          </w:p>
          <w:p w14:paraId="667242C6">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szCs w:val="24"/>
              </w:rPr>
              <w:t>SO</w:t>
            </w:r>
            <w:r>
              <w:rPr>
                <w:rFonts w:hint="default" w:ascii="Times New Roman" w:hAnsi="Times New Roman" w:cs="Times New Roman"/>
                <w:color w:val="auto"/>
                <w:sz w:val="24"/>
                <w:szCs w:val="24"/>
                <w:vertAlign w:val="subscript"/>
              </w:rPr>
              <w:t>2</w:t>
            </w:r>
            <w:r>
              <w:rPr>
                <w:rFonts w:hint="default" w:ascii="Times New Roman" w:hAnsi="Times New Roman" w:cs="Times New Roman"/>
                <w:color w:val="auto"/>
                <w:sz w:val="24"/>
                <w:szCs w:val="24"/>
              </w:rPr>
              <w:t>、NO</w:t>
            </w:r>
            <w:r>
              <w:rPr>
                <w:rFonts w:hint="default" w:ascii="Times New Roman" w:hAnsi="Times New Roman" w:cs="Times New Roman"/>
                <w:color w:val="auto"/>
                <w:sz w:val="24"/>
                <w:szCs w:val="24"/>
                <w:vertAlign w:val="subscript"/>
              </w:rPr>
              <w:t>2</w:t>
            </w:r>
            <w:r>
              <w:rPr>
                <w:rFonts w:hint="default" w:ascii="Times New Roman" w:hAnsi="Times New Roman" w:cs="Times New Roman"/>
                <w:color w:val="auto"/>
                <w:sz w:val="24"/>
                <w:szCs w:val="24"/>
              </w:rPr>
              <w:t>、</w:t>
            </w:r>
            <w:r>
              <w:rPr>
                <w:rFonts w:hint="default" w:ascii="Times New Roman" w:hAnsi="Times New Roman" w:cs="Times New Roman"/>
                <w:color w:val="auto"/>
                <w:sz w:val="24"/>
                <w:szCs w:val="24"/>
                <w:lang w:val="en-US" w:eastAsia="zh-CN"/>
              </w:rPr>
              <w:t>PM</w:t>
            </w:r>
            <w:r>
              <w:rPr>
                <w:rFonts w:hint="default" w:ascii="Times New Roman" w:hAnsi="Times New Roman" w:cs="Times New Roman"/>
                <w:color w:val="auto"/>
                <w:sz w:val="24"/>
                <w:szCs w:val="24"/>
                <w:vertAlign w:val="subscript"/>
                <w:lang w:val="en-US" w:eastAsia="zh-CN"/>
              </w:rPr>
              <w:t>10</w:t>
            </w:r>
            <w:r>
              <w:rPr>
                <w:rFonts w:hint="default" w:ascii="Times New Roman" w:hAnsi="Times New Roman" w:cs="Times New Roman"/>
                <w:color w:val="auto"/>
                <w:sz w:val="24"/>
                <w:szCs w:val="24"/>
                <w:lang w:val="en-US" w:eastAsia="zh-CN"/>
              </w:rPr>
              <w:t>、甲苯、二甲苯、TVOC</w:t>
            </w:r>
            <w:r>
              <w:rPr>
                <w:rFonts w:hint="default" w:ascii="Times New Roman" w:hAnsi="Times New Roman" w:cs="Times New Roman"/>
                <w:color w:val="auto"/>
                <w:sz w:val="24"/>
              </w:rPr>
              <w:t>。</w:t>
            </w:r>
          </w:p>
          <w:p w14:paraId="11738368">
            <w:pPr>
              <w:spacing w:line="360" w:lineRule="auto"/>
              <w:ind w:firstLine="361" w:firstLineChars="150"/>
              <w:rPr>
                <w:rFonts w:hint="default" w:ascii="Times New Roman" w:hAnsi="Times New Roman" w:cs="Times New Roman"/>
                <w:b/>
                <w:color w:val="auto"/>
                <w:sz w:val="24"/>
              </w:rPr>
            </w:pPr>
            <w:r>
              <w:rPr>
                <w:rFonts w:hint="default" w:ascii="Times New Roman" w:hAnsi="Times New Roman" w:cs="Times New Roman"/>
                <w:b/>
                <w:color w:val="auto"/>
                <w:sz w:val="24"/>
              </w:rPr>
              <w:t>（2）评价标准</w:t>
            </w:r>
          </w:p>
          <w:p w14:paraId="55BC0F21">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执行《环境空气质量标准》（GB3095-2012）二级标准</w:t>
            </w:r>
            <w:r>
              <w:rPr>
                <w:rFonts w:hint="default" w:ascii="Times New Roman" w:hAnsi="Times New Roman" w:cs="Times New Roman"/>
                <w:color w:val="auto"/>
                <w:sz w:val="24"/>
                <w:lang w:eastAsia="zh-CN"/>
              </w:rPr>
              <w:t>。</w:t>
            </w:r>
          </w:p>
          <w:p w14:paraId="01EF643D">
            <w:pPr>
              <w:spacing w:line="360" w:lineRule="auto"/>
              <w:ind w:firstLine="361" w:firstLineChars="150"/>
              <w:rPr>
                <w:rFonts w:hint="default" w:ascii="Times New Roman" w:hAnsi="Times New Roman" w:cs="Times New Roman"/>
                <w:b/>
                <w:color w:val="auto"/>
                <w:sz w:val="24"/>
              </w:rPr>
            </w:pPr>
            <w:r>
              <w:rPr>
                <w:rFonts w:hint="default" w:ascii="Times New Roman" w:hAnsi="Times New Roman" w:cs="Times New Roman"/>
                <w:b/>
                <w:color w:val="auto"/>
                <w:sz w:val="24"/>
              </w:rPr>
              <w:t>（3）评价方法</w:t>
            </w:r>
          </w:p>
          <w:p w14:paraId="4FF350B1">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szCs w:val="24"/>
              </w:rPr>
              <w:t>采用</w:t>
            </w:r>
            <w:r>
              <w:rPr>
                <w:rFonts w:hint="default" w:ascii="Times New Roman" w:hAnsi="Times New Roman" w:cs="Times New Roman"/>
                <w:color w:val="auto"/>
                <w:sz w:val="24"/>
              </w:rPr>
              <w:t>单项质量指数法，公式为：</w:t>
            </w:r>
          </w:p>
          <w:p w14:paraId="01EF4839">
            <w:pPr>
              <w:spacing w:line="360" w:lineRule="auto"/>
              <w:jc w:val="center"/>
              <w:rPr>
                <w:rFonts w:hint="default" w:ascii="Times New Roman" w:hAnsi="Times New Roman" w:cs="Times New Roman"/>
                <w:i/>
                <w:color w:val="auto"/>
                <w:sz w:val="24"/>
              </w:rPr>
            </w:pPr>
            <w:r>
              <w:rPr>
                <w:rFonts w:hint="default" w:ascii="Times New Roman" w:hAnsi="Times New Roman" w:cs="Times New Roman"/>
                <w:i/>
                <w:color w:val="auto"/>
                <w:sz w:val="24"/>
                <w:szCs w:val="24"/>
              </w:rPr>
              <w:t>P</w:t>
            </w:r>
            <w:r>
              <w:rPr>
                <w:rFonts w:hint="default" w:ascii="Times New Roman" w:hAnsi="Times New Roman" w:cs="Times New Roman"/>
                <w:i/>
                <w:color w:val="auto"/>
                <w:sz w:val="24"/>
                <w:szCs w:val="24"/>
                <w:vertAlign w:val="subscript"/>
              </w:rPr>
              <w:t>i</w:t>
            </w:r>
            <w:r>
              <w:rPr>
                <w:rFonts w:hint="default" w:ascii="Times New Roman" w:hAnsi="Times New Roman" w:cs="Times New Roman"/>
                <w:color w:val="auto"/>
                <w:sz w:val="24"/>
                <w:szCs w:val="24"/>
              </w:rPr>
              <w:t xml:space="preserve"> = </w:t>
            </w:r>
            <w:r>
              <w:rPr>
                <w:rFonts w:hint="default" w:ascii="Times New Roman" w:hAnsi="Times New Roman" w:cs="Times New Roman"/>
                <w:i/>
                <w:color w:val="auto"/>
                <w:sz w:val="24"/>
                <w:szCs w:val="24"/>
              </w:rPr>
              <w:t>C</w:t>
            </w:r>
            <w:r>
              <w:rPr>
                <w:rFonts w:hint="default" w:ascii="Times New Roman" w:hAnsi="Times New Roman" w:cs="Times New Roman"/>
                <w:i/>
                <w:color w:val="auto"/>
                <w:sz w:val="24"/>
                <w:szCs w:val="24"/>
                <w:vertAlign w:val="subscript"/>
              </w:rPr>
              <w:t>i</w:t>
            </w:r>
            <w:r>
              <w:rPr>
                <w:rFonts w:hint="default" w:ascii="Times New Roman" w:hAnsi="Times New Roman" w:cs="Times New Roman"/>
                <w:color w:val="auto"/>
                <w:sz w:val="24"/>
                <w:szCs w:val="24"/>
              </w:rPr>
              <w:t xml:space="preserve"> / </w:t>
            </w:r>
            <w:r>
              <w:rPr>
                <w:rFonts w:hint="default" w:ascii="Times New Roman" w:hAnsi="Times New Roman" w:cs="Times New Roman"/>
                <w:i/>
                <w:color w:val="auto"/>
                <w:sz w:val="24"/>
                <w:szCs w:val="24"/>
              </w:rPr>
              <w:t>S</w:t>
            </w:r>
            <w:r>
              <w:rPr>
                <w:rFonts w:hint="default" w:ascii="Times New Roman" w:hAnsi="Times New Roman" w:cs="Times New Roman"/>
                <w:i/>
                <w:color w:val="auto"/>
                <w:sz w:val="24"/>
                <w:szCs w:val="24"/>
                <w:vertAlign w:val="subscript"/>
              </w:rPr>
              <w:t>i</w:t>
            </w:r>
          </w:p>
          <w:p w14:paraId="20169EEA">
            <w:pPr>
              <w:pStyle w:val="11"/>
              <w:spacing w:after="0" w:line="360" w:lineRule="auto"/>
              <w:ind w:firstLine="600"/>
              <w:rPr>
                <w:rFonts w:hint="default" w:ascii="Times New Roman" w:hAnsi="Times New Roman" w:cs="Times New Roman"/>
                <w:color w:val="auto"/>
                <w:sz w:val="24"/>
              </w:rPr>
            </w:pPr>
            <w:r>
              <w:rPr>
                <w:rFonts w:hint="default" w:ascii="Times New Roman" w:hAnsi="Times New Roman" w:cs="Times New Roman"/>
                <w:color w:val="auto"/>
                <w:sz w:val="24"/>
              </w:rPr>
              <w:t xml:space="preserve">   式中，</w:t>
            </w:r>
            <w:r>
              <w:rPr>
                <w:rFonts w:hint="default" w:ascii="Times New Roman" w:hAnsi="Times New Roman" w:cs="Times New Roman"/>
                <w:i/>
                <w:color w:val="auto"/>
                <w:sz w:val="24"/>
              </w:rPr>
              <w:t>P</w:t>
            </w:r>
            <w:r>
              <w:rPr>
                <w:rFonts w:hint="default" w:ascii="Times New Roman" w:hAnsi="Times New Roman" w:cs="Times New Roman"/>
                <w:i/>
                <w:color w:val="auto"/>
                <w:sz w:val="24"/>
                <w:vertAlign w:val="subscript"/>
              </w:rPr>
              <w:t>i</w:t>
            </w:r>
            <w:r>
              <w:rPr>
                <w:rFonts w:hint="default" w:ascii="Times New Roman" w:hAnsi="Times New Roman" w:cs="Times New Roman"/>
                <w:i/>
                <w:color w:val="auto"/>
                <w:sz w:val="24"/>
              </w:rPr>
              <w:t xml:space="preserve"> </w:t>
            </w:r>
            <w:r>
              <w:rPr>
                <w:rFonts w:hint="default" w:ascii="Times New Roman" w:hAnsi="Times New Roman" w:cs="Times New Roman"/>
                <w:color w:val="auto"/>
                <w:sz w:val="24"/>
              </w:rPr>
              <w:t>——第</w:t>
            </w:r>
            <w:r>
              <w:rPr>
                <w:rFonts w:hint="default" w:ascii="Times New Roman" w:hAnsi="Times New Roman" w:cs="Times New Roman"/>
                <w:i/>
                <w:color w:val="auto"/>
                <w:sz w:val="24"/>
              </w:rPr>
              <w:t>i</w:t>
            </w:r>
            <w:r>
              <w:rPr>
                <w:rFonts w:hint="default" w:ascii="Times New Roman" w:hAnsi="Times New Roman" w:cs="Times New Roman"/>
                <w:color w:val="auto"/>
                <w:sz w:val="24"/>
              </w:rPr>
              <w:t>个污染物标准指数值；</w:t>
            </w:r>
          </w:p>
          <w:p w14:paraId="77E81C46">
            <w:pPr>
              <w:pStyle w:val="11"/>
              <w:spacing w:after="0" w:line="360" w:lineRule="auto"/>
              <w:ind w:firstLine="600"/>
              <w:rPr>
                <w:rFonts w:hint="default" w:ascii="Times New Roman" w:hAnsi="Times New Roman" w:cs="Times New Roman"/>
                <w:color w:val="auto"/>
                <w:sz w:val="24"/>
              </w:rPr>
            </w:pPr>
            <w:r>
              <w:rPr>
                <w:rFonts w:hint="default" w:ascii="Times New Roman" w:hAnsi="Times New Roman" w:cs="Times New Roman"/>
                <w:color w:val="auto"/>
                <w:sz w:val="24"/>
              </w:rPr>
              <w:t xml:space="preserve">         </w:t>
            </w:r>
            <w:r>
              <w:rPr>
                <w:rFonts w:hint="default" w:ascii="Times New Roman" w:hAnsi="Times New Roman" w:cs="Times New Roman"/>
                <w:i/>
                <w:color w:val="auto"/>
                <w:sz w:val="24"/>
              </w:rPr>
              <w:t>C</w:t>
            </w:r>
            <w:r>
              <w:rPr>
                <w:rFonts w:hint="default" w:ascii="Times New Roman" w:hAnsi="Times New Roman" w:cs="Times New Roman"/>
                <w:i/>
                <w:color w:val="auto"/>
                <w:sz w:val="24"/>
                <w:vertAlign w:val="subscript"/>
              </w:rPr>
              <w:t>i</w:t>
            </w:r>
            <w:r>
              <w:rPr>
                <w:rFonts w:hint="default" w:ascii="Times New Roman" w:hAnsi="Times New Roman" w:cs="Times New Roman"/>
                <w:i/>
                <w:color w:val="auto"/>
                <w:sz w:val="24"/>
              </w:rPr>
              <w:t xml:space="preserve"> </w:t>
            </w:r>
            <w:r>
              <w:rPr>
                <w:rFonts w:hint="default" w:ascii="Times New Roman" w:hAnsi="Times New Roman" w:cs="Times New Roman"/>
                <w:color w:val="auto"/>
                <w:sz w:val="24"/>
              </w:rPr>
              <w:t>——第</w:t>
            </w:r>
            <w:r>
              <w:rPr>
                <w:rFonts w:hint="default" w:ascii="Times New Roman" w:hAnsi="Times New Roman" w:cs="Times New Roman"/>
                <w:i/>
                <w:color w:val="auto"/>
                <w:sz w:val="24"/>
              </w:rPr>
              <w:t>i</w:t>
            </w:r>
            <w:r>
              <w:rPr>
                <w:rFonts w:hint="default" w:ascii="Times New Roman" w:hAnsi="Times New Roman" w:cs="Times New Roman"/>
                <w:color w:val="auto"/>
                <w:sz w:val="24"/>
              </w:rPr>
              <w:t>个污染物实测浓度值，mg/m</w:t>
            </w:r>
            <w:r>
              <w:rPr>
                <w:rFonts w:hint="default" w:ascii="Times New Roman" w:hAnsi="Times New Roman" w:cs="Times New Roman"/>
                <w:color w:val="auto"/>
                <w:sz w:val="24"/>
                <w:vertAlign w:val="superscript"/>
              </w:rPr>
              <w:t>3</w:t>
            </w:r>
            <w:r>
              <w:rPr>
                <w:rFonts w:hint="default" w:ascii="Times New Roman" w:hAnsi="Times New Roman" w:cs="Times New Roman"/>
                <w:color w:val="auto"/>
                <w:sz w:val="24"/>
              </w:rPr>
              <w:t>；</w:t>
            </w:r>
          </w:p>
          <w:p w14:paraId="23BBF21D">
            <w:pPr>
              <w:pStyle w:val="11"/>
              <w:spacing w:after="0" w:line="360" w:lineRule="auto"/>
              <w:ind w:firstLine="600"/>
              <w:rPr>
                <w:rFonts w:hint="default" w:ascii="Times New Roman" w:hAnsi="Times New Roman" w:cs="Times New Roman"/>
                <w:color w:val="auto"/>
                <w:sz w:val="24"/>
              </w:rPr>
            </w:pPr>
            <w:r>
              <w:rPr>
                <w:rFonts w:hint="default" w:ascii="Times New Roman" w:hAnsi="Times New Roman" w:cs="Times New Roman"/>
                <w:color w:val="auto"/>
                <w:sz w:val="24"/>
              </w:rPr>
              <w:t xml:space="preserve">         </w:t>
            </w:r>
            <w:r>
              <w:rPr>
                <w:rFonts w:hint="default" w:ascii="Times New Roman" w:hAnsi="Times New Roman" w:cs="Times New Roman"/>
                <w:i/>
                <w:color w:val="auto"/>
                <w:sz w:val="24"/>
              </w:rPr>
              <w:t>S</w:t>
            </w:r>
            <w:r>
              <w:rPr>
                <w:rFonts w:hint="default" w:ascii="Times New Roman" w:hAnsi="Times New Roman" w:cs="Times New Roman"/>
                <w:i/>
                <w:color w:val="auto"/>
                <w:sz w:val="24"/>
                <w:vertAlign w:val="subscript"/>
              </w:rPr>
              <w:t>i</w:t>
            </w:r>
            <w:r>
              <w:rPr>
                <w:rFonts w:hint="default" w:ascii="Times New Roman" w:hAnsi="Times New Roman" w:cs="Times New Roman"/>
                <w:i/>
                <w:color w:val="auto"/>
                <w:sz w:val="24"/>
              </w:rPr>
              <w:t xml:space="preserve"> </w:t>
            </w:r>
            <w:r>
              <w:rPr>
                <w:rFonts w:hint="default" w:ascii="Times New Roman" w:hAnsi="Times New Roman" w:cs="Times New Roman"/>
                <w:color w:val="auto"/>
                <w:sz w:val="24"/>
              </w:rPr>
              <w:t>——第</w:t>
            </w:r>
            <w:r>
              <w:rPr>
                <w:rFonts w:hint="default" w:ascii="Times New Roman" w:hAnsi="Times New Roman" w:cs="Times New Roman"/>
                <w:i/>
                <w:color w:val="auto"/>
                <w:sz w:val="24"/>
              </w:rPr>
              <w:t>i</w:t>
            </w:r>
            <w:r>
              <w:rPr>
                <w:rFonts w:hint="default" w:ascii="Times New Roman" w:hAnsi="Times New Roman" w:cs="Times New Roman"/>
                <w:color w:val="auto"/>
                <w:sz w:val="24"/>
              </w:rPr>
              <w:t>个污染物评价标准限值，mg/m</w:t>
            </w:r>
            <w:r>
              <w:rPr>
                <w:rFonts w:hint="default" w:ascii="Times New Roman" w:hAnsi="Times New Roman" w:cs="Times New Roman"/>
                <w:color w:val="auto"/>
                <w:sz w:val="24"/>
                <w:vertAlign w:val="superscript"/>
              </w:rPr>
              <w:t>3</w:t>
            </w:r>
            <w:r>
              <w:rPr>
                <w:rFonts w:hint="default" w:ascii="Times New Roman" w:hAnsi="Times New Roman" w:cs="Times New Roman"/>
                <w:color w:val="auto"/>
                <w:sz w:val="24"/>
              </w:rPr>
              <w:t>。</w:t>
            </w:r>
          </w:p>
          <w:p w14:paraId="54EDBAF3">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当</w:t>
            </w:r>
            <w:r>
              <w:rPr>
                <w:rFonts w:hint="default" w:ascii="Times New Roman" w:hAnsi="Times New Roman" w:cs="Times New Roman"/>
                <w:i/>
                <w:color w:val="auto"/>
                <w:sz w:val="24"/>
              </w:rPr>
              <w:t>P</w:t>
            </w:r>
            <w:r>
              <w:rPr>
                <w:rFonts w:hint="default" w:ascii="Times New Roman" w:hAnsi="Times New Roman" w:cs="Times New Roman"/>
                <w:i/>
                <w:color w:val="auto"/>
                <w:sz w:val="24"/>
                <w:vertAlign w:val="subscript"/>
              </w:rPr>
              <w:t>i</w:t>
            </w:r>
            <w:r>
              <w:rPr>
                <w:rFonts w:hint="default" w:ascii="Times New Roman" w:hAnsi="Times New Roman" w:cs="Times New Roman"/>
                <w:color w:val="auto"/>
                <w:sz w:val="24"/>
              </w:rPr>
              <w:t>值大于1.0时，表明大气环境已受到该项评价因子所表征的污染物的污染。</w:t>
            </w:r>
            <w:r>
              <w:rPr>
                <w:rFonts w:hint="default" w:ascii="Times New Roman" w:hAnsi="Times New Roman" w:cs="Times New Roman"/>
                <w:i/>
                <w:color w:val="auto"/>
                <w:sz w:val="24"/>
              </w:rPr>
              <w:t>P</w:t>
            </w:r>
            <w:r>
              <w:rPr>
                <w:rFonts w:hint="default" w:ascii="Times New Roman" w:hAnsi="Times New Roman" w:cs="Times New Roman"/>
                <w:i/>
                <w:color w:val="auto"/>
                <w:sz w:val="24"/>
                <w:vertAlign w:val="subscript"/>
              </w:rPr>
              <w:t>i</w:t>
            </w:r>
            <w:r>
              <w:rPr>
                <w:rFonts w:hint="default" w:ascii="Times New Roman" w:hAnsi="Times New Roman" w:cs="Times New Roman"/>
                <w:color w:val="auto"/>
                <w:sz w:val="24"/>
              </w:rPr>
              <w:t>值越大，受污染程度越重；</w:t>
            </w:r>
            <w:r>
              <w:rPr>
                <w:rFonts w:hint="default" w:ascii="Times New Roman" w:hAnsi="Times New Roman" w:cs="Times New Roman"/>
                <w:i/>
                <w:color w:val="auto"/>
                <w:sz w:val="24"/>
              </w:rPr>
              <w:t>P</w:t>
            </w:r>
            <w:r>
              <w:rPr>
                <w:rFonts w:hint="default" w:ascii="Times New Roman" w:hAnsi="Times New Roman" w:cs="Times New Roman"/>
                <w:i/>
                <w:color w:val="auto"/>
                <w:sz w:val="24"/>
                <w:vertAlign w:val="subscript"/>
              </w:rPr>
              <w:t>i</w:t>
            </w:r>
            <w:r>
              <w:rPr>
                <w:rFonts w:hint="default" w:ascii="Times New Roman" w:hAnsi="Times New Roman" w:cs="Times New Roman"/>
                <w:color w:val="auto"/>
                <w:sz w:val="24"/>
              </w:rPr>
              <w:t>值越小，受污染程度越轻。</w:t>
            </w:r>
          </w:p>
          <w:p w14:paraId="3BCF10B8">
            <w:pPr>
              <w:snapToGrid w:val="0"/>
              <w:spacing w:line="360" w:lineRule="auto"/>
              <w:ind w:firstLine="361" w:firstLineChars="150"/>
              <w:rPr>
                <w:rFonts w:hint="default" w:ascii="Times New Roman" w:hAnsi="Times New Roman" w:cs="Times New Roman"/>
                <w:b/>
                <w:color w:val="auto"/>
                <w:sz w:val="24"/>
              </w:rPr>
            </w:pPr>
            <w:r>
              <w:rPr>
                <w:rFonts w:hint="default" w:ascii="Times New Roman" w:hAnsi="Times New Roman" w:cs="Times New Roman"/>
                <w:b/>
                <w:color w:val="auto"/>
                <w:sz w:val="24"/>
              </w:rPr>
              <w:t>（4）评价结果</w:t>
            </w:r>
          </w:p>
          <w:p w14:paraId="2C057304">
            <w:pPr>
              <w:snapToGrid w:val="0"/>
              <w:spacing w:line="360" w:lineRule="auto"/>
              <w:ind w:firstLine="360" w:firstLineChars="150"/>
              <w:rPr>
                <w:rFonts w:hint="default" w:ascii="Times New Roman" w:hAnsi="Times New Roman" w:cs="Times New Roman"/>
                <w:color w:val="auto"/>
                <w:sz w:val="24"/>
              </w:rPr>
            </w:pPr>
            <w:r>
              <w:rPr>
                <w:rFonts w:hint="default" w:ascii="Times New Roman" w:hAnsi="Times New Roman" w:cs="Times New Roman"/>
                <w:color w:val="auto"/>
                <w:sz w:val="24"/>
              </w:rPr>
              <w:t xml:space="preserve"> 本项目所在区域大气环境质量现状评价结果见表3-</w:t>
            </w:r>
            <w:r>
              <w:rPr>
                <w:rFonts w:hint="default" w:ascii="Times New Roman" w:hAnsi="Times New Roman" w:cs="Times New Roman"/>
                <w:color w:val="auto"/>
                <w:sz w:val="24"/>
                <w:lang w:val="en-US" w:eastAsia="zh-CN"/>
              </w:rPr>
              <w:t>3</w:t>
            </w:r>
            <w:r>
              <w:rPr>
                <w:rFonts w:hint="default" w:ascii="Times New Roman" w:hAnsi="Times New Roman" w:cs="Times New Roman"/>
                <w:color w:val="auto"/>
                <w:sz w:val="24"/>
              </w:rPr>
              <w:t>。</w:t>
            </w:r>
          </w:p>
          <w:p w14:paraId="35D781B5">
            <w:pPr>
              <w:snapToGrid w:val="0"/>
              <w:spacing w:line="360" w:lineRule="auto"/>
              <w:jc w:val="center"/>
              <w:rPr>
                <w:rFonts w:hint="default" w:ascii="Times New Roman" w:hAnsi="Times New Roman" w:cs="Times New Roman" w:eastAsiaTheme="minorEastAsia"/>
                <w:b/>
                <w:bCs/>
                <w:color w:val="auto"/>
                <w:szCs w:val="21"/>
              </w:rPr>
            </w:pPr>
            <w:r>
              <w:rPr>
                <w:rFonts w:hint="default" w:ascii="Times New Roman" w:hAnsi="Times New Roman" w:cs="Times New Roman" w:eastAsiaTheme="minorEastAsia"/>
                <w:b/>
                <w:bCs/>
                <w:color w:val="auto"/>
                <w:szCs w:val="21"/>
              </w:rPr>
              <w:t>表3-</w:t>
            </w:r>
            <w:r>
              <w:rPr>
                <w:rFonts w:hint="default" w:ascii="Times New Roman" w:hAnsi="Times New Roman" w:cs="Times New Roman" w:eastAsiaTheme="minorEastAsia"/>
                <w:b/>
                <w:bCs/>
                <w:color w:val="auto"/>
                <w:szCs w:val="21"/>
                <w:lang w:val="en-US" w:eastAsia="zh-CN"/>
              </w:rPr>
              <w:t>3</w:t>
            </w:r>
            <w:r>
              <w:rPr>
                <w:rFonts w:hint="default" w:ascii="Times New Roman" w:hAnsi="Times New Roman" w:cs="Times New Roman" w:eastAsiaTheme="minorEastAsia"/>
                <w:b/>
                <w:bCs/>
                <w:color w:val="auto"/>
                <w:szCs w:val="21"/>
              </w:rPr>
              <w:t xml:space="preserve">  大气环境质量现状评价结果</w:t>
            </w:r>
          </w:p>
          <w:tbl>
            <w:tblPr>
              <w:tblStyle w:val="23"/>
              <w:tblW w:w="9968"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723"/>
              <w:gridCol w:w="1649"/>
              <w:gridCol w:w="2008"/>
              <w:gridCol w:w="1425"/>
              <w:gridCol w:w="1514"/>
              <w:gridCol w:w="1649"/>
            </w:tblGrid>
            <w:tr w14:paraId="0451E72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PrEx>
              <w:trPr>
                <w:trHeight w:val="253" w:hRule="atLeast"/>
                <w:tblHeader/>
              </w:trPr>
              <w:tc>
                <w:tcPr>
                  <w:tcW w:w="1723" w:type="dxa"/>
                  <w:shd w:val="clear" w:color="auto" w:fill="auto"/>
                  <w:vAlign w:val="center"/>
                </w:tcPr>
                <w:p w14:paraId="0DE54E9F">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评价标准</w:t>
                  </w:r>
                </w:p>
              </w:tc>
              <w:tc>
                <w:tcPr>
                  <w:tcW w:w="1649" w:type="dxa"/>
                  <w:shd w:val="clear" w:color="auto" w:fill="auto"/>
                  <w:vAlign w:val="center"/>
                </w:tcPr>
                <w:p w14:paraId="14CC2FB0">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评价因子</w:t>
                  </w:r>
                </w:p>
              </w:tc>
              <w:tc>
                <w:tcPr>
                  <w:tcW w:w="2008" w:type="dxa"/>
                  <w:shd w:val="clear" w:color="auto" w:fill="auto"/>
                  <w:vAlign w:val="center"/>
                </w:tcPr>
                <w:p w14:paraId="7316FF52">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浓度（mg/m</w:t>
                  </w:r>
                  <w:r>
                    <w:rPr>
                      <w:rFonts w:hint="default" w:ascii="Times New Roman" w:hAnsi="Times New Roman" w:cs="Times New Roman"/>
                      <w:b w:val="0"/>
                      <w:color w:val="auto"/>
                      <w:sz w:val="21"/>
                      <w:szCs w:val="21"/>
                      <w:vertAlign w:val="superscript"/>
                    </w:rPr>
                    <w:t>3</w:t>
                  </w:r>
                  <w:r>
                    <w:rPr>
                      <w:rFonts w:hint="default" w:ascii="Times New Roman" w:hAnsi="Times New Roman" w:cs="Times New Roman"/>
                      <w:b w:val="0"/>
                      <w:color w:val="auto"/>
                      <w:sz w:val="21"/>
                      <w:szCs w:val="21"/>
                    </w:rPr>
                    <w:t>）</w:t>
                  </w:r>
                </w:p>
              </w:tc>
              <w:tc>
                <w:tcPr>
                  <w:tcW w:w="1425" w:type="dxa"/>
                  <w:shd w:val="clear" w:color="auto" w:fill="auto"/>
                  <w:vAlign w:val="center"/>
                </w:tcPr>
                <w:p w14:paraId="3ACE8E4F">
                  <w:pPr>
                    <w:pStyle w:val="36"/>
                    <w:spacing w:line="276" w:lineRule="auto"/>
                    <w:rPr>
                      <w:rFonts w:hint="default" w:ascii="Times New Roman" w:hAnsi="Times New Roman" w:cs="Times New Roman"/>
                      <w:b w:val="0"/>
                      <w:i/>
                      <w:color w:val="auto"/>
                      <w:sz w:val="21"/>
                      <w:szCs w:val="21"/>
                    </w:rPr>
                  </w:pPr>
                  <w:r>
                    <w:rPr>
                      <w:rFonts w:hint="default" w:ascii="Times New Roman" w:hAnsi="Times New Roman" w:cs="Times New Roman"/>
                      <w:b w:val="0"/>
                      <w:bCs/>
                      <w:i/>
                      <w:color w:val="auto"/>
                      <w:sz w:val="21"/>
                      <w:szCs w:val="21"/>
                    </w:rPr>
                    <w:t>P</w:t>
                  </w:r>
                  <w:r>
                    <w:rPr>
                      <w:rFonts w:hint="default" w:ascii="Times New Roman" w:hAnsi="Times New Roman" w:cs="Times New Roman"/>
                      <w:b w:val="0"/>
                      <w:bCs/>
                      <w:i/>
                      <w:color w:val="auto"/>
                      <w:sz w:val="21"/>
                      <w:szCs w:val="21"/>
                      <w:vertAlign w:val="subscript"/>
                    </w:rPr>
                    <w:t>max</w:t>
                  </w:r>
                </w:p>
              </w:tc>
              <w:tc>
                <w:tcPr>
                  <w:tcW w:w="1514" w:type="dxa"/>
                  <w:shd w:val="clear" w:color="auto" w:fill="auto"/>
                  <w:vAlign w:val="center"/>
                </w:tcPr>
                <w:p w14:paraId="383824A2">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超标率</w:t>
                  </w:r>
                </w:p>
              </w:tc>
              <w:tc>
                <w:tcPr>
                  <w:tcW w:w="1649" w:type="dxa"/>
                  <w:shd w:val="clear" w:color="auto" w:fill="auto"/>
                  <w:vAlign w:val="center"/>
                </w:tcPr>
                <w:p w14:paraId="65C6688D">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最大超标倍数</w:t>
                  </w:r>
                </w:p>
              </w:tc>
            </w:tr>
            <w:tr w14:paraId="462A847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72" w:hRule="atLeast"/>
              </w:trPr>
              <w:tc>
                <w:tcPr>
                  <w:tcW w:w="1723" w:type="dxa"/>
                  <w:vMerge w:val="restart"/>
                  <w:shd w:val="clear" w:color="auto" w:fill="auto"/>
                  <w:vAlign w:val="center"/>
                </w:tcPr>
                <w:p w14:paraId="48B6051A">
                  <w:pPr>
                    <w:pStyle w:val="34"/>
                    <w:spacing w:line="276" w:lineRule="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GB3095-2012</w:t>
                  </w:r>
                </w:p>
                <w:p w14:paraId="63169406">
                  <w:pPr>
                    <w:pStyle w:val="34"/>
                    <w:spacing w:line="276" w:lineRule="auto"/>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二级标准</w:t>
                  </w:r>
                </w:p>
              </w:tc>
              <w:tc>
                <w:tcPr>
                  <w:tcW w:w="1649" w:type="dxa"/>
                  <w:shd w:val="clear" w:color="auto" w:fill="auto"/>
                  <w:vAlign w:val="center"/>
                </w:tcPr>
                <w:p w14:paraId="25544719">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SO</w:t>
                  </w:r>
                  <w:r>
                    <w:rPr>
                      <w:rFonts w:hint="default" w:ascii="Times New Roman" w:hAnsi="Times New Roman" w:cs="Times New Roman"/>
                      <w:b w:val="0"/>
                      <w:color w:val="auto"/>
                      <w:sz w:val="21"/>
                      <w:szCs w:val="21"/>
                      <w:vertAlign w:val="subscript"/>
                    </w:rPr>
                    <w:t>2</w:t>
                  </w:r>
                </w:p>
              </w:tc>
              <w:tc>
                <w:tcPr>
                  <w:tcW w:w="2008" w:type="dxa"/>
                  <w:shd w:val="clear" w:color="auto" w:fill="auto"/>
                  <w:vAlign w:val="center"/>
                </w:tcPr>
                <w:p w14:paraId="09B6343C">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0.0</w:t>
                  </w:r>
                  <w:r>
                    <w:rPr>
                      <w:rFonts w:hint="eastAsia" w:cs="Times New Roman"/>
                      <w:color w:val="auto"/>
                      <w:sz w:val="21"/>
                      <w:szCs w:val="21"/>
                      <w:lang w:val="en-US" w:eastAsia="zh-CN"/>
                    </w:rPr>
                    <w:t>07</w:t>
                  </w:r>
                  <w:r>
                    <w:rPr>
                      <w:rFonts w:hint="default" w:ascii="Times New Roman" w:hAnsi="Times New Roman" w:cs="Times New Roman"/>
                      <w:color w:val="auto"/>
                      <w:sz w:val="21"/>
                      <w:szCs w:val="21"/>
                    </w:rPr>
                    <w:t>~0.0</w:t>
                  </w:r>
                  <w:r>
                    <w:rPr>
                      <w:rFonts w:hint="default" w:ascii="Times New Roman" w:hAnsi="Times New Roman" w:cs="Times New Roman"/>
                      <w:color w:val="auto"/>
                      <w:sz w:val="21"/>
                      <w:szCs w:val="21"/>
                      <w:lang w:val="en-US" w:eastAsia="zh-CN"/>
                    </w:rPr>
                    <w:t>2</w:t>
                  </w:r>
                  <w:r>
                    <w:rPr>
                      <w:rFonts w:hint="eastAsia" w:cs="Times New Roman"/>
                      <w:color w:val="auto"/>
                      <w:sz w:val="21"/>
                      <w:szCs w:val="21"/>
                      <w:lang w:val="en-US" w:eastAsia="zh-CN"/>
                    </w:rPr>
                    <w:t>7</w:t>
                  </w:r>
                </w:p>
              </w:tc>
              <w:tc>
                <w:tcPr>
                  <w:tcW w:w="1425" w:type="dxa"/>
                  <w:shd w:val="clear" w:color="auto" w:fill="auto"/>
                  <w:vAlign w:val="center"/>
                </w:tcPr>
                <w:p w14:paraId="59A9F08E">
                  <w:pPr>
                    <w:pStyle w:val="36"/>
                    <w:spacing w:line="276" w:lineRule="auto"/>
                    <w:rPr>
                      <w:rFonts w:hint="eastAsia" w:ascii="Times New Roman" w:hAnsi="Times New Roman" w:eastAsia="宋体" w:cs="Times New Roman"/>
                      <w:b w:val="0"/>
                      <w:color w:val="auto"/>
                      <w:sz w:val="21"/>
                      <w:szCs w:val="21"/>
                      <w:lang w:val="en-US" w:eastAsia="zh-CN"/>
                    </w:rPr>
                  </w:pPr>
                  <w:r>
                    <w:rPr>
                      <w:rFonts w:hint="default" w:ascii="Times New Roman" w:hAnsi="Times New Roman" w:cs="Times New Roman"/>
                      <w:b w:val="0"/>
                      <w:color w:val="auto"/>
                      <w:sz w:val="21"/>
                      <w:szCs w:val="21"/>
                    </w:rPr>
                    <w:t>0.0</w:t>
                  </w:r>
                  <w:r>
                    <w:rPr>
                      <w:rFonts w:hint="eastAsia" w:cs="Times New Roman"/>
                      <w:b w:val="0"/>
                      <w:color w:val="auto"/>
                      <w:sz w:val="21"/>
                      <w:szCs w:val="21"/>
                      <w:lang w:val="en-US" w:eastAsia="zh-CN"/>
                    </w:rPr>
                    <w:t>54</w:t>
                  </w:r>
                </w:p>
              </w:tc>
              <w:tc>
                <w:tcPr>
                  <w:tcW w:w="1514" w:type="dxa"/>
                  <w:shd w:val="clear" w:color="auto" w:fill="auto"/>
                  <w:vAlign w:val="center"/>
                </w:tcPr>
                <w:p w14:paraId="148FA51D">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0</w:t>
                  </w:r>
                </w:p>
              </w:tc>
              <w:tc>
                <w:tcPr>
                  <w:tcW w:w="1649" w:type="dxa"/>
                  <w:shd w:val="clear" w:color="auto" w:fill="auto"/>
                  <w:vAlign w:val="center"/>
                </w:tcPr>
                <w:p w14:paraId="7382F68E">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w:t>
                  </w:r>
                </w:p>
              </w:tc>
            </w:tr>
            <w:tr w14:paraId="0AC534A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53" w:hRule="atLeast"/>
              </w:trPr>
              <w:tc>
                <w:tcPr>
                  <w:tcW w:w="1723" w:type="dxa"/>
                  <w:vMerge w:val="continue"/>
                  <w:shd w:val="clear" w:color="auto" w:fill="auto"/>
                  <w:vAlign w:val="center"/>
                </w:tcPr>
                <w:p w14:paraId="5F5CCF28">
                  <w:pPr>
                    <w:pStyle w:val="34"/>
                    <w:spacing w:line="276" w:lineRule="auto"/>
                    <w:ind w:firstLine="480"/>
                    <w:rPr>
                      <w:rFonts w:hint="default" w:ascii="Times New Roman" w:hAnsi="Times New Roman" w:cs="Times New Roman"/>
                      <w:color w:val="auto"/>
                      <w:sz w:val="21"/>
                      <w:szCs w:val="21"/>
                    </w:rPr>
                  </w:pPr>
                </w:p>
              </w:tc>
              <w:tc>
                <w:tcPr>
                  <w:tcW w:w="1649" w:type="dxa"/>
                  <w:shd w:val="clear" w:color="auto" w:fill="auto"/>
                  <w:vAlign w:val="center"/>
                </w:tcPr>
                <w:p w14:paraId="439CDE45">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NO</w:t>
                  </w:r>
                  <w:r>
                    <w:rPr>
                      <w:rFonts w:hint="default" w:ascii="Times New Roman" w:hAnsi="Times New Roman" w:cs="Times New Roman"/>
                      <w:b w:val="0"/>
                      <w:color w:val="auto"/>
                      <w:sz w:val="21"/>
                      <w:szCs w:val="21"/>
                      <w:vertAlign w:val="subscript"/>
                    </w:rPr>
                    <w:t>2</w:t>
                  </w:r>
                </w:p>
              </w:tc>
              <w:tc>
                <w:tcPr>
                  <w:tcW w:w="2008" w:type="dxa"/>
                  <w:shd w:val="clear" w:color="auto" w:fill="auto"/>
                  <w:vAlign w:val="center"/>
                </w:tcPr>
                <w:p w14:paraId="32217CE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0.006-</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0.054</w:t>
                  </w:r>
                </w:p>
              </w:tc>
              <w:tc>
                <w:tcPr>
                  <w:tcW w:w="1425" w:type="dxa"/>
                  <w:shd w:val="clear" w:color="auto" w:fill="auto"/>
                  <w:vAlign w:val="center"/>
                </w:tcPr>
                <w:p w14:paraId="790493FD">
                  <w:pPr>
                    <w:pStyle w:val="36"/>
                    <w:spacing w:line="276" w:lineRule="auto"/>
                    <w:rPr>
                      <w:rFonts w:hint="eastAsia" w:ascii="Times New Roman" w:hAnsi="Times New Roman" w:eastAsia="宋体" w:cs="Times New Roman"/>
                      <w:b w:val="0"/>
                      <w:color w:val="auto"/>
                      <w:sz w:val="21"/>
                      <w:szCs w:val="21"/>
                      <w:lang w:val="en-US" w:eastAsia="zh-CN"/>
                    </w:rPr>
                  </w:pPr>
                  <w:r>
                    <w:rPr>
                      <w:rFonts w:hint="default" w:ascii="Times New Roman" w:hAnsi="Times New Roman" w:cs="Times New Roman"/>
                      <w:b w:val="0"/>
                      <w:color w:val="auto"/>
                      <w:sz w:val="21"/>
                      <w:szCs w:val="21"/>
                    </w:rPr>
                    <w:t>0.</w:t>
                  </w:r>
                  <w:r>
                    <w:rPr>
                      <w:rFonts w:hint="eastAsia" w:cs="Times New Roman"/>
                      <w:b w:val="0"/>
                      <w:color w:val="auto"/>
                      <w:sz w:val="21"/>
                      <w:szCs w:val="21"/>
                      <w:lang w:val="en-US" w:eastAsia="zh-CN"/>
                    </w:rPr>
                    <w:t>27</w:t>
                  </w:r>
                </w:p>
              </w:tc>
              <w:tc>
                <w:tcPr>
                  <w:tcW w:w="1514" w:type="dxa"/>
                  <w:shd w:val="clear" w:color="auto" w:fill="auto"/>
                  <w:vAlign w:val="center"/>
                </w:tcPr>
                <w:p w14:paraId="7BACCD3F">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0</w:t>
                  </w:r>
                </w:p>
              </w:tc>
              <w:tc>
                <w:tcPr>
                  <w:tcW w:w="1649" w:type="dxa"/>
                  <w:shd w:val="clear" w:color="auto" w:fill="auto"/>
                  <w:vAlign w:val="center"/>
                </w:tcPr>
                <w:p w14:paraId="3B661EC1">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w:t>
                  </w:r>
                </w:p>
              </w:tc>
            </w:tr>
            <w:tr w14:paraId="2838D3B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24" w:hRule="atLeast"/>
              </w:trPr>
              <w:tc>
                <w:tcPr>
                  <w:tcW w:w="1723" w:type="dxa"/>
                  <w:vMerge w:val="continue"/>
                  <w:shd w:val="clear" w:color="auto" w:fill="auto"/>
                  <w:vAlign w:val="center"/>
                </w:tcPr>
                <w:p w14:paraId="5DACCA24">
                  <w:pPr>
                    <w:pStyle w:val="34"/>
                    <w:spacing w:line="276" w:lineRule="auto"/>
                    <w:ind w:firstLine="480"/>
                    <w:rPr>
                      <w:rFonts w:hint="default" w:ascii="Times New Roman" w:hAnsi="Times New Roman" w:cs="Times New Roman"/>
                      <w:color w:val="auto"/>
                      <w:sz w:val="21"/>
                      <w:szCs w:val="21"/>
                    </w:rPr>
                  </w:pPr>
                </w:p>
              </w:tc>
              <w:tc>
                <w:tcPr>
                  <w:tcW w:w="1649" w:type="dxa"/>
                  <w:shd w:val="clear" w:color="auto" w:fill="auto"/>
                  <w:vAlign w:val="center"/>
                </w:tcPr>
                <w:p w14:paraId="2A877EA0">
                  <w:pPr>
                    <w:pStyle w:val="36"/>
                    <w:spacing w:line="276" w:lineRule="auto"/>
                    <w:rPr>
                      <w:rFonts w:hint="default" w:ascii="Times New Roman" w:hAnsi="Times New Roman" w:eastAsia="宋体" w:cs="Times New Roman"/>
                      <w:b w:val="0"/>
                      <w:color w:val="auto"/>
                      <w:sz w:val="21"/>
                      <w:szCs w:val="21"/>
                      <w:lang w:eastAsia="zh-CN"/>
                    </w:rPr>
                  </w:pPr>
                  <w:r>
                    <w:rPr>
                      <w:rFonts w:hint="default" w:ascii="Times New Roman" w:hAnsi="Times New Roman" w:cs="Times New Roman"/>
                      <w:b w:val="0"/>
                      <w:color w:val="auto"/>
                      <w:sz w:val="21"/>
                      <w:szCs w:val="21"/>
                      <w:lang w:val="en-US" w:eastAsia="zh-CN"/>
                    </w:rPr>
                    <w:t>PM</w:t>
                  </w:r>
                  <w:r>
                    <w:rPr>
                      <w:rFonts w:hint="default" w:ascii="Times New Roman" w:hAnsi="Times New Roman" w:cs="Times New Roman"/>
                      <w:b w:val="0"/>
                      <w:color w:val="auto"/>
                      <w:sz w:val="21"/>
                      <w:szCs w:val="21"/>
                      <w:vertAlign w:val="subscript"/>
                      <w:lang w:val="en-US" w:eastAsia="zh-CN"/>
                    </w:rPr>
                    <w:t>10</w:t>
                  </w:r>
                </w:p>
              </w:tc>
              <w:tc>
                <w:tcPr>
                  <w:tcW w:w="2008" w:type="dxa"/>
                  <w:shd w:val="clear" w:color="auto" w:fill="auto"/>
                  <w:vAlign w:val="center"/>
                </w:tcPr>
                <w:p w14:paraId="191B6238">
                  <w:pPr>
                    <w:spacing w:line="276" w:lineRule="auto"/>
                    <w:jc w:val="center"/>
                    <w:rPr>
                      <w:rFonts w:hint="default" w:ascii="Times New Roman" w:hAnsi="Times New Roman" w:cs="Times New Roman"/>
                      <w:color w:val="auto"/>
                      <w:sz w:val="21"/>
                      <w:szCs w:val="21"/>
                      <w:lang w:val="en-US"/>
                    </w:rPr>
                  </w:pPr>
                  <w:r>
                    <w:rPr>
                      <w:rFonts w:hint="default" w:ascii="Times New Roman" w:hAnsi="Times New Roman" w:cs="Times New Roman"/>
                      <w:color w:val="auto"/>
                      <w:sz w:val="21"/>
                      <w:szCs w:val="21"/>
                    </w:rPr>
                    <w:t>0.</w:t>
                  </w:r>
                  <w:r>
                    <w:rPr>
                      <w:rFonts w:hint="eastAsia" w:cs="Times New Roman"/>
                      <w:color w:val="auto"/>
                      <w:sz w:val="21"/>
                      <w:szCs w:val="21"/>
                      <w:lang w:val="en-US" w:eastAsia="zh-CN"/>
                    </w:rPr>
                    <w:t>077</w:t>
                  </w:r>
                  <w:r>
                    <w:rPr>
                      <w:rFonts w:hint="default" w:ascii="Times New Roman" w:hAnsi="Times New Roman" w:cs="Times New Roman"/>
                      <w:color w:val="auto"/>
                      <w:sz w:val="21"/>
                      <w:szCs w:val="21"/>
                    </w:rPr>
                    <w:t>~0.</w:t>
                  </w:r>
                  <w:r>
                    <w:rPr>
                      <w:rFonts w:hint="eastAsia" w:cs="Times New Roman"/>
                      <w:color w:val="auto"/>
                      <w:sz w:val="21"/>
                      <w:szCs w:val="21"/>
                      <w:lang w:val="en-US" w:eastAsia="zh-CN"/>
                    </w:rPr>
                    <w:t>12</w:t>
                  </w:r>
                </w:p>
              </w:tc>
              <w:tc>
                <w:tcPr>
                  <w:tcW w:w="1425" w:type="dxa"/>
                  <w:shd w:val="clear" w:color="auto" w:fill="auto"/>
                  <w:vAlign w:val="center"/>
                </w:tcPr>
                <w:p w14:paraId="6139FBE2">
                  <w:pPr>
                    <w:pStyle w:val="36"/>
                    <w:spacing w:line="276" w:lineRule="auto"/>
                    <w:rPr>
                      <w:rFonts w:hint="eastAsia" w:ascii="Times New Roman" w:hAnsi="Times New Roman" w:eastAsia="宋体" w:cs="Times New Roman"/>
                      <w:b w:val="0"/>
                      <w:color w:val="auto"/>
                      <w:sz w:val="21"/>
                      <w:szCs w:val="21"/>
                      <w:lang w:val="en-US" w:eastAsia="zh-CN"/>
                    </w:rPr>
                  </w:pPr>
                  <w:r>
                    <w:rPr>
                      <w:rFonts w:hint="default" w:ascii="Times New Roman" w:hAnsi="Times New Roman" w:cs="Times New Roman"/>
                      <w:b w:val="0"/>
                      <w:color w:val="auto"/>
                      <w:sz w:val="21"/>
                      <w:szCs w:val="21"/>
                    </w:rPr>
                    <w:t>0.</w:t>
                  </w:r>
                  <w:r>
                    <w:rPr>
                      <w:rFonts w:hint="eastAsia" w:cs="Times New Roman"/>
                      <w:b w:val="0"/>
                      <w:color w:val="auto"/>
                      <w:sz w:val="21"/>
                      <w:szCs w:val="21"/>
                      <w:lang w:val="en-US" w:eastAsia="zh-CN"/>
                    </w:rPr>
                    <w:t>8</w:t>
                  </w:r>
                </w:p>
              </w:tc>
              <w:tc>
                <w:tcPr>
                  <w:tcW w:w="1514" w:type="dxa"/>
                  <w:shd w:val="clear" w:color="auto" w:fill="auto"/>
                  <w:vAlign w:val="center"/>
                </w:tcPr>
                <w:p w14:paraId="5E025E39">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0</w:t>
                  </w:r>
                </w:p>
              </w:tc>
              <w:tc>
                <w:tcPr>
                  <w:tcW w:w="1649" w:type="dxa"/>
                  <w:shd w:val="clear" w:color="auto" w:fill="auto"/>
                  <w:vAlign w:val="center"/>
                </w:tcPr>
                <w:p w14:paraId="6AD9BA73">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w:t>
                  </w:r>
                </w:p>
              </w:tc>
            </w:tr>
            <w:tr w14:paraId="12175BE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53" w:hRule="atLeast"/>
              </w:trPr>
              <w:tc>
                <w:tcPr>
                  <w:tcW w:w="1723" w:type="dxa"/>
                  <w:vMerge w:val="restart"/>
                  <w:shd w:val="clear" w:color="auto" w:fill="auto"/>
                  <w:vAlign w:val="center"/>
                </w:tcPr>
                <w:p w14:paraId="4DDA0034">
                  <w:pPr>
                    <w:pStyle w:val="34"/>
                    <w:spacing w:line="276" w:lineRule="auto"/>
                    <w:jc w:val="center"/>
                    <w:rPr>
                      <w:rFonts w:hint="eastAsia" w:ascii="Times New Roman" w:hAnsi="Times New Roman" w:eastAsia="宋体" w:cs="Times New Roman"/>
                      <w:color w:val="auto"/>
                      <w:sz w:val="21"/>
                      <w:szCs w:val="21"/>
                      <w:lang w:val="en-US" w:eastAsia="zh-CN"/>
                    </w:rPr>
                  </w:pPr>
                  <w:r>
                    <w:rPr>
                      <w:rFonts w:hint="eastAsia" w:eastAsia="宋体" w:cs="Times New Roman"/>
                      <w:color w:val="auto"/>
                      <w:sz w:val="21"/>
                      <w:szCs w:val="21"/>
                      <w:lang w:val="en-US" w:eastAsia="zh-CN"/>
                    </w:rPr>
                    <w:t>GB-T18883-2002</w:t>
                  </w:r>
                </w:p>
              </w:tc>
              <w:tc>
                <w:tcPr>
                  <w:tcW w:w="1649" w:type="dxa"/>
                  <w:shd w:val="clear" w:color="auto" w:fill="auto"/>
                  <w:vAlign w:val="center"/>
                </w:tcPr>
                <w:p w14:paraId="4F7228A0">
                  <w:pPr>
                    <w:jc w:val="center"/>
                    <w:rPr>
                      <w:rFonts w:hint="default" w:ascii="Times New Roman" w:hAnsi="Times New Roman" w:cs="Times New Roman"/>
                      <w:b w:val="0"/>
                      <w:color w:val="auto"/>
                      <w:sz w:val="21"/>
                      <w:szCs w:val="21"/>
                      <w:lang w:val="en-US" w:eastAsia="zh-CN"/>
                    </w:rPr>
                  </w:pPr>
                  <w:r>
                    <w:rPr>
                      <w:rFonts w:hint="default" w:ascii="Times New Roman" w:hAnsi="Times New Roman" w:cs="Times New Roman" w:eastAsiaTheme="minorEastAsia"/>
                      <w:color w:val="auto"/>
                      <w:sz w:val="21"/>
                      <w:szCs w:val="21"/>
                      <w:lang w:val="en-US" w:eastAsia="zh-CN"/>
                    </w:rPr>
                    <w:t>甲苯</w:t>
                  </w:r>
                </w:p>
              </w:tc>
              <w:tc>
                <w:tcPr>
                  <w:tcW w:w="2008" w:type="dxa"/>
                  <w:shd w:val="clear" w:color="auto" w:fill="auto"/>
                  <w:vAlign w:val="center"/>
                </w:tcPr>
                <w:p w14:paraId="52EE9BB9">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7.5×10</w:t>
                  </w:r>
                  <w:r>
                    <w:rPr>
                      <w:rFonts w:hint="default" w:ascii="Times New Roman" w:hAnsi="Times New Roman" w:cs="Times New Roman"/>
                      <w:color w:val="auto"/>
                      <w:sz w:val="21"/>
                      <w:szCs w:val="21"/>
                      <w:vertAlign w:val="superscript"/>
                      <w:lang w:val="en-US" w:eastAsia="zh-CN"/>
                    </w:rPr>
                    <w:t>-4</w:t>
                  </w:r>
                </w:p>
              </w:tc>
              <w:tc>
                <w:tcPr>
                  <w:tcW w:w="1425" w:type="dxa"/>
                  <w:shd w:val="clear" w:color="auto" w:fill="auto"/>
                  <w:vAlign w:val="center"/>
                </w:tcPr>
                <w:p w14:paraId="7B4C1E81">
                  <w:pPr>
                    <w:pStyle w:val="36"/>
                    <w:spacing w:line="276" w:lineRule="auto"/>
                    <w:rPr>
                      <w:rFonts w:hint="eastAsia" w:ascii="Times New Roman" w:hAnsi="Times New Roman" w:eastAsia="宋体" w:cs="Times New Roman"/>
                      <w:b w:val="0"/>
                      <w:color w:val="auto"/>
                      <w:sz w:val="21"/>
                      <w:szCs w:val="21"/>
                      <w:lang w:val="en-US" w:eastAsia="zh-CN"/>
                    </w:rPr>
                  </w:pPr>
                  <w:r>
                    <w:rPr>
                      <w:rFonts w:hint="eastAsia" w:cs="Times New Roman"/>
                      <w:b w:val="0"/>
                      <w:color w:val="auto"/>
                      <w:sz w:val="21"/>
                      <w:szCs w:val="21"/>
                      <w:lang w:val="en-US" w:eastAsia="zh-CN"/>
                    </w:rPr>
                    <w:t>3.7510</w:t>
                  </w:r>
                  <w:r>
                    <w:rPr>
                      <w:rFonts w:hint="eastAsia" w:cs="Times New Roman"/>
                      <w:b w:val="0"/>
                      <w:color w:val="auto"/>
                      <w:sz w:val="21"/>
                      <w:szCs w:val="21"/>
                      <w:vertAlign w:val="superscript"/>
                      <w:lang w:val="en-US" w:eastAsia="zh-CN"/>
                    </w:rPr>
                    <w:t>-3</w:t>
                  </w:r>
                </w:p>
              </w:tc>
              <w:tc>
                <w:tcPr>
                  <w:tcW w:w="1514" w:type="dxa"/>
                  <w:shd w:val="clear" w:color="auto" w:fill="auto"/>
                  <w:vAlign w:val="center"/>
                </w:tcPr>
                <w:p w14:paraId="00D079F1">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0</w:t>
                  </w:r>
                </w:p>
              </w:tc>
              <w:tc>
                <w:tcPr>
                  <w:tcW w:w="1649" w:type="dxa"/>
                  <w:shd w:val="clear" w:color="auto" w:fill="auto"/>
                  <w:vAlign w:val="center"/>
                </w:tcPr>
                <w:p w14:paraId="5A26278C">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w:t>
                  </w:r>
                </w:p>
              </w:tc>
            </w:tr>
            <w:tr w14:paraId="12FC43D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53" w:hRule="atLeast"/>
              </w:trPr>
              <w:tc>
                <w:tcPr>
                  <w:tcW w:w="1723" w:type="dxa"/>
                  <w:vMerge w:val="continue"/>
                  <w:shd w:val="clear" w:color="auto" w:fill="auto"/>
                  <w:vAlign w:val="center"/>
                </w:tcPr>
                <w:p w14:paraId="4CB68145">
                  <w:pPr>
                    <w:pStyle w:val="34"/>
                    <w:spacing w:line="276" w:lineRule="auto"/>
                    <w:ind w:firstLine="480"/>
                    <w:rPr>
                      <w:rFonts w:hint="default" w:ascii="Times New Roman" w:hAnsi="Times New Roman" w:cs="Times New Roman"/>
                      <w:color w:val="auto"/>
                      <w:sz w:val="21"/>
                      <w:szCs w:val="21"/>
                    </w:rPr>
                  </w:pPr>
                </w:p>
              </w:tc>
              <w:tc>
                <w:tcPr>
                  <w:tcW w:w="1649" w:type="dxa"/>
                  <w:shd w:val="clear" w:color="auto" w:fill="auto"/>
                  <w:vAlign w:val="center"/>
                </w:tcPr>
                <w:p w14:paraId="1F2BC879">
                  <w:pPr>
                    <w:jc w:val="center"/>
                    <w:rPr>
                      <w:rFonts w:hint="default" w:ascii="Times New Roman" w:hAnsi="Times New Roman" w:cs="Times New Roman"/>
                      <w:b w:val="0"/>
                      <w:color w:val="auto"/>
                      <w:sz w:val="21"/>
                      <w:szCs w:val="21"/>
                      <w:lang w:val="en-US" w:eastAsia="zh-CN"/>
                    </w:rPr>
                  </w:pPr>
                  <w:r>
                    <w:rPr>
                      <w:rFonts w:hint="default" w:ascii="Times New Roman" w:hAnsi="Times New Roman" w:cs="Times New Roman" w:eastAsiaTheme="minorEastAsia"/>
                      <w:color w:val="auto"/>
                      <w:sz w:val="21"/>
                      <w:szCs w:val="21"/>
                      <w:lang w:val="en-US" w:eastAsia="zh-CN"/>
                    </w:rPr>
                    <w:t>二甲苯</w:t>
                  </w:r>
                </w:p>
              </w:tc>
              <w:tc>
                <w:tcPr>
                  <w:tcW w:w="2008" w:type="dxa"/>
                  <w:shd w:val="clear" w:color="auto" w:fill="auto"/>
                  <w:vAlign w:val="center"/>
                </w:tcPr>
                <w:p w14:paraId="2D99B7ED">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7.5×10</w:t>
                  </w:r>
                  <w:r>
                    <w:rPr>
                      <w:rFonts w:hint="default" w:ascii="Times New Roman" w:hAnsi="Times New Roman" w:cs="Times New Roman"/>
                      <w:color w:val="auto"/>
                      <w:sz w:val="21"/>
                      <w:szCs w:val="21"/>
                      <w:vertAlign w:val="superscript"/>
                      <w:lang w:val="en-US" w:eastAsia="zh-CN"/>
                    </w:rPr>
                    <w:t>-4</w:t>
                  </w:r>
                </w:p>
              </w:tc>
              <w:tc>
                <w:tcPr>
                  <w:tcW w:w="1425" w:type="dxa"/>
                  <w:shd w:val="clear" w:color="auto" w:fill="auto"/>
                  <w:vAlign w:val="center"/>
                </w:tcPr>
                <w:p w14:paraId="7F20EEAA">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lang w:val="en-US" w:eastAsia="zh-CN"/>
                    </w:rPr>
                    <w:t>3.7510</w:t>
                  </w:r>
                  <w:r>
                    <w:rPr>
                      <w:rFonts w:hint="default" w:ascii="Times New Roman" w:hAnsi="Times New Roman" w:cs="Times New Roman"/>
                      <w:b w:val="0"/>
                      <w:color w:val="auto"/>
                      <w:sz w:val="21"/>
                      <w:szCs w:val="21"/>
                      <w:vertAlign w:val="superscript"/>
                      <w:lang w:val="en-US" w:eastAsia="zh-CN"/>
                    </w:rPr>
                    <w:t>-3</w:t>
                  </w:r>
                </w:p>
              </w:tc>
              <w:tc>
                <w:tcPr>
                  <w:tcW w:w="1514" w:type="dxa"/>
                  <w:shd w:val="clear" w:color="auto" w:fill="auto"/>
                  <w:vAlign w:val="center"/>
                </w:tcPr>
                <w:p w14:paraId="4A469A61">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0</w:t>
                  </w:r>
                </w:p>
              </w:tc>
              <w:tc>
                <w:tcPr>
                  <w:tcW w:w="1649" w:type="dxa"/>
                  <w:shd w:val="clear" w:color="auto" w:fill="auto"/>
                  <w:vAlign w:val="center"/>
                </w:tcPr>
                <w:p w14:paraId="4D8B4ACD">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w:t>
                  </w:r>
                </w:p>
              </w:tc>
            </w:tr>
            <w:tr w14:paraId="702FBB1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53" w:hRule="atLeast"/>
              </w:trPr>
              <w:tc>
                <w:tcPr>
                  <w:tcW w:w="1723" w:type="dxa"/>
                  <w:vMerge w:val="continue"/>
                  <w:shd w:val="clear" w:color="auto" w:fill="auto"/>
                  <w:vAlign w:val="center"/>
                </w:tcPr>
                <w:p w14:paraId="49BC7E6A">
                  <w:pPr>
                    <w:pStyle w:val="34"/>
                    <w:spacing w:line="276" w:lineRule="auto"/>
                    <w:ind w:firstLine="480"/>
                    <w:rPr>
                      <w:rFonts w:hint="default" w:ascii="Times New Roman" w:hAnsi="Times New Roman" w:cs="Times New Roman"/>
                      <w:color w:val="auto"/>
                      <w:sz w:val="21"/>
                      <w:szCs w:val="21"/>
                    </w:rPr>
                  </w:pPr>
                </w:p>
              </w:tc>
              <w:tc>
                <w:tcPr>
                  <w:tcW w:w="1649" w:type="dxa"/>
                  <w:shd w:val="clear" w:color="auto" w:fill="auto"/>
                  <w:vAlign w:val="center"/>
                </w:tcPr>
                <w:p w14:paraId="3FD06425">
                  <w:pPr>
                    <w:jc w:val="center"/>
                    <w:rPr>
                      <w:rFonts w:hint="default" w:ascii="Times New Roman" w:hAnsi="Times New Roman" w:cs="Times New Roman"/>
                      <w:b w:val="0"/>
                      <w:color w:val="auto"/>
                      <w:sz w:val="21"/>
                      <w:szCs w:val="21"/>
                      <w:lang w:val="en-US" w:eastAsia="zh-CN"/>
                    </w:rPr>
                  </w:pPr>
                  <w:r>
                    <w:rPr>
                      <w:rFonts w:hint="eastAsia" w:cs="Times New Roman" w:eastAsiaTheme="minorEastAsia"/>
                      <w:color w:val="auto"/>
                      <w:sz w:val="21"/>
                      <w:szCs w:val="21"/>
                      <w:lang w:val="en-US" w:eastAsia="zh-CN"/>
                    </w:rPr>
                    <w:t>TVOC</w:t>
                  </w:r>
                </w:p>
              </w:tc>
              <w:tc>
                <w:tcPr>
                  <w:tcW w:w="2008" w:type="dxa"/>
                  <w:shd w:val="clear" w:color="auto" w:fill="auto"/>
                  <w:vAlign w:val="center"/>
                </w:tcPr>
                <w:p w14:paraId="4E100600">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3.09×10</w:t>
                  </w:r>
                  <w:r>
                    <w:rPr>
                      <w:rFonts w:hint="default" w:ascii="Times New Roman" w:hAnsi="Times New Roman" w:cs="Times New Roman"/>
                      <w:color w:val="auto"/>
                      <w:sz w:val="21"/>
                      <w:szCs w:val="21"/>
                      <w:vertAlign w:val="superscript"/>
                      <w:lang w:val="en-US" w:eastAsia="zh-CN"/>
                    </w:rPr>
                    <w:t>-2</w:t>
                  </w:r>
                  <w:r>
                    <w:rPr>
                      <w:rFonts w:hint="default" w:ascii="Times New Roman" w:hAnsi="Times New Roman" w:cs="Times New Roman"/>
                      <w:color w:val="auto"/>
                      <w:sz w:val="21"/>
                      <w:szCs w:val="21"/>
                      <w:lang w:val="en-US" w:eastAsia="zh-CN"/>
                    </w:rPr>
                    <w:t>~6.43×10</w:t>
                  </w:r>
                  <w:r>
                    <w:rPr>
                      <w:rFonts w:hint="default" w:ascii="Times New Roman" w:hAnsi="Times New Roman" w:cs="Times New Roman"/>
                      <w:color w:val="auto"/>
                      <w:sz w:val="21"/>
                      <w:szCs w:val="21"/>
                      <w:vertAlign w:val="superscript"/>
                      <w:lang w:val="en-US" w:eastAsia="zh-CN"/>
                    </w:rPr>
                    <w:t>-2</w:t>
                  </w:r>
                </w:p>
              </w:tc>
              <w:tc>
                <w:tcPr>
                  <w:tcW w:w="1425" w:type="dxa"/>
                  <w:shd w:val="clear" w:color="auto" w:fill="auto"/>
                  <w:vAlign w:val="center"/>
                </w:tcPr>
                <w:p w14:paraId="3C42C04E">
                  <w:pPr>
                    <w:pStyle w:val="36"/>
                    <w:spacing w:line="276" w:lineRule="auto"/>
                    <w:rPr>
                      <w:rFonts w:hint="eastAsia" w:ascii="Times New Roman" w:hAnsi="Times New Roman" w:eastAsia="宋体" w:cs="Times New Roman"/>
                      <w:b w:val="0"/>
                      <w:color w:val="auto"/>
                      <w:sz w:val="21"/>
                      <w:szCs w:val="21"/>
                      <w:lang w:val="en-US" w:eastAsia="zh-CN"/>
                    </w:rPr>
                  </w:pPr>
                  <w:r>
                    <w:rPr>
                      <w:rFonts w:hint="eastAsia" w:cs="Times New Roman"/>
                      <w:b w:val="0"/>
                      <w:color w:val="auto"/>
                      <w:sz w:val="21"/>
                      <w:szCs w:val="21"/>
                      <w:lang w:val="en-US" w:eastAsia="zh-CN"/>
                    </w:rPr>
                    <w:t>0.107</w:t>
                  </w:r>
                </w:p>
              </w:tc>
              <w:tc>
                <w:tcPr>
                  <w:tcW w:w="1514" w:type="dxa"/>
                  <w:shd w:val="clear" w:color="auto" w:fill="auto"/>
                  <w:vAlign w:val="center"/>
                </w:tcPr>
                <w:p w14:paraId="14CAECEC">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0</w:t>
                  </w:r>
                </w:p>
              </w:tc>
              <w:tc>
                <w:tcPr>
                  <w:tcW w:w="1649" w:type="dxa"/>
                  <w:shd w:val="clear" w:color="auto" w:fill="auto"/>
                  <w:vAlign w:val="center"/>
                </w:tcPr>
                <w:p w14:paraId="31F604B9">
                  <w:pPr>
                    <w:pStyle w:val="36"/>
                    <w:spacing w:line="276" w:lineRule="auto"/>
                    <w:rPr>
                      <w:rFonts w:hint="default" w:ascii="Times New Roman" w:hAnsi="Times New Roman" w:cs="Times New Roman"/>
                      <w:b w:val="0"/>
                      <w:color w:val="auto"/>
                      <w:sz w:val="21"/>
                      <w:szCs w:val="21"/>
                    </w:rPr>
                  </w:pPr>
                  <w:r>
                    <w:rPr>
                      <w:rFonts w:hint="default" w:ascii="Times New Roman" w:hAnsi="Times New Roman" w:cs="Times New Roman"/>
                      <w:b w:val="0"/>
                      <w:color w:val="auto"/>
                      <w:sz w:val="21"/>
                      <w:szCs w:val="21"/>
                    </w:rPr>
                    <w:t>/</w:t>
                  </w:r>
                </w:p>
              </w:tc>
            </w:tr>
          </w:tbl>
          <w:p w14:paraId="2FB72243">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由上表可知，项目所在区域环境空气中SO2、NO2、</w:t>
            </w:r>
            <w:r>
              <w:rPr>
                <w:rFonts w:hint="default" w:ascii="Times New Roman" w:hAnsi="Times New Roman" w:cs="Times New Roman"/>
                <w:color w:val="auto"/>
                <w:sz w:val="24"/>
                <w:szCs w:val="24"/>
                <w:lang w:val="en-US" w:eastAsia="zh-CN"/>
              </w:rPr>
              <w:t>PM10、甲苯、二甲苯、TVOC</w:t>
            </w:r>
            <w:r>
              <w:rPr>
                <w:rFonts w:hint="default" w:ascii="Times New Roman" w:hAnsi="Times New Roman" w:cs="Times New Roman"/>
                <w:color w:val="auto"/>
                <w:sz w:val="24"/>
                <w:szCs w:val="24"/>
              </w:rPr>
              <w:t>标准指数均小于1.0，超标率为0，可以达到《环境空气质量标准》（GB3095-2012）二级标准</w:t>
            </w:r>
            <w:r>
              <w:rPr>
                <w:rFonts w:hint="eastAsia" w:cs="Times New Roman"/>
                <w:color w:val="auto"/>
                <w:sz w:val="24"/>
                <w:szCs w:val="24"/>
                <w:lang w:val="en-US" w:eastAsia="zh-CN"/>
              </w:rPr>
              <w:t>以及《室内空气质量标准》（GB-T18883-2002）</w:t>
            </w:r>
            <w:r>
              <w:rPr>
                <w:rFonts w:hint="default" w:ascii="Times New Roman" w:hAnsi="Times New Roman" w:cs="Times New Roman"/>
                <w:color w:val="auto"/>
                <w:sz w:val="24"/>
                <w:szCs w:val="24"/>
              </w:rPr>
              <w:t>。因此，项目所在地环境空气质量良好。</w:t>
            </w:r>
          </w:p>
          <w:p w14:paraId="072E1465">
            <w:pPr>
              <w:spacing w:line="360" w:lineRule="auto"/>
              <w:rPr>
                <w:rFonts w:hint="default" w:ascii="Times New Roman" w:hAnsi="Times New Roman" w:eastAsia="黑体" w:cs="Times New Roman"/>
                <w:color w:val="auto"/>
                <w:sz w:val="28"/>
                <w:szCs w:val="28"/>
              </w:rPr>
            </w:pPr>
            <w:r>
              <w:rPr>
                <w:rFonts w:hint="default" w:ascii="Times New Roman" w:hAnsi="Times New Roman" w:eastAsia="黑体" w:cs="Times New Roman"/>
                <w:color w:val="auto"/>
                <w:sz w:val="28"/>
                <w:szCs w:val="28"/>
              </w:rPr>
              <w:t>二、地表水环境质量现状评价</w:t>
            </w:r>
          </w:p>
          <w:p w14:paraId="32702833">
            <w:pPr>
              <w:spacing w:line="360" w:lineRule="auto"/>
              <w:ind w:firstLine="480"/>
              <w:rPr>
                <w:rFonts w:hint="default" w:ascii="Times New Roman" w:hAnsi="Times New Roman" w:cs="Times New Roman"/>
                <w:color w:val="auto"/>
                <w:szCs w:val="28"/>
              </w:rPr>
            </w:pPr>
            <w:r>
              <w:rPr>
                <w:rFonts w:hint="default" w:ascii="Times New Roman" w:hAnsi="Times New Roman" w:cs="Times New Roman"/>
                <w:bCs/>
                <w:color w:val="auto"/>
                <w:sz w:val="24"/>
                <w:szCs w:val="24"/>
              </w:rPr>
              <w:t xml:space="preserve">为了解项目所在区域地表水环境质量现状, </w:t>
            </w:r>
            <w:r>
              <w:rPr>
                <w:rFonts w:hint="default" w:ascii="Times New Roman" w:hAnsi="Times New Roman" w:cs="Times New Roman"/>
                <w:bCs/>
                <w:color w:val="auto"/>
                <w:sz w:val="24"/>
                <w:szCs w:val="24"/>
                <w:lang w:eastAsia="zh-CN"/>
              </w:rPr>
              <w:t>本次评价</w:t>
            </w:r>
            <w:r>
              <w:rPr>
                <w:rFonts w:hint="default" w:ascii="Times New Roman" w:hAnsi="Times New Roman" w:cs="Times New Roman"/>
                <w:bCs/>
                <w:color w:val="auto"/>
                <w:sz w:val="24"/>
                <w:szCs w:val="24"/>
              </w:rPr>
              <w:t>引用</w:t>
            </w:r>
            <w:r>
              <w:rPr>
                <w:rFonts w:hint="default" w:ascii="Times New Roman" w:hAnsi="Times New Roman" w:cs="Times New Roman"/>
                <w:bCs/>
                <w:color w:val="auto"/>
                <w:sz w:val="24"/>
                <w:szCs w:val="24"/>
                <w:lang w:eastAsia="zh-CN"/>
              </w:rPr>
              <w:t>四川衡测检测技术股份有限公司于</w:t>
            </w:r>
            <w:r>
              <w:rPr>
                <w:rFonts w:hint="default" w:ascii="Times New Roman" w:hAnsi="Times New Roman" w:cs="Times New Roman"/>
                <w:bCs/>
                <w:color w:val="auto"/>
                <w:sz w:val="24"/>
                <w:szCs w:val="24"/>
              </w:rPr>
              <w:t>201</w:t>
            </w:r>
            <w:r>
              <w:rPr>
                <w:rFonts w:hint="default" w:ascii="Times New Roman" w:hAnsi="Times New Roman" w:cs="Times New Roman"/>
                <w:bCs/>
                <w:color w:val="auto"/>
                <w:sz w:val="24"/>
                <w:szCs w:val="24"/>
                <w:lang w:val="en-US" w:eastAsia="zh-CN"/>
              </w:rPr>
              <w:t>7</w:t>
            </w:r>
            <w:r>
              <w:rPr>
                <w:rFonts w:hint="default" w:ascii="Times New Roman" w:hAnsi="Times New Roman" w:cs="Times New Roman"/>
                <w:bCs/>
                <w:color w:val="auto"/>
                <w:sz w:val="24"/>
                <w:szCs w:val="24"/>
              </w:rPr>
              <w:t>年</w:t>
            </w:r>
            <w:r>
              <w:rPr>
                <w:rFonts w:hint="default" w:ascii="Times New Roman" w:hAnsi="Times New Roman" w:cs="Times New Roman"/>
                <w:bCs/>
                <w:color w:val="auto"/>
                <w:sz w:val="24"/>
                <w:szCs w:val="24"/>
                <w:lang w:val="en-US" w:eastAsia="zh-CN"/>
              </w:rPr>
              <w:t>4</w:t>
            </w:r>
            <w:r>
              <w:rPr>
                <w:rFonts w:hint="default" w:ascii="Times New Roman" w:hAnsi="Times New Roman" w:cs="Times New Roman"/>
                <w:bCs/>
                <w:color w:val="auto"/>
                <w:sz w:val="24"/>
                <w:szCs w:val="24"/>
              </w:rPr>
              <w:t>月</w:t>
            </w:r>
            <w:r>
              <w:rPr>
                <w:rFonts w:hint="default" w:ascii="Times New Roman" w:hAnsi="Times New Roman" w:cs="Times New Roman"/>
                <w:bCs/>
                <w:color w:val="auto"/>
                <w:sz w:val="24"/>
                <w:szCs w:val="24"/>
                <w:lang w:val="en-US" w:eastAsia="zh-CN"/>
              </w:rPr>
              <w:t>11</w:t>
            </w:r>
            <w:r>
              <w:rPr>
                <w:rFonts w:hint="default" w:ascii="Times New Roman" w:hAnsi="Times New Roman" w:cs="Times New Roman"/>
                <w:bCs/>
                <w:color w:val="auto"/>
                <w:sz w:val="24"/>
                <w:szCs w:val="24"/>
              </w:rPr>
              <w:t>日至</w:t>
            </w:r>
            <w:r>
              <w:rPr>
                <w:rFonts w:hint="default" w:ascii="Times New Roman" w:hAnsi="Times New Roman" w:cs="Times New Roman"/>
                <w:bCs/>
                <w:color w:val="auto"/>
                <w:sz w:val="24"/>
                <w:szCs w:val="24"/>
                <w:lang w:val="en-US" w:eastAsia="zh-CN"/>
              </w:rPr>
              <w:t>13</w:t>
            </w:r>
            <w:r>
              <w:rPr>
                <w:rFonts w:hint="default" w:ascii="Times New Roman" w:hAnsi="Times New Roman" w:cs="Times New Roman"/>
                <w:bCs/>
                <w:color w:val="auto"/>
                <w:sz w:val="24"/>
                <w:szCs w:val="24"/>
              </w:rPr>
              <w:t>日对遂宁市安居区四川亿豪机械制造有限公司汽车零配件涂装生产线项目的监测数据；</w:t>
            </w:r>
            <w:r>
              <w:rPr>
                <w:rFonts w:hint="default" w:ascii="Times New Roman" w:hAnsi="Times New Roman" w:cs="Times New Roman"/>
                <w:color w:val="auto"/>
                <w:sz w:val="24"/>
                <w:szCs w:val="24"/>
              </w:rPr>
              <w:t>引用的地表水监测点位为该项目所在地</w:t>
            </w:r>
            <w:r>
              <w:rPr>
                <w:rFonts w:hint="default" w:ascii="Times New Roman" w:hAnsi="Times New Roman" w:cs="Times New Roman"/>
                <w:color w:val="auto"/>
                <w:sz w:val="24"/>
                <w:szCs w:val="24"/>
                <w:lang w:eastAsia="zh-CN"/>
              </w:rPr>
              <w:t>污水处理厂排口</w:t>
            </w:r>
            <w:r>
              <w:rPr>
                <w:rFonts w:hint="default" w:ascii="Times New Roman" w:hAnsi="Times New Roman" w:cs="Times New Roman"/>
                <w:color w:val="auto"/>
                <w:sz w:val="24"/>
                <w:szCs w:val="24"/>
              </w:rPr>
              <w:t>上游500m、</w:t>
            </w:r>
            <w:r>
              <w:rPr>
                <w:rFonts w:hint="default" w:ascii="Times New Roman" w:hAnsi="Times New Roman" w:cs="Times New Roman"/>
                <w:color w:val="auto"/>
                <w:sz w:val="24"/>
                <w:szCs w:val="24"/>
                <w:lang w:eastAsia="zh-CN"/>
              </w:rPr>
              <w:t>污水处理厂排口</w:t>
            </w:r>
            <w:r>
              <w:rPr>
                <w:rFonts w:hint="default" w:ascii="Times New Roman" w:hAnsi="Times New Roman" w:cs="Times New Roman"/>
                <w:color w:val="auto"/>
                <w:sz w:val="24"/>
                <w:szCs w:val="24"/>
              </w:rPr>
              <w:t>下游1000m；本项目距离该项目监测断面最近约1</w:t>
            </w:r>
            <w:r>
              <w:rPr>
                <w:rFonts w:hint="eastAsia" w:cs="Times New Roman"/>
                <w:color w:val="auto"/>
                <w:sz w:val="24"/>
                <w:szCs w:val="24"/>
                <w:lang w:val="en-US" w:eastAsia="zh-CN"/>
              </w:rPr>
              <w:t>3</w:t>
            </w:r>
            <w:r>
              <w:rPr>
                <w:rFonts w:hint="default" w:ascii="Times New Roman" w:hAnsi="Times New Roman" w:cs="Times New Roman"/>
                <w:color w:val="auto"/>
                <w:sz w:val="24"/>
                <w:szCs w:val="24"/>
              </w:rPr>
              <w:t>00m，在这段时间内，该区域内未发生重大变化，未引入大型的污染工业</w:t>
            </w:r>
            <w:r>
              <w:rPr>
                <w:rFonts w:hint="default" w:ascii="Times New Roman" w:hAnsi="Times New Roman" w:cs="Times New Roman"/>
                <w:color w:val="auto"/>
                <w:sz w:val="24"/>
                <w:szCs w:val="24"/>
                <w:lang w:eastAsia="zh-CN"/>
              </w:rPr>
              <w:t>，</w:t>
            </w:r>
            <w:r>
              <w:rPr>
                <w:rFonts w:hint="default" w:ascii="Times New Roman" w:hAnsi="Times New Roman" w:cs="Times New Roman"/>
                <w:color w:val="auto"/>
                <w:sz w:val="24"/>
                <w:szCs w:val="24"/>
              </w:rPr>
              <w:t>水环境基本未发生变化，具有一定的时效性和代表性</w:t>
            </w:r>
            <w:r>
              <w:rPr>
                <w:rFonts w:hint="default" w:ascii="Times New Roman" w:hAnsi="Times New Roman" w:cs="Times New Roman"/>
                <w:bCs/>
                <w:color w:val="auto"/>
                <w:sz w:val="24"/>
                <w:szCs w:val="24"/>
              </w:rPr>
              <w:t>。</w:t>
            </w:r>
            <w:r>
              <w:rPr>
                <w:rFonts w:hint="default" w:ascii="Times New Roman" w:hAnsi="Times New Roman" w:cs="Times New Roman"/>
                <w:color w:val="auto"/>
                <w:sz w:val="24"/>
                <w:szCs w:val="24"/>
              </w:rPr>
              <w:t>利用该断面的监测数据来反映项目所在区域琼江水质状况</w:t>
            </w:r>
            <w:r>
              <w:rPr>
                <w:rFonts w:hint="default" w:ascii="Times New Roman" w:hAnsi="Times New Roman" w:cs="Times New Roman"/>
                <w:color w:val="auto"/>
                <w:sz w:val="24"/>
                <w:szCs w:val="24"/>
                <w:lang w:eastAsia="zh-CN"/>
              </w:rPr>
              <w:t>，</w:t>
            </w:r>
            <w:r>
              <w:rPr>
                <w:rFonts w:hint="default" w:ascii="Times New Roman" w:hAnsi="Times New Roman" w:cs="Times New Roman"/>
                <w:color w:val="auto"/>
                <w:sz w:val="24"/>
                <w:szCs w:val="24"/>
              </w:rPr>
              <w:t>监测结果见表3-</w:t>
            </w:r>
            <w:r>
              <w:rPr>
                <w:rFonts w:hint="default" w:ascii="Times New Roman" w:hAnsi="Times New Roman" w:cs="Times New Roman"/>
                <w:color w:val="auto"/>
                <w:sz w:val="24"/>
                <w:szCs w:val="24"/>
                <w:lang w:val="en-US" w:eastAsia="zh-CN"/>
              </w:rPr>
              <w:t>4</w:t>
            </w:r>
            <w:r>
              <w:rPr>
                <w:rFonts w:hint="default" w:ascii="Times New Roman" w:hAnsi="Times New Roman" w:cs="Times New Roman"/>
                <w:color w:val="auto"/>
                <w:sz w:val="24"/>
                <w:szCs w:val="24"/>
              </w:rPr>
              <w:t>。</w:t>
            </w:r>
          </w:p>
          <w:p w14:paraId="1F8A9D9F">
            <w:pPr>
              <w:spacing w:line="460" w:lineRule="exact"/>
              <w:ind w:firstLine="480" w:firstLineChars="200"/>
              <w:rPr>
                <w:rFonts w:hint="default" w:ascii="Times New Roman" w:hAnsi="Times New Roman" w:eastAsia="黑体" w:cs="Times New Roman"/>
                <w:color w:val="auto"/>
                <w:sz w:val="24"/>
              </w:rPr>
            </w:pPr>
            <w:r>
              <w:rPr>
                <w:rFonts w:hint="default" w:ascii="Times New Roman" w:hAnsi="Times New Roman" w:eastAsia="黑体" w:cs="Times New Roman"/>
                <w:color w:val="auto"/>
                <w:sz w:val="24"/>
                <w:lang w:val="en-US" w:eastAsia="zh-CN"/>
              </w:rPr>
              <w:t>1、</w:t>
            </w:r>
            <w:r>
              <w:rPr>
                <w:rFonts w:hint="default" w:ascii="Times New Roman" w:hAnsi="Times New Roman" w:eastAsia="黑体" w:cs="Times New Roman"/>
                <w:color w:val="auto"/>
                <w:sz w:val="24"/>
              </w:rPr>
              <w:t>监测断面</w:t>
            </w:r>
          </w:p>
          <w:p w14:paraId="52AE5440">
            <w:pPr>
              <w:pStyle w:val="53"/>
              <w:rPr>
                <w:rFonts w:hint="default" w:ascii="Times New Roman" w:hAnsi="Times New Roman" w:cs="Times New Roman"/>
                <w:color w:val="auto"/>
                <w:shd w:val="clear" w:color="auto" w:fill="CCFFCC"/>
              </w:rPr>
            </w:pPr>
            <w:r>
              <w:rPr>
                <w:rFonts w:hint="default" w:ascii="Times New Roman" w:hAnsi="Times New Roman" w:cs="Times New Roman"/>
                <w:color w:val="auto"/>
              </w:rPr>
              <w:t>在本区域附近共设置2个监测断面，地表水采样断面见表</w:t>
            </w:r>
            <w:r>
              <w:rPr>
                <w:rFonts w:hint="default" w:ascii="Times New Roman" w:hAnsi="Times New Roman" w:cs="Times New Roman"/>
                <w:color w:val="auto"/>
                <w:lang w:val="en-US" w:eastAsia="zh-CN"/>
              </w:rPr>
              <w:t>3</w:t>
            </w:r>
            <w:r>
              <w:rPr>
                <w:rFonts w:hint="default" w:ascii="Times New Roman" w:hAnsi="Times New Roman" w:cs="Times New Roman"/>
                <w:color w:val="auto"/>
              </w:rPr>
              <w:t>-4。</w:t>
            </w:r>
          </w:p>
          <w:p w14:paraId="5254C21E">
            <w:pPr>
              <w:spacing w:before="156" w:beforeLines="50"/>
              <w:jc w:val="center"/>
              <w:rPr>
                <w:rFonts w:hint="default" w:ascii="Times New Roman" w:hAnsi="Times New Roman" w:cs="Times New Roman" w:eastAsiaTheme="minorEastAsia"/>
                <w:b/>
                <w:bCs/>
                <w:color w:val="auto"/>
                <w:sz w:val="21"/>
                <w:szCs w:val="21"/>
              </w:rPr>
            </w:pPr>
            <w:r>
              <w:rPr>
                <w:rFonts w:hint="default" w:ascii="Times New Roman" w:hAnsi="Times New Roman" w:cs="Times New Roman" w:eastAsiaTheme="minorEastAsia"/>
                <w:b/>
                <w:bCs/>
                <w:color w:val="auto"/>
                <w:sz w:val="21"/>
                <w:szCs w:val="21"/>
              </w:rPr>
              <w:t>表</w:t>
            </w:r>
            <w:r>
              <w:rPr>
                <w:rFonts w:hint="default" w:ascii="Times New Roman" w:hAnsi="Times New Roman" w:cs="Times New Roman" w:eastAsiaTheme="minorEastAsia"/>
                <w:b/>
                <w:bCs/>
                <w:color w:val="auto"/>
                <w:sz w:val="21"/>
                <w:szCs w:val="21"/>
                <w:lang w:val="en-US" w:eastAsia="zh-CN"/>
              </w:rPr>
              <w:t>3</w:t>
            </w:r>
            <w:r>
              <w:rPr>
                <w:rFonts w:hint="default" w:ascii="Times New Roman" w:hAnsi="Times New Roman" w:cs="Times New Roman" w:eastAsiaTheme="minorEastAsia"/>
                <w:b/>
                <w:bCs/>
                <w:color w:val="auto"/>
                <w:sz w:val="21"/>
                <w:szCs w:val="21"/>
              </w:rPr>
              <w:t>-4  地表水环境质量现状监测点布设情况表</w:t>
            </w:r>
          </w:p>
          <w:tbl>
            <w:tblPr>
              <w:tblStyle w:val="23"/>
              <w:tblW w:w="8522" w:type="dxa"/>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1038"/>
              <w:gridCol w:w="1800"/>
              <w:gridCol w:w="5684"/>
            </w:tblGrid>
            <w:tr w14:paraId="34AF56CC">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0" w:hRule="atLeast"/>
                <w:tblHeader/>
                <w:jc w:val="center"/>
              </w:trPr>
              <w:tc>
                <w:tcPr>
                  <w:tcW w:w="1038" w:type="dxa"/>
                  <w:shd w:val="clear" w:color="auto" w:fill="auto"/>
                  <w:vAlign w:val="center"/>
                </w:tcPr>
                <w:p w14:paraId="48C0CE28">
                  <w:pPr>
                    <w:jc w:val="center"/>
                    <w:rPr>
                      <w:rFonts w:hint="default" w:ascii="Times New Roman" w:hAnsi="Times New Roman" w:cs="Times New Roman"/>
                      <w:b/>
                      <w:color w:val="auto"/>
                      <w:sz w:val="21"/>
                      <w:szCs w:val="21"/>
                    </w:rPr>
                  </w:pPr>
                  <w:r>
                    <w:rPr>
                      <w:rFonts w:hint="default" w:ascii="Times New Roman" w:hAnsi="Times New Roman" w:cs="Times New Roman"/>
                      <w:b/>
                      <w:color w:val="auto"/>
                      <w:sz w:val="21"/>
                      <w:szCs w:val="21"/>
                    </w:rPr>
                    <w:t>序号</w:t>
                  </w:r>
                </w:p>
              </w:tc>
              <w:tc>
                <w:tcPr>
                  <w:tcW w:w="1800" w:type="dxa"/>
                  <w:shd w:val="clear" w:color="auto" w:fill="auto"/>
                  <w:vAlign w:val="center"/>
                </w:tcPr>
                <w:p w14:paraId="5C477ED1">
                  <w:pPr>
                    <w:jc w:val="center"/>
                    <w:rPr>
                      <w:rFonts w:hint="default" w:ascii="Times New Roman" w:hAnsi="Times New Roman" w:cs="Times New Roman"/>
                      <w:b/>
                      <w:color w:val="auto"/>
                      <w:sz w:val="21"/>
                      <w:szCs w:val="21"/>
                    </w:rPr>
                  </w:pPr>
                  <w:r>
                    <w:rPr>
                      <w:rFonts w:hint="default" w:ascii="Times New Roman" w:hAnsi="Times New Roman" w:cs="Times New Roman"/>
                      <w:b/>
                      <w:color w:val="auto"/>
                      <w:sz w:val="21"/>
                      <w:szCs w:val="21"/>
                    </w:rPr>
                    <w:t>河流名称</w:t>
                  </w:r>
                </w:p>
              </w:tc>
              <w:tc>
                <w:tcPr>
                  <w:tcW w:w="5684" w:type="dxa"/>
                  <w:shd w:val="clear" w:color="auto" w:fill="auto"/>
                  <w:vAlign w:val="center"/>
                </w:tcPr>
                <w:p w14:paraId="531C1B5A">
                  <w:pPr>
                    <w:jc w:val="center"/>
                    <w:rPr>
                      <w:rFonts w:hint="default" w:ascii="Times New Roman" w:hAnsi="Times New Roman" w:cs="Times New Roman"/>
                      <w:b/>
                      <w:color w:val="auto"/>
                      <w:sz w:val="21"/>
                      <w:szCs w:val="21"/>
                    </w:rPr>
                  </w:pPr>
                  <w:r>
                    <w:rPr>
                      <w:rFonts w:hint="default" w:ascii="Times New Roman" w:hAnsi="Times New Roman" w:cs="Times New Roman"/>
                      <w:b/>
                      <w:color w:val="auto"/>
                      <w:sz w:val="21"/>
                      <w:szCs w:val="21"/>
                    </w:rPr>
                    <w:t>断面位置</w:t>
                  </w:r>
                </w:p>
              </w:tc>
            </w:tr>
            <w:tr w14:paraId="5E42F440">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1038" w:type="dxa"/>
                  <w:shd w:val="clear" w:color="auto" w:fill="auto"/>
                  <w:vAlign w:val="center"/>
                </w:tcPr>
                <w:p w14:paraId="148D644B">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w:t>
                  </w:r>
                </w:p>
              </w:tc>
              <w:tc>
                <w:tcPr>
                  <w:tcW w:w="1800" w:type="dxa"/>
                  <w:vMerge w:val="restart"/>
                  <w:shd w:val="clear" w:color="auto" w:fill="auto"/>
                  <w:vAlign w:val="center"/>
                </w:tcPr>
                <w:p w14:paraId="7BD3FCBE">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琼江河</w:t>
                  </w:r>
                </w:p>
              </w:tc>
              <w:tc>
                <w:tcPr>
                  <w:tcW w:w="5684" w:type="dxa"/>
                  <w:shd w:val="clear" w:color="auto" w:fill="auto"/>
                  <w:vAlign w:val="center"/>
                </w:tcPr>
                <w:p w14:paraId="380B4455">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污水处理站排放口上游500m</w:t>
                  </w:r>
                </w:p>
              </w:tc>
            </w:tr>
            <w:tr w14:paraId="7F13E59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1038" w:type="dxa"/>
                  <w:shd w:val="clear" w:color="auto" w:fill="auto"/>
                  <w:vAlign w:val="center"/>
                </w:tcPr>
                <w:p w14:paraId="26D4774D">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2</w:t>
                  </w:r>
                </w:p>
              </w:tc>
              <w:tc>
                <w:tcPr>
                  <w:tcW w:w="1800" w:type="dxa"/>
                  <w:vMerge w:val="continue"/>
                  <w:shd w:val="clear" w:color="auto" w:fill="auto"/>
                  <w:vAlign w:val="center"/>
                </w:tcPr>
                <w:p w14:paraId="7A6E3633">
                  <w:pPr>
                    <w:jc w:val="center"/>
                    <w:rPr>
                      <w:rFonts w:hint="default" w:ascii="Times New Roman" w:hAnsi="Times New Roman" w:cs="Times New Roman"/>
                      <w:color w:val="auto"/>
                      <w:sz w:val="21"/>
                      <w:szCs w:val="21"/>
                    </w:rPr>
                  </w:pPr>
                </w:p>
              </w:tc>
              <w:tc>
                <w:tcPr>
                  <w:tcW w:w="5684" w:type="dxa"/>
                  <w:shd w:val="clear" w:color="auto" w:fill="auto"/>
                  <w:vAlign w:val="center"/>
                </w:tcPr>
                <w:p w14:paraId="36652620">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污水处理站排放口下游1000m</w:t>
                  </w:r>
                </w:p>
              </w:tc>
            </w:tr>
          </w:tbl>
          <w:p w14:paraId="63A22100">
            <w:pPr>
              <w:spacing w:line="460" w:lineRule="exact"/>
              <w:ind w:firstLine="480" w:firstLineChars="200"/>
              <w:rPr>
                <w:rFonts w:hint="default" w:ascii="Times New Roman" w:hAnsi="Times New Roman" w:cs="Times New Roman" w:eastAsiaTheme="minorEastAsia"/>
                <w:color w:val="auto"/>
                <w:sz w:val="24"/>
              </w:rPr>
            </w:pPr>
            <w:r>
              <w:rPr>
                <w:rFonts w:hint="default" w:ascii="Times New Roman" w:hAnsi="Times New Roman" w:cs="Times New Roman" w:eastAsiaTheme="minorEastAsia"/>
                <w:color w:val="auto"/>
                <w:sz w:val="24"/>
                <w:lang w:val="en-US" w:eastAsia="zh-CN"/>
              </w:rPr>
              <w:t>2、</w:t>
            </w:r>
            <w:r>
              <w:rPr>
                <w:rFonts w:hint="default" w:ascii="Times New Roman" w:hAnsi="Times New Roman" w:cs="Times New Roman" w:eastAsiaTheme="minorEastAsia"/>
                <w:color w:val="auto"/>
                <w:sz w:val="24"/>
              </w:rPr>
              <w:t>监测项目</w:t>
            </w:r>
          </w:p>
          <w:p w14:paraId="01C56692">
            <w:pPr>
              <w:spacing w:line="460" w:lineRule="exact"/>
              <w:ind w:firstLine="482"/>
              <w:rPr>
                <w:rFonts w:hint="default" w:ascii="Times New Roman" w:hAnsi="Times New Roman" w:cs="Times New Roman" w:eastAsiaTheme="minorEastAsia"/>
                <w:color w:val="auto"/>
                <w:sz w:val="24"/>
              </w:rPr>
            </w:pPr>
            <w:r>
              <w:rPr>
                <w:rFonts w:hint="default" w:ascii="Times New Roman" w:hAnsi="Times New Roman" w:cs="Times New Roman" w:eastAsiaTheme="minorEastAsia"/>
                <w:color w:val="auto"/>
                <w:sz w:val="24"/>
              </w:rPr>
              <w:t>pH、COD、BOD、NH</w:t>
            </w:r>
            <w:r>
              <w:rPr>
                <w:rFonts w:hint="default" w:ascii="Times New Roman" w:hAnsi="Times New Roman" w:cs="Times New Roman" w:eastAsiaTheme="minorEastAsia"/>
                <w:color w:val="auto"/>
                <w:sz w:val="24"/>
                <w:vertAlign w:val="subscript"/>
              </w:rPr>
              <w:t>3</w:t>
            </w:r>
            <w:r>
              <w:rPr>
                <w:rFonts w:hint="default" w:ascii="Times New Roman" w:hAnsi="Times New Roman" w:cs="Times New Roman" w:eastAsiaTheme="minorEastAsia"/>
                <w:color w:val="auto"/>
                <w:sz w:val="24"/>
              </w:rPr>
              <w:t>-N、石油类、粪大肠菌群等6项。</w:t>
            </w:r>
          </w:p>
          <w:p w14:paraId="0E6E4B6A">
            <w:pPr>
              <w:spacing w:line="460" w:lineRule="exact"/>
              <w:ind w:firstLine="482"/>
              <w:rPr>
                <w:rFonts w:hint="default" w:ascii="Times New Roman" w:hAnsi="Times New Roman" w:cs="Times New Roman" w:eastAsiaTheme="minorEastAsia"/>
                <w:color w:val="auto"/>
                <w:sz w:val="24"/>
              </w:rPr>
            </w:pPr>
            <w:r>
              <w:rPr>
                <w:rFonts w:hint="default" w:ascii="Times New Roman" w:hAnsi="Times New Roman" w:cs="Times New Roman" w:eastAsiaTheme="minorEastAsia"/>
                <w:color w:val="auto"/>
                <w:sz w:val="24"/>
                <w:lang w:val="en-US" w:eastAsia="zh-CN"/>
              </w:rPr>
              <w:t>3、</w:t>
            </w:r>
            <w:r>
              <w:rPr>
                <w:rFonts w:hint="default" w:ascii="Times New Roman" w:hAnsi="Times New Roman" w:cs="Times New Roman" w:eastAsiaTheme="minorEastAsia"/>
                <w:color w:val="auto"/>
                <w:sz w:val="24"/>
              </w:rPr>
              <w:t>监测时间及频率</w:t>
            </w:r>
          </w:p>
          <w:p w14:paraId="1403597A">
            <w:pPr>
              <w:spacing w:line="460" w:lineRule="exact"/>
              <w:ind w:firstLine="482"/>
              <w:rPr>
                <w:rFonts w:hint="default" w:ascii="Times New Roman" w:hAnsi="Times New Roman" w:cs="Times New Roman" w:eastAsiaTheme="minorEastAsia"/>
                <w:color w:val="auto"/>
                <w:sz w:val="24"/>
              </w:rPr>
            </w:pPr>
            <w:r>
              <w:rPr>
                <w:rFonts w:hint="default" w:ascii="Times New Roman" w:hAnsi="Times New Roman" w:cs="Times New Roman" w:eastAsiaTheme="minorEastAsia"/>
                <w:color w:val="auto"/>
                <w:sz w:val="24"/>
              </w:rPr>
              <w:t>2017年4月11日~13日连续三天，每天一次取样。</w:t>
            </w:r>
          </w:p>
          <w:p w14:paraId="271F6145">
            <w:pPr>
              <w:spacing w:line="460" w:lineRule="exact"/>
              <w:ind w:firstLine="482"/>
              <w:rPr>
                <w:rFonts w:hint="default" w:ascii="Times New Roman" w:hAnsi="Times New Roman" w:cs="Times New Roman" w:eastAsiaTheme="minorEastAsia"/>
                <w:color w:val="auto"/>
                <w:sz w:val="24"/>
              </w:rPr>
            </w:pPr>
            <w:r>
              <w:rPr>
                <w:rFonts w:hint="default" w:ascii="Times New Roman" w:hAnsi="Times New Roman" w:cs="Times New Roman" w:eastAsiaTheme="minorEastAsia"/>
                <w:color w:val="auto"/>
                <w:sz w:val="24"/>
                <w:lang w:val="en-US" w:eastAsia="zh-CN"/>
              </w:rPr>
              <w:t>4、</w:t>
            </w:r>
            <w:r>
              <w:rPr>
                <w:rFonts w:hint="default" w:ascii="Times New Roman" w:hAnsi="Times New Roman" w:cs="Times New Roman" w:eastAsiaTheme="minorEastAsia"/>
                <w:color w:val="auto"/>
                <w:sz w:val="24"/>
              </w:rPr>
              <w:t>采样及分析方法</w:t>
            </w:r>
          </w:p>
          <w:p w14:paraId="6FD1968B">
            <w:pPr>
              <w:spacing w:line="460" w:lineRule="exact"/>
              <w:ind w:firstLine="482"/>
              <w:rPr>
                <w:rFonts w:hint="default" w:ascii="Times New Roman" w:hAnsi="Times New Roman" w:cs="Times New Roman" w:eastAsiaTheme="minorEastAsia"/>
                <w:color w:val="auto"/>
                <w:kern w:val="0"/>
                <w:sz w:val="24"/>
              </w:rPr>
            </w:pPr>
            <w:r>
              <w:rPr>
                <w:rFonts w:hint="default" w:ascii="Times New Roman" w:hAnsi="Times New Roman" w:cs="Times New Roman" w:eastAsiaTheme="minorEastAsia"/>
                <w:color w:val="auto"/>
                <w:kern w:val="0"/>
                <w:sz w:val="24"/>
              </w:rPr>
              <w:t>采样方法按</w:t>
            </w:r>
            <w:r>
              <w:rPr>
                <w:rFonts w:hint="default" w:ascii="Times New Roman" w:hAnsi="Times New Roman" w:cs="Times New Roman" w:eastAsiaTheme="minorEastAsia"/>
                <w:color w:val="auto"/>
                <w:sz w:val="24"/>
              </w:rPr>
              <w:t>国家有关规范执行，</w:t>
            </w:r>
            <w:r>
              <w:rPr>
                <w:rFonts w:hint="default" w:ascii="Times New Roman" w:hAnsi="Times New Roman" w:cs="Times New Roman" w:eastAsiaTheme="minorEastAsia"/>
                <w:color w:val="auto"/>
                <w:kern w:val="0"/>
                <w:sz w:val="24"/>
              </w:rPr>
              <w:t>监测分析方法按《地表水环境质量标准》（GB 3838-2002）中规定的检测分析方法进行。</w:t>
            </w:r>
          </w:p>
          <w:p w14:paraId="73DFB88B">
            <w:pPr>
              <w:spacing w:line="460" w:lineRule="exact"/>
              <w:ind w:firstLine="482"/>
              <w:rPr>
                <w:rFonts w:hint="default" w:ascii="Times New Roman" w:hAnsi="Times New Roman" w:cs="Times New Roman" w:eastAsiaTheme="minorEastAsia"/>
                <w:color w:val="auto"/>
                <w:sz w:val="24"/>
              </w:rPr>
            </w:pPr>
            <w:r>
              <w:rPr>
                <w:rFonts w:hint="default" w:ascii="Times New Roman" w:hAnsi="Times New Roman" w:cs="Times New Roman" w:eastAsiaTheme="minorEastAsia"/>
                <w:color w:val="auto"/>
                <w:sz w:val="24"/>
                <w:lang w:val="en-US" w:eastAsia="zh-CN"/>
              </w:rPr>
              <w:t>5、</w:t>
            </w:r>
            <w:r>
              <w:rPr>
                <w:rFonts w:hint="default" w:ascii="Times New Roman" w:hAnsi="Times New Roman" w:cs="Times New Roman" w:eastAsiaTheme="minorEastAsia"/>
                <w:color w:val="auto"/>
                <w:sz w:val="24"/>
              </w:rPr>
              <w:t>评价方法及标准</w:t>
            </w:r>
          </w:p>
          <w:p w14:paraId="3A2553BD">
            <w:pPr>
              <w:spacing w:line="460" w:lineRule="exact"/>
              <w:ind w:firstLine="482"/>
              <w:rPr>
                <w:rFonts w:hint="default" w:ascii="Times New Roman" w:hAnsi="Times New Roman" w:cs="Times New Roman" w:eastAsiaTheme="minorEastAsia"/>
                <w:color w:val="auto"/>
                <w:kern w:val="0"/>
                <w:sz w:val="24"/>
              </w:rPr>
            </w:pPr>
            <w:r>
              <w:rPr>
                <w:rFonts w:hint="default" w:ascii="Times New Roman" w:hAnsi="Times New Roman" w:cs="Times New Roman" w:eastAsiaTheme="minorEastAsia"/>
                <w:color w:val="auto"/>
                <w:kern w:val="0"/>
                <w:sz w:val="24"/>
              </w:rPr>
              <w:t>为直观反映水质现状，科学评价水体中污染物是否超标，采用单项质量指数法进行评价。</w:t>
            </w:r>
          </w:p>
          <w:p w14:paraId="2A5A6634">
            <w:pPr>
              <w:spacing w:line="460" w:lineRule="exact"/>
              <w:ind w:firstLine="482"/>
              <w:rPr>
                <w:rFonts w:hint="default" w:ascii="Times New Roman" w:hAnsi="Times New Roman" w:cs="Times New Roman" w:eastAsiaTheme="minorEastAsia"/>
                <w:color w:val="auto"/>
                <w:kern w:val="0"/>
                <w:sz w:val="24"/>
              </w:rPr>
            </w:pPr>
            <w:r>
              <w:rPr>
                <w:rFonts w:hint="default" w:ascii="Times New Roman" w:hAnsi="Times New Roman" w:cs="Times New Roman" w:eastAsiaTheme="minorEastAsia"/>
                <w:color w:val="auto"/>
                <w:kern w:val="0"/>
                <w:sz w:val="24"/>
              </w:rPr>
              <w:t>单项质量指数法数学模式如下：</w:t>
            </w:r>
          </w:p>
          <w:p w14:paraId="59961D2F">
            <w:pPr>
              <w:spacing w:line="460" w:lineRule="exact"/>
              <w:ind w:firstLine="482"/>
              <w:rPr>
                <w:rFonts w:hint="default" w:ascii="Times New Roman" w:hAnsi="Times New Roman" w:cs="Times New Roman"/>
                <w:color w:val="auto"/>
                <w:kern w:val="0"/>
              </w:rPr>
            </w:pPr>
            <w:r>
              <w:rPr>
                <w:rFonts w:hint="default" w:ascii="Times New Roman" w:hAnsi="Times New Roman" w:cs="Times New Roman"/>
                <w:color w:val="auto"/>
                <w:sz w:val="24"/>
              </w:rPr>
              <w:t>①</w:t>
            </w:r>
            <w:r>
              <w:rPr>
                <w:rFonts w:hint="default" w:ascii="Times New Roman" w:hAnsi="Times New Roman" w:cs="Times New Roman"/>
                <w:color w:val="auto"/>
                <w:kern w:val="0"/>
                <w:sz w:val="24"/>
              </w:rPr>
              <w:t>对于一般污染物</w:t>
            </w:r>
          </w:p>
          <w:p w14:paraId="283846C3">
            <w:pPr>
              <w:adjustRightInd w:val="0"/>
              <w:ind w:firstLine="480"/>
              <w:jc w:val="center"/>
              <w:rPr>
                <w:rFonts w:hint="default" w:ascii="Times New Roman" w:hAnsi="Times New Roman" w:cs="Times New Roman"/>
                <w:color w:val="auto"/>
              </w:rPr>
            </w:pPr>
            <w:r>
              <w:rPr>
                <w:rFonts w:hint="default" w:ascii="Times New Roman" w:hAnsi="Times New Roman" w:cs="Times New Roman"/>
                <w:color w:val="auto"/>
                <w:position w:val="-12"/>
              </w:rPr>
              <w:object>
                <v:shape id="_x0000_i1025" o:spt="75" type="#_x0000_t75" style="height:18pt;width:52pt;" o:ole="t" filled="f" stroked="f" coordsize="21600,21600">
                  <v:path/>
                  <v:fill on="f" focussize="0,0"/>
                  <v:stroke on="f"/>
                  <v:imagedata r:id="rId16" o:title=""/>
                  <o:lock v:ext="edit" aspectratio="t"/>
                  <w10:wrap type="none"/>
                  <w10:anchorlock/>
                </v:shape>
                <o:OLEObject Type="Embed" ProgID="Equation.DSMT4" ShapeID="_x0000_i1025" DrawAspect="Content" ObjectID="_1468075725" r:id="rId15">
                  <o:LockedField>false</o:LockedField>
                </o:OLEObject>
              </w:object>
            </w:r>
          </w:p>
          <w:p w14:paraId="115CAA23">
            <w:pPr>
              <w:spacing w:line="460" w:lineRule="exact"/>
              <w:ind w:firstLine="482"/>
              <w:rPr>
                <w:rFonts w:hint="default" w:ascii="Times New Roman" w:hAnsi="Times New Roman" w:cs="Times New Roman"/>
                <w:color w:val="auto"/>
                <w:kern w:val="0"/>
                <w:sz w:val="24"/>
              </w:rPr>
            </w:pPr>
            <w:r>
              <w:rPr>
                <w:rFonts w:hint="default" w:ascii="Times New Roman" w:hAnsi="Times New Roman" w:cs="Times New Roman"/>
                <w:color w:val="auto"/>
                <w:kern w:val="0"/>
                <w:sz w:val="24"/>
              </w:rPr>
              <w:t>式中：Pi——单项质量指数；</w:t>
            </w:r>
          </w:p>
          <w:p w14:paraId="36EFC148">
            <w:pPr>
              <w:spacing w:line="460" w:lineRule="exact"/>
              <w:ind w:firstLine="482"/>
              <w:rPr>
                <w:rFonts w:hint="default" w:ascii="Times New Roman" w:hAnsi="Times New Roman" w:cs="Times New Roman"/>
                <w:color w:val="auto"/>
                <w:kern w:val="0"/>
                <w:sz w:val="24"/>
              </w:rPr>
            </w:pPr>
            <w:r>
              <w:rPr>
                <w:rFonts w:hint="default" w:ascii="Times New Roman" w:hAnsi="Times New Roman" w:cs="Times New Roman"/>
                <w:color w:val="auto"/>
                <w:kern w:val="0"/>
                <w:sz w:val="24"/>
              </w:rPr>
              <w:t xml:space="preserve">      Ci——评价因子i的实测浓度值（mg/L）；</w:t>
            </w:r>
          </w:p>
          <w:p w14:paraId="28E274F8">
            <w:pPr>
              <w:spacing w:line="460" w:lineRule="exact"/>
              <w:ind w:firstLine="482"/>
              <w:rPr>
                <w:rFonts w:hint="default" w:ascii="Times New Roman" w:hAnsi="Times New Roman" w:cs="Times New Roman"/>
                <w:color w:val="auto"/>
                <w:kern w:val="0"/>
                <w:sz w:val="24"/>
              </w:rPr>
            </w:pPr>
            <w:r>
              <w:rPr>
                <w:rFonts w:hint="default" w:ascii="Times New Roman" w:hAnsi="Times New Roman" w:cs="Times New Roman"/>
                <w:color w:val="auto"/>
                <w:kern w:val="0"/>
                <w:sz w:val="24"/>
              </w:rPr>
              <w:t xml:space="preserve">      Si——评价因子i的评价标准限值（mg/L）。</w:t>
            </w:r>
          </w:p>
          <w:p w14:paraId="3EA78839">
            <w:pPr>
              <w:spacing w:line="460" w:lineRule="exact"/>
              <w:ind w:firstLine="482"/>
              <w:rPr>
                <w:rFonts w:hint="default" w:ascii="Times New Roman" w:hAnsi="Times New Roman" w:cs="Times New Roman"/>
                <w:color w:val="auto"/>
                <w:kern w:val="0"/>
              </w:rPr>
            </w:pPr>
            <w:r>
              <w:rPr>
                <w:rFonts w:hint="default" w:ascii="Times New Roman" w:hAnsi="Times New Roman" w:cs="Times New Roman"/>
                <w:color w:val="auto"/>
                <w:kern w:val="0"/>
                <w:sz w:val="24"/>
              </w:rPr>
              <w:t>②对具有上下限标准的项目pH，单项指数模式为：</w:t>
            </w:r>
          </w:p>
          <w:p w14:paraId="29597CAE">
            <w:pPr>
              <w:spacing w:line="600" w:lineRule="auto"/>
              <w:ind w:firstLine="1108" w:firstLineChars="528"/>
              <w:rPr>
                <w:rFonts w:hint="default" w:ascii="Times New Roman" w:hAnsi="Times New Roman" w:cs="Times New Roman"/>
                <w:color w:val="auto"/>
                <w:kern w:val="0"/>
              </w:rPr>
            </w:pPr>
            <w:r>
              <w:rPr>
                <w:rFonts w:hint="default" w:ascii="Times New Roman" w:hAnsi="Times New Roman" w:cs="Times New Roman"/>
                <w:color w:val="auto"/>
                <w:kern w:val="0"/>
                <w:position w:val="-30"/>
              </w:rPr>
              <w:object>
                <v:shape id="_x0000_i1026" o:spt="75" type="#_x0000_t75" style="height:36pt;width:92pt;" o:ole="t" filled="f" stroked="f" coordsize="21600,21600">
                  <v:path/>
                  <v:fill on="f" focussize="0,0"/>
                  <v:stroke on="f"/>
                  <v:imagedata r:id="rId18" o:title=""/>
                  <o:lock v:ext="edit" aspectratio="t"/>
                  <w10:wrap type="none"/>
                  <w10:anchorlock/>
                </v:shape>
                <o:OLEObject Type="Embed" ProgID="Equation.DSMT4" ShapeID="_x0000_i1026" DrawAspect="Content" ObjectID="_1468075726" r:id="rId17">
                  <o:LockedField>false</o:LockedField>
                </o:OLEObject>
              </w:object>
            </w:r>
            <w:r>
              <w:rPr>
                <w:rFonts w:hint="default" w:ascii="Times New Roman" w:hAnsi="Times New Roman" w:cs="Times New Roman"/>
                <w:color w:val="auto"/>
                <w:kern w:val="0"/>
              </w:rPr>
              <w:t xml:space="preserve">            </w:t>
            </w:r>
            <w:r>
              <w:rPr>
                <w:rFonts w:hint="default" w:ascii="Times New Roman" w:hAnsi="Times New Roman" w:cs="Times New Roman"/>
                <w:color w:val="auto"/>
                <w:position w:val="-14"/>
              </w:rPr>
              <w:object>
                <v:shape id="_x0000_i1027" o:spt="75" type="#_x0000_t75" style="height:19pt;width:53pt;" o:ole="t" filled="f" stroked="f" coordsize="21600,21600">
                  <v:path/>
                  <v:fill on="f" focussize="0,0"/>
                  <v:stroke on="f"/>
                  <v:imagedata r:id="rId20" o:title=""/>
                  <o:lock v:ext="edit" aspectratio="t"/>
                  <w10:wrap type="none"/>
                  <w10:anchorlock/>
                </v:shape>
                <o:OLEObject Type="Embed" ProgID="Equation.DSMT4" ShapeID="_x0000_i1027" DrawAspect="Content" ObjectID="_1468075727" r:id="rId19">
                  <o:LockedField>false</o:LockedField>
                </o:OLEObject>
              </w:object>
            </w:r>
          </w:p>
          <w:p w14:paraId="71429553">
            <w:pPr>
              <w:spacing w:line="600" w:lineRule="auto"/>
              <w:ind w:firstLine="1003" w:firstLineChars="478"/>
              <w:rPr>
                <w:rFonts w:hint="default" w:ascii="Times New Roman" w:hAnsi="Times New Roman" w:cs="Times New Roman"/>
                <w:color w:val="auto"/>
                <w:kern w:val="0"/>
              </w:rPr>
            </w:pPr>
            <w:r>
              <w:rPr>
                <w:rFonts w:hint="default" w:ascii="Times New Roman" w:hAnsi="Times New Roman" w:cs="Times New Roman"/>
                <w:color w:val="auto"/>
                <w:position w:val="-30"/>
              </w:rPr>
              <w:object>
                <v:shape id="_x0000_i1028" o:spt="75" type="#_x0000_t75" style="height:36pt;width:91pt;" o:ole="t" filled="f" stroked="f" coordsize="21600,21600">
                  <v:path/>
                  <v:fill on="f" focussize="0,0"/>
                  <v:stroke on="f"/>
                  <v:imagedata r:id="rId22" o:title=""/>
                  <o:lock v:ext="edit" aspectratio="t"/>
                  <w10:wrap type="none"/>
                  <w10:anchorlock/>
                </v:shape>
                <o:OLEObject Type="Embed" ProgID="Equation.DSMT4" ShapeID="_x0000_i1028" DrawAspect="Content" ObjectID="_1468075728" r:id="rId21">
                  <o:LockedField>false</o:LockedField>
                </o:OLEObject>
              </w:object>
            </w:r>
            <w:r>
              <w:rPr>
                <w:rFonts w:hint="default" w:ascii="Times New Roman" w:hAnsi="Times New Roman" w:cs="Times New Roman"/>
                <w:color w:val="auto"/>
              </w:rPr>
              <w:t xml:space="preserve">             </w:t>
            </w:r>
            <w:r>
              <w:rPr>
                <w:rFonts w:hint="default" w:ascii="Times New Roman" w:hAnsi="Times New Roman" w:cs="Times New Roman"/>
                <w:color w:val="auto"/>
                <w:position w:val="-14"/>
              </w:rPr>
              <w:object>
                <v:shape id="_x0000_i1029" o:spt="75" type="#_x0000_t75" style="height:19pt;width:52pt;" o:ole="t" filled="f" stroked="f" coordsize="21600,21600">
                  <v:path/>
                  <v:fill on="f" focussize="0,0"/>
                  <v:stroke on="f"/>
                  <v:imagedata r:id="rId24" o:title=""/>
                  <o:lock v:ext="edit" aspectratio="t"/>
                  <w10:wrap type="none"/>
                  <w10:anchorlock/>
                </v:shape>
                <o:OLEObject Type="Embed" ProgID="Equation.DSMT4" ShapeID="_x0000_i1029" DrawAspect="Content" ObjectID="_1468075729" r:id="rId23">
                  <o:LockedField>false</o:LockedField>
                </o:OLEObject>
              </w:object>
            </w:r>
          </w:p>
          <w:p w14:paraId="6A0B169B">
            <w:pPr>
              <w:spacing w:line="460" w:lineRule="exact"/>
              <w:ind w:firstLine="482"/>
              <w:rPr>
                <w:rFonts w:hint="default" w:ascii="Times New Roman" w:hAnsi="Times New Roman" w:cs="Times New Roman"/>
                <w:color w:val="auto"/>
                <w:sz w:val="24"/>
              </w:rPr>
            </w:pPr>
            <w:r>
              <w:rPr>
                <w:rFonts w:hint="default" w:ascii="Times New Roman" w:hAnsi="Times New Roman" w:cs="Times New Roman"/>
                <w:color w:val="auto"/>
                <w:sz w:val="24"/>
              </w:rPr>
              <w:t>式中：pH</w:t>
            </w:r>
            <w:r>
              <w:rPr>
                <w:rFonts w:hint="default" w:ascii="Times New Roman" w:hAnsi="Times New Roman" w:cs="Times New Roman"/>
                <w:color w:val="auto"/>
                <w:sz w:val="24"/>
                <w:vertAlign w:val="subscript"/>
              </w:rPr>
              <w:t>j</w:t>
            </w:r>
            <w:r>
              <w:rPr>
                <w:rFonts w:hint="default" w:ascii="Times New Roman" w:hAnsi="Times New Roman" w:cs="Times New Roman"/>
                <w:color w:val="auto"/>
                <w:sz w:val="24"/>
              </w:rPr>
              <w:t>——监测点j的pH值；</w:t>
            </w:r>
          </w:p>
          <w:p w14:paraId="21B2F88B">
            <w:pPr>
              <w:spacing w:line="460" w:lineRule="exact"/>
              <w:ind w:firstLine="482"/>
              <w:rPr>
                <w:rFonts w:hint="default" w:ascii="Times New Roman" w:hAnsi="Times New Roman" w:cs="Times New Roman"/>
                <w:color w:val="auto"/>
                <w:sz w:val="24"/>
              </w:rPr>
            </w:pPr>
            <w:r>
              <w:rPr>
                <w:rFonts w:hint="default" w:ascii="Times New Roman" w:hAnsi="Times New Roman" w:cs="Times New Roman"/>
                <w:color w:val="auto"/>
                <w:sz w:val="24"/>
              </w:rPr>
              <w:t xml:space="preserve">      pH</w:t>
            </w:r>
            <w:r>
              <w:rPr>
                <w:rFonts w:hint="default" w:ascii="Times New Roman" w:hAnsi="Times New Roman" w:cs="Times New Roman"/>
                <w:color w:val="auto"/>
                <w:sz w:val="24"/>
                <w:vertAlign w:val="subscript"/>
              </w:rPr>
              <w:t>sd</w:t>
            </w:r>
            <w:r>
              <w:rPr>
                <w:rFonts w:hint="default" w:ascii="Times New Roman" w:hAnsi="Times New Roman" w:cs="Times New Roman"/>
                <w:color w:val="auto"/>
                <w:sz w:val="24"/>
              </w:rPr>
              <w:t>——水质标准pH下限值；</w:t>
            </w:r>
          </w:p>
          <w:p w14:paraId="0EABE51A">
            <w:pPr>
              <w:spacing w:line="460" w:lineRule="exact"/>
              <w:ind w:firstLine="482"/>
              <w:rPr>
                <w:rFonts w:hint="default" w:ascii="Times New Roman" w:hAnsi="Times New Roman" w:cs="Times New Roman"/>
                <w:color w:val="auto"/>
                <w:sz w:val="24"/>
              </w:rPr>
            </w:pPr>
            <w:r>
              <w:rPr>
                <w:rFonts w:hint="default" w:ascii="Times New Roman" w:hAnsi="Times New Roman" w:cs="Times New Roman"/>
                <w:color w:val="auto"/>
                <w:sz w:val="24"/>
              </w:rPr>
              <w:t xml:space="preserve">      pH</w:t>
            </w:r>
            <w:r>
              <w:rPr>
                <w:rFonts w:hint="default" w:ascii="Times New Roman" w:hAnsi="Times New Roman" w:cs="Times New Roman"/>
                <w:color w:val="auto"/>
                <w:sz w:val="24"/>
                <w:vertAlign w:val="subscript"/>
              </w:rPr>
              <w:t>su</w:t>
            </w:r>
            <w:r>
              <w:rPr>
                <w:rFonts w:hint="default" w:ascii="Times New Roman" w:hAnsi="Times New Roman" w:cs="Times New Roman"/>
                <w:color w:val="auto"/>
                <w:sz w:val="24"/>
              </w:rPr>
              <w:t>——水质标准pH的上限值。</w:t>
            </w:r>
          </w:p>
          <w:p w14:paraId="07DBE6BB">
            <w:pPr>
              <w:spacing w:line="460" w:lineRule="exact"/>
              <w:ind w:firstLine="482"/>
              <w:rPr>
                <w:rFonts w:hint="default" w:ascii="Times New Roman" w:hAnsi="Times New Roman" w:cs="Times New Roman"/>
                <w:color w:val="auto"/>
                <w:sz w:val="24"/>
              </w:rPr>
            </w:pPr>
            <w:r>
              <w:rPr>
                <w:rFonts w:hint="default" w:ascii="Times New Roman" w:hAnsi="Times New Roman" w:cs="Times New Roman"/>
                <w:color w:val="auto"/>
                <w:sz w:val="24"/>
              </w:rPr>
              <w:t>③对于DO，其单项指数模式为：</w:t>
            </w:r>
          </w:p>
          <w:p w14:paraId="4FE6A6B8">
            <w:pPr>
              <w:ind w:firstLine="480"/>
              <w:jc w:val="center"/>
              <w:rPr>
                <w:rFonts w:hint="default" w:ascii="Times New Roman" w:hAnsi="Times New Roman" w:cs="Times New Roman"/>
                <w:color w:val="auto"/>
              </w:rPr>
            </w:pPr>
            <w:r>
              <w:rPr>
                <w:rFonts w:hint="default" w:ascii="Times New Roman" w:hAnsi="Times New Roman" w:cs="Times New Roman"/>
                <w:color w:val="auto"/>
                <w:position w:val="-30"/>
              </w:rPr>
              <w:object>
                <v:shape id="_x0000_i1030" o:spt="75" type="#_x0000_t75" style="height:34pt;width:74pt;" o:ole="t" filled="f" stroked="f" coordsize="21600,21600">
                  <v:path/>
                  <v:fill on="f" focussize="0,0"/>
                  <v:stroke on="f"/>
                  <v:imagedata r:id="rId26" o:title=""/>
                  <o:lock v:ext="edit" aspectratio="t"/>
                  <w10:wrap type="none"/>
                  <w10:anchorlock/>
                </v:shape>
                <o:OLEObject Type="Embed" ProgID="Equation.DSMT4" ShapeID="_x0000_i1030" DrawAspect="Content" ObjectID="_1468075730" r:id="rId25">
                  <o:LockedField>false</o:LockedField>
                </o:OLEObject>
              </w:object>
            </w:r>
          </w:p>
          <w:p w14:paraId="2578EA12">
            <w:pPr>
              <w:spacing w:line="460" w:lineRule="exact"/>
              <w:ind w:firstLine="482"/>
              <w:rPr>
                <w:rFonts w:hint="default" w:ascii="Times New Roman" w:hAnsi="Times New Roman" w:cs="Times New Roman"/>
                <w:color w:val="auto"/>
                <w:sz w:val="24"/>
              </w:rPr>
            </w:pPr>
            <w:r>
              <w:rPr>
                <w:rFonts w:hint="default" w:ascii="Times New Roman" w:hAnsi="Times New Roman" w:cs="Times New Roman"/>
                <w:color w:val="auto"/>
                <w:sz w:val="24"/>
              </w:rPr>
              <w:t>式中：P</w:t>
            </w:r>
            <w:r>
              <w:rPr>
                <w:rFonts w:hint="default" w:ascii="Times New Roman" w:hAnsi="Times New Roman" w:cs="Times New Roman"/>
                <w:color w:val="auto"/>
                <w:sz w:val="24"/>
                <w:vertAlign w:val="subscript"/>
              </w:rPr>
              <w:t>DO</w:t>
            </w:r>
            <w:r>
              <w:rPr>
                <w:rFonts w:hint="default" w:ascii="Times New Roman" w:hAnsi="Times New Roman" w:cs="Times New Roman"/>
                <w:color w:val="auto"/>
                <w:sz w:val="24"/>
              </w:rPr>
              <w:t>——DO的单项水质指数；</w:t>
            </w:r>
          </w:p>
          <w:p w14:paraId="5A0F5621">
            <w:pPr>
              <w:spacing w:line="460" w:lineRule="exact"/>
              <w:ind w:firstLine="482"/>
              <w:rPr>
                <w:rFonts w:hint="default" w:ascii="Times New Roman" w:hAnsi="Times New Roman" w:cs="Times New Roman"/>
                <w:color w:val="auto"/>
                <w:sz w:val="24"/>
              </w:rPr>
            </w:pPr>
            <w:r>
              <w:rPr>
                <w:rFonts w:hint="default" w:ascii="Times New Roman" w:hAnsi="Times New Roman" w:cs="Times New Roman"/>
                <w:color w:val="auto"/>
                <w:sz w:val="24"/>
              </w:rPr>
              <w:t xml:space="preserve">      O</w:t>
            </w:r>
            <w:r>
              <w:rPr>
                <w:rFonts w:hint="default" w:ascii="Times New Roman" w:hAnsi="Times New Roman" w:cs="Times New Roman"/>
                <w:color w:val="auto"/>
                <w:sz w:val="24"/>
                <w:vertAlign w:val="subscript"/>
              </w:rPr>
              <w:t>s</w:t>
            </w:r>
            <w:r>
              <w:rPr>
                <w:rFonts w:hint="default" w:ascii="Times New Roman" w:hAnsi="Times New Roman" w:cs="Times New Roman"/>
                <w:color w:val="auto"/>
                <w:sz w:val="24"/>
              </w:rPr>
              <w:t>——某水温、气压条件下的饱和溶解氧浓度（mg/L）；其计算公式为：Os=468/（31.6+T），T为水温（℃）；</w:t>
            </w:r>
          </w:p>
          <w:p w14:paraId="2020237E">
            <w:pPr>
              <w:spacing w:line="460" w:lineRule="exact"/>
              <w:ind w:firstLine="482"/>
              <w:rPr>
                <w:rFonts w:hint="default" w:ascii="Times New Roman" w:hAnsi="Times New Roman" w:cs="Times New Roman"/>
                <w:color w:val="auto"/>
                <w:sz w:val="24"/>
              </w:rPr>
            </w:pPr>
            <w:r>
              <w:rPr>
                <w:rFonts w:hint="default" w:ascii="Times New Roman" w:hAnsi="Times New Roman" w:cs="Times New Roman"/>
                <w:color w:val="auto"/>
                <w:sz w:val="24"/>
              </w:rPr>
              <w:t xml:space="preserve">      DO</w:t>
            </w:r>
            <w:r>
              <w:rPr>
                <w:rFonts w:hint="default" w:ascii="Times New Roman" w:hAnsi="Times New Roman" w:cs="Times New Roman"/>
                <w:color w:val="auto"/>
                <w:sz w:val="24"/>
                <w:vertAlign w:val="subscript"/>
              </w:rPr>
              <w:t>i</w:t>
            </w:r>
            <w:r>
              <w:rPr>
                <w:rFonts w:hint="default" w:ascii="Times New Roman" w:hAnsi="Times New Roman" w:cs="Times New Roman"/>
                <w:color w:val="auto"/>
                <w:sz w:val="24"/>
              </w:rPr>
              <w:t>——溶解氧实测值（mg/L）；</w:t>
            </w:r>
          </w:p>
          <w:p w14:paraId="34E9200B">
            <w:pPr>
              <w:spacing w:line="460" w:lineRule="exact"/>
              <w:ind w:firstLine="482"/>
              <w:rPr>
                <w:rFonts w:hint="default" w:ascii="Times New Roman" w:hAnsi="Times New Roman" w:cs="Times New Roman"/>
                <w:color w:val="auto"/>
                <w:sz w:val="24"/>
              </w:rPr>
            </w:pPr>
            <w:r>
              <w:rPr>
                <w:rFonts w:hint="default" w:ascii="Times New Roman" w:hAnsi="Times New Roman" w:cs="Times New Roman"/>
                <w:color w:val="auto"/>
                <w:sz w:val="24"/>
              </w:rPr>
              <w:t xml:space="preserve">      DOs——溶解氧的评价标准限值（mg/L）。</w:t>
            </w:r>
          </w:p>
          <w:p w14:paraId="6FCC5A09">
            <w:pPr>
              <w:spacing w:line="460" w:lineRule="exact"/>
              <w:ind w:firstLine="482"/>
              <w:rPr>
                <w:rFonts w:hint="default" w:ascii="Times New Roman" w:hAnsi="Times New Roman" w:cs="Times New Roman"/>
                <w:color w:val="auto"/>
                <w:kern w:val="0"/>
                <w:sz w:val="24"/>
              </w:rPr>
            </w:pPr>
            <w:r>
              <w:rPr>
                <w:rFonts w:hint="default" w:ascii="Times New Roman" w:hAnsi="Times New Roman" w:cs="Times New Roman"/>
                <w:color w:val="auto"/>
                <w:kern w:val="0"/>
                <w:sz w:val="24"/>
              </w:rPr>
              <w:t>水质参数的标准指数&gt;1，表明该项水质参数超过了规定的指数水质指标，已不能满足使用要求；水质参数的标准指数≤1，表明该项水质参数到达或优于规定的水质，完全符合国家标准，可以满足使用要求。</w:t>
            </w:r>
          </w:p>
          <w:p w14:paraId="0EF3DDBC">
            <w:pPr>
              <w:spacing w:line="460" w:lineRule="exact"/>
              <w:ind w:firstLine="482"/>
              <w:rPr>
                <w:rFonts w:hint="default" w:ascii="Times New Roman" w:hAnsi="Times New Roman" w:cs="Times New Roman"/>
                <w:color w:val="auto"/>
                <w:sz w:val="24"/>
              </w:rPr>
            </w:pPr>
            <w:r>
              <w:rPr>
                <w:rFonts w:hint="default" w:ascii="Times New Roman" w:hAnsi="Times New Roman" w:cs="Times New Roman"/>
                <w:color w:val="auto"/>
                <w:sz w:val="24"/>
              </w:rPr>
              <w:t>评价标准：</w:t>
            </w:r>
            <w:r>
              <w:rPr>
                <w:rFonts w:hint="default" w:ascii="Times New Roman" w:hAnsi="Times New Roman" w:cs="Times New Roman"/>
                <w:color w:val="auto"/>
                <w:kern w:val="0"/>
                <w:sz w:val="24"/>
              </w:rPr>
              <w:t>《地表水环境质量标准》（GB 3838-2002）中的Ⅲ类标准。</w:t>
            </w:r>
          </w:p>
          <w:p w14:paraId="477C281C">
            <w:pPr>
              <w:spacing w:line="460" w:lineRule="exact"/>
              <w:ind w:firstLine="482"/>
              <w:rPr>
                <w:rFonts w:hint="default" w:ascii="Times New Roman" w:hAnsi="Times New Roman" w:eastAsia="黑体" w:cs="Times New Roman"/>
                <w:color w:val="auto"/>
                <w:sz w:val="24"/>
              </w:rPr>
            </w:pPr>
            <w:r>
              <w:rPr>
                <w:rFonts w:hint="default" w:ascii="Times New Roman" w:hAnsi="Times New Roman" w:eastAsia="黑体" w:cs="Times New Roman"/>
                <w:color w:val="auto"/>
                <w:sz w:val="24"/>
                <w:lang w:val="en-US" w:eastAsia="zh-CN"/>
              </w:rPr>
              <w:t>6、</w:t>
            </w:r>
            <w:r>
              <w:rPr>
                <w:rFonts w:hint="default" w:ascii="Times New Roman" w:hAnsi="Times New Roman" w:eastAsia="黑体" w:cs="Times New Roman"/>
                <w:color w:val="auto"/>
                <w:sz w:val="24"/>
              </w:rPr>
              <w:t>现状监测结果统计与评价</w:t>
            </w:r>
          </w:p>
          <w:p w14:paraId="6F006F64">
            <w:pPr>
              <w:spacing w:line="460" w:lineRule="exact"/>
              <w:ind w:firstLine="482"/>
              <w:rPr>
                <w:rFonts w:hint="default" w:ascii="Times New Roman" w:hAnsi="Times New Roman" w:cs="Times New Roman"/>
                <w:color w:val="auto"/>
                <w:sz w:val="24"/>
              </w:rPr>
            </w:pPr>
            <w:r>
              <w:rPr>
                <w:rFonts w:hint="default" w:ascii="Times New Roman" w:hAnsi="Times New Roman" w:cs="Times New Roman"/>
                <w:color w:val="auto"/>
                <w:sz w:val="24"/>
              </w:rPr>
              <w:t>地表水环境质量监测统计结果见表</w:t>
            </w:r>
            <w:r>
              <w:rPr>
                <w:rFonts w:hint="default" w:ascii="Times New Roman" w:hAnsi="Times New Roman" w:cs="Times New Roman"/>
                <w:color w:val="auto"/>
                <w:sz w:val="24"/>
                <w:lang w:val="en-US" w:eastAsia="zh-CN"/>
              </w:rPr>
              <w:t>3</w:t>
            </w:r>
            <w:r>
              <w:rPr>
                <w:rFonts w:hint="default" w:ascii="Times New Roman" w:hAnsi="Times New Roman" w:cs="Times New Roman"/>
                <w:color w:val="auto"/>
                <w:sz w:val="24"/>
              </w:rPr>
              <w:t>-5。</w:t>
            </w:r>
          </w:p>
          <w:p w14:paraId="09449A5F">
            <w:pPr>
              <w:spacing w:line="460" w:lineRule="exact"/>
              <w:ind w:firstLine="482"/>
              <w:jc w:val="center"/>
              <w:rPr>
                <w:rFonts w:hint="default" w:ascii="Times New Roman" w:hAnsi="Times New Roman" w:cs="Times New Roman"/>
                <w:color w:val="auto"/>
                <w:sz w:val="24"/>
              </w:rPr>
            </w:pPr>
            <w:r>
              <w:rPr>
                <w:rFonts w:hint="default" w:ascii="Times New Roman" w:hAnsi="Times New Roman" w:cs="Times New Roman" w:eastAsiaTheme="minorEastAsia"/>
                <w:b/>
                <w:bCs/>
                <w:color w:val="auto"/>
                <w:sz w:val="21"/>
                <w:szCs w:val="21"/>
              </w:rPr>
              <w:t>表</w:t>
            </w:r>
            <w:r>
              <w:rPr>
                <w:rFonts w:hint="default" w:ascii="Times New Roman" w:hAnsi="Times New Roman" w:cs="Times New Roman" w:eastAsiaTheme="minorEastAsia"/>
                <w:b/>
                <w:bCs/>
                <w:color w:val="auto"/>
                <w:sz w:val="21"/>
                <w:szCs w:val="21"/>
                <w:lang w:val="en-US" w:eastAsia="zh-CN"/>
              </w:rPr>
              <w:t>3</w:t>
            </w:r>
            <w:r>
              <w:rPr>
                <w:rFonts w:hint="default" w:ascii="Times New Roman" w:hAnsi="Times New Roman" w:cs="Times New Roman" w:eastAsiaTheme="minorEastAsia"/>
                <w:b/>
                <w:bCs/>
                <w:color w:val="auto"/>
                <w:sz w:val="21"/>
                <w:szCs w:val="21"/>
              </w:rPr>
              <w:t>-5 地表水环境现状统计表</w:t>
            </w:r>
          </w:p>
          <w:tbl>
            <w:tblPr>
              <w:tblStyle w:val="23"/>
              <w:tblW w:w="8522"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78"/>
              <w:gridCol w:w="1699"/>
              <w:gridCol w:w="854"/>
              <w:gridCol w:w="999"/>
              <w:gridCol w:w="1137"/>
              <w:gridCol w:w="1009"/>
              <w:gridCol w:w="1023"/>
              <w:gridCol w:w="1023"/>
            </w:tblGrid>
            <w:tr w14:paraId="2082CDD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05" w:hRule="atLeast"/>
                <w:tblHeader/>
                <w:jc w:val="center"/>
              </w:trPr>
              <w:tc>
                <w:tcPr>
                  <w:tcW w:w="778" w:type="dxa"/>
                  <w:shd w:val="clear" w:color="auto" w:fill="auto"/>
                  <w:vAlign w:val="center"/>
                </w:tcPr>
                <w:p w14:paraId="4579B35C">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监测</w:t>
                  </w:r>
                </w:p>
                <w:p w14:paraId="3C05C965">
                  <w:pPr>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断面</w:t>
                  </w:r>
                </w:p>
              </w:tc>
              <w:tc>
                <w:tcPr>
                  <w:tcW w:w="1699" w:type="dxa"/>
                  <w:shd w:val="clear" w:color="auto" w:fill="auto"/>
                  <w:vAlign w:val="center"/>
                </w:tcPr>
                <w:p w14:paraId="0C631D2E">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日期</w:t>
                  </w:r>
                </w:p>
              </w:tc>
              <w:tc>
                <w:tcPr>
                  <w:tcW w:w="854" w:type="dxa"/>
                  <w:shd w:val="clear" w:color="auto" w:fill="auto"/>
                  <w:vAlign w:val="center"/>
                </w:tcPr>
                <w:p w14:paraId="634BE29F">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pH</w:t>
                  </w:r>
                </w:p>
              </w:tc>
              <w:tc>
                <w:tcPr>
                  <w:tcW w:w="999" w:type="dxa"/>
                  <w:shd w:val="clear" w:color="auto" w:fill="auto"/>
                  <w:vAlign w:val="center"/>
                </w:tcPr>
                <w:p w14:paraId="638F4E23">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COD</w:t>
                  </w:r>
                </w:p>
              </w:tc>
              <w:tc>
                <w:tcPr>
                  <w:tcW w:w="1137" w:type="dxa"/>
                  <w:shd w:val="clear" w:color="auto" w:fill="auto"/>
                  <w:vAlign w:val="center"/>
                </w:tcPr>
                <w:p w14:paraId="26550F93">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BOD5</w:t>
                  </w:r>
                </w:p>
              </w:tc>
              <w:tc>
                <w:tcPr>
                  <w:tcW w:w="1009" w:type="dxa"/>
                  <w:shd w:val="clear" w:color="auto" w:fill="auto"/>
                  <w:vAlign w:val="center"/>
                </w:tcPr>
                <w:p w14:paraId="115638B8">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氨氮</w:t>
                  </w:r>
                </w:p>
              </w:tc>
              <w:tc>
                <w:tcPr>
                  <w:tcW w:w="1023" w:type="dxa"/>
                  <w:shd w:val="clear" w:color="auto" w:fill="auto"/>
                  <w:vAlign w:val="center"/>
                </w:tcPr>
                <w:p w14:paraId="7A9B35E1">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石油类</w:t>
                  </w:r>
                </w:p>
              </w:tc>
              <w:tc>
                <w:tcPr>
                  <w:tcW w:w="1023" w:type="dxa"/>
                  <w:shd w:val="clear" w:color="auto" w:fill="auto"/>
                  <w:vAlign w:val="center"/>
                </w:tcPr>
                <w:p w14:paraId="1B5BF363">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粪大肠菌群</w:t>
                  </w:r>
                </w:p>
              </w:tc>
            </w:tr>
            <w:tr w14:paraId="4EEFE2F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78" w:type="dxa"/>
                  <w:vMerge w:val="restart"/>
                  <w:shd w:val="clear" w:color="auto" w:fill="auto"/>
                  <w:vAlign w:val="center"/>
                </w:tcPr>
                <w:p w14:paraId="7E683F6D">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w:t>
                  </w:r>
                </w:p>
              </w:tc>
              <w:tc>
                <w:tcPr>
                  <w:tcW w:w="1699" w:type="dxa"/>
                  <w:shd w:val="clear" w:color="auto" w:fill="auto"/>
                  <w:vAlign w:val="center"/>
                </w:tcPr>
                <w:p w14:paraId="01EBEACD">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2017.4.11</w:t>
                  </w:r>
                </w:p>
              </w:tc>
              <w:tc>
                <w:tcPr>
                  <w:tcW w:w="854" w:type="dxa"/>
                  <w:shd w:val="clear" w:color="auto" w:fill="auto"/>
                  <w:vAlign w:val="center"/>
                </w:tcPr>
                <w:p w14:paraId="371482B7">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7.89</w:t>
                  </w:r>
                </w:p>
              </w:tc>
              <w:tc>
                <w:tcPr>
                  <w:tcW w:w="999" w:type="dxa"/>
                  <w:shd w:val="clear" w:color="auto" w:fill="auto"/>
                  <w:vAlign w:val="center"/>
                </w:tcPr>
                <w:p w14:paraId="73640BFB">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18.5</w:t>
                  </w:r>
                </w:p>
              </w:tc>
              <w:tc>
                <w:tcPr>
                  <w:tcW w:w="1137" w:type="dxa"/>
                  <w:shd w:val="clear" w:color="auto" w:fill="auto"/>
                  <w:vAlign w:val="center"/>
                </w:tcPr>
                <w:p w14:paraId="7FCAAE76">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3.4</w:t>
                  </w:r>
                </w:p>
              </w:tc>
              <w:tc>
                <w:tcPr>
                  <w:tcW w:w="1009" w:type="dxa"/>
                  <w:shd w:val="clear" w:color="auto" w:fill="auto"/>
                  <w:vAlign w:val="center"/>
                </w:tcPr>
                <w:p w14:paraId="2CC743B7">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0.653</w:t>
                  </w:r>
                </w:p>
              </w:tc>
              <w:tc>
                <w:tcPr>
                  <w:tcW w:w="1023" w:type="dxa"/>
                  <w:shd w:val="clear" w:color="auto" w:fill="auto"/>
                  <w:vAlign w:val="center"/>
                </w:tcPr>
                <w:p w14:paraId="3C962FB3">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0.02</w:t>
                  </w:r>
                </w:p>
              </w:tc>
              <w:tc>
                <w:tcPr>
                  <w:tcW w:w="1023" w:type="dxa"/>
                  <w:shd w:val="clear" w:color="auto" w:fill="auto"/>
                  <w:vAlign w:val="center"/>
                </w:tcPr>
                <w:p w14:paraId="67D0438A">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180</w:t>
                  </w:r>
                </w:p>
              </w:tc>
            </w:tr>
            <w:tr w14:paraId="26262E8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78" w:type="dxa"/>
                  <w:vMerge w:val="continue"/>
                  <w:shd w:val="clear" w:color="auto" w:fill="auto"/>
                  <w:vAlign w:val="center"/>
                </w:tcPr>
                <w:p w14:paraId="13ED1FC0">
                  <w:pPr>
                    <w:widowControl/>
                    <w:jc w:val="center"/>
                    <w:rPr>
                      <w:rFonts w:hint="default" w:ascii="Times New Roman" w:hAnsi="Times New Roman" w:cs="Times New Roman"/>
                      <w:color w:val="auto"/>
                      <w:kern w:val="0"/>
                      <w:sz w:val="21"/>
                      <w:szCs w:val="21"/>
                    </w:rPr>
                  </w:pPr>
                </w:p>
              </w:tc>
              <w:tc>
                <w:tcPr>
                  <w:tcW w:w="1699" w:type="dxa"/>
                  <w:shd w:val="clear" w:color="auto" w:fill="auto"/>
                  <w:vAlign w:val="center"/>
                </w:tcPr>
                <w:p w14:paraId="66E25407">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2017.4.12</w:t>
                  </w:r>
                </w:p>
              </w:tc>
              <w:tc>
                <w:tcPr>
                  <w:tcW w:w="854" w:type="dxa"/>
                  <w:shd w:val="clear" w:color="auto" w:fill="auto"/>
                  <w:vAlign w:val="center"/>
                </w:tcPr>
                <w:p w14:paraId="284F673A">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7.96</w:t>
                  </w:r>
                </w:p>
              </w:tc>
              <w:tc>
                <w:tcPr>
                  <w:tcW w:w="999" w:type="dxa"/>
                  <w:shd w:val="clear" w:color="auto" w:fill="auto"/>
                  <w:vAlign w:val="center"/>
                </w:tcPr>
                <w:p w14:paraId="79F4B665">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19.2</w:t>
                  </w:r>
                </w:p>
              </w:tc>
              <w:tc>
                <w:tcPr>
                  <w:tcW w:w="1137" w:type="dxa"/>
                  <w:shd w:val="clear" w:color="auto" w:fill="auto"/>
                  <w:vAlign w:val="center"/>
                </w:tcPr>
                <w:p w14:paraId="4783D4E0">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3.0</w:t>
                  </w:r>
                </w:p>
              </w:tc>
              <w:tc>
                <w:tcPr>
                  <w:tcW w:w="1009" w:type="dxa"/>
                  <w:shd w:val="clear" w:color="auto" w:fill="auto"/>
                  <w:vAlign w:val="center"/>
                </w:tcPr>
                <w:p w14:paraId="21FFD4EC">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0.589</w:t>
                  </w:r>
                </w:p>
              </w:tc>
              <w:tc>
                <w:tcPr>
                  <w:tcW w:w="1023" w:type="dxa"/>
                  <w:shd w:val="clear" w:color="auto" w:fill="auto"/>
                  <w:vAlign w:val="center"/>
                </w:tcPr>
                <w:p w14:paraId="4E508865">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0.01</w:t>
                  </w:r>
                </w:p>
              </w:tc>
              <w:tc>
                <w:tcPr>
                  <w:tcW w:w="1023" w:type="dxa"/>
                  <w:shd w:val="clear" w:color="auto" w:fill="auto"/>
                  <w:vAlign w:val="center"/>
                </w:tcPr>
                <w:p w14:paraId="20A59EE6">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210</w:t>
                  </w:r>
                </w:p>
              </w:tc>
            </w:tr>
            <w:tr w14:paraId="078DEB1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78" w:type="dxa"/>
                  <w:vMerge w:val="continue"/>
                  <w:shd w:val="clear" w:color="auto" w:fill="auto"/>
                  <w:vAlign w:val="center"/>
                </w:tcPr>
                <w:p w14:paraId="680F5895">
                  <w:pPr>
                    <w:widowControl/>
                    <w:jc w:val="center"/>
                    <w:rPr>
                      <w:rFonts w:hint="default" w:ascii="Times New Roman" w:hAnsi="Times New Roman" w:cs="Times New Roman"/>
                      <w:color w:val="auto"/>
                      <w:kern w:val="0"/>
                      <w:sz w:val="21"/>
                      <w:szCs w:val="21"/>
                    </w:rPr>
                  </w:pPr>
                </w:p>
              </w:tc>
              <w:tc>
                <w:tcPr>
                  <w:tcW w:w="1699" w:type="dxa"/>
                  <w:shd w:val="clear" w:color="auto" w:fill="auto"/>
                  <w:vAlign w:val="center"/>
                </w:tcPr>
                <w:p w14:paraId="136C7BD1">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2017.4.13</w:t>
                  </w:r>
                </w:p>
              </w:tc>
              <w:tc>
                <w:tcPr>
                  <w:tcW w:w="854" w:type="dxa"/>
                  <w:shd w:val="clear" w:color="auto" w:fill="auto"/>
                  <w:vAlign w:val="center"/>
                </w:tcPr>
                <w:p w14:paraId="6B552267">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7.89</w:t>
                  </w:r>
                </w:p>
              </w:tc>
              <w:tc>
                <w:tcPr>
                  <w:tcW w:w="999" w:type="dxa"/>
                  <w:shd w:val="clear" w:color="auto" w:fill="auto"/>
                  <w:vAlign w:val="center"/>
                </w:tcPr>
                <w:p w14:paraId="4E712411">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19.4</w:t>
                  </w:r>
                </w:p>
              </w:tc>
              <w:tc>
                <w:tcPr>
                  <w:tcW w:w="1137" w:type="dxa"/>
                  <w:shd w:val="clear" w:color="auto" w:fill="auto"/>
                  <w:vAlign w:val="center"/>
                </w:tcPr>
                <w:p w14:paraId="08881569">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3.5</w:t>
                  </w:r>
                </w:p>
              </w:tc>
              <w:tc>
                <w:tcPr>
                  <w:tcW w:w="1009" w:type="dxa"/>
                  <w:shd w:val="clear" w:color="auto" w:fill="auto"/>
                  <w:vAlign w:val="center"/>
                </w:tcPr>
                <w:p w14:paraId="78A02A1B">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0.628</w:t>
                  </w:r>
                </w:p>
              </w:tc>
              <w:tc>
                <w:tcPr>
                  <w:tcW w:w="1023" w:type="dxa"/>
                  <w:shd w:val="clear" w:color="auto" w:fill="auto"/>
                  <w:vAlign w:val="center"/>
                </w:tcPr>
                <w:p w14:paraId="5F8DAC1B">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0.01</w:t>
                  </w:r>
                </w:p>
              </w:tc>
              <w:tc>
                <w:tcPr>
                  <w:tcW w:w="1023" w:type="dxa"/>
                  <w:shd w:val="clear" w:color="auto" w:fill="auto"/>
                  <w:vAlign w:val="center"/>
                </w:tcPr>
                <w:p w14:paraId="2194209B">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200</w:t>
                  </w:r>
                </w:p>
              </w:tc>
            </w:tr>
            <w:tr w14:paraId="423181E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78" w:type="dxa"/>
                  <w:vMerge w:val="restart"/>
                  <w:shd w:val="clear" w:color="auto" w:fill="auto"/>
                  <w:vAlign w:val="center"/>
                </w:tcPr>
                <w:p w14:paraId="0182C94B">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w:t>
                  </w:r>
                </w:p>
              </w:tc>
              <w:tc>
                <w:tcPr>
                  <w:tcW w:w="1699" w:type="dxa"/>
                  <w:shd w:val="clear" w:color="auto" w:fill="auto"/>
                  <w:vAlign w:val="center"/>
                </w:tcPr>
                <w:p w14:paraId="4AF75E3E">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2017.4.11</w:t>
                  </w:r>
                </w:p>
              </w:tc>
              <w:tc>
                <w:tcPr>
                  <w:tcW w:w="854" w:type="dxa"/>
                  <w:shd w:val="clear" w:color="auto" w:fill="auto"/>
                  <w:vAlign w:val="center"/>
                </w:tcPr>
                <w:p w14:paraId="5B0F97A9">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7.92</w:t>
                  </w:r>
                </w:p>
              </w:tc>
              <w:tc>
                <w:tcPr>
                  <w:tcW w:w="999" w:type="dxa"/>
                  <w:shd w:val="clear" w:color="auto" w:fill="auto"/>
                  <w:vAlign w:val="center"/>
                </w:tcPr>
                <w:p w14:paraId="02B9ED3A">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17.8</w:t>
                  </w:r>
                </w:p>
              </w:tc>
              <w:tc>
                <w:tcPr>
                  <w:tcW w:w="1137" w:type="dxa"/>
                  <w:shd w:val="clear" w:color="auto" w:fill="auto"/>
                  <w:vAlign w:val="center"/>
                </w:tcPr>
                <w:p w14:paraId="059B9DAF">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3.7</w:t>
                  </w:r>
                </w:p>
              </w:tc>
              <w:tc>
                <w:tcPr>
                  <w:tcW w:w="1009" w:type="dxa"/>
                  <w:shd w:val="clear" w:color="auto" w:fill="auto"/>
                  <w:vAlign w:val="center"/>
                </w:tcPr>
                <w:p w14:paraId="3AC0D045">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0.701</w:t>
                  </w:r>
                </w:p>
              </w:tc>
              <w:tc>
                <w:tcPr>
                  <w:tcW w:w="1023" w:type="dxa"/>
                  <w:shd w:val="clear" w:color="auto" w:fill="auto"/>
                  <w:vAlign w:val="center"/>
                </w:tcPr>
                <w:p w14:paraId="70A7AF9A">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0.01</w:t>
                  </w:r>
                </w:p>
              </w:tc>
              <w:tc>
                <w:tcPr>
                  <w:tcW w:w="1023" w:type="dxa"/>
                  <w:shd w:val="clear" w:color="auto" w:fill="auto"/>
                  <w:vAlign w:val="center"/>
                </w:tcPr>
                <w:p w14:paraId="3F40D368">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190</w:t>
                  </w:r>
                </w:p>
              </w:tc>
            </w:tr>
            <w:tr w14:paraId="134B271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78" w:type="dxa"/>
                  <w:vMerge w:val="continue"/>
                  <w:shd w:val="clear" w:color="auto" w:fill="auto"/>
                  <w:vAlign w:val="center"/>
                </w:tcPr>
                <w:p w14:paraId="0F5319C1">
                  <w:pPr>
                    <w:widowControl/>
                    <w:jc w:val="center"/>
                    <w:rPr>
                      <w:rFonts w:hint="default" w:ascii="Times New Roman" w:hAnsi="Times New Roman" w:cs="Times New Roman"/>
                      <w:color w:val="auto"/>
                      <w:kern w:val="0"/>
                      <w:sz w:val="21"/>
                      <w:szCs w:val="21"/>
                    </w:rPr>
                  </w:pPr>
                </w:p>
              </w:tc>
              <w:tc>
                <w:tcPr>
                  <w:tcW w:w="1699" w:type="dxa"/>
                  <w:shd w:val="clear" w:color="auto" w:fill="auto"/>
                  <w:vAlign w:val="center"/>
                </w:tcPr>
                <w:p w14:paraId="32D35166">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2017.4.12</w:t>
                  </w:r>
                </w:p>
              </w:tc>
              <w:tc>
                <w:tcPr>
                  <w:tcW w:w="854" w:type="dxa"/>
                  <w:shd w:val="clear" w:color="auto" w:fill="auto"/>
                  <w:vAlign w:val="center"/>
                </w:tcPr>
                <w:p w14:paraId="1754D936">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7.99</w:t>
                  </w:r>
                </w:p>
              </w:tc>
              <w:tc>
                <w:tcPr>
                  <w:tcW w:w="999" w:type="dxa"/>
                  <w:shd w:val="clear" w:color="auto" w:fill="auto"/>
                  <w:vAlign w:val="center"/>
                </w:tcPr>
                <w:p w14:paraId="131F1B26">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18.2</w:t>
                  </w:r>
                </w:p>
              </w:tc>
              <w:tc>
                <w:tcPr>
                  <w:tcW w:w="1137" w:type="dxa"/>
                  <w:shd w:val="clear" w:color="auto" w:fill="auto"/>
                  <w:vAlign w:val="center"/>
                </w:tcPr>
                <w:p w14:paraId="1EB46AF0">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3.4</w:t>
                  </w:r>
                </w:p>
              </w:tc>
              <w:tc>
                <w:tcPr>
                  <w:tcW w:w="1009" w:type="dxa"/>
                  <w:shd w:val="clear" w:color="auto" w:fill="auto"/>
                  <w:vAlign w:val="center"/>
                </w:tcPr>
                <w:p w14:paraId="0BF822C4">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0.732</w:t>
                  </w:r>
                </w:p>
              </w:tc>
              <w:tc>
                <w:tcPr>
                  <w:tcW w:w="1023" w:type="dxa"/>
                  <w:shd w:val="clear" w:color="auto" w:fill="auto"/>
                  <w:vAlign w:val="center"/>
                </w:tcPr>
                <w:p w14:paraId="637BFFE1">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0.03</w:t>
                  </w:r>
                </w:p>
              </w:tc>
              <w:tc>
                <w:tcPr>
                  <w:tcW w:w="1023" w:type="dxa"/>
                  <w:shd w:val="clear" w:color="auto" w:fill="auto"/>
                  <w:vAlign w:val="center"/>
                </w:tcPr>
                <w:p w14:paraId="672AC027">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210</w:t>
                  </w:r>
                </w:p>
              </w:tc>
            </w:tr>
            <w:tr w14:paraId="27E2DFB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78" w:type="dxa"/>
                  <w:vMerge w:val="continue"/>
                  <w:shd w:val="clear" w:color="auto" w:fill="auto"/>
                  <w:vAlign w:val="center"/>
                </w:tcPr>
                <w:p w14:paraId="30533898">
                  <w:pPr>
                    <w:widowControl/>
                    <w:jc w:val="center"/>
                    <w:rPr>
                      <w:rFonts w:hint="default" w:ascii="Times New Roman" w:hAnsi="Times New Roman" w:cs="Times New Roman"/>
                      <w:color w:val="auto"/>
                      <w:kern w:val="0"/>
                      <w:sz w:val="21"/>
                      <w:szCs w:val="21"/>
                    </w:rPr>
                  </w:pPr>
                </w:p>
              </w:tc>
              <w:tc>
                <w:tcPr>
                  <w:tcW w:w="1699" w:type="dxa"/>
                  <w:shd w:val="clear" w:color="auto" w:fill="auto"/>
                  <w:vAlign w:val="center"/>
                </w:tcPr>
                <w:p w14:paraId="51F2542E">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2017.4.13</w:t>
                  </w:r>
                </w:p>
              </w:tc>
              <w:tc>
                <w:tcPr>
                  <w:tcW w:w="854" w:type="dxa"/>
                  <w:shd w:val="clear" w:color="auto" w:fill="auto"/>
                  <w:vAlign w:val="center"/>
                </w:tcPr>
                <w:p w14:paraId="7979EE6E">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7.93</w:t>
                  </w:r>
                </w:p>
              </w:tc>
              <w:tc>
                <w:tcPr>
                  <w:tcW w:w="999" w:type="dxa"/>
                  <w:shd w:val="clear" w:color="auto" w:fill="auto"/>
                  <w:vAlign w:val="center"/>
                </w:tcPr>
                <w:p w14:paraId="14CC749A">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18.9</w:t>
                  </w:r>
                </w:p>
              </w:tc>
              <w:tc>
                <w:tcPr>
                  <w:tcW w:w="1137" w:type="dxa"/>
                  <w:shd w:val="clear" w:color="auto" w:fill="auto"/>
                  <w:vAlign w:val="center"/>
                </w:tcPr>
                <w:p w14:paraId="58F805AA">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3.8</w:t>
                  </w:r>
                </w:p>
              </w:tc>
              <w:tc>
                <w:tcPr>
                  <w:tcW w:w="1009" w:type="dxa"/>
                  <w:shd w:val="clear" w:color="auto" w:fill="auto"/>
                  <w:vAlign w:val="center"/>
                </w:tcPr>
                <w:p w14:paraId="3181BFA2">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0.712</w:t>
                  </w:r>
                </w:p>
              </w:tc>
              <w:tc>
                <w:tcPr>
                  <w:tcW w:w="1023" w:type="dxa"/>
                  <w:shd w:val="clear" w:color="auto" w:fill="auto"/>
                  <w:vAlign w:val="center"/>
                </w:tcPr>
                <w:p w14:paraId="7BA3EAF4">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0.02</w:t>
                  </w:r>
                </w:p>
              </w:tc>
              <w:tc>
                <w:tcPr>
                  <w:tcW w:w="1023" w:type="dxa"/>
                  <w:shd w:val="clear" w:color="auto" w:fill="auto"/>
                  <w:vAlign w:val="center"/>
                </w:tcPr>
                <w:p w14:paraId="4B6680AD">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210</w:t>
                  </w:r>
                </w:p>
              </w:tc>
            </w:tr>
            <w:tr w14:paraId="2C5BB6C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2477" w:type="dxa"/>
                  <w:gridSpan w:val="2"/>
                  <w:shd w:val="clear" w:color="auto" w:fill="auto"/>
                  <w:vAlign w:val="center"/>
                </w:tcPr>
                <w:p w14:paraId="6CFA98AC">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质量标准*</w:t>
                  </w:r>
                </w:p>
              </w:tc>
              <w:tc>
                <w:tcPr>
                  <w:tcW w:w="854" w:type="dxa"/>
                  <w:shd w:val="clear" w:color="auto" w:fill="auto"/>
                  <w:vAlign w:val="center"/>
                </w:tcPr>
                <w:p w14:paraId="414FFF80">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6~9</w:t>
                  </w:r>
                </w:p>
              </w:tc>
              <w:tc>
                <w:tcPr>
                  <w:tcW w:w="999" w:type="dxa"/>
                  <w:shd w:val="clear" w:color="auto" w:fill="auto"/>
                  <w:vAlign w:val="center"/>
                </w:tcPr>
                <w:p w14:paraId="2844F440">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≤20</w:t>
                  </w:r>
                </w:p>
              </w:tc>
              <w:tc>
                <w:tcPr>
                  <w:tcW w:w="1137" w:type="dxa"/>
                  <w:shd w:val="clear" w:color="auto" w:fill="auto"/>
                  <w:vAlign w:val="center"/>
                </w:tcPr>
                <w:p w14:paraId="34BAC62B">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≤4</w:t>
                  </w:r>
                </w:p>
              </w:tc>
              <w:tc>
                <w:tcPr>
                  <w:tcW w:w="1009" w:type="dxa"/>
                  <w:shd w:val="clear" w:color="auto" w:fill="auto"/>
                  <w:vAlign w:val="center"/>
                </w:tcPr>
                <w:p w14:paraId="344F6D9D">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w:t>
                  </w:r>
                </w:p>
              </w:tc>
              <w:tc>
                <w:tcPr>
                  <w:tcW w:w="1023" w:type="dxa"/>
                  <w:shd w:val="clear" w:color="auto" w:fill="auto"/>
                  <w:vAlign w:val="center"/>
                </w:tcPr>
                <w:p w14:paraId="58AECFDF">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≤0.05</w:t>
                  </w:r>
                </w:p>
              </w:tc>
              <w:tc>
                <w:tcPr>
                  <w:tcW w:w="1023" w:type="dxa"/>
                  <w:shd w:val="clear" w:color="auto" w:fill="auto"/>
                  <w:vAlign w:val="center"/>
                </w:tcPr>
                <w:p w14:paraId="3DF91A4E">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10000</w:t>
                  </w:r>
                </w:p>
              </w:tc>
            </w:tr>
          </w:tbl>
          <w:p w14:paraId="5CF7C5C8">
            <w:pPr>
              <w:pStyle w:val="62"/>
              <w:ind w:left="780" w:hanging="360"/>
              <w:jc w:val="both"/>
              <w:rPr>
                <w:rFonts w:hint="default" w:ascii="Times New Roman" w:hAnsi="Times New Roman" w:cs="Times New Roman"/>
                <w:color w:val="auto"/>
                <w:sz w:val="18"/>
                <w:szCs w:val="18"/>
              </w:rPr>
            </w:pPr>
            <w:r>
              <w:rPr>
                <w:rFonts w:hint="default" w:ascii="Times New Roman" w:hAnsi="Times New Roman" w:cs="Times New Roman"/>
                <w:color w:val="auto"/>
                <w:sz w:val="18"/>
                <w:szCs w:val="18"/>
              </w:rPr>
              <w:t>注：</w:t>
            </w:r>
            <w:r>
              <w:rPr>
                <w:rFonts w:hint="default" w:ascii="Times New Roman" w:hAnsi="Times New Roman" w:cs="Times New Roman"/>
                <w:color w:val="auto"/>
                <w:sz w:val="18"/>
                <w:szCs w:val="18"/>
              </w:rPr>
              <w:fldChar w:fldCharType="begin"/>
            </w:r>
            <w:r>
              <w:rPr>
                <w:rFonts w:hint="default" w:ascii="Times New Roman" w:hAnsi="Times New Roman" w:cs="Times New Roman"/>
                <w:color w:val="auto"/>
                <w:sz w:val="18"/>
                <w:szCs w:val="18"/>
              </w:rPr>
              <w:instrText xml:space="preserve"> = 1 \* GB3 </w:instrText>
            </w:r>
            <w:r>
              <w:rPr>
                <w:rFonts w:hint="default" w:ascii="Times New Roman" w:hAnsi="Times New Roman" w:cs="Times New Roman"/>
                <w:color w:val="auto"/>
                <w:sz w:val="18"/>
                <w:szCs w:val="18"/>
              </w:rPr>
              <w:fldChar w:fldCharType="separate"/>
            </w:r>
            <w:r>
              <w:rPr>
                <w:rFonts w:hint="default" w:ascii="Times New Roman" w:hAnsi="Times New Roman" w:cs="Times New Roman"/>
                <w:color w:val="auto"/>
                <w:sz w:val="18"/>
                <w:szCs w:val="18"/>
              </w:rPr>
              <w:t>①</w:t>
            </w:r>
            <w:r>
              <w:rPr>
                <w:rFonts w:hint="default" w:ascii="Times New Roman" w:hAnsi="Times New Roman" w:cs="Times New Roman"/>
                <w:color w:val="auto"/>
                <w:sz w:val="18"/>
                <w:szCs w:val="18"/>
              </w:rPr>
              <w:fldChar w:fldCharType="end"/>
            </w:r>
            <w:r>
              <w:rPr>
                <w:rFonts w:hint="default" w:ascii="Times New Roman" w:hAnsi="Times New Roman" w:cs="Times New Roman"/>
                <w:color w:val="auto"/>
                <w:sz w:val="18"/>
                <w:szCs w:val="18"/>
              </w:rPr>
              <w:t xml:space="preserve"> 除pH无单位外，其它项目浓度单位mg/L；</w:t>
            </w:r>
          </w:p>
          <w:p w14:paraId="499FA594">
            <w:pPr>
              <w:pStyle w:val="62"/>
              <w:ind w:left="691" w:leftChars="329" w:firstLine="90" w:firstLineChars="50"/>
              <w:jc w:val="both"/>
              <w:rPr>
                <w:rFonts w:hint="default" w:ascii="Times New Roman" w:hAnsi="Times New Roman" w:cs="Times New Roman"/>
                <w:color w:val="auto"/>
                <w:sz w:val="18"/>
                <w:szCs w:val="18"/>
              </w:rPr>
            </w:pPr>
            <w:r>
              <w:rPr>
                <w:rFonts w:hint="default" w:ascii="Times New Roman" w:hAnsi="Times New Roman" w:cs="Times New Roman"/>
                <w:color w:val="auto"/>
                <w:sz w:val="18"/>
                <w:szCs w:val="18"/>
              </w:rPr>
              <w:fldChar w:fldCharType="begin"/>
            </w:r>
            <w:r>
              <w:rPr>
                <w:rFonts w:hint="default" w:ascii="Times New Roman" w:hAnsi="Times New Roman" w:cs="Times New Roman"/>
                <w:color w:val="auto"/>
                <w:sz w:val="18"/>
                <w:szCs w:val="18"/>
              </w:rPr>
              <w:instrText xml:space="preserve"> = 2 \* GB3 </w:instrText>
            </w:r>
            <w:r>
              <w:rPr>
                <w:rFonts w:hint="default" w:ascii="Times New Roman" w:hAnsi="Times New Roman" w:cs="Times New Roman"/>
                <w:color w:val="auto"/>
                <w:sz w:val="18"/>
                <w:szCs w:val="18"/>
              </w:rPr>
              <w:fldChar w:fldCharType="separate"/>
            </w:r>
            <w:r>
              <w:rPr>
                <w:rFonts w:hint="default" w:ascii="Times New Roman" w:hAnsi="Times New Roman" w:cs="Times New Roman"/>
                <w:color w:val="auto"/>
                <w:sz w:val="18"/>
                <w:szCs w:val="18"/>
              </w:rPr>
              <w:t>②</w:t>
            </w:r>
            <w:r>
              <w:rPr>
                <w:rFonts w:hint="default" w:ascii="Times New Roman" w:hAnsi="Times New Roman" w:cs="Times New Roman"/>
                <w:color w:val="auto"/>
                <w:sz w:val="18"/>
                <w:szCs w:val="18"/>
              </w:rPr>
              <w:fldChar w:fldCharType="end"/>
            </w:r>
            <w:r>
              <w:rPr>
                <w:rFonts w:hint="default" w:ascii="Times New Roman" w:hAnsi="Times New Roman" w:cs="Times New Roman"/>
                <w:color w:val="auto"/>
                <w:sz w:val="18"/>
                <w:szCs w:val="18"/>
              </w:rPr>
              <w:t>*执行《地表水环境质量标准》（GB 3838-2002）</w:t>
            </w:r>
            <w:r>
              <w:rPr>
                <w:rFonts w:hint="default" w:ascii="Times New Roman" w:hAnsi="Times New Roman" w:cs="Times New Roman"/>
                <w:color w:val="auto"/>
                <w:sz w:val="18"/>
                <w:szCs w:val="18"/>
              </w:rPr>
              <w:fldChar w:fldCharType="begin"/>
            </w:r>
            <w:r>
              <w:rPr>
                <w:rFonts w:hint="default" w:ascii="Times New Roman" w:hAnsi="Times New Roman" w:cs="Times New Roman"/>
                <w:color w:val="auto"/>
                <w:sz w:val="18"/>
                <w:szCs w:val="18"/>
              </w:rPr>
              <w:instrText xml:space="preserve"> = 3 \* ROMAN </w:instrText>
            </w:r>
            <w:r>
              <w:rPr>
                <w:rFonts w:hint="default" w:ascii="Times New Roman" w:hAnsi="Times New Roman" w:cs="Times New Roman"/>
                <w:color w:val="auto"/>
                <w:sz w:val="18"/>
                <w:szCs w:val="18"/>
              </w:rPr>
              <w:fldChar w:fldCharType="separate"/>
            </w:r>
            <w:r>
              <w:rPr>
                <w:rFonts w:hint="default" w:ascii="Times New Roman" w:hAnsi="Times New Roman" w:cs="Times New Roman"/>
                <w:color w:val="auto"/>
                <w:sz w:val="18"/>
                <w:szCs w:val="18"/>
              </w:rPr>
              <w:t>III</w:t>
            </w:r>
            <w:r>
              <w:rPr>
                <w:rFonts w:hint="default" w:ascii="Times New Roman" w:hAnsi="Times New Roman" w:cs="Times New Roman"/>
                <w:color w:val="auto"/>
                <w:sz w:val="18"/>
                <w:szCs w:val="18"/>
              </w:rPr>
              <w:fldChar w:fldCharType="end"/>
            </w:r>
            <w:r>
              <w:rPr>
                <w:rFonts w:hint="default" w:ascii="Times New Roman" w:hAnsi="Times New Roman" w:cs="Times New Roman"/>
                <w:color w:val="auto"/>
                <w:sz w:val="18"/>
                <w:szCs w:val="18"/>
              </w:rPr>
              <w:t>类水域标准表1和表2；</w:t>
            </w:r>
          </w:p>
          <w:p w14:paraId="04B5C471">
            <w:pPr>
              <w:spacing w:before="156" w:beforeLines="50"/>
              <w:jc w:val="center"/>
              <w:rPr>
                <w:rFonts w:hint="default" w:ascii="Times New Roman" w:hAnsi="Times New Roman" w:cs="Times New Roman" w:eastAsiaTheme="minorEastAsia"/>
                <w:b/>
                <w:bCs/>
                <w:color w:val="auto"/>
                <w:sz w:val="21"/>
                <w:szCs w:val="21"/>
              </w:rPr>
            </w:pPr>
            <w:r>
              <w:rPr>
                <w:rFonts w:hint="default" w:ascii="Times New Roman" w:hAnsi="Times New Roman" w:cs="Times New Roman" w:eastAsiaTheme="minorEastAsia"/>
                <w:b/>
                <w:bCs/>
                <w:color w:val="auto"/>
                <w:sz w:val="21"/>
                <w:szCs w:val="21"/>
              </w:rPr>
              <w:t>表</w:t>
            </w:r>
            <w:r>
              <w:rPr>
                <w:rFonts w:hint="default" w:ascii="Times New Roman" w:hAnsi="Times New Roman" w:cs="Times New Roman" w:eastAsiaTheme="minorEastAsia"/>
                <w:b/>
                <w:bCs/>
                <w:color w:val="auto"/>
                <w:sz w:val="21"/>
                <w:szCs w:val="21"/>
                <w:lang w:val="en-US" w:eastAsia="zh-CN"/>
              </w:rPr>
              <w:t>3</w:t>
            </w:r>
            <w:r>
              <w:rPr>
                <w:rFonts w:hint="default" w:ascii="Times New Roman" w:hAnsi="Times New Roman" w:cs="Times New Roman" w:eastAsiaTheme="minorEastAsia"/>
                <w:b/>
                <w:bCs/>
                <w:color w:val="auto"/>
                <w:sz w:val="21"/>
                <w:szCs w:val="21"/>
              </w:rPr>
              <w:t>-</w:t>
            </w:r>
            <w:r>
              <w:rPr>
                <w:rFonts w:hint="default" w:ascii="Times New Roman" w:hAnsi="Times New Roman" w:cs="Times New Roman" w:eastAsiaTheme="minorEastAsia"/>
                <w:b/>
                <w:bCs/>
                <w:color w:val="auto"/>
                <w:sz w:val="21"/>
                <w:szCs w:val="21"/>
                <w:lang w:val="en-US" w:eastAsia="zh-CN"/>
              </w:rPr>
              <w:t>6</w:t>
            </w:r>
            <w:r>
              <w:rPr>
                <w:rFonts w:hint="default" w:ascii="Times New Roman" w:hAnsi="Times New Roman" w:cs="Times New Roman" w:eastAsiaTheme="minorEastAsia"/>
                <w:b/>
                <w:bCs/>
                <w:color w:val="auto"/>
                <w:sz w:val="21"/>
                <w:szCs w:val="21"/>
              </w:rPr>
              <w:t xml:space="preserve">   地表水环境现状评价表（Pi）</w:t>
            </w:r>
          </w:p>
          <w:tbl>
            <w:tblPr>
              <w:tblStyle w:val="23"/>
              <w:tblW w:w="8522" w:type="dxa"/>
              <w:jc w:val="center"/>
              <w:tblBorders>
                <w:top w:val="single" w:color="auto" w:sz="12" w:space="0"/>
                <w:left w:val="none" w:color="auto" w:sz="0" w:space="0"/>
                <w:bottom w:val="single" w:color="auto" w:sz="12" w:space="0"/>
                <w:right w:val="none" w:color="auto" w:sz="0" w:space="0"/>
                <w:insideH w:val="single" w:color="auto" w:sz="8" w:space="0"/>
                <w:insideV w:val="single" w:color="auto" w:sz="4" w:space="0"/>
              </w:tblBorders>
              <w:tblLayout w:type="fixed"/>
              <w:tblCellMar>
                <w:top w:w="0" w:type="dxa"/>
                <w:left w:w="108" w:type="dxa"/>
                <w:bottom w:w="0" w:type="dxa"/>
                <w:right w:w="108" w:type="dxa"/>
              </w:tblCellMar>
            </w:tblPr>
            <w:tblGrid>
              <w:gridCol w:w="1371"/>
              <w:gridCol w:w="1098"/>
              <w:gridCol w:w="1236"/>
              <w:gridCol w:w="1375"/>
              <w:gridCol w:w="1103"/>
              <w:gridCol w:w="1236"/>
              <w:gridCol w:w="1103"/>
            </w:tblGrid>
            <w:tr w14:paraId="7B4C8C09">
              <w:tblPrEx>
                <w:tblBorders>
                  <w:top w:val="single" w:color="auto" w:sz="12" w:space="0"/>
                  <w:left w:val="none" w:color="auto" w:sz="0" w:space="0"/>
                  <w:bottom w:val="single" w:color="auto" w:sz="12" w:space="0"/>
                  <w:right w:val="none" w:color="auto" w:sz="0" w:space="0"/>
                  <w:insideH w:val="single" w:color="auto" w:sz="8" w:space="0"/>
                  <w:insideV w:val="single" w:color="auto" w:sz="4" w:space="0"/>
                </w:tblBorders>
                <w:tblCellMar>
                  <w:top w:w="0" w:type="dxa"/>
                  <w:left w:w="108" w:type="dxa"/>
                  <w:bottom w:w="0" w:type="dxa"/>
                  <w:right w:w="108" w:type="dxa"/>
                </w:tblCellMar>
              </w:tblPrEx>
              <w:trPr>
                <w:trHeight w:val="312" w:hRule="atLeast"/>
                <w:jc w:val="center"/>
              </w:trPr>
              <w:tc>
                <w:tcPr>
                  <w:tcW w:w="1371" w:type="dxa"/>
                  <w:vMerge w:val="restart"/>
                  <w:shd w:val="clear" w:color="auto" w:fill="auto"/>
                  <w:vAlign w:val="center"/>
                </w:tcPr>
                <w:p w14:paraId="12298E8E">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项目</w:t>
                  </w:r>
                </w:p>
              </w:tc>
              <w:tc>
                <w:tcPr>
                  <w:tcW w:w="1098" w:type="dxa"/>
                  <w:vMerge w:val="restart"/>
                  <w:shd w:val="clear" w:color="auto" w:fill="auto"/>
                  <w:vAlign w:val="center"/>
                </w:tcPr>
                <w:p w14:paraId="6BD35457">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pH</w:t>
                  </w:r>
                </w:p>
              </w:tc>
              <w:tc>
                <w:tcPr>
                  <w:tcW w:w="1236" w:type="dxa"/>
                  <w:vMerge w:val="restart"/>
                  <w:shd w:val="clear" w:color="auto" w:fill="auto"/>
                  <w:vAlign w:val="center"/>
                </w:tcPr>
                <w:p w14:paraId="37B0CF04">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COD</w:t>
                  </w:r>
                </w:p>
              </w:tc>
              <w:tc>
                <w:tcPr>
                  <w:tcW w:w="1375" w:type="dxa"/>
                  <w:vMerge w:val="restart"/>
                  <w:shd w:val="clear" w:color="auto" w:fill="auto"/>
                  <w:vAlign w:val="center"/>
                </w:tcPr>
                <w:p w14:paraId="4A94BF62">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BOD5</w:t>
                  </w:r>
                </w:p>
              </w:tc>
              <w:tc>
                <w:tcPr>
                  <w:tcW w:w="1103" w:type="dxa"/>
                  <w:vMerge w:val="restart"/>
                  <w:shd w:val="clear" w:color="auto" w:fill="auto"/>
                  <w:vAlign w:val="center"/>
                </w:tcPr>
                <w:p w14:paraId="5B12BD24">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氨氮</w:t>
                  </w:r>
                </w:p>
              </w:tc>
              <w:tc>
                <w:tcPr>
                  <w:tcW w:w="1236" w:type="dxa"/>
                  <w:vMerge w:val="restart"/>
                  <w:shd w:val="clear" w:color="auto" w:fill="auto"/>
                  <w:vAlign w:val="center"/>
                </w:tcPr>
                <w:p w14:paraId="55FEEF7F">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石油类</w:t>
                  </w:r>
                </w:p>
              </w:tc>
              <w:tc>
                <w:tcPr>
                  <w:tcW w:w="1103" w:type="dxa"/>
                  <w:vMerge w:val="restart"/>
                  <w:shd w:val="clear" w:color="auto" w:fill="auto"/>
                  <w:vAlign w:val="center"/>
                </w:tcPr>
                <w:p w14:paraId="222B1E8E">
                  <w:pPr>
                    <w:widowControl/>
                    <w:jc w:val="center"/>
                    <w:rPr>
                      <w:rFonts w:hint="default" w:ascii="Times New Roman" w:hAnsi="Times New Roman" w:cs="Times New Roman"/>
                      <w:b/>
                      <w:bCs/>
                      <w:color w:val="auto"/>
                      <w:kern w:val="0"/>
                      <w:sz w:val="21"/>
                      <w:szCs w:val="21"/>
                    </w:rPr>
                  </w:pPr>
                  <w:r>
                    <w:rPr>
                      <w:rFonts w:hint="default" w:ascii="Times New Roman" w:hAnsi="Times New Roman" w:cs="Times New Roman"/>
                      <w:b/>
                      <w:bCs/>
                      <w:color w:val="auto"/>
                      <w:kern w:val="0"/>
                      <w:sz w:val="21"/>
                      <w:szCs w:val="21"/>
                    </w:rPr>
                    <w:t>粪大肠菌群</w:t>
                  </w:r>
                </w:p>
              </w:tc>
            </w:tr>
            <w:tr w14:paraId="41FA213A">
              <w:tblPrEx>
                <w:tblBorders>
                  <w:top w:val="single" w:color="auto" w:sz="12" w:space="0"/>
                  <w:left w:val="none" w:color="auto" w:sz="0" w:space="0"/>
                  <w:bottom w:val="single" w:color="auto" w:sz="12" w:space="0"/>
                  <w:right w:val="none" w:color="auto" w:sz="0" w:space="0"/>
                  <w:insideH w:val="single" w:color="auto" w:sz="8" w:space="0"/>
                  <w:insideV w:val="single" w:color="auto" w:sz="4" w:space="0"/>
                </w:tblBorders>
                <w:tblCellMar>
                  <w:top w:w="0" w:type="dxa"/>
                  <w:left w:w="108" w:type="dxa"/>
                  <w:bottom w:w="0" w:type="dxa"/>
                  <w:right w:w="108" w:type="dxa"/>
                </w:tblCellMar>
              </w:tblPrEx>
              <w:trPr>
                <w:trHeight w:val="312" w:hRule="atLeast"/>
                <w:jc w:val="center"/>
              </w:trPr>
              <w:tc>
                <w:tcPr>
                  <w:tcW w:w="1371" w:type="dxa"/>
                  <w:vMerge w:val="continue"/>
                  <w:shd w:val="clear" w:color="auto" w:fill="auto"/>
                  <w:vAlign w:val="center"/>
                </w:tcPr>
                <w:p w14:paraId="10A3E210">
                  <w:pPr>
                    <w:widowControl/>
                    <w:jc w:val="center"/>
                    <w:rPr>
                      <w:rFonts w:hint="default" w:ascii="Times New Roman" w:hAnsi="Times New Roman" w:cs="Times New Roman"/>
                      <w:b/>
                      <w:bCs/>
                      <w:color w:val="auto"/>
                      <w:kern w:val="0"/>
                      <w:sz w:val="21"/>
                      <w:szCs w:val="21"/>
                    </w:rPr>
                  </w:pPr>
                </w:p>
              </w:tc>
              <w:tc>
                <w:tcPr>
                  <w:tcW w:w="1098" w:type="dxa"/>
                  <w:vMerge w:val="continue"/>
                  <w:shd w:val="clear" w:color="auto" w:fill="auto"/>
                  <w:vAlign w:val="center"/>
                </w:tcPr>
                <w:p w14:paraId="496E0697">
                  <w:pPr>
                    <w:widowControl/>
                    <w:jc w:val="center"/>
                    <w:rPr>
                      <w:rFonts w:hint="default" w:ascii="Times New Roman" w:hAnsi="Times New Roman" w:cs="Times New Roman"/>
                      <w:b/>
                      <w:bCs/>
                      <w:color w:val="auto"/>
                      <w:kern w:val="0"/>
                      <w:sz w:val="21"/>
                      <w:szCs w:val="21"/>
                    </w:rPr>
                  </w:pPr>
                </w:p>
              </w:tc>
              <w:tc>
                <w:tcPr>
                  <w:tcW w:w="1236" w:type="dxa"/>
                  <w:vMerge w:val="continue"/>
                  <w:shd w:val="clear" w:color="auto" w:fill="auto"/>
                  <w:vAlign w:val="center"/>
                </w:tcPr>
                <w:p w14:paraId="4C903BAD">
                  <w:pPr>
                    <w:widowControl/>
                    <w:jc w:val="center"/>
                    <w:rPr>
                      <w:rFonts w:hint="default" w:ascii="Times New Roman" w:hAnsi="Times New Roman" w:cs="Times New Roman"/>
                      <w:b/>
                      <w:bCs/>
                      <w:color w:val="auto"/>
                      <w:kern w:val="0"/>
                      <w:sz w:val="21"/>
                      <w:szCs w:val="21"/>
                    </w:rPr>
                  </w:pPr>
                </w:p>
              </w:tc>
              <w:tc>
                <w:tcPr>
                  <w:tcW w:w="1375" w:type="dxa"/>
                  <w:vMerge w:val="continue"/>
                  <w:shd w:val="clear" w:color="auto" w:fill="auto"/>
                  <w:vAlign w:val="center"/>
                </w:tcPr>
                <w:p w14:paraId="23CAEAAA">
                  <w:pPr>
                    <w:widowControl/>
                    <w:jc w:val="center"/>
                    <w:rPr>
                      <w:rFonts w:hint="default" w:ascii="Times New Roman" w:hAnsi="Times New Roman" w:cs="Times New Roman"/>
                      <w:b/>
                      <w:bCs/>
                      <w:color w:val="auto"/>
                      <w:kern w:val="0"/>
                      <w:sz w:val="21"/>
                      <w:szCs w:val="21"/>
                    </w:rPr>
                  </w:pPr>
                </w:p>
              </w:tc>
              <w:tc>
                <w:tcPr>
                  <w:tcW w:w="1103" w:type="dxa"/>
                  <w:vMerge w:val="continue"/>
                  <w:shd w:val="clear" w:color="auto" w:fill="auto"/>
                  <w:vAlign w:val="center"/>
                </w:tcPr>
                <w:p w14:paraId="58774A11">
                  <w:pPr>
                    <w:widowControl/>
                    <w:jc w:val="center"/>
                    <w:rPr>
                      <w:rFonts w:hint="default" w:ascii="Times New Roman" w:hAnsi="Times New Roman" w:cs="Times New Roman"/>
                      <w:b/>
                      <w:bCs/>
                      <w:color w:val="auto"/>
                      <w:kern w:val="0"/>
                      <w:sz w:val="21"/>
                      <w:szCs w:val="21"/>
                    </w:rPr>
                  </w:pPr>
                </w:p>
              </w:tc>
              <w:tc>
                <w:tcPr>
                  <w:tcW w:w="1236" w:type="dxa"/>
                  <w:vMerge w:val="continue"/>
                  <w:shd w:val="clear" w:color="auto" w:fill="auto"/>
                  <w:vAlign w:val="center"/>
                </w:tcPr>
                <w:p w14:paraId="1A9D1A67">
                  <w:pPr>
                    <w:widowControl/>
                    <w:jc w:val="center"/>
                    <w:rPr>
                      <w:rFonts w:hint="default" w:ascii="Times New Roman" w:hAnsi="Times New Roman" w:cs="Times New Roman"/>
                      <w:b/>
                      <w:bCs/>
                      <w:color w:val="auto"/>
                      <w:kern w:val="0"/>
                      <w:sz w:val="21"/>
                      <w:szCs w:val="21"/>
                    </w:rPr>
                  </w:pPr>
                </w:p>
              </w:tc>
              <w:tc>
                <w:tcPr>
                  <w:tcW w:w="1103" w:type="dxa"/>
                  <w:vMerge w:val="continue"/>
                  <w:shd w:val="clear" w:color="auto" w:fill="auto"/>
                  <w:vAlign w:val="center"/>
                </w:tcPr>
                <w:p w14:paraId="13FFA355">
                  <w:pPr>
                    <w:widowControl/>
                    <w:jc w:val="center"/>
                    <w:rPr>
                      <w:rFonts w:hint="default" w:ascii="Times New Roman" w:hAnsi="Times New Roman" w:cs="Times New Roman"/>
                      <w:b/>
                      <w:bCs/>
                      <w:color w:val="auto"/>
                      <w:kern w:val="0"/>
                      <w:sz w:val="21"/>
                      <w:szCs w:val="21"/>
                    </w:rPr>
                  </w:pPr>
                </w:p>
              </w:tc>
            </w:tr>
            <w:tr w14:paraId="0DF90B4B">
              <w:tblPrEx>
                <w:tblBorders>
                  <w:top w:val="single" w:color="auto" w:sz="12" w:space="0"/>
                  <w:left w:val="none" w:color="auto" w:sz="0" w:space="0"/>
                  <w:bottom w:val="single" w:color="auto" w:sz="12" w:space="0"/>
                  <w:right w:val="none" w:color="auto" w:sz="0" w:space="0"/>
                  <w:insideH w:val="single" w:color="auto" w:sz="8" w:space="0"/>
                  <w:insideV w:val="single" w:color="auto" w:sz="4" w:space="0"/>
                </w:tblBorders>
                <w:tblCellMar>
                  <w:top w:w="0" w:type="dxa"/>
                  <w:left w:w="108" w:type="dxa"/>
                  <w:bottom w:w="0" w:type="dxa"/>
                  <w:right w:w="108" w:type="dxa"/>
                </w:tblCellMar>
              </w:tblPrEx>
              <w:trPr>
                <w:trHeight w:val="315" w:hRule="atLeast"/>
                <w:jc w:val="center"/>
              </w:trPr>
              <w:tc>
                <w:tcPr>
                  <w:tcW w:w="1371" w:type="dxa"/>
                  <w:shd w:val="clear" w:color="auto" w:fill="auto"/>
                  <w:vAlign w:val="center"/>
                </w:tcPr>
                <w:p w14:paraId="188D6E74">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Min</w:t>
                  </w:r>
                </w:p>
              </w:tc>
              <w:tc>
                <w:tcPr>
                  <w:tcW w:w="1098" w:type="dxa"/>
                  <w:shd w:val="clear" w:color="auto" w:fill="auto"/>
                  <w:vAlign w:val="center"/>
                </w:tcPr>
                <w:p w14:paraId="44B65816">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0.45</w:t>
                  </w:r>
                </w:p>
              </w:tc>
              <w:tc>
                <w:tcPr>
                  <w:tcW w:w="1236" w:type="dxa"/>
                  <w:shd w:val="clear" w:color="auto" w:fill="auto"/>
                  <w:vAlign w:val="center"/>
                </w:tcPr>
                <w:p w14:paraId="5D9D71E1">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0.89</w:t>
                  </w:r>
                </w:p>
              </w:tc>
              <w:tc>
                <w:tcPr>
                  <w:tcW w:w="1375" w:type="dxa"/>
                  <w:shd w:val="clear" w:color="auto" w:fill="auto"/>
                  <w:vAlign w:val="center"/>
                </w:tcPr>
                <w:p w14:paraId="47ADD868">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0.75</w:t>
                  </w:r>
                </w:p>
              </w:tc>
              <w:tc>
                <w:tcPr>
                  <w:tcW w:w="1103" w:type="dxa"/>
                  <w:shd w:val="clear" w:color="auto" w:fill="auto"/>
                  <w:vAlign w:val="center"/>
                </w:tcPr>
                <w:p w14:paraId="7656AB78">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0.589</w:t>
                  </w:r>
                </w:p>
              </w:tc>
              <w:tc>
                <w:tcPr>
                  <w:tcW w:w="1236" w:type="dxa"/>
                  <w:shd w:val="clear" w:color="auto" w:fill="auto"/>
                  <w:vAlign w:val="center"/>
                </w:tcPr>
                <w:p w14:paraId="5DB59F9F">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0.2</w:t>
                  </w:r>
                </w:p>
              </w:tc>
              <w:tc>
                <w:tcPr>
                  <w:tcW w:w="1103" w:type="dxa"/>
                  <w:shd w:val="clear" w:color="auto" w:fill="auto"/>
                  <w:vAlign w:val="center"/>
                </w:tcPr>
                <w:p w14:paraId="2FE7673D">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w:t>
                  </w:r>
                </w:p>
              </w:tc>
            </w:tr>
            <w:tr w14:paraId="632A3BC8">
              <w:tblPrEx>
                <w:tblBorders>
                  <w:top w:val="single" w:color="auto" w:sz="12" w:space="0"/>
                  <w:left w:val="none" w:color="auto" w:sz="0" w:space="0"/>
                  <w:bottom w:val="single" w:color="auto" w:sz="12" w:space="0"/>
                  <w:right w:val="none" w:color="auto" w:sz="0" w:space="0"/>
                  <w:insideH w:val="single" w:color="auto" w:sz="8" w:space="0"/>
                  <w:insideV w:val="single" w:color="auto" w:sz="4" w:space="0"/>
                </w:tblBorders>
                <w:tblCellMar>
                  <w:top w:w="0" w:type="dxa"/>
                  <w:left w:w="108" w:type="dxa"/>
                  <w:bottom w:w="0" w:type="dxa"/>
                  <w:right w:w="108" w:type="dxa"/>
                </w:tblCellMar>
              </w:tblPrEx>
              <w:trPr>
                <w:trHeight w:val="315" w:hRule="atLeast"/>
                <w:jc w:val="center"/>
              </w:trPr>
              <w:tc>
                <w:tcPr>
                  <w:tcW w:w="1371" w:type="dxa"/>
                  <w:shd w:val="clear" w:color="auto" w:fill="auto"/>
                  <w:vAlign w:val="center"/>
                </w:tcPr>
                <w:p w14:paraId="64F798A2">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Max</w:t>
                  </w:r>
                </w:p>
              </w:tc>
              <w:tc>
                <w:tcPr>
                  <w:tcW w:w="1098" w:type="dxa"/>
                  <w:shd w:val="clear" w:color="auto" w:fill="auto"/>
                  <w:vAlign w:val="center"/>
                </w:tcPr>
                <w:p w14:paraId="2972972F">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0.5</w:t>
                  </w:r>
                </w:p>
              </w:tc>
              <w:tc>
                <w:tcPr>
                  <w:tcW w:w="1236" w:type="dxa"/>
                  <w:shd w:val="clear" w:color="auto" w:fill="auto"/>
                  <w:vAlign w:val="center"/>
                </w:tcPr>
                <w:p w14:paraId="5F16C317">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0.97</w:t>
                  </w:r>
                </w:p>
              </w:tc>
              <w:tc>
                <w:tcPr>
                  <w:tcW w:w="1375" w:type="dxa"/>
                  <w:shd w:val="clear" w:color="auto" w:fill="auto"/>
                  <w:vAlign w:val="center"/>
                </w:tcPr>
                <w:p w14:paraId="3277B543">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0.95</w:t>
                  </w:r>
                </w:p>
              </w:tc>
              <w:tc>
                <w:tcPr>
                  <w:tcW w:w="1103" w:type="dxa"/>
                  <w:shd w:val="clear" w:color="auto" w:fill="auto"/>
                  <w:vAlign w:val="center"/>
                </w:tcPr>
                <w:p w14:paraId="24E5468F">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0.732</w:t>
                  </w:r>
                </w:p>
              </w:tc>
              <w:tc>
                <w:tcPr>
                  <w:tcW w:w="1236" w:type="dxa"/>
                  <w:shd w:val="clear" w:color="auto" w:fill="auto"/>
                  <w:vAlign w:val="center"/>
                </w:tcPr>
                <w:p w14:paraId="2F29E43D">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0.6</w:t>
                  </w:r>
                </w:p>
              </w:tc>
              <w:tc>
                <w:tcPr>
                  <w:tcW w:w="1103" w:type="dxa"/>
                  <w:shd w:val="clear" w:color="auto" w:fill="auto"/>
                  <w:vAlign w:val="center"/>
                </w:tcPr>
                <w:p w14:paraId="22C2F36D">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w:t>
                  </w:r>
                </w:p>
              </w:tc>
            </w:tr>
            <w:tr w14:paraId="554526D6">
              <w:tblPrEx>
                <w:tblBorders>
                  <w:top w:val="single" w:color="auto" w:sz="12" w:space="0"/>
                  <w:left w:val="none" w:color="auto" w:sz="0" w:space="0"/>
                  <w:bottom w:val="single" w:color="auto" w:sz="12" w:space="0"/>
                  <w:right w:val="none" w:color="auto" w:sz="0" w:space="0"/>
                  <w:insideH w:val="single" w:color="auto" w:sz="8" w:space="0"/>
                  <w:insideV w:val="single" w:color="auto" w:sz="4" w:space="0"/>
                </w:tblBorders>
                <w:tblCellMar>
                  <w:top w:w="0" w:type="dxa"/>
                  <w:left w:w="108" w:type="dxa"/>
                  <w:bottom w:w="0" w:type="dxa"/>
                  <w:right w:w="108" w:type="dxa"/>
                </w:tblCellMar>
              </w:tblPrEx>
              <w:trPr>
                <w:trHeight w:val="315" w:hRule="atLeast"/>
                <w:jc w:val="center"/>
              </w:trPr>
              <w:tc>
                <w:tcPr>
                  <w:tcW w:w="1371" w:type="dxa"/>
                  <w:shd w:val="clear" w:color="auto" w:fill="auto"/>
                  <w:vAlign w:val="center"/>
                </w:tcPr>
                <w:p w14:paraId="7CB7D1BB">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标准*</w:t>
                  </w:r>
                </w:p>
              </w:tc>
              <w:tc>
                <w:tcPr>
                  <w:tcW w:w="1098" w:type="dxa"/>
                  <w:shd w:val="clear" w:color="auto" w:fill="auto"/>
                  <w:vAlign w:val="center"/>
                </w:tcPr>
                <w:p w14:paraId="60A12878">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6~9</w:t>
                  </w:r>
                </w:p>
              </w:tc>
              <w:tc>
                <w:tcPr>
                  <w:tcW w:w="1236" w:type="dxa"/>
                  <w:shd w:val="clear" w:color="auto" w:fill="auto"/>
                  <w:vAlign w:val="center"/>
                </w:tcPr>
                <w:p w14:paraId="03EC323B">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≤20</w:t>
                  </w:r>
                </w:p>
              </w:tc>
              <w:tc>
                <w:tcPr>
                  <w:tcW w:w="1375" w:type="dxa"/>
                  <w:shd w:val="clear" w:color="auto" w:fill="auto"/>
                  <w:vAlign w:val="center"/>
                </w:tcPr>
                <w:p w14:paraId="397C3C5A">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≤4</w:t>
                  </w:r>
                </w:p>
              </w:tc>
              <w:tc>
                <w:tcPr>
                  <w:tcW w:w="1103" w:type="dxa"/>
                  <w:shd w:val="clear" w:color="auto" w:fill="auto"/>
                  <w:vAlign w:val="center"/>
                </w:tcPr>
                <w:p w14:paraId="2BCC85C5">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w:t>
                  </w:r>
                </w:p>
              </w:tc>
              <w:tc>
                <w:tcPr>
                  <w:tcW w:w="1236" w:type="dxa"/>
                  <w:shd w:val="clear" w:color="auto" w:fill="auto"/>
                  <w:vAlign w:val="center"/>
                </w:tcPr>
                <w:p w14:paraId="149CE897">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≤0.05</w:t>
                  </w:r>
                </w:p>
              </w:tc>
              <w:tc>
                <w:tcPr>
                  <w:tcW w:w="1103" w:type="dxa"/>
                  <w:shd w:val="clear" w:color="auto" w:fill="auto"/>
                  <w:vAlign w:val="center"/>
                </w:tcPr>
                <w:p w14:paraId="19100E78">
                  <w:pPr>
                    <w:widowControl/>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10000</w:t>
                  </w:r>
                </w:p>
              </w:tc>
            </w:tr>
          </w:tbl>
          <w:p w14:paraId="2BD790EC">
            <w:pPr>
              <w:pStyle w:val="62"/>
              <w:jc w:val="both"/>
              <w:rPr>
                <w:rFonts w:hint="default" w:ascii="Times New Roman" w:hAnsi="Times New Roman" w:cs="Times New Roman"/>
                <w:color w:val="auto"/>
                <w:sz w:val="18"/>
                <w:szCs w:val="18"/>
              </w:rPr>
            </w:pPr>
            <w:r>
              <w:rPr>
                <w:rFonts w:hint="default" w:ascii="Times New Roman" w:hAnsi="Times New Roman" w:cs="Times New Roman"/>
                <w:color w:val="auto"/>
                <w:sz w:val="18"/>
                <w:szCs w:val="18"/>
              </w:rPr>
              <w:t>注：</w:t>
            </w:r>
            <w:r>
              <w:rPr>
                <w:rFonts w:hint="default" w:ascii="Times New Roman" w:hAnsi="Times New Roman" w:cs="Times New Roman"/>
                <w:color w:val="auto"/>
                <w:sz w:val="18"/>
                <w:szCs w:val="18"/>
              </w:rPr>
              <w:fldChar w:fldCharType="begin"/>
            </w:r>
            <w:r>
              <w:rPr>
                <w:rFonts w:hint="default" w:ascii="Times New Roman" w:hAnsi="Times New Roman" w:cs="Times New Roman"/>
                <w:color w:val="auto"/>
                <w:sz w:val="18"/>
                <w:szCs w:val="18"/>
              </w:rPr>
              <w:instrText xml:space="preserve"> = 1 \* GB3 </w:instrText>
            </w:r>
            <w:r>
              <w:rPr>
                <w:rFonts w:hint="default" w:ascii="Times New Roman" w:hAnsi="Times New Roman" w:cs="Times New Roman"/>
                <w:color w:val="auto"/>
                <w:sz w:val="18"/>
                <w:szCs w:val="18"/>
              </w:rPr>
              <w:fldChar w:fldCharType="separate"/>
            </w:r>
            <w:r>
              <w:rPr>
                <w:rFonts w:hint="default" w:ascii="Times New Roman" w:hAnsi="Times New Roman" w:cs="Times New Roman"/>
                <w:color w:val="auto"/>
                <w:sz w:val="18"/>
                <w:szCs w:val="18"/>
              </w:rPr>
              <w:t>①</w:t>
            </w:r>
            <w:r>
              <w:rPr>
                <w:rFonts w:hint="default" w:ascii="Times New Roman" w:hAnsi="Times New Roman" w:cs="Times New Roman"/>
                <w:color w:val="auto"/>
                <w:sz w:val="18"/>
                <w:szCs w:val="18"/>
              </w:rPr>
              <w:fldChar w:fldCharType="end"/>
            </w:r>
            <w:r>
              <w:rPr>
                <w:rFonts w:hint="default" w:ascii="Times New Roman" w:hAnsi="Times New Roman" w:cs="Times New Roman"/>
                <w:color w:val="auto"/>
                <w:sz w:val="18"/>
                <w:szCs w:val="18"/>
              </w:rPr>
              <w:t>除pH无单位外，其它项目浓度单位mg/L；</w:t>
            </w:r>
          </w:p>
          <w:p w14:paraId="7A7BC481">
            <w:pPr>
              <w:pStyle w:val="62"/>
              <w:spacing w:before="0" w:after="0"/>
              <w:ind w:firstLine="360" w:firstLineChars="200"/>
              <w:jc w:val="both"/>
              <w:rPr>
                <w:rFonts w:hint="default" w:ascii="Times New Roman" w:hAnsi="Times New Roman" w:cs="Times New Roman"/>
                <w:color w:val="auto"/>
                <w:sz w:val="18"/>
                <w:szCs w:val="18"/>
              </w:rPr>
            </w:pPr>
            <w:r>
              <w:rPr>
                <w:rFonts w:hint="default" w:ascii="Times New Roman" w:hAnsi="Times New Roman" w:cs="Times New Roman"/>
                <w:color w:val="auto"/>
                <w:sz w:val="18"/>
                <w:szCs w:val="18"/>
              </w:rPr>
              <w:fldChar w:fldCharType="begin"/>
            </w:r>
            <w:r>
              <w:rPr>
                <w:rFonts w:hint="default" w:ascii="Times New Roman" w:hAnsi="Times New Roman" w:cs="Times New Roman"/>
                <w:color w:val="auto"/>
                <w:sz w:val="18"/>
                <w:szCs w:val="18"/>
              </w:rPr>
              <w:instrText xml:space="preserve"> = 2 \* GB3 </w:instrText>
            </w:r>
            <w:r>
              <w:rPr>
                <w:rFonts w:hint="default" w:ascii="Times New Roman" w:hAnsi="Times New Roman" w:cs="Times New Roman"/>
                <w:color w:val="auto"/>
                <w:sz w:val="18"/>
                <w:szCs w:val="18"/>
              </w:rPr>
              <w:fldChar w:fldCharType="separate"/>
            </w:r>
            <w:r>
              <w:rPr>
                <w:rFonts w:hint="default" w:ascii="Times New Roman" w:hAnsi="Times New Roman" w:cs="Times New Roman"/>
                <w:color w:val="auto"/>
                <w:sz w:val="18"/>
                <w:szCs w:val="18"/>
              </w:rPr>
              <w:t>②</w:t>
            </w:r>
            <w:r>
              <w:rPr>
                <w:rFonts w:hint="default" w:ascii="Times New Roman" w:hAnsi="Times New Roman" w:cs="Times New Roman"/>
                <w:color w:val="auto"/>
                <w:sz w:val="18"/>
                <w:szCs w:val="18"/>
              </w:rPr>
              <w:fldChar w:fldCharType="end"/>
            </w:r>
            <w:r>
              <w:rPr>
                <w:rFonts w:hint="default" w:ascii="Times New Roman" w:hAnsi="Times New Roman" w:cs="Times New Roman"/>
                <w:color w:val="auto"/>
                <w:sz w:val="18"/>
                <w:szCs w:val="18"/>
              </w:rPr>
              <w:t xml:space="preserve">执行《地表水环境质量标准》（GB 3838-2002） </w:t>
            </w:r>
            <w:r>
              <w:rPr>
                <w:rFonts w:hint="default" w:ascii="Times New Roman" w:hAnsi="Times New Roman" w:cs="Times New Roman"/>
                <w:color w:val="auto"/>
                <w:sz w:val="18"/>
                <w:szCs w:val="18"/>
              </w:rPr>
              <w:fldChar w:fldCharType="begin"/>
            </w:r>
            <w:r>
              <w:rPr>
                <w:rFonts w:hint="default" w:ascii="Times New Roman" w:hAnsi="Times New Roman" w:cs="Times New Roman"/>
                <w:color w:val="auto"/>
                <w:sz w:val="18"/>
                <w:szCs w:val="18"/>
              </w:rPr>
              <w:instrText xml:space="preserve"> = 3 \* ROMAN </w:instrText>
            </w:r>
            <w:r>
              <w:rPr>
                <w:rFonts w:hint="default" w:ascii="Times New Roman" w:hAnsi="Times New Roman" w:cs="Times New Roman"/>
                <w:color w:val="auto"/>
                <w:sz w:val="18"/>
                <w:szCs w:val="18"/>
              </w:rPr>
              <w:fldChar w:fldCharType="separate"/>
            </w:r>
            <w:r>
              <w:rPr>
                <w:rFonts w:hint="default" w:ascii="Times New Roman" w:hAnsi="Times New Roman" w:cs="Times New Roman"/>
                <w:color w:val="auto"/>
                <w:sz w:val="18"/>
                <w:szCs w:val="18"/>
              </w:rPr>
              <w:t>III</w:t>
            </w:r>
            <w:r>
              <w:rPr>
                <w:rFonts w:hint="default" w:ascii="Times New Roman" w:hAnsi="Times New Roman" w:cs="Times New Roman"/>
                <w:color w:val="auto"/>
                <w:sz w:val="18"/>
                <w:szCs w:val="18"/>
              </w:rPr>
              <w:fldChar w:fldCharType="end"/>
            </w:r>
            <w:r>
              <w:rPr>
                <w:rFonts w:hint="default" w:ascii="Times New Roman" w:hAnsi="Times New Roman" w:cs="Times New Roman"/>
                <w:color w:val="auto"/>
                <w:sz w:val="18"/>
                <w:szCs w:val="18"/>
              </w:rPr>
              <w:t>类水域标准；</w:t>
            </w:r>
          </w:p>
          <w:p w14:paraId="690C45AD">
            <w:pPr>
              <w:pStyle w:val="53"/>
              <w:rPr>
                <w:rFonts w:hint="default" w:ascii="Times New Roman" w:hAnsi="Times New Roman" w:cs="Times New Roman"/>
                <w:color w:val="auto"/>
                <w:szCs w:val="24"/>
              </w:rPr>
            </w:pPr>
            <w:r>
              <w:rPr>
                <w:rFonts w:hint="default" w:ascii="Times New Roman" w:hAnsi="Times New Roman" w:cs="Times New Roman"/>
                <w:color w:val="auto"/>
              </w:rPr>
              <w:t>琼江河地表水环境质量现状监测的评价结果见表</w:t>
            </w:r>
            <w:r>
              <w:rPr>
                <w:rFonts w:hint="default" w:ascii="Times New Roman" w:hAnsi="Times New Roman" w:cs="Times New Roman"/>
                <w:color w:val="auto"/>
                <w:lang w:val="en-US" w:eastAsia="zh-CN"/>
              </w:rPr>
              <w:t>3</w:t>
            </w:r>
            <w:r>
              <w:rPr>
                <w:rFonts w:hint="default" w:ascii="Times New Roman" w:hAnsi="Times New Roman" w:cs="Times New Roman"/>
                <w:color w:val="auto"/>
              </w:rPr>
              <w:t>-6。由表中可见：监测期间，本项目所在区域地表水琼江河监测断面所监测的因子pH、COD、BOD</w:t>
            </w:r>
            <w:r>
              <w:rPr>
                <w:rFonts w:hint="default" w:ascii="Times New Roman" w:hAnsi="Times New Roman" w:cs="Times New Roman"/>
                <w:color w:val="auto"/>
                <w:vertAlign w:val="subscript"/>
              </w:rPr>
              <w:t>5</w:t>
            </w:r>
            <w:r>
              <w:rPr>
                <w:rFonts w:hint="default" w:ascii="Times New Roman" w:hAnsi="Times New Roman" w:cs="Times New Roman"/>
                <w:color w:val="auto"/>
              </w:rPr>
              <w:t>、氨氮、石油类、粪大肠菌群Pi值均小于1，均能达到《地表水环境质量标准》（GB3838-2002）</w:t>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 3 \* ROMAN </w:instrText>
            </w:r>
            <w:r>
              <w:rPr>
                <w:rFonts w:hint="default" w:ascii="Times New Roman" w:hAnsi="Times New Roman" w:cs="Times New Roman"/>
                <w:color w:val="auto"/>
              </w:rPr>
              <w:fldChar w:fldCharType="separate"/>
            </w:r>
            <w:r>
              <w:rPr>
                <w:rFonts w:hint="default" w:ascii="Times New Roman" w:hAnsi="Times New Roman" w:cs="Times New Roman"/>
                <w:color w:val="auto"/>
              </w:rPr>
              <w:t>III</w:t>
            </w:r>
            <w:r>
              <w:rPr>
                <w:rFonts w:hint="default" w:ascii="Times New Roman" w:hAnsi="Times New Roman" w:cs="Times New Roman"/>
                <w:color w:val="auto"/>
              </w:rPr>
              <w:fldChar w:fldCharType="end"/>
            </w:r>
            <w:r>
              <w:rPr>
                <w:rFonts w:hint="default" w:ascii="Times New Roman" w:hAnsi="Times New Roman" w:cs="Times New Roman"/>
                <w:color w:val="auto"/>
              </w:rPr>
              <w:t>类水域标准的要求，项目区域地表水环境质量良好</w:t>
            </w:r>
            <w:r>
              <w:rPr>
                <w:rFonts w:hint="default" w:ascii="Times New Roman" w:hAnsi="Times New Roman" w:cs="Times New Roman"/>
                <w:color w:val="auto"/>
                <w:szCs w:val="24"/>
              </w:rPr>
              <w:t>。</w:t>
            </w:r>
          </w:p>
          <w:p w14:paraId="78C9CA8B">
            <w:pPr>
              <w:spacing w:line="360" w:lineRule="auto"/>
              <w:rPr>
                <w:rFonts w:hint="default" w:ascii="Times New Roman" w:hAnsi="Times New Roman" w:eastAsia="黑体" w:cs="Times New Roman"/>
                <w:color w:val="auto"/>
                <w:sz w:val="28"/>
                <w:szCs w:val="28"/>
              </w:rPr>
            </w:pPr>
            <w:r>
              <w:rPr>
                <w:rFonts w:hint="default" w:ascii="Times New Roman" w:hAnsi="Times New Roman" w:eastAsia="黑体" w:cs="Times New Roman"/>
                <w:color w:val="auto"/>
                <w:sz w:val="28"/>
                <w:szCs w:val="28"/>
              </w:rPr>
              <w:t>三、声环境质量现状评价</w:t>
            </w:r>
          </w:p>
          <w:p w14:paraId="15949033">
            <w:pPr>
              <w:spacing w:line="360" w:lineRule="auto"/>
              <w:ind w:firstLine="480" w:firstLineChars="200"/>
              <w:rPr>
                <w:rFonts w:hint="default" w:ascii="Times New Roman" w:hAnsi="Times New Roman" w:cs="Times New Roman"/>
                <w:color w:val="auto"/>
                <w:sz w:val="24"/>
                <w:lang w:val="zh-CN"/>
              </w:rPr>
            </w:pPr>
            <w:r>
              <w:rPr>
                <w:rFonts w:hint="default" w:ascii="Times New Roman" w:hAnsi="Times New Roman" w:cs="Times New Roman"/>
                <w:color w:val="auto"/>
                <w:sz w:val="24"/>
                <w:lang w:val="zh-CN"/>
              </w:rPr>
              <w:t>为了解本项目区域声环境质量现状，本项目委托</w:t>
            </w:r>
            <w:r>
              <w:rPr>
                <w:rFonts w:hint="default" w:ascii="Times New Roman" w:hAnsi="Times New Roman" w:cs="Times New Roman"/>
                <w:color w:val="auto"/>
                <w:sz w:val="24"/>
                <w:lang w:eastAsia="zh-CN"/>
              </w:rPr>
              <w:t>四川衡测检测技术股份有限公司</w:t>
            </w:r>
            <w:r>
              <w:rPr>
                <w:rFonts w:hint="default" w:ascii="Times New Roman" w:hAnsi="Times New Roman" w:cs="Times New Roman"/>
                <w:color w:val="auto"/>
                <w:sz w:val="24"/>
                <w:lang w:val="zh-CN"/>
              </w:rPr>
              <w:t>于201</w:t>
            </w:r>
            <w:r>
              <w:rPr>
                <w:rFonts w:hint="default" w:ascii="Times New Roman" w:hAnsi="Times New Roman" w:cs="Times New Roman"/>
                <w:color w:val="auto"/>
                <w:sz w:val="24"/>
                <w:lang w:val="en-US" w:eastAsia="zh-CN"/>
              </w:rPr>
              <w:t>8</w:t>
            </w:r>
            <w:r>
              <w:rPr>
                <w:rFonts w:hint="default" w:ascii="Times New Roman" w:hAnsi="Times New Roman" w:cs="Times New Roman"/>
                <w:color w:val="auto"/>
                <w:sz w:val="24"/>
                <w:lang w:val="zh-CN"/>
              </w:rPr>
              <w:t>年</w:t>
            </w:r>
            <w:r>
              <w:rPr>
                <w:rFonts w:hint="eastAsia" w:cs="Times New Roman"/>
                <w:color w:val="auto"/>
                <w:sz w:val="24"/>
                <w:lang w:val="en-US" w:eastAsia="zh-CN"/>
              </w:rPr>
              <w:t>6</w:t>
            </w:r>
            <w:r>
              <w:rPr>
                <w:rFonts w:hint="default" w:ascii="Times New Roman" w:hAnsi="Times New Roman" w:cs="Times New Roman"/>
                <w:color w:val="auto"/>
                <w:sz w:val="24"/>
                <w:lang w:val="zh-CN"/>
              </w:rPr>
              <w:t>月</w:t>
            </w:r>
            <w:r>
              <w:rPr>
                <w:rFonts w:hint="eastAsia" w:cs="Times New Roman"/>
                <w:color w:val="auto"/>
                <w:sz w:val="24"/>
                <w:lang w:val="en-US" w:eastAsia="zh-CN"/>
              </w:rPr>
              <w:t>6</w:t>
            </w:r>
            <w:r>
              <w:rPr>
                <w:rFonts w:hint="default" w:ascii="Times New Roman" w:hAnsi="Times New Roman" w:cs="Times New Roman"/>
                <w:color w:val="auto"/>
                <w:sz w:val="24"/>
                <w:lang w:val="zh-CN"/>
              </w:rPr>
              <w:t>日</w:t>
            </w:r>
            <w:r>
              <w:rPr>
                <w:rFonts w:hint="default" w:ascii="Times New Roman" w:hAnsi="Times New Roman" w:cs="Times New Roman"/>
                <w:color w:val="auto"/>
                <w:sz w:val="24"/>
                <w:lang w:val="en-US" w:eastAsia="zh-CN"/>
              </w:rPr>
              <w:t>~2018年</w:t>
            </w:r>
            <w:r>
              <w:rPr>
                <w:rFonts w:hint="eastAsia" w:cs="Times New Roman"/>
                <w:color w:val="auto"/>
                <w:sz w:val="24"/>
                <w:lang w:val="en-US" w:eastAsia="zh-CN"/>
              </w:rPr>
              <w:t>6</w:t>
            </w:r>
            <w:r>
              <w:rPr>
                <w:rFonts w:hint="default" w:ascii="Times New Roman" w:hAnsi="Times New Roman" w:cs="Times New Roman"/>
                <w:color w:val="auto"/>
                <w:sz w:val="24"/>
                <w:lang w:val="en-US" w:eastAsia="zh-CN"/>
              </w:rPr>
              <w:t>月</w:t>
            </w:r>
            <w:r>
              <w:rPr>
                <w:rFonts w:hint="eastAsia" w:cs="Times New Roman"/>
                <w:color w:val="auto"/>
                <w:sz w:val="24"/>
                <w:lang w:val="en-US" w:eastAsia="zh-CN"/>
              </w:rPr>
              <w:t>7</w:t>
            </w:r>
            <w:r>
              <w:rPr>
                <w:rFonts w:hint="default" w:ascii="Times New Roman" w:hAnsi="Times New Roman" w:cs="Times New Roman"/>
                <w:color w:val="auto"/>
                <w:sz w:val="24"/>
                <w:lang w:val="en-US" w:eastAsia="zh-CN"/>
              </w:rPr>
              <w:t>日</w:t>
            </w:r>
            <w:r>
              <w:rPr>
                <w:rFonts w:hint="default" w:ascii="Times New Roman" w:hAnsi="Times New Roman" w:cs="Times New Roman"/>
                <w:color w:val="auto"/>
                <w:sz w:val="24"/>
                <w:lang w:val="zh-CN"/>
              </w:rPr>
              <w:t>对厂界噪声进行了监测。</w:t>
            </w:r>
          </w:p>
          <w:p w14:paraId="466FC44C">
            <w:pPr>
              <w:snapToGrid w:val="0"/>
              <w:spacing w:line="360" w:lineRule="auto"/>
              <w:ind w:firstLine="482" w:firstLineChars="200"/>
              <w:rPr>
                <w:rFonts w:hint="default" w:ascii="Times New Roman" w:hAnsi="Times New Roman" w:cs="Times New Roman"/>
                <w:b/>
                <w:color w:val="auto"/>
                <w:sz w:val="24"/>
              </w:rPr>
            </w:pPr>
            <w:r>
              <w:rPr>
                <w:rFonts w:hint="default" w:ascii="Times New Roman" w:hAnsi="Times New Roman" w:cs="Times New Roman"/>
                <w:b/>
                <w:color w:val="auto"/>
                <w:sz w:val="24"/>
              </w:rPr>
              <w:t>1、声环境质量现状监测</w:t>
            </w:r>
          </w:p>
          <w:p w14:paraId="2A46FC4C">
            <w:pPr>
              <w:snapToGrid w:val="0"/>
              <w:spacing w:line="360" w:lineRule="auto"/>
              <w:ind w:firstLine="361" w:firstLineChars="150"/>
              <w:rPr>
                <w:rFonts w:hint="default" w:ascii="Times New Roman" w:hAnsi="Times New Roman" w:cs="Times New Roman"/>
                <w:b/>
                <w:color w:val="auto"/>
                <w:sz w:val="24"/>
              </w:rPr>
            </w:pPr>
            <w:r>
              <w:rPr>
                <w:rFonts w:hint="default" w:ascii="Times New Roman" w:hAnsi="Times New Roman" w:cs="Times New Roman"/>
                <w:b/>
                <w:color w:val="auto"/>
                <w:sz w:val="24"/>
              </w:rPr>
              <w:t>（1）监测点位</w:t>
            </w:r>
          </w:p>
          <w:p w14:paraId="3117E529">
            <w:pPr>
              <w:snapToGrid w:val="0"/>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本次评价在项目厂界共设噪声监测点</w:t>
            </w:r>
            <w:r>
              <w:rPr>
                <w:rFonts w:hint="default" w:ascii="Times New Roman" w:hAnsi="Times New Roman" w:cs="Times New Roman"/>
                <w:color w:val="auto"/>
                <w:sz w:val="24"/>
                <w:lang w:val="en-US" w:eastAsia="zh-CN"/>
              </w:rPr>
              <w:t>4</w:t>
            </w:r>
            <w:r>
              <w:rPr>
                <w:rFonts w:hint="default" w:ascii="Times New Roman" w:hAnsi="Times New Roman" w:cs="Times New Roman"/>
                <w:color w:val="auto"/>
                <w:sz w:val="24"/>
              </w:rPr>
              <w:t>个，监测点位置详见表3-</w:t>
            </w:r>
            <w:r>
              <w:rPr>
                <w:rFonts w:hint="default" w:ascii="Times New Roman" w:hAnsi="Times New Roman" w:cs="Times New Roman"/>
                <w:color w:val="auto"/>
                <w:sz w:val="24"/>
                <w:lang w:val="en-US" w:eastAsia="zh-CN"/>
              </w:rPr>
              <w:t>7</w:t>
            </w:r>
            <w:r>
              <w:rPr>
                <w:rFonts w:hint="default" w:ascii="Times New Roman" w:hAnsi="Times New Roman" w:cs="Times New Roman"/>
                <w:color w:val="auto"/>
                <w:sz w:val="24"/>
              </w:rPr>
              <w:t>。</w:t>
            </w:r>
          </w:p>
          <w:p w14:paraId="5CE6BB2C">
            <w:pPr>
              <w:snapToGrid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表3-</w:t>
            </w:r>
            <w:r>
              <w:rPr>
                <w:rFonts w:hint="default" w:ascii="Times New Roman" w:hAnsi="Times New Roman" w:eastAsia="宋体" w:cs="Times New Roman"/>
                <w:b/>
                <w:bCs/>
                <w:color w:val="auto"/>
                <w:sz w:val="21"/>
                <w:szCs w:val="21"/>
                <w:lang w:val="en-US" w:eastAsia="zh-CN"/>
              </w:rPr>
              <w:t>7</w:t>
            </w:r>
            <w:r>
              <w:rPr>
                <w:rFonts w:hint="default" w:ascii="Times New Roman" w:hAnsi="Times New Roman" w:eastAsia="宋体" w:cs="Times New Roman"/>
                <w:b/>
                <w:bCs/>
                <w:color w:val="auto"/>
                <w:sz w:val="21"/>
                <w:szCs w:val="21"/>
              </w:rPr>
              <w:t xml:space="preserve">  噪声监测点位分布表</w:t>
            </w:r>
          </w:p>
          <w:tbl>
            <w:tblPr>
              <w:tblStyle w:val="23"/>
              <w:tblW w:w="9968"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3324"/>
              <w:gridCol w:w="3321"/>
              <w:gridCol w:w="3323"/>
            </w:tblGrid>
            <w:tr w14:paraId="4D0D826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53" w:hRule="atLeast"/>
                <w:tblHeader/>
              </w:trPr>
              <w:tc>
                <w:tcPr>
                  <w:tcW w:w="3324" w:type="dxa"/>
                  <w:vAlign w:val="center"/>
                </w:tcPr>
                <w:p w14:paraId="0DDAB5CB">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序号</w:t>
                  </w:r>
                </w:p>
              </w:tc>
              <w:tc>
                <w:tcPr>
                  <w:tcW w:w="3321" w:type="dxa"/>
                  <w:vAlign w:val="center"/>
                </w:tcPr>
                <w:p w14:paraId="07F97B8C">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编号</w:t>
                  </w:r>
                </w:p>
              </w:tc>
              <w:tc>
                <w:tcPr>
                  <w:tcW w:w="3323" w:type="dxa"/>
                  <w:vAlign w:val="center"/>
                </w:tcPr>
                <w:p w14:paraId="45DC656A">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监测点位置</w:t>
                  </w:r>
                </w:p>
              </w:tc>
            </w:tr>
            <w:tr w14:paraId="69BE600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72" w:hRule="atLeast"/>
              </w:trPr>
              <w:tc>
                <w:tcPr>
                  <w:tcW w:w="3324" w:type="dxa"/>
                  <w:vAlign w:val="center"/>
                </w:tcPr>
                <w:p w14:paraId="0F4BD06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w:t>
                  </w:r>
                </w:p>
              </w:tc>
              <w:tc>
                <w:tcPr>
                  <w:tcW w:w="3321" w:type="dxa"/>
                </w:tcPr>
                <w:p w14:paraId="72D72422">
                  <w:pPr>
                    <w:spacing w:line="276"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w:t>
                  </w:r>
                </w:p>
              </w:tc>
              <w:tc>
                <w:tcPr>
                  <w:tcW w:w="3323" w:type="dxa"/>
                  <w:vAlign w:val="center"/>
                </w:tcPr>
                <w:p w14:paraId="69959E6A">
                  <w:pPr>
                    <w:spacing w:line="276"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项目</w:t>
                  </w:r>
                  <w:r>
                    <w:rPr>
                      <w:rFonts w:hint="eastAsia" w:cs="Times New Roman"/>
                      <w:color w:val="auto"/>
                      <w:kern w:val="0"/>
                      <w:sz w:val="21"/>
                      <w:szCs w:val="21"/>
                      <w:lang w:val="en-US" w:eastAsia="zh-CN"/>
                    </w:rPr>
                    <w:t>东</w:t>
                  </w:r>
                  <w:r>
                    <w:rPr>
                      <w:rFonts w:hint="default" w:ascii="Times New Roman" w:hAnsi="Times New Roman" w:cs="Times New Roman"/>
                      <w:color w:val="auto"/>
                      <w:kern w:val="0"/>
                      <w:sz w:val="21"/>
                      <w:szCs w:val="21"/>
                    </w:rPr>
                    <w:t>侧厂界外1m</w:t>
                  </w:r>
                </w:p>
              </w:tc>
            </w:tr>
            <w:tr w14:paraId="7A26C9B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53" w:hRule="atLeast"/>
              </w:trPr>
              <w:tc>
                <w:tcPr>
                  <w:tcW w:w="3324" w:type="dxa"/>
                  <w:vAlign w:val="center"/>
                </w:tcPr>
                <w:p w14:paraId="1CB61089">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2</w:t>
                  </w:r>
                </w:p>
              </w:tc>
              <w:tc>
                <w:tcPr>
                  <w:tcW w:w="3321" w:type="dxa"/>
                </w:tcPr>
                <w:p w14:paraId="20C1D26E">
                  <w:pPr>
                    <w:spacing w:line="276"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w:t>
                  </w:r>
                </w:p>
              </w:tc>
              <w:tc>
                <w:tcPr>
                  <w:tcW w:w="3323" w:type="dxa"/>
                  <w:vAlign w:val="center"/>
                </w:tcPr>
                <w:p w14:paraId="084EF889">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kern w:val="0"/>
                      <w:sz w:val="21"/>
                      <w:szCs w:val="21"/>
                    </w:rPr>
                    <w:t>项目</w:t>
                  </w:r>
                  <w:r>
                    <w:rPr>
                      <w:rFonts w:hint="eastAsia" w:cs="Times New Roman"/>
                      <w:color w:val="auto"/>
                      <w:kern w:val="0"/>
                      <w:sz w:val="21"/>
                      <w:szCs w:val="21"/>
                      <w:lang w:val="en-US" w:eastAsia="zh-CN"/>
                    </w:rPr>
                    <w:t>南</w:t>
                  </w:r>
                  <w:r>
                    <w:rPr>
                      <w:rFonts w:hint="default" w:ascii="Times New Roman" w:hAnsi="Times New Roman" w:cs="Times New Roman"/>
                      <w:color w:val="auto"/>
                      <w:kern w:val="0"/>
                      <w:sz w:val="21"/>
                      <w:szCs w:val="21"/>
                    </w:rPr>
                    <w:t>侧厂界外1m</w:t>
                  </w:r>
                </w:p>
              </w:tc>
            </w:tr>
            <w:tr w14:paraId="5014AE7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53" w:hRule="atLeast"/>
              </w:trPr>
              <w:tc>
                <w:tcPr>
                  <w:tcW w:w="3324" w:type="dxa"/>
                  <w:vAlign w:val="center"/>
                </w:tcPr>
                <w:p w14:paraId="433C003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3</w:t>
                  </w:r>
                </w:p>
              </w:tc>
              <w:tc>
                <w:tcPr>
                  <w:tcW w:w="3321" w:type="dxa"/>
                </w:tcPr>
                <w:p w14:paraId="167F8624">
                  <w:pPr>
                    <w:spacing w:line="276"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3#</w:t>
                  </w:r>
                </w:p>
              </w:tc>
              <w:tc>
                <w:tcPr>
                  <w:tcW w:w="3323" w:type="dxa"/>
                  <w:vAlign w:val="center"/>
                </w:tcPr>
                <w:p w14:paraId="77893F9F">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kern w:val="0"/>
                      <w:sz w:val="21"/>
                      <w:szCs w:val="21"/>
                    </w:rPr>
                    <w:t>项目</w:t>
                  </w:r>
                  <w:r>
                    <w:rPr>
                      <w:rFonts w:hint="eastAsia" w:cs="Times New Roman"/>
                      <w:color w:val="auto"/>
                      <w:kern w:val="0"/>
                      <w:sz w:val="21"/>
                      <w:szCs w:val="21"/>
                      <w:lang w:val="en-US" w:eastAsia="zh-CN"/>
                    </w:rPr>
                    <w:t>西</w:t>
                  </w:r>
                  <w:r>
                    <w:rPr>
                      <w:rFonts w:hint="default" w:ascii="Times New Roman" w:hAnsi="Times New Roman" w:cs="Times New Roman"/>
                      <w:color w:val="auto"/>
                      <w:kern w:val="0"/>
                      <w:sz w:val="21"/>
                      <w:szCs w:val="21"/>
                    </w:rPr>
                    <w:t>侧厂界外1m</w:t>
                  </w:r>
                </w:p>
              </w:tc>
            </w:tr>
            <w:tr w14:paraId="092BA3B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53" w:hRule="atLeast"/>
              </w:trPr>
              <w:tc>
                <w:tcPr>
                  <w:tcW w:w="3324" w:type="dxa"/>
                  <w:vAlign w:val="center"/>
                </w:tcPr>
                <w:p w14:paraId="1749CFF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4</w:t>
                  </w:r>
                </w:p>
              </w:tc>
              <w:tc>
                <w:tcPr>
                  <w:tcW w:w="3321" w:type="dxa"/>
                </w:tcPr>
                <w:p w14:paraId="30158D90">
                  <w:pPr>
                    <w:spacing w:line="276"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4#</w:t>
                  </w:r>
                </w:p>
              </w:tc>
              <w:tc>
                <w:tcPr>
                  <w:tcW w:w="3323" w:type="dxa"/>
                  <w:vAlign w:val="center"/>
                </w:tcPr>
                <w:p w14:paraId="4673289A">
                  <w:pPr>
                    <w:spacing w:line="276"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项目</w:t>
                  </w:r>
                  <w:r>
                    <w:rPr>
                      <w:rFonts w:hint="eastAsia" w:cs="Times New Roman"/>
                      <w:color w:val="auto"/>
                      <w:kern w:val="0"/>
                      <w:sz w:val="21"/>
                      <w:szCs w:val="21"/>
                      <w:lang w:val="en-US" w:eastAsia="zh-CN"/>
                    </w:rPr>
                    <w:t>北</w:t>
                  </w:r>
                  <w:r>
                    <w:rPr>
                      <w:rFonts w:hint="default" w:ascii="Times New Roman" w:hAnsi="Times New Roman" w:cs="Times New Roman"/>
                      <w:color w:val="auto"/>
                      <w:kern w:val="0"/>
                      <w:sz w:val="21"/>
                      <w:szCs w:val="21"/>
                    </w:rPr>
                    <w:t>侧厂界外1m</w:t>
                  </w:r>
                </w:p>
              </w:tc>
            </w:tr>
          </w:tbl>
          <w:p w14:paraId="673424EF">
            <w:pPr>
              <w:spacing w:line="360" w:lineRule="auto"/>
              <w:ind w:firstLine="361" w:firstLineChars="150"/>
              <w:rPr>
                <w:rFonts w:hint="default" w:ascii="Times New Roman" w:hAnsi="Times New Roman" w:cs="Times New Roman"/>
                <w:b/>
                <w:color w:val="auto"/>
                <w:sz w:val="24"/>
              </w:rPr>
            </w:pPr>
            <w:r>
              <w:rPr>
                <w:rFonts w:hint="default" w:ascii="Times New Roman" w:hAnsi="Times New Roman" w:cs="Times New Roman"/>
                <w:b/>
                <w:color w:val="auto"/>
                <w:sz w:val="24"/>
              </w:rPr>
              <w:t>（2）监测项目</w:t>
            </w:r>
          </w:p>
          <w:p w14:paraId="0C74481E">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环境噪声</w:t>
            </w:r>
          </w:p>
          <w:p w14:paraId="2B1215DD">
            <w:pPr>
              <w:spacing w:line="360" w:lineRule="auto"/>
              <w:ind w:firstLine="361" w:firstLineChars="150"/>
              <w:rPr>
                <w:rFonts w:hint="default" w:ascii="Times New Roman" w:hAnsi="Times New Roman" w:cs="Times New Roman"/>
                <w:b/>
                <w:color w:val="auto"/>
                <w:sz w:val="24"/>
              </w:rPr>
            </w:pPr>
            <w:r>
              <w:rPr>
                <w:rFonts w:hint="default" w:ascii="Times New Roman" w:hAnsi="Times New Roman" w:cs="Times New Roman"/>
                <w:b/>
                <w:color w:val="auto"/>
                <w:sz w:val="24"/>
              </w:rPr>
              <w:t>（3）监测周期</w:t>
            </w:r>
          </w:p>
          <w:p w14:paraId="6A2B62C7">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highlight w:val="none"/>
              </w:rPr>
              <w:t>201</w:t>
            </w:r>
            <w:r>
              <w:rPr>
                <w:rFonts w:hint="default" w:ascii="Times New Roman" w:hAnsi="Times New Roman" w:cs="Times New Roman"/>
                <w:color w:val="auto"/>
                <w:sz w:val="24"/>
                <w:highlight w:val="none"/>
                <w:lang w:val="en-US" w:eastAsia="zh-CN"/>
              </w:rPr>
              <w:t>8</w:t>
            </w:r>
            <w:r>
              <w:rPr>
                <w:rFonts w:hint="default" w:ascii="Times New Roman" w:hAnsi="Times New Roman" w:cs="Times New Roman"/>
                <w:color w:val="auto"/>
                <w:sz w:val="24"/>
                <w:highlight w:val="none"/>
              </w:rPr>
              <w:t>年</w:t>
            </w:r>
            <w:r>
              <w:rPr>
                <w:rFonts w:hint="eastAsia" w:cs="Times New Roman"/>
                <w:color w:val="auto"/>
                <w:sz w:val="24"/>
                <w:highlight w:val="none"/>
                <w:lang w:val="en-US" w:eastAsia="zh-CN"/>
              </w:rPr>
              <w:t>6</w:t>
            </w:r>
            <w:r>
              <w:rPr>
                <w:rFonts w:hint="default" w:ascii="Times New Roman" w:hAnsi="Times New Roman" w:cs="Times New Roman"/>
                <w:color w:val="auto"/>
                <w:sz w:val="24"/>
                <w:highlight w:val="none"/>
              </w:rPr>
              <w:t>月</w:t>
            </w:r>
            <w:r>
              <w:rPr>
                <w:rFonts w:hint="eastAsia" w:cs="Times New Roman"/>
                <w:color w:val="auto"/>
                <w:sz w:val="24"/>
                <w:highlight w:val="none"/>
                <w:lang w:val="en-US" w:eastAsia="zh-CN"/>
              </w:rPr>
              <w:t>6</w:t>
            </w:r>
            <w:r>
              <w:rPr>
                <w:rFonts w:hint="default" w:ascii="Times New Roman" w:hAnsi="Times New Roman" w:cs="Times New Roman"/>
                <w:color w:val="auto"/>
                <w:sz w:val="24"/>
                <w:highlight w:val="none"/>
              </w:rPr>
              <w:t>日</w:t>
            </w:r>
            <w:r>
              <w:rPr>
                <w:rFonts w:hint="default" w:ascii="Times New Roman" w:hAnsi="Times New Roman" w:cs="Times New Roman"/>
                <w:color w:val="auto"/>
                <w:sz w:val="24"/>
                <w:highlight w:val="none"/>
                <w:lang w:eastAsia="zh-CN"/>
              </w:rPr>
              <w:t>至</w:t>
            </w:r>
            <w:r>
              <w:rPr>
                <w:rFonts w:hint="default" w:ascii="Times New Roman" w:hAnsi="Times New Roman" w:cs="Times New Roman"/>
                <w:color w:val="auto"/>
                <w:sz w:val="24"/>
                <w:highlight w:val="none"/>
              </w:rPr>
              <w:t>201</w:t>
            </w:r>
            <w:r>
              <w:rPr>
                <w:rFonts w:hint="default" w:ascii="Times New Roman" w:hAnsi="Times New Roman" w:cs="Times New Roman"/>
                <w:color w:val="auto"/>
                <w:sz w:val="24"/>
                <w:highlight w:val="none"/>
                <w:lang w:val="en-US" w:eastAsia="zh-CN"/>
              </w:rPr>
              <w:t>8</w:t>
            </w:r>
            <w:r>
              <w:rPr>
                <w:rFonts w:hint="default" w:ascii="Times New Roman" w:hAnsi="Times New Roman" w:cs="Times New Roman"/>
                <w:color w:val="auto"/>
                <w:sz w:val="24"/>
                <w:highlight w:val="none"/>
              </w:rPr>
              <w:t>年</w:t>
            </w:r>
            <w:r>
              <w:rPr>
                <w:rFonts w:hint="eastAsia" w:cs="Times New Roman"/>
                <w:color w:val="auto"/>
                <w:sz w:val="24"/>
                <w:highlight w:val="none"/>
                <w:lang w:val="en-US" w:eastAsia="zh-CN"/>
              </w:rPr>
              <w:t>6</w:t>
            </w:r>
            <w:r>
              <w:rPr>
                <w:rFonts w:hint="default" w:ascii="Times New Roman" w:hAnsi="Times New Roman" w:cs="Times New Roman"/>
                <w:color w:val="auto"/>
                <w:sz w:val="24"/>
                <w:highlight w:val="none"/>
              </w:rPr>
              <w:t>月</w:t>
            </w:r>
            <w:r>
              <w:rPr>
                <w:rFonts w:hint="eastAsia" w:cs="Times New Roman"/>
                <w:color w:val="auto"/>
                <w:sz w:val="24"/>
                <w:highlight w:val="none"/>
                <w:lang w:val="en-US" w:eastAsia="zh-CN"/>
              </w:rPr>
              <w:t>7</w:t>
            </w:r>
            <w:r>
              <w:rPr>
                <w:rFonts w:hint="default" w:ascii="Times New Roman" w:hAnsi="Times New Roman" w:cs="Times New Roman"/>
                <w:color w:val="auto"/>
                <w:sz w:val="24"/>
                <w:highlight w:val="none"/>
                <w:lang w:val="en-US" w:eastAsia="zh-CN"/>
              </w:rPr>
              <w:t>日</w:t>
            </w:r>
            <w:r>
              <w:rPr>
                <w:rFonts w:hint="default" w:ascii="Times New Roman" w:hAnsi="Times New Roman" w:cs="Times New Roman"/>
                <w:color w:val="auto"/>
                <w:sz w:val="24"/>
              </w:rPr>
              <w:t>。</w:t>
            </w:r>
          </w:p>
          <w:p w14:paraId="4E09D93C">
            <w:pPr>
              <w:snapToGrid w:val="0"/>
              <w:spacing w:line="360" w:lineRule="auto"/>
              <w:ind w:firstLine="361" w:firstLineChars="150"/>
              <w:rPr>
                <w:rFonts w:hint="default" w:ascii="Times New Roman" w:hAnsi="Times New Roman" w:cs="Times New Roman"/>
                <w:b/>
                <w:color w:val="auto"/>
                <w:sz w:val="24"/>
              </w:rPr>
            </w:pPr>
            <w:r>
              <w:rPr>
                <w:rFonts w:hint="default" w:ascii="Times New Roman" w:hAnsi="Times New Roman" w:cs="Times New Roman"/>
                <w:b/>
                <w:color w:val="auto"/>
                <w:sz w:val="24"/>
              </w:rPr>
              <w:t>（4）监测结果</w:t>
            </w:r>
          </w:p>
          <w:p w14:paraId="7AF7B103">
            <w:pPr>
              <w:snapToGrid w:val="0"/>
              <w:spacing w:line="360" w:lineRule="auto"/>
              <w:ind w:firstLine="480" w:firstLineChars="200"/>
              <w:rPr>
                <w:rFonts w:hint="default" w:ascii="Times New Roman" w:hAnsi="Times New Roman" w:cs="Times New Roman"/>
                <w:b/>
                <w:color w:val="auto"/>
                <w:sz w:val="24"/>
                <w:szCs w:val="24"/>
                <w:highlight w:val="yellow"/>
              </w:rPr>
            </w:pPr>
            <w:r>
              <w:rPr>
                <w:rFonts w:hint="default" w:ascii="Times New Roman" w:hAnsi="Times New Roman" w:cs="Times New Roman"/>
                <w:color w:val="auto"/>
                <w:sz w:val="24"/>
                <w:szCs w:val="24"/>
              </w:rPr>
              <w:t>本次声环境质量现状监测结果见表3-</w:t>
            </w:r>
            <w:r>
              <w:rPr>
                <w:rFonts w:hint="default" w:ascii="Times New Roman" w:hAnsi="Times New Roman" w:cs="Times New Roman"/>
                <w:color w:val="auto"/>
                <w:sz w:val="24"/>
                <w:szCs w:val="24"/>
                <w:lang w:val="en-US" w:eastAsia="zh-CN"/>
              </w:rPr>
              <w:t>8</w:t>
            </w:r>
            <w:r>
              <w:rPr>
                <w:rFonts w:hint="default" w:ascii="Times New Roman" w:hAnsi="Times New Roman" w:cs="Times New Roman"/>
                <w:color w:val="auto"/>
                <w:sz w:val="24"/>
                <w:szCs w:val="24"/>
              </w:rPr>
              <w:t>。</w:t>
            </w:r>
          </w:p>
          <w:p w14:paraId="4B2C602B">
            <w:pPr>
              <w:snapToGrid w:val="0"/>
              <w:spacing w:line="360" w:lineRule="auto"/>
              <w:jc w:val="center"/>
              <w:rPr>
                <w:rFonts w:hint="default" w:ascii="Times New Roman" w:hAnsi="Times New Roman" w:cs="Times New Roman" w:eastAsiaTheme="minorEastAsia"/>
                <w:b/>
                <w:bCs/>
                <w:color w:val="auto"/>
                <w:sz w:val="21"/>
                <w:szCs w:val="21"/>
              </w:rPr>
            </w:pPr>
            <w:r>
              <w:rPr>
                <w:rFonts w:hint="default" w:ascii="Times New Roman" w:hAnsi="Times New Roman" w:cs="Times New Roman" w:eastAsiaTheme="minorEastAsia"/>
                <w:b/>
                <w:bCs/>
                <w:color w:val="auto"/>
                <w:sz w:val="21"/>
                <w:szCs w:val="21"/>
              </w:rPr>
              <w:t>表3-</w:t>
            </w:r>
            <w:r>
              <w:rPr>
                <w:rFonts w:hint="default" w:ascii="Times New Roman" w:hAnsi="Times New Roman" w:cs="Times New Roman" w:eastAsiaTheme="minorEastAsia"/>
                <w:b/>
                <w:bCs/>
                <w:color w:val="auto"/>
                <w:sz w:val="21"/>
                <w:szCs w:val="21"/>
                <w:lang w:val="en-US" w:eastAsia="zh-CN"/>
              </w:rPr>
              <w:t>8</w:t>
            </w:r>
            <w:r>
              <w:rPr>
                <w:rFonts w:hint="default" w:ascii="Times New Roman" w:hAnsi="Times New Roman" w:cs="Times New Roman" w:eastAsiaTheme="minorEastAsia"/>
                <w:b/>
                <w:bCs/>
                <w:color w:val="auto"/>
                <w:sz w:val="21"/>
                <w:szCs w:val="21"/>
              </w:rPr>
              <w:t xml:space="preserve">  声环境质量现状监测结果</w:t>
            </w:r>
          </w:p>
          <w:tbl>
            <w:tblPr>
              <w:tblStyle w:val="23"/>
              <w:tblW w:w="9001"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361"/>
              <w:gridCol w:w="1296"/>
              <w:gridCol w:w="1587"/>
              <w:gridCol w:w="1587"/>
              <w:gridCol w:w="1588"/>
              <w:gridCol w:w="1582"/>
            </w:tblGrid>
            <w:tr w14:paraId="67EF3B9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5" w:hRule="atLeast"/>
                <w:tblHeader/>
                <w:jc w:val="center"/>
              </w:trPr>
              <w:tc>
                <w:tcPr>
                  <w:tcW w:w="1361" w:type="dxa"/>
                  <w:vMerge w:val="restart"/>
                  <w:vAlign w:val="center"/>
                </w:tcPr>
                <w:p w14:paraId="3031D26A">
                  <w:pPr>
                    <w:jc w:val="center"/>
                    <w:rPr>
                      <w:rFonts w:hint="default" w:ascii="Times New Roman" w:hAnsi="Times New Roman" w:cs="Times New Roman"/>
                      <w:color w:val="auto"/>
                      <w:sz w:val="21"/>
                      <w:szCs w:val="21"/>
                    </w:rPr>
                  </w:pPr>
                  <w:bookmarkStart w:id="6" w:name="OLE_LINK26"/>
                  <w:r>
                    <w:rPr>
                      <w:rFonts w:hint="default" w:ascii="Times New Roman" w:hAnsi="Times New Roman" w:cs="Times New Roman"/>
                      <w:color w:val="auto"/>
                      <w:sz w:val="21"/>
                      <w:szCs w:val="21"/>
                    </w:rPr>
                    <w:t>监测项目</w:t>
                  </w:r>
                </w:p>
              </w:tc>
              <w:tc>
                <w:tcPr>
                  <w:tcW w:w="1296" w:type="dxa"/>
                  <w:vMerge w:val="restart"/>
                  <w:vAlign w:val="center"/>
                </w:tcPr>
                <w:p w14:paraId="486F8B4E">
                  <w:pPr>
                    <w:jc w:val="center"/>
                    <w:rPr>
                      <w:rFonts w:hint="default" w:ascii="Times New Roman" w:hAnsi="Times New Roman" w:eastAsia="宋体" w:cs="Times New Roman"/>
                      <w:color w:val="auto"/>
                      <w:sz w:val="21"/>
                      <w:szCs w:val="21"/>
                    </w:rPr>
                  </w:pPr>
                  <w:r>
                    <w:rPr>
                      <w:rFonts w:hint="default" w:ascii="Times New Roman" w:hAnsi="Times New Roman" w:cs="Times New Roman"/>
                      <w:color w:val="auto"/>
                      <w:sz w:val="21"/>
                      <w:szCs w:val="21"/>
                    </w:rPr>
                    <w:t>监测日期</w:t>
                  </w:r>
                </w:p>
              </w:tc>
              <w:tc>
                <w:tcPr>
                  <w:tcW w:w="1587" w:type="dxa"/>
                  <w:vMerge w:val="restart"/>
                  <w:vAlign w:val="center"/>
                </w:tcPr>
                <w:p w14:paraId="73817E62">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监测点编号</w:t>
                  </w:r>
                </w:p>
              </w:tc>
              <w:tc>
                <w:tcPr>
                  <w:tcW w:w="3175" w:type="dxa"/>
                  <w:gridSpan w:val="2"/>
                  <w:vAlign w:val="center"/>
                </w:tcPr>
                <w:p w14:paraId="7A54A711">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等效声级[L</w:t>
                  </w:r>
                  <w:r>
                    <w:rPr>
                      <w:rFonts w:hint="default" w:ascii="Times New Roman" w:hAnsi="Times New Roman" w:cs="Times New Roman"/>
                      <w:color w:val="auto"/>
                      <w:sz w:val="21"/>
                      <w:szCs w:val="21"/>
                      <w:vertAlign w:val="subscript"/>
                    </w:rPr>
                    <w:t>eq</w:t>
                  </w:r>
                  <w:r>
                    <w:rPr>
                      <w:rFonts w:hint="default" w:ascii="Times New Roman" w:hAnsi="Times New Roman" w:cs="Times New Roman"/>
                      <w:color w:val="auto"/>
                      <w:sz w:val="21"/>
                      <w:szCs w:val="21"/>
                    </w:rPr>
                    <w:t>dB（A）]</w:t>
                  </w:r>
                </w:p>
              </w:tc>
              <w:tc>
                <w:tcPr>
                  <w:tcW w:w="1582" w:type="dxa"/>
                  <w:vMerge w:val="restart"/>
                  <w:vAlign w:val="center"/>
                </w:tcPr>
                <w:p w14:paraId="215466BD">
                  <w:pPr>
                    <w:jc w:val="center"/>
                    <w:rPr>
                      <w:rFonts w:hint="default" w:ascii="Times New Roman" w:hAnsi="Times New Roman" w:cs="Times New Roman" w:eastAsiaTheme="minorEastAsia"/>
                      <w:color w:val="auto"/>
                      <w:sz w:val="21"/>
                      <w:szCs w:val="21"/>
                      <w:lang w:eastAsia="zh-CN"/>
                    </w:rPr>
                  </w:pPr>
                  <w:r>
                    <w:rPr>
                      <w:rFonts w:hint="default" w:ascii="Times New Roman" w:hAnsi="Times New Roman" w:cs="Times New Roman"/>
                      <w:color w:val="auto"/>
                      <w:sz w:val="21"/>
                      <w:szCs w:val="21"/>
                      <w:lang w:eastAsia="zh-CN"/>
                    </w:rPr>
                    <w:t>标准限值</w:t>
                  </w:r>
                </w:p>
              </w:tc>
            </w:tr>
            <w:tr w14:paraId="5964039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1" w:hRule="atLeast"/>
                <w:tblHeader/>
                <w:jc w:val="center"/>
              </w:trPr>
              <w:tc>
                <w:tcPr>
                  <w:tcW w:w="1361" w:type="dxa"/>
                  <w:vMerge w:val="continue"/>
                  <w:vAlign w:val="center"/>
                </w:tcPr>
                <w:p w14:paraId="02C0D849">
                  <w:pPr>
                    <w:jc w:val="center"/>
                    <w:rPr>
                      <w:rFonts w:hint="default" w:ascii="Times New Roman" w:hAnsi="Times New Roman" w:cs="Times New Roman"/>
                      <w:color w:val="auto"/>
                      <w:sz w:val="21"/>
                      <w:szCs w:val="21"/>
                    </w:rPr>
                  </w:pPr>
                </w:p>
              </w:tc>
              <w:tc>
                <w:tcPr>
                  <w:tcW w:w="1296" w:type="dxa"/>
                  <w:vMerge w:val="continue"/>
                  <w:vAlign w:val="center"/>
                </w:tcPr>
                <w:p w14:paraId="794E737C">
                  <w:pPr>
                    <w:jc w:val="center"/>
                    <w:rPr>
                      <w:rFonts w:hint="default" w:ascii="Times New Roman" w:hAnsi="Times New Roman" w:cs="Times New Roman"/>
                      <w:color w:val="auto"/>
                      <w:sz w:val="21"/>
                      <w:szCs w:val="21"/>
                    </w:rPr>
                  </w:pPr>
                </w:p>
              </w:tc>
              <w:tc>
                <w:tcPr>
                  <w:tcW w:w="1587" w:type="dxa"/>
                  <w:vMerge w:val="continue"/>
                  <w:vAlign w:val="center"/>
                </w:tcPr>
                <w:p w14:paraId="7650A502">
                  <w:pPr>
                    <w:jc w:val="center"/>
                    <w:rPr>
                      <w:rFonts w:hint="default" w:ascii="Times New Roman" w:hAnsi="Times New Roman" w:cs="Times New Roman"/>
                      <w:color w:val="auto"/>
                      <w:sz w:val="21"/>
                      <w:szCs w:val="21"/>
                    </w:rPr>
                  </w:pPr>
                </w:p>
              </w:tc>
              <w:tc>
                <w:tcPr>
                  <w:tcW w:w="3175" w:type="dxa"/>
                  <w:gridSpan w:val="2"/>
                  <w:vAlign w:val="center"/>
                </w:tcPr>
                <w:p w14:paraId="0B3C626A">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监测结果</w:t>
                  </w:r>
                </w:p>
              </w:tc>
              <w:tc>
                <w:tcPr>
                  <w:tcW w:w="1582" w:type="dxa"/>
                  <w:vMerge w:val="continue"/>
                  <w:vAlign w:val="center"/>
                </w:tcPr>
                <w:p w14:paraId="54E18C3F">
                  <w:pPr>
                    <w:jc w:val="center"/>
                    <w:rPr>
                      <w:rFonts w:hint="default" w:ascii="Times New Roman" w:hAnsi="Times New Roman" w:cs="Times New Roman"/>
                      <w:color w:val="auto"/>
                      <w:sz w:val="21"/>
                      <w:szCs w:val="21"/>
                    </w:rPr>
                  </w:pPr>
                </w:p>
              </w:tc>
            </w:tr>
            <w:tr w14:paraId="6702B4B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1" w:hRule="atLeast"/>
                <w:tblHeader/>
                <w:jc w:val="center"/>
              </w:trPr>
              <w:tc>
                <w:tcPr>
                  <w:tcW w:w="1361" w:type="dxa"/>
                  <w:vMerge w:val="continue"/>
                  <w:vAlign w:val="center"/>
                </w:tcPr>
                <w:p w14:paraId="59FA4DC0">
                  <w:pPr>
                    <w:jc w:val="center"/>
                    <w:rPr>
                      <w:rFonts w:hint="default" w:ascii="Times New Roman" w:hAnsi="Times New Roman" w:cs="Times New Roman"/>
                      <w:color w:val="auto"/>
                      <w:sz w:val="21"/>
                      <w:szCs w:val="21"/>
                    </w:rPr>
                  </w:pPr>
                </w:p>
              </w:tc>
              <w:tc>
                <w:tcPr>
                  <w:tcW w:w="1296" w:type="dxa"/>
                  <w:vMerge w:val="continue"/>
                  <w:vAlign w:val="center"/>
                </w:tcPr>
                <w:p w14:paraId="7019B9A3">
                  <w:pPr>
                    <w:jc w:val="center"/>
                    <w:rPr>
                      <w:rFonts w:hint="default" w:ascii="Times New Roman" w:hAnsi="Times New Roman" w:cs="Times New Roman"/>
                      <w:color w:val="auto"/>
                      <w:sz w:val="21"/>
                      <w:szCs w:val="21"/>
                    </w:rPr>
                  </w:pPr>
                </w:p>
              </w:tc>
              <w:tc>
                <w:tcPr>
                  <w:tcW w:w="1587" w:type="dxa"/>
                  <w:vMerge w:val="continue"/>
                  <w:vAlign w:val="center"/>
                </w:tcPr>
                <w:p w14:paraId="18CD69D0">
                  <w:pPr>
                    <w:jc w:val="center"/>
                    <w:rPr>
                      <w:rFonts w:hint="default" w:ascii="Times New Roman" w:hAnsi="Times New Roman" w:cs="Times New Roman"/>
                      <w:color w:val="auto"/>
                      <w:sz w:val="21"/>
                      <w:szCs w:val="21"/>
                    </w:rPr>
                  </w:pPr>
                </w:p>
              </w:tc>
              <w:tc>
                <w:tcPr>
                  <w:tcW w:w="1587" w:type="dxa"/>
                  <w:vAlign w:val="center"/>
                </w:tcPr>
                <w:p w14:paraId="5E3FB2A4">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昼间</w:t>
                  </w:r>
                </w:p>
              </w:tc>
              <w:tc>
                <w:tcPr>
                  <w:tcW w:w="1588" w:type="dxa"/>
                  <w:vAlign w:val="center"/>
                </w:tcPr>
                <w:p w14:paraId="0952EFEA">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夜间</w:t>
                  </w:r>
                </w:p>
              </w:tc>
              <w:tc>
                <w:tcPr>
                  <w:tcW w:w="1582" w:type="dxa"/>
                  <w:vMerge w:val="continue"/>
                  <w:vAlign w:val="center"/>
                </w:tcPr>
                <w:p w14:paraId="51C0CDBC">
                  <w:pPr>
                    <w:jc w:val="center"/>
                    <w:rPr>
                      <w:rFonts w:hint="default" w:ascii="Times New Roman" w:hAnsi="Times New Roman" w:cs="Times New Roman"/>
                      <w:color w:val="auto"/>
                      <w:sz w:val="21"/>
                      <w:szCs w:val="21"/>
                    </w:rPr>
                  </w:pPr>
                </w:p>
              </w:tc>
            </w:tr>
            <w:bookmarkEnd w:id="6"/>
            <w:tr w14:paraId="554A64A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1" w:hRule="atLeast"/>
                <w:tblHeader/>
                <w:jc w:val="center"/>
              </w:trPr>
              <w:tc>
                <w:tcPr>
                  <w:tcW w:w="1361" w:type="dxa"/>
                  <w:vMerge w:val="restart"/>
                  <w:vAlign w:val="center"/>
                </w:tcPr>
                <w:p w14:paraId="0D5A820A">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声环境噪声</w:t>
                  </w:r>
                </w:p>
              </w:tc>
              <w:tc>
                <w:tcPr>
                  <w:tcW w:w="1296" w:type="dxa"/>
                  <w:vMerge w:val="restart"/>
                  <w:vAlign w:val="center"/>
                </w:tcPr>
                <w:p w14:paraId="715A5AFD">
                  <w:pPr>
                    <w:jc w:val="center"/>
                    <w:rPr>
                      <w:rFonts w:hint="default" w:ascii="Times New Roman" w:hAnsi="Times New Roman" w:cs="Times New Roman"/>
                      <w:color w:val="auto"/>
                      <w:sz w:val="21"/>
                      <w:szCs w:val="21"/>
                      <w:lang w:val="en-US"/>
                    </w:rPr>
                  </w:pPr>
                  <w:r>
                    <w:rPr>
                      <w:rFonts w:hint="default" w:ascii="Times New Roman" w:hAnsi="Times New Roman" w:cs="Times New Roman" w:eastAsiaTheme="minorEastAsia"/>
                      <w:color w:val="auto"/>
                      <w:sz w:val="21"/>
                      <w:szCs w:val="21"/>
                    </w:rPr>
                    <w:t>201</w:t>
                  </w:r>
                  <w:r>
                    <w:rPr>
                      <w:rFonts w:hint="default" w:ascii="Times New Roman" w:hAnsi="Times New Roman" w:cs="Times New Roman"/>
                      <w:color w:val="auto"/>
                      <w:sz w:val="21"/>
                      <w:szCs w:val="21"/>
                      <w:lang w:val="en-US" w:eastAsia="zh-CN"/>
                    </w:rPr>
                    <w:t>8.0</w:t>
                  </w:r>
                  <w:r>
                    <w:rPr>
                      <w:rFonts w:hint="eastAsia" w:cs="Times New Roman"/>
                      <w:color w:val="auto"/>
                      <w:sz w:val="21"/>
                      <w:szCs w:val="21"/>
                      <w:lang w:val="en-US" w:eastAsia="zh-CN"/>
                    </w:rPr>
                    <w:t>6</w:t>
                  </w:r>
                  <w:r>
                    <w:rPr>
                      <w:rFonts w:hint="default" w:ascii="Times New Roman" w:hAnsi="Times New Roman" w:cs="Times New Roman"/>
                      <w:color w:val="auto"/>
                      <w:sz w:val="21"/>
                      <w:szCs w:val="21"/>
                      <w:lang w:val="en-US" w:eastAsia="zh-CN"/>
                    </w:rPr>
                    <w:t>.</w:t>
                  </w:r>
                  <w:r>
                    <w:rPr>
                      <w:rFonts w:hint="eastAsia" w:cs="Times New Roman"/>
                      <w:color w:val="auto"/>
                      <w:sz w:val="21"/>
                      <w:szCs w:val="21"/>
                      <w:lang w:val="en-US" w:eastAsia="zh-CN"/>
                    </w:rPr>
                    <w:t>06</w:t>
                  </w:r>
                </w:p>
              </w:tc>
              <w:tc>
                <w:tcPr>
                  <w:tcW w:w="1587" w:type="dxa"/>
                  <w:vAlign w:val="center"/>
                </w:tcPr>
                <w:p w14:paraId="0388664C">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w:t>
                  </w:r>
                </w:p>
              </w:tc>
              <w:tc>
                <w:tcPr>
                  <w:tcW w:w="1587" w:type="dxa"/>
                  <w:vAlign w:val="center"/>
                </w:tcPr>
                <w:p w14:paraId="04035FCE">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54.4</w:t>
                  </w:r>
                </w:p>
              </w:tc>
              <w:tc>
                <w:tcPr>
                  <w:tcW w:w="1588" w:type="dxa"/>
                  <w:vAlign w:val="center"/>
                </w:tcPr>
                <w:p w14:paraId="50C24646">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43.6</w:t>
                  </w:r>
                </w:p>
              </w:tc>
              <w:tc>
                <w:tcPr>
                  <w:tcW w:w="1582" w:type="dxa"/>
                  <w:vMerge w:val="restart"/>
                  <w:vAlign w:val="center"/>
                </w:tcPr>
                <w:p w14:paraId="09CEC397">
                  <w:pPr>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昼间：65dB（A）</w:t>
                  </w:r>
                </w:p>
                <w:p w14:paraId="2D93FDF9">
                  <w:pPr>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夜间：55dB（A）</w:t>
                  </w:r>
                </w:p>
              </w:tc>
            </w:tr>
            <w:tr w14:paraId="150CE18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1" w:hRule="atLeast"/>
                <w:tblHeader/>
                <w:jc w:val="center"/>
              </w:trPr>
              <w:tc>
                <w:tcPr>
                  <w:tcW w:w="1361" w:type="dxa"/>
                  <w:vMerge w:val="continue"/>
                  <w:vAlign w:val="center"/>
                </w:tcPr>
                <w:p w14:paraId="4CCD5942">
                  <w:pPr>
                    <w:jc w:val="center"/>
                    <w:rPr>
                      <w:rFonts w:hint="default" w:ascii="Times New Roman" w:hAnsi="Times New Roman" w:cs="Times New Roman"/>
                      <w:color w:val="auto"/>
                      <w:sz w:val="21"/>
                      <w:szCs w:val="21"/>
                    </w:rPr>
                  </w:pPr>
                </w:p>
              </w:tc>
              <w:tc>
                <w:tcPr>
                  <w:tcW w:w="1296" w:type="dxa"/>
                  <w:vMerge w:val="continue"/>
                  <w:vAlign w:val="center"/>
                </w:tcPr>
                <w:p w14:paraId="5DD1871D">
                  <w:pPr>
                    <w:jc w:val="center"/>
                    <w:rPr>
                      <w:rFonts w:hint="default" w:ascii="Times New Roman" w:hAnsi="Times New Roman" w:cs="Times New Roman"/>
                      <w:color w:val="auto"/>
                      <w:sz w:val="21"/>
                      <w:szCs w:val="21"/>
                    </w:rPr>
                  </w:pPr>
                </w:p>
              </w:tc>
              <w:tc>
                <w:tcPr>
                  <w:tcW w:w="1587" w:type="dxa"/>
                  <w:vAlign w:val="center"/>
                </w:tcPr>
                <w:p w14:paraId="74AE5E5B">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2#</w:t>
                  </w:r>
                </w:p>
              </w:tc>
              <w:tc>
                <w:tcPr>
                  <w:tcW w:w="1587" w:type="dxa"/>
                  <w:vAlign w:val="center"/>
                </w:tcPr>
                <w:p w14:paraId="3BDB5B16">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49.7</w:t>
                  </w:r>
                </w:p>
              </w:tc>
              <w:tc>
                <w:tcPr>
                  <w:tcW w:w="1588" w:type="dxa"/>
                  <w:vAlign w:val="center"/>
                </w:tcPr>
                <w:p w14:paraId="64766B26">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42.7</w:t>
                  </w:r>
                </w:p>
              </w:tc>
              <w:tc>
                <w:tcPr>
                  <w:tcW w:w="1582" w:type="dxa"/>
                  <w:vMerge w:val="continue"/>
                  <w:vAlign w:val="center"/>
                </w:tcPr>
                <w:p w14:paraId="3CD482FE">
                  <w:pPr>
                    <w:jc w:val="center"/>
                    <w:rPr>
                      <w:rFonts w:hint="default" w:ascii="Times New Roman" w:hAnsi="Times New Roman" w:cs="Times New Roman"/>
                      <w:color w:val="auto"/>
                      <w:sz w:val="21"/>
                      <w:szCs w:val="21"/>
                      <w:lang w:val="en-US" w:eastAsia="zh-CN"/>
                    </w:rPr>
                  </w:pPr>
                </w:p>
              </w:tc>
            </w:tr>
            <w:tr w14:paraId="5600366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1" w:hRule="atLeast"/>
                <w:tblHeader/>
                <w:jc w:val="center"/>
              </w:trPr>
              <w:tc>
                <w:tcPr>
                  <w:tcW w:w="1361" w:type="dxa"/>
                  <w:vMerge w:val="continue"/>
                  <w:vAlign w:val="center"/>
                </w:tcPr>
                <w:p w14:paraId="0CFACA8E">
                  <w:pPr>
                    <w:jc w:val="center"/>
                    <w:rPr>
                      <w:rFonts w:hint="default" w:ascii="Times New Roman" w:hAnsi="Times New Roman" w:cs="Times New Roman"/>
                      <w:color w:val="auto"/>
                      <w:sz w:val="21"/>
                      <w:szCs w:val="21"/>
                    </w:rPr>
                  </w:pPr>
                </w:p>
              </w:tc>
              <w:tc>
                <w:tcPr>
                  <w:tcW w:w="1296" w:type="dxa"/>
                  <w:vMerge w:val="continue"/>
                  <w:vAlign w:val="center"/>
                </w:tcPr>
                <w:p w14:paraId="6A9E6755">
                  <w:pPr>
                    <w:jc w:val="center"/>
                    <w:rPr>
                      <w:rFonts w:hint="default" w:ascii="Times New Roman" w:hAnsi="Times New Roman" w:cs="Times New Roman"/>
                      <w:color w:val="auto"/>
                      <w:sz w:val="21"/>
                      <w:szCs w:val="21"/>
                    </w:rPr>
                  </w:pPr>
                </w:p>
              </w:tc>
              <w:tc>
                <w:tcPr>
                  <w:tcW w:w="1587" w:type="dxa"/>
                  <w:vAlign w:val="center"/>
                </w:tcPr>
                <w:p w14:paraId="79456513">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3#</w:t>
                  </w:r>
                </w:p>
              </w:tc>
              <w:tc>
                <w:tcPr>
                  <w:tcW w:w="1587" w:type="dxa"/>
                  <w:vAlign w:val="center"/>
                </w:tcPr>
                <w:p w14:paraId="00D24276">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47.4</w:t>
                  </w:r>
                </w:p>
              </w:tc>
              <w:tc>
                <w:tcPr>
                  <w:tcW w:w="1588" w:type="dxa"/>
                  <w:vAlign w:val="center"/>
                </w:tcPr>
                <w:p w14:paraId="0D16BEB0">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42.4</w:t>
                  </w:r>
                </w:p>
              </w:tc>
              <w:tc>
                <w:tcPr>
                  <w:tcW w:w="1582" w:type="dxa"/>
                  <w:vMerge w:val="continue"/>
                  <w:vAlign w:val="center"/>
                </w:tcPr>
                <w:p w14:paraId="15A0FABB">
                  <w:pPr>
                    <w:jc w:val="center"/>
                    <w:rPr>
                      <w:rFonts w:hint="default" w:ascii="Times New Roman" w:hAnsi="Times New Roman" w:cs="Times New Roman"/>
                      <w:color w:val="auto"/>
                      <w:sz w:val="21"/>
                      <w:szCs w:val="21"/>
                      <w:lang w:val="en-US" w:eastAsia="zh-CN"/>
                    </w:rPr>
                  </w:pPr>
                </w:p>
              </w:tc>
            </w:tr>
            <w:tr w14:paraId="458C3E8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1" w:hRule="atLeast"/>
                <w:tblHeader/>
                <w:jc w:val="center"/>
              </w:trPr>
              <w:tc>
                <w:tcPr>
                  <w:tcW w:w="1361" w:type="dxa"/>
                  <w:vMerge w:val="continue"/>
                  <w:vAlign w:val="center"/>
                </w:tcPr>
                <w:p w14:paraId="5968532D">
                  <w:pPr>
                    <w:jc w:val="center"/>
                    <w:rPr>
                      <w:rFonts w:hint="default" w:ascii="Times New Roman" w:hAnsi="Times New Roman" w:cs="Times New Roman"/>
                      <w:color w:val="auto"/>
                      <w:sz w:val="21"/>
                      <w:szCs w:val="21"/>
                    </w:rPr>
                  </w:pPr>
                </w:p>
              </w:tc>
              <w:tc>
                <w:tcPr>
                  <w:tcW w:w="1296" w:type="dxa"/>
                  <w:vMerge w:val="continue"/>
                  <w:vAlign w:val="center"/>
                </w:tcPr>
                <w:p w14:paraId="4BA4F13F">
                  <w:pPr>
                    <w:jc w:val="center"/>
                    <w:rPr>
                      <w:rFonts w:hint="default" w:ascii="Times New Roman" w:hAnsi="Times New Roman" w:cs="Times New Roman"/>
                      <w:color w:val="auto"/>
                      <w:sz w:val="21"/>
                      <w:szCs w:val="21"/>
                    </w:rPr>
                  </w:pPr>
                </w:p>
              </w:tc>
              <w:tc>
                <w:tcPr>
                  <w:tcW w:w="1587" w:type="dxa"/>
                  <w:vAlign w:val="center"/>
                </w:tcPr>
                <w:p w14:paraId="6E0040C7">
                  <w:pPr>
                    <w:jc w:val="center"/>
                    <w:rPr>
                      <w:rFonts w:hint="default" w:ascii="Times New Roman" w:hAnsi="Times New Roman" w:cs="Times New Roman" w:eastAsiaTheme="minorEastAsia"/>
                      <w:color w:val="auto"/>
                      <w:sz w:val="21"/>
                      <w:szCs w:val="21"/>
                      <w:lang w:val="en-US" w:eastAsia="zh-CN"/>
                    </w:rPr>
                  </w:pPr>
                  <w:r>
                    <w:rPr>
                      <w:rFonts w:hint="default" w:ascii="Times New Roman" w:hAnsi="Times New Roman" w:cs="Times New Roman"/>
                      <w:color w:val="auto"/>
                      <w:sz w:val="21"/>
                      <w:szCs w:val="21"/>
                      <w:lang w:val="en-US" w:eastAsia="zh-CN"/>
                    </w:rPr>
                    <w:t>4#</w:t>
                  </w:r>
                </w:p>
              </w:tc>
              <w:tc>
                <w:tcPr>
                  <w:tcW w:w="1587" w:type="dxa"/>
                  <w:vAlign w:val="center"/>
                </w:tcPr>
                <w:p w14:paraId="66772158">
                  <w:pPr>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51.3</w:t>
                  </w:r>
                </w:p>
              </w:tc>
              <w:tc>
                <w:tcPr>
                  <w:tcW w:w="1588" w:type="dxa"/>
                  <w:vAlign w:val="center"/>
                </w:tcPr>
                <w:p w14:paraId="35DC83C4">
                  <w:pPr>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44.5</w:t>
                  </w:r>
                </w:p>
              </w:tc>
              <w:tc>
                <w:tcPr>
                  <w:tcW w:w="1582" w:type="dxa"/>
                  <w:vMerge w:val="continue"/>
                  <w:vAlign w:val="center"/>
                </w:tcPr>
                <w:p w14:paraId="56CE9E76">
                  <w:pPr>
                    <w:jc w:val="center"/>
                    <w:rPr>
                      <w:rFonts w:hint="default" w:ascii="Times New Roman" w:hAnsi="Times New Roman" w:cs="Times New Roman"/>
                      <w:color w:val="auto"/>
                      <w:sz w:val="21"/>
                      <w:szCs w:val="21"/>
                      <w:lang w:val="en-US" w:eastAsia="zh-CN"/>
                    </w:rPr>
                  </w:pPr>
                </w:p>
              </w:tc>
            </w:tr>
            <w:tr w14:paraId="33C6103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1" w:hRule="atLeast"/>
                <w:tblHeader/>
                <w:jc w:val="center"/>
              </w:trPr>
              <w:tc>
                <w:tcPr>
                  <w:tcW w:w="1361" w:type="dxa"/>
                  <w:vMerge w:val="continue"/>
                  <w:vAlign w:val="center"/>
                </w:tcPr>
                <w:p w14:paraId="753F641E">
                  <w:pPr>
                    <w:jc w:val="center"/>
                    <w:rPr>
                      <w:rFonts w:hint="default" w:ascii="Times New Roman" w:hAnsi="Times New Roman" w:cs="Times New Roman"/>
                      <w:color w:val="auto"/>
                      <w:sz w:val="21"/>
                      <w:szCs w:val="21"/>
                    </w:rPr>
                  </w:pPr>
                </w:p>
              </w:tc>
              <w:tc>
                <w:tcPr>
                  <w:tcW w:w="1296" w:type="dxa"/>
                  <w:vMerge w:val="restart"/>
                  <w:vAlign w:val="center"/>
                </w:tcPr>
                <w:p w14:paraId="1849493E">
                  <w:pPr>
                    <w:jc w:val="center"/>
                    <w:rPr>
                      <w:rFonts w:hint="default" w:ascii="Times New Roman" w:hAnsi="Times New Roman" w:cs="Times New Roman"/>
                      <w:color w:val="auto"/>
                      <w:sz w:val="21"/>
                      <w:szCs w:val="21"/>
                      <w:lang w:val="en-US"/>
                    </w:rPr>
                  </w:pPr>
                  <w:r>
                    <w:rPr>
                      <w:rFonts w:hint="default" w:ascii="Times New Roman" w:hAnsi="Times New Roman" w:cs="Times New Roman" w:eastAsiaTheme="minorEastAsia"/>
                      <w:color w:val="auto"/>
                      <w:sz w:val="21"/>
                      <w:szCs w:val="21"/>
                    </w:rPr>
                    <w:t>201</w:t>
                  </w:r>
                  <w:r>
                    <w:rPr>
                      <w:rFonts w:hint="default" w:ascii="Times New Roman" w:hAnsi="Times New Roman" w:cs="Times New Roman"/>
                      <w:color w:val="auto"/>
                      <w:sz w:val="21"/>
                      <w:szCs w:val="21"/>
                      <w:lang w:val="en-US" w:eastAsia="zh-CN"/>
                    </w:rPr>
                    <w:t>8.0</w:t>
                  </w:r>
                  <w:r>
                    <w:rPr>
                      <w:rFonts w:hint="eastAsia" w:cs="Times New Roman"/>
                      <w:color w:val="auto"/>
                      <w:sz w:val="21"/>
                      <w:szCs w:val="21"/>
                      <w:lang w:val="en-US" w:eastAsia="zh-CN"/>
                    </w:rPr>
                    <w:t>6</w:t>
                  </w:r>
                  <w:r>
                    <w:rPr>
                      <w:rFonts w:hint="default" w:ascii="Times New Roman" w:hAnsi="Times New Roman" w:cs="Times New Roman"/>
                      <w:color w:val="auto"/>
                      <w:sz w:val="21"/>
                      <w:szCs w:val="21"/>
                      <w:lang w:val="en-US" w:eastAsia="zh-CN"/>
                    </w:rPr>
                    <w:t>.</w:t>
                  </w:r>
                  <w:r>
                    <w:rPr>
                      <w:rFonts w:hint="eastAsia" w:cs="Times New Roman"/>
                      <w:color w:val="auto"/>
                      <w:sz w:val="21"/>
                      <w:szCs w:val="21"/>
                      <w:lang w:val="en-US" w:eastAsia="zh-CN"/>
                    </w:rPr>
                    <w:t>07</w:t>
                  </w:r>
                </w:p>
              </w:tc>
              <w:tc>
                <w:tcPr>
                  <w:tcW w:w="1587" w:type="dxa"/>
                  <w:vAlign w:val="center"/>
                </w:tcPr>
                <w:p w14:paraId="3F2D1EC1">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w:t>
                  </w:r>
                </w:p>
              </w:tc>
              <w:tc>
                <w:tcPr>
                  <w:tcW w:w="1587" w:type="dxa"/>
                  <w:vAlign w:val="center"/>
                </w:tcPr>
                <w:p w14:paraId="5F56ABCB">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52.7</w:t>
                  </w:r>
                </w:p>
              </w:tc>
              <w:tc>
                <w:tcPr>
                  <w:tcW w:w="1588" w:type="dxa"/>
                  <w:vAlign w:val="center"/>
                </w:tcPr>
                <w:p w14:paraId="45EF5488">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42.5</w:t>
                  </w:r>
                </w:p>
              </w:tc>
              <w:tc>
                <w:tcPr>
                  <w:tcW w:w="1582" w:type="dxa"/>
                  <w:vMerge w:val="continue"/>
                  <w:vAlign w:val="center"/>
                </w:tcPr>
                <w:p w14:paraId="5382FA1F">
                  <w:pPr>
                    <w:jc w:val="center"/>
                    <w:rPr>
                      <w:rFonts w:hint="default" w:ascii="Times New Roman" w:hAnsi="Times New Roman" w:cs="Times New Roman"/>
                      <w:color w:val="auto"/>
                      <w:sz w:val="21"/>
                      <w:szCs w:val="21"/>
                      <w:lang w:val="en-US" w:eastAsia="zh-CN"/>
                    </w:rPr>
                  </w:pPr>
                </w:p>
              </w:tc>
            </w:tr>
            <w:tr w14:paraId="2A27164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1" w:hRule="atLeast"/>
                <w:tblHeader/>
                <w:jc w:val="center"/>
              </w:trPr>
              <w:tc>
                <w:tcPr>
                  <w:tcW w:w="1361" w:type="dxa"/>
                  <w:vMerge w:val="continue"/>
                  <w:vAlign w:val="center"/>
                </w:tcPr>
                <w:p w14:paraId="6454891D">
                  <w:pPr>
                    <w:jc w:val="center"/>
                    <w:rPr>
                      <w:rFonts w:hint="default" w:ascii="Times New Roman" w:hAnsi="Times New Roman" w:cs="Times New Roman"/>
                      <w:color w:val="auto"/>
                      <w:sz w:val="21"/>
                      <w:szCs w:val="21"/>
                    </w:rPr>
                  </w:pPr>
                </w:p>
              </w:tc>
              <w:tc>
                <w:tcPr>
                  <w:tcW w:w="1296" w:type="dxa"/>
                  <w:vMerge w:val="continue"/>
                  <w:vAlign w:val="center"/>
                </w:tcPr>
                <w:p w14:paraId="6EB18C06">
                  <w:pPr>
                    <w:jc w:val="center"/>
                    <w:rPr>
                      <w:rFonts w:hint="default" w:ascii="Times New Roman" w:hAnsi="Times New Roman" w:cs="Times New Roman"/>
                      <w:color w:val="auto"/>
                      <w:sz w:val="21"/>
                      <w:szCs w:val="21"/>
                    </w:rPr>
                  </w:pPr>
                </w:p>
              </w:tc>
              <w:tc>
                <w:tcPr>
                  <w:tcW w:w="1587" w:type="dxa"/>
                  <w:vAlign w:val="center"/>
                </w:tcPr>
                <w:p w14:paraId="4FC88F65">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2#</w:t>
                  </w:r>
                </w:p>
              </w:tc>
              <w:tc>
                <w:tcPr>
                  <w:tcW w:w="1587" w:type="dxa"/>
                  <w:vAlign w:val="center"/>
                </w:tcPr>
                <w:p w14:paraId="5EFF9538">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49.3</w:t>
                  </w:r>
                </w:p>
              </w:tc>
              <w:tc>
                <w:tcPr>
                  <w:tcW w:w="1588" w:type="dxa"/>
                  <w:vAlign w:val="center"/>
                </w:tcPr>
                <w:p w14:paraId="5CB8D132">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40.6</w:t>
                  </w:r>
                </w:p>
              </w:tc>
              <w:tc>
                <w:tcPr>
                  <w:tcW w:w="1582" w:type="dxa"/>
                  <w:vMerge w:val="continue"/>
                  <w:vAlign w:val="center"/>
                </w:tcPr>
                <w:p w14:paraId="0E58C45D">
                  <w:pPr>
                    <w:jc w:val="center"/>
                    <w:rPr>
                      <w:rFonts w:hint="default" w:ascii="Times New Roman" w:hAnsi="Times New Roman" w:cs="Times New Roman"/>
                      <w:color w:val="auto"/>
                      <w:sz w:val="21"/>
                      <w:szCs w:val="21"/>
                      <w:lang w:val="en-US" w:eastAsia="zh-CN"/>
                    </w:rPr>
                  </w:pPr>
                </w:p>
              </w:tc>
            </w:tr>
            <w:tr w14:paraId="0ECDC56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1" w:hRule="atLeast"/>
                <w:tblHeader/>
                <w:jc w:val="center"/>
              </w:trPr>
              <w:tc>
                <w:tcPr>
                  <w:tcW w:w="1361" w:type="dxa"/>
                  <w:vMerge w:val="continue"/>
                  <w:vAlign w:val="center"/>
                </w:tcPr>
                <w:p w14:paraId="6A820EFF">
                  <w:pPr>
                    <w:jc w:val="center"/>
                    <w:rPr>
                      <w:rFonts w:hint="default" w:ascii="Times New Roman" w:hAnsi="Times New Roman" w:cs="Times New Roman"/>
                      <w:color w:val="auto"/>
                      <w:sz w:val="21"/>
                      <w:szCs w:val="21"/>
                    </w:rPr>
                  </w:pPr>
                </w:p>
              </w:tc>
              <w:tc>
                <w:tcPr>
                  <w:tcW w:w="1296" w:type="dxa"/>
                  <w:vMerge w:val="continue"/>
                  <w:vAlign w:val="center"/>
                </w:tcPr>
                <w:p w14:paraId="5F95FC50">
                  <w:pPr>
                    <w:jc w:val="center"/>
                    <w:rPr>
                      <w:rFonts w:hint="default" w:ascii="Times New Roman" w:hAnsi="Times New Roman" w:cs="Times New Roman"/>
                      <w:color w:val="auto"/>
                      <w:sz w:val="21"/>
                      <w:szCs w:val="21"/>
                    </w:rPr>
                  </w:pPr>
                </w:p>
              </w:tc>
              <w:tc>
                <w:tcPr>
                  <w:tcW w:w="1587" w:type="dxa"/>
                  <w:vAlign w:val="center"/>
                </w:tcPr>
                <w:p w14:paraId="6E19A3EC">
                  <w:pPr>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3#</w:t>
                  </w:r>
                </w:p>
              </w:tc>
              <w:tc>
                <w:tcPr>
                  <w:tcW w:w="1587" w:type="dxa"/>
                  <w:vAlign w:val="center"/>
                </w:tcPr>
                <w:p w14:paraId="1D3C761D">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46.5</w:t>
                  </w:r>
                </w:p>
              </w:tc>
              <w:tc>
                <w:tcPr>
                  <w:tcW w:w="1588" w:type="dxa"/>
                  <w:vAlign w:val="center"/>
                </w:tcPr>
                <w:p w14:paraId="3D75C298">
                  <w:pPr>
                    <w:jc w:val="center"/>
                    <w:rPr>
                      <w:rFonts w:hint="default" w:ascii="Times New Roman" w:hAnsi="Times New Roman" w:cs="Times New Roman" w:eastAsiaTheme="minorEastAsia"/>
                      <w:color w:val="auto"/>
                      <w:sz w:val="21"/>
                      <w:szCs w:val="21"/>
                      <w:lang w:val="en-US" w:eastAsia="zh-CN"/>
                    </w:rPr>
                  </w:pPr>
                  <w:r>
                    <w:rPr>
                      <w:rFonts w:hint="eastAsia" w:cs="Times New Roman" w:eastAsiaTheme="minorEastAsia"/>
                      <w:color w:val="auto"/>
                      <w:sz w:val="21"/>
                      <w:szCs w:val="21"/>
                      <w:lang w:val="en-US" w:eastAsia="zh-CN"/>
                    </w:rPr>
                    <w:t>41.2</w:t>
                  </w:r>
                </w:p>
              </w:tc>
              <w:tc>
                <w:tcPr>
                  <w:tcW w:w="1582" w:type="dxa"/>
                  <w:vMerge w:val="continue"/>
                  <w:vAlign w:val="center"/>
                </w:tcPr>
                <w:p w14:paraId="260D4E08">
                  <w:pPr>
                    <w:jc w:val="center"/>
                    <w:rPr>
                      <w:rFonts w:hint="default" w:ascii="Times New Roman" w:hAnsi="Times New Roman" w:cs="Times New Roman"/>
                      <w:color w:val="auto"/>
                      <w:sz w:val="21"/>
                      <w:szCs w:val="21"/>
                      <w:lang w:val="en-US" w:eastAsia="zh-CN"/>
                    </w:rPr>
                  </w:pPr>
                </w:p>
              </w:tc>
            </w:tr>
            <w:tr w14:paraId="0BA95D2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1" w:hRule="atLeast"/>
                <w:tblHeader/>
                <w:jc w:val="center"/>
              </w:trPr>
              <w:tc>
                <w:tcPr>
                  <w:tcW w:w="1361" w:type="dxa"/>
                  <w:vMerge w:val="continue"/>
                  <w:vAlign w:val="center"/>
                </w:tcPr>
                <w:p w14:paraId="18EDBFE3">
                  <w:pPr>
                    <w:jc w:val="center"/>
                    <w:rPr>
                      <w:rFonts w:hint="default" w:ascii="Times New Roman" w:hAnsi="Times New Roman" w:cs="Times New Roman"/>
                      <w:color w:val="auto"/>
                      <w:sz w:val="21"/>
                      <w:szCs w:val="21"/>
                    </w:rPr>
                  </w:pPr>
                </w:p>
              </w:tc>
              <w:tc>
                <w:tcPr>
                  <w:tcW w:w="1296" w:type="dxa"/>
                  <w:vMerge w:val="continue"/>
                  <w:vAlign w:val="center"/>
                </w:tcPr>
                <w:p w14:paraId="5CFFD3FA">
                  <w:pPr>
                    <w:jc w:val="center"/>
                    <w:rPr>
                      <w:rFonts w:hint="default" w:ascii="Times New Roman" w:hAnsi="Times New Roman" w:cs="Times New Roman"/>
                      <w:color w:val="auto"/>
                      <w:sz w:val="21"/>
                      <w:szCs w:val="21"/>
                    </w:rPr>
                  </w:pPr>
                </w:p>
              </w:tc>
              <w:tc>
                <w:tcPr>
                  <w:tcW w:w="1587" w:type="dxa"/>
                  <w:vAlign w:val="center"/>
                </w:tcPr>
                <w:p w14:paraId="64B4CC97">
                  <w:pPr>
                    <w:jc w:val="center"/>
                    <w:rPr>
                      <w:rFonts w:hint="default" w:ascii="Times New Roman" w:hAnsi="Times New Roman" w:cs="Times New Roman" w:eastAsiaTheme="minorEastAsia"/>
                      <w:color w:val="auto"/>
                      <w:sz w:val="21"/>
                      <w:szCs w:val="21"/>
                      <w:lang w:val="en-US" w:eastAsia="zh-CN"/>
                    </w:rPr>
                  </w:pPr>
                  <w:r>
                    <w:rPr>
                      <w:rFonts w:hint="default" w:ascii="Times New Roman" w:hAnsi="Times New Roman" w:cs="Times New Roman"/>
                      <w:color w:val="auto"/>
                      <w:sz w:val="21"/>
                      <w:szCs w:val="21"/>
                      <w:lang w:val="en-US" w:eastAsia="zh-CN"/>
                    </w:rPr>
                    <w:t>4#</w:t>
                  </w:r>
                </w:p>
              </w:tc>
              <w:tc>
                <w:tcPr>
                  <w:tcW w:w="1587" w:type="dxa"/>
                  <w:vAlign w:val="center"/>
                </w:tcPr>
                <w:p w14:paraId="7424DA06">
                  <w:pPr>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53.4</w:t>
                  </w:r>
                </w:p>
              </w:tc>
              <w:tc>
                <w:tcPr>
                  <w:tcW w:w="1588" w:type="dxa"/>
                  <w:vAlign w:val="center"/>
                </w:tcPr>
                <w:p w14:paraId="0A575F0B">
                  <w:pPr>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44.0</w:t>
                  </w:r>
                </w:p>
              </w:tc>
              <w:tc>
                <w:tcPr>
                  <w:tcW w:w="1582" w:type="dxa"/>
                  <w:vMerge w:val="continue"/>
                  <w:vAlign w:val="center"/>
                </w:tcPr>
                <w:p w14:paraId="782CAB1C">
                  <w:pPr>
                    <w:jc w:val="center"/>
                    <w:rPr>
                      <w:rFonts w:hint="default" w:ascii="Times New Roman" w:hAnsi="Times New Roman" w:cs="Times New Roman"/>
                      <w:color w:val="auto"/>
                      <w:sz w:val="21"/>
                      <w:szCs w:val="21"/>
                      <w:lang w:val="en-US" w:eastAsia="zh-CN"/>
                    </w:rPr>
                  </w:pPr>
                </w:p>
              </w:tc>
            </w:tr>
          </w:tbl>
          <w:p w14:paraId="12D6ED8F">
            <w:pPr>
              <w:spacing w:line="360" w:lineRule="auto"/>
              <w:ind w:firstLine="482" w:firstLineChars="200"/>
              <w:rPr>
                <w:rFonts w:hint="default" w:ascii="Times New Roman" w:hAnsi="Times New Roman" w:cs="Times New Roman"/>
                <w:b/>
                <w:color w:val="auto"/>
                <w:sz w:val="24"/>
              </w:rPr>
            </w:pPr>
            <w:r>
              <w:rPr>
                <w:rFonts w:hint="default" w:ascii="Times New Roman" w:hAnsi="Times New Roman" w:cs="Times New Roman"/>
                <w:b/>
                <w:color w:val="auto"/>
                <w:sz w:val="24"/>
              </w:rPr>
              <w:t>2、声环境质量现状评价</w:t>
            </w:r>
          </w:p>
          <w:p w14:paraId="7F6488EF">
            <w:pPr>
              <w:spacing w:line="360" w:lineRule="auto"/>
              <w:ind w:firstLine="361" w:firstLineChars="150"/>
              <w:rPr>
                <w:rFonts w:hint="default" w:ascii="Times New Roman" w:hAnsi="Times New Roman" w:cs="Times New Roman"/>
                <w:b/>
                <w:color w:val="auto"/>
                <w:sz w:val="24"/>
              </w:rPr>
            </w:pPr>
            <w:r>
              <w:rPr>
                <w:rFonts w:hint="default" w:ascii="Times New Roman" w:hAnsi="Times New Roman" w:cs="Times New Roman"/>
                <w:b/>
                <w:color w:val="auto"/>
                <w:sz w:val="24"/>
              </w:rPr>
              <w:t>（1）评价因子</w:t>
            </w:r>
          </w:p>
          <w:p w14:paraId="54AE9837">
            <w:pPr>
              <w:spacing w:line="360" w:lineRule="auto"/>
              <w:ind w:firstLine="480" w:firstLineChars="200"/>
              <w:rPr>
                <w:rFonts w:hint="default" w:ascii="Times New Roman" w:hAnsi="Times New Roman" w:cs="Times New Roman"/>
                <w:color w:val="auto"/>
                <w:sz w:val="24"/>
                <w:lang w:val="zh-CN"/>
              </w:rPr>
            </w:pPr>
            <w:r>
              <w:rPr>
                <w:rFonts w:hint="default" w:ascii="Times New Roman" w:hAnsi="Times New Roman" w:cs="Times New Roman"/>
                <w:color w:val="auto"/>
                <w:sz w:val="24"/>
              </w:rPr>
              <w:t>等效连续A声级。</w:t>
            </w:r>
          </w:p>
          <w:p w14:paraId="5741E21F">
            <w:pPr>
              <w:spacing w:line="360" w:lineRule="auto"/>
              <w:ind w:firstLine="361" w:firstLineChars="150"/>
              <w:rPr>
                <w:rFonts w:hint="default" w:ascii="Times New Roman" w:hAnsi="Times New Roman" w:cs="Times New Roman"/>
                <w:b/>
                <w:color w:val="auto"/>
                <w:sz w:val="24"/>
              </w:rPr>
            </w:pPr>
            <w:r>
              <w:rPr>
                <w:rFonts w:hint="default" w:ascii="Times New Roman" w:hAnsi="Times New Roman" w:cs="Times New Roman"/>
                <w:b/>
                <w:color w:val="auto"/>
                <w:sz w:val="24"/>
                <w:lang w:val="zh-CN"/>
              </w:rPr>
              <w:t>（2）</w:t>
            </w:r>
            <w:r>
              <w:rPr>
                <w:rFonts w:hint="default" w:ascii="Times New Roman" w:hAnsi="Times New Roman" w:cs="Times New Roman"/>
                <w:b/>
                <w:color w:val="auto"/>
                <w:sz w:val="24"/>
              </w:rPr>
              <w:t>评价标准</w:t>
            </w:r>
          </w:p>
          <w:p w14:paraId="1D636E79">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lang w:val="zh-CN"/>
              </w:rPr>
              <w:t>执行《声环境质量标准》（GB3096-2008）3类标准</w:t>
            </w:r>
            <w:r>
              <w:rPr>
                <w:rFonts w:hint="default" w:ascii="Times New Roman" w:hAnsi="Times New Roman" w:cs="Times New Roman"/>
                <w:color w:val="auto"/>
                <w:sz w:val="24"/>
              </w:rPr>
              <w:t>。</w:t>
            </w:r>
          </w:p>
          <w:p w14:paraId="1CBE3B9D">
            <w:pPr>
              <w:snapToGrid w:val="0"/>
              <w:spacing w:line="360" w:lineRule="auto"/>
              <w:ind w:firstLine="361" w:firstLineChars="150"/>
              <w:rPr>
                <w:rFonts w:hint="default" w:ascii="Times New Roman" w:hAnsi="Times New Roman" w:cs="Times New Roman"/>
                <w:b/>
                <w:color w:val="auto"/>
                <w:sz w:val="24"/>
              </w:rPr>
            </w:pPr>
            <w:r>
              <w:rPr>
                <w:rFonts w:hint="default" w:ascii="Times New Roman" w:hAnsi="Times New Roman" w:cs="Times New Roman"/>
                <w:b/>
                <w:color w:val="auto"/>
                <w:sz w:val="24"/>
              </w:rPr>
              <w:t>（3）评价结果</w:t>
            </w:r>
          </w:p>
          <w:p w14:paraId="1EF24B89">
            <w:pPr>
              <w:snapToGrid w:val="0"/>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声环境质量现状评价结果见表3-</w:t>
            </w:r>
            <w:r>
              <w:rPr>
                <w:rFonts w:hint="eastAsia" w:cs="Times New Roman"/>
                <w:color w:val="auto"/>
                <w:sz w:val="24"/>
                <w:lang w:val="en-US" w:eastAsia="zh-CN"/>
              </w:rPr>
              <w:t>9</w:t>
            </w:r>
            <w:r>
              <w:rPr>
                <w:rFonts w:hint="default" w:ascii="Times New Roman" w:hAnsi="Times New Roman" w:cs="Times New Roman"/>
                <w:color w:val="auto"/>
                <w:sz w:val="24"/>
              </w:rPr>
              <w:t>。</w:t>
            </w:r>
          </w:p>
          <w:p w14:paraId="1EA8A2DA">
            <w:pPr>
              <w:snapToGrid w:val="0"/>
              <w:spacing w:line="360" w:lineRule="auto"/>
              <w:jc w:val="center"/>
              <w:rPr>
                <w:rFonts w:hint="default" w:ascii="Times New Roman" w:hAnsi="Times New Roman" w:cs="Times New Roman" w:eastAsiaTheme="minorEastAsia"/>
                <w:b/>
                <w:bCs/>
                <w:color w:val="auto"/>
                <w:szCs w:val="21"/>
              </w:rPr>
            </w:pPr>
            <w:r>
              <w:rPr>
                <w:rFonts w:hint="default" w:ascii="Times New Roman" w:hAnsi="Times New Roman" w:cs="Times New Roman" w:eastAsiaTheme="minorEastAsia"/>
                <w:b/>
                <w:bCs/>
                <w:color w:val="auto"/>
                <w:szCs w:val="21"/>
              </w:rPr>
              <w:t>表3-</w:t>
            </w:r>
            <w:r>
              <w:rPr>
                <w:rFonts w:hint="eastAsia" w:cs="Times New Roman" w:eastAsiaTheme="minorEastAsia"/>
                <w:b/>
                <w:bCs/>
                <w:color w:val="auto"/>
                <w:szCs w:val="21"/>
                <w:lang w:val="en-US" w:eastAsia="zh-CN"/>
              </w:rPr>
              <w:t>9</w:t>
            </w:r>
            <w:r>
              <w:rPr>
                <w:rFonts w:hint="default" w:ascii="Times New Roman" w:hAnsi="Times New Roman" w:cs="Times New Roman" w:eastAsiaTheme="minorEastAsia"/>
                <w:b/>
                <w:bCs/>
                <w:color w:val="auto"/>
                <w:szCs w:val="21"/>
              </w:rPr>
              <w:t xml:space="preserve">  声环境质量现状评价结果</w:t>
            </w:r>
          </w:p>
          <w:tbl>
            <w:tblPr>
              <w:tblStyle w:val="23"/>
              <w:tblW w:w="99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4"/>
              <w:gridCol w:w="3096"/>
              <w:gridCol w:w="931"/>
              <w:gridCol w:w="933"/>
              <w:gridCol w:w="931"/>
              <w:gridCol w:w="941"/>
              <w:gridCol w:w="1166"/>
              <w:gridCol w:w="1166"/>
            </w:tblGrid>
            <w:tr w14:paraId="2AF3BA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90" w:hRule="atLeast"/>
                <w:jc w:val="center"/>
              </w:trPr>
              <w:tc>
                <w:tcPr>
                  <w:tcW w:w="804" w:type="dxa"/>
                  <w:vMerge w:val="restart"/>
                  <w:vAlign w:val="center"/>
                </w:tcPr>
                <w:p w14:paraId="015532AD">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编号</w:t>
                  </w:r>
                </w:p>
              </w:tc>
              <w:tc>
                <w:tcPr>
                  <w:tcW w:w="3096" w:type="dxa"/>
                  <w:vMerge w:val="restart"/>
                  <w:vAlign w:val="center"/>
                </w:tcPr>
                <w:p w14:paraId="5298702B">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监测点位置</w:t>
                  </w:r>
                </w:p>
              </w:tc>
              <w:tc>
                <w:tcPr>
                  <w:tcW w:w="3736" w:type="dxa"/>
                  <w:gridSpan w:val="4"/>
                  <w:vAlign w:val="center"/>
                </w:tcPr>
                <w:p w14:paraId="33171059">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评价结果</w:t>
                  </w:r>
                  <w:r>
                    <w:rPr>
                      <w:rFonts w:hint="default" w:ascii="Times New Roman" w:hAnsi="Times New Roman" w:eastAsia="仿宋" w:cs="Times New Roman"/>
                      <w:color w:val="auto"/>
                      <w:sz w:val="21"/>
                      <w:szCs w:val="21"/>
                    </w:rPr>
                    <w:t>[</w:t>
                  </w:r>
                  <w:r>
                    <w:rPr>
                      <w:rFonts w:hint="default" w:ascii="Times New Roman" w:hAnsi="Times New Roman" w:cs="Times New Roman"/>
                      <w:color w:val="auto"/>
                      <w:sz w:val="21"/>
                      <w:szCs w:val="21"/>
                    </w:rPr>
                    <w:t>dB（A）</w:t>
                  </w:r>
                  <w:r>
                    <w:rPr>
                      <w:rFonts w:hint="default" w:ascii="Times New Roman" w:hAnsi="Times New Roman" w:eastAsia="仿宋" w:cs="Times New Roman"/>
                      <w:color w:val="auto"/>
                      <w:sz w:val="21"/>
                      <w:szCs w:val="21"/>
                    </w:rPr>
                    <w:t>]</w:t>
                  </w:r>
                </w:p>
              </w:tc>
              <w:tc>
                <w:tcPr>
                  <w:tcW w:w="2332" w:type="dxa"/>
                  <w:gridSpan w:val="2"/>
                  <w:vAlign w:val="center"/>
                </w:tcPr>
                <w:p w14:paraId="4984C25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评价标准</w:t>
                  </w:r>
                  <w:r>
                    <w:rPr>
                      <w:rFonts w:hint="default" w:ascii="Times New Roman" w:hAnsi="Times New Roman" w:eastAsia="仿宋" w:cs="Times New Roman"/>
                      <w:color w:val="auto"/>
                      <w:sz w:val="21"/>
                      <w:szCs w:val="21"/>
                    </w:rPr>
                    <w:t>[</w:t>
                  </w:r>
                  <w:r>
                    <w:rPr>
                      <w:rFonts w:hint="default" w:ascii="Times New Roman" w:hAnsi="Times New Roman" w:cs="Times New Roman"/>
                      <w:color w:val="auto"/>
                      <w:sz w:val="21"/>
                      <w:szCs w:val="21"/>
                    </w:rPr>
                    <w:t>dB（A）</w:t>
                  </w:r>
                  <w:r>
                    <w:rPr>
                      <w:rFonts w:hint="default" w:ascii="Times New Roman" w:hAnsi="Times New Roman" w:eastAsia="仿宋" w:cs="Times New Roman"/>
                      <w:color w:val="auto"/>
                      <w:sz w:val="21"/>
                      <w:szCs w:val="21"/>
                    </w:rPr>
                    <w:t>]</w:t>
                  </w:r>
                </w:p>
              </w:tc>
            </w:tr>
            <w:tr w14:paraId="523147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804" w:type="dxa"/>
                  <w:vMerge w:val="continue"/>
                  <w:vAlign w:val="center"/>
                </w:tcPr>
                <w:p w14:paraId="023CBB9F">
                  <w:pPr>
                    <w:spacing w:line="276" w:lineRule="auto"/>
                    <w:jc w:val="center"/>
                    <w:rPr>
                      <w:rFonts w:hint="default" w:ascii="Times New Roman" w:hAnsi="Times New Roman" w:cs="Times New Roman"/>
                      <w:color w:val="auto"/>
                      <w:sz w:val="21"/>
                      <w:szCs w:val="21"/>
                    </w:rPr>
                  </w:pPr>
                </w:p>
              </w:tc>
              <w:tc>
                <w:tcPr>
                  <w:tcW w:w="3096" w:type="dxa"/>
                  <w:vMerge w:val="continue"/>
                  <w:vAlign w:val="center"/>
                </w:tcPr>
                <w:p w14:paraId="094629FC">
                  <w:pPr>
                    <w:spacing w:line="276" w:lineRule="auto"/>
                    <w:jc w:val="center"/>
                    <w:rPr>
                      <w:rFonts w:hint="default" w:ascii="Times New Roman" w:hAnsi="Times New Roman" w:cs="Times New Roman"/>
                      <w:color w:val="auto"/>
                      <w:sz w:val="21"/>
                      <w:szCs w:val="21"/>
                    </w:rPr>
                  </w:pPr>
                </w:p>
              </w:tc>
              <w:tc>
                <w:tcPr>
                  <w:tcW w:w="931" w:type="dxa"/>
                  <w:vAlign w:val="center"/>
                </w:tcPr>
                <w:p w14:paraId="7CAFA0DF">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昼间</w:t>
                  </w:r>
                </w:p>
              </w:tc>
              <w:tc>
                <w:tcPr>
                  <w:tcW w:w="933" w:type="dxa"/>
                  <w:vAlign w:val="center"/>
                </w:tcPr>
                <w:p w14:paraId="588A65A8">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结果</w:t>
                  </w:r>
                </w:p>
              </w:tc>
              <w:tc>
                <w:tcPr>
                  <w:tcW w:w="931" w:type="dxa"/>
                  <w:vAlign w:val="center"/>
                </w:tcPr>
                <w:p w14:paraId="1122011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夜间</w:t>
                  </w:r>
                </w:p>
              </w:tc>
              <w:tc>
                <w:tcPr>
                  <w:tcW w:w="941" w:type="dxa"/>
                  <w:vAlign w:val="center"/>
                </w:tcPr>
                <w:p w14:paraId="2A4234A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结果</w:t>
                  </w:r>
                </w:p>
              </w:tc>
              <w:tc>
                <w:tcPr>
                  <w:tcW w:w="1166" w:type="dxa"/>
                  <w:vAlign w:val="center"/>
                </w:tcPr>
                <w:p w14:paraId="5B2FDFB8">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昼间</w:t>
                  </w:r>
                </w:p>
              </w:tc>
              <w:tc>
                <w:tcPr>
                  <w:tcW w:w="1166" w:type="dxa"/>
                  <w:vAlign w:val="center"/>
                </w:tcPr>
                <w:p w14:paraId="66E1A3EB">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夜间</w:t>
                  </w:r>
                </w:p>
              </w:tc>
            </w:tr>
            <w:tr w14:paraId="3996AB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804" w:type="dxa"/>
                </w:tcPr>
                <w:p w14:paraId="77DC6E91">
                  <w:pPr>
                    <w:spacing w:line="276"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w:t>
                  </w:r>
                </w:p>
              </w:tc>
              <w:tc>
                <w:tcPr>
                  <w:tcW w:w="3096" w:type="dxa"/>
                  <w:vAlign w:val="center"/>
                </w:tcPr>
                <w:p w14:paraId="1B8C4AF2">
                  <w:pPr>
                    <w:spacing w:line="276"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项目</w:t>
                  </w:r>
                  <w:r>
                    <w:rPr>
                      <w:rFonts w:hint="eastAsia" w:cs="Times New Roman"/>
                      <w:color w:val="auto"/>
                      <w:kern w:val="0"/>
                      <w:sz w:val="21"/>
                      <w:szCs w:val="21"/>
                      <w:lang w:val="en-US" w:eastAsia="zh-CN"/>
                    </w:rPr>
                    <w:t>东</w:t>
                  </w:r>
                  <w:r>
                    <w:rPr>
                      <w:rFonts w:hint="default" w:ascii="Times New Roman" w:hAnsi="Times New Roman" w:cs="Times New Roman"/>
                      <w:color w:val="auto"/>
                      <w:kern w:val="0"/>
                      <w:sz w:val="21"/>
                      <w:szCs w:val="21"/>
                    </w:rPr>
                    <w:t>侧厂界外1m</w:t>
                  </w:r>
                </w:p>
              </w:tc>
              <w:tc>
                <w:tcPr>
                  <w:tcW w:w="931" w:type="dxa"/>
                </w:tcPr>
                <w:p w14:paraId="673B4D33">
                  <w:pPr>
                    <w:spacing w:line="276"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54.4</w:t>
                  </w:r>
                </w:p>
              </w:tc>
              <w:tc>
                <w:tcPr>
                  <w:tcW w:w="933" w:type="dxa"/>
                  <w:vAlign w:val="center"/>
                </w:tcPr>
                <w:p w14:paraId="061EBC2A">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达标</w:t>
                  </w:r>
                </w:p>
              </w:tc>
              <w:tc>
                <w:tcPr>
                  <w:tcW w:w="931" w:type="dxa"/>
                </w:tcPr>
                <w:p w14:paraId="52D0624C">
                  <w:pPr>
                    <w:spacing w:line="276" w:lineRule="auto"/>
                    <w:jc w:val="center"/>
                    <w:rPr>
                      <w:rFonts w:hint="default" w:ascii="Times New Roman" w:hAnsi="Times New Roman" w:eastAsia="宋体" w:cs="Times New Roman"/>
                      <w:color w:val="auto"/>
                      <w:kern w:val="0"/>
                      <w:sz w:val="21"/>
                      <w:szCs w:val="21"/>
                      <w:lang w:eastAsia="zh-CN"/>
                    </w:rPr>
                  </w:pPr>
                  <w:r>
                    <w:rPr>
                      <w:rFonts w:hint="default" w:ascii="Times New Roman" w:hAnsi="Times New Roman" w:cs="Times New Roman"/>
                      <w:color w:val="auto"/>
                      <w:kern w:val="0"/>
                      <w:sz w:val="21"/>
                      <w:szCs w:val="21"/>
                      <w:lang w:val="en-US" w:eastAsia="zh-CN"/>
                    </w:rPr>
                    <w:t>4</w:t>
                  </w:r>
                  <w:r>
                    <w:rPr>
                      <w:rFonts w:hint="eastAsia" w:cs="Times New Roman"/>
                      <w:color w:val="auto"/>
                      <w:kern w:val="0"/>
                      <w:sz w:val="21"/>
                      <w:szCs w:val="21"/>
                      <w:lang w:val="en-US" w:eastAsia="zh-CN"/>
                    </w:rPr>
                    <w:t>3</w:t>
                  </w:r>
                  <w:r>
                    <w:rPr>
                      <w:rFonts w:hint="default" w:ascii="Times New Roman" w:hAnsi="Times New Roman" w:cs="Times New Roman"/>
                      <w:color w:val="auto"/>
                      <w:kern w:val="0"/>
                      <w:sz w:val="21"/>
                      <w:szCs w:val="21"/>
                      <w:lang w:val="en-US" w:eastAsia="zh-CN"/>
                    </w:rPr>
                    <w:t>.6</w:t>
                  </w:r>
                </w:p>
              </w:tc>
              <w:tc>
                <w:tcPr>
                  <w:tcW w:w="941" w:type="dxa"/>
                  <w:vAlign w:val="center"/>
                </w:tcPr>
                <w:p w14:paraId="19983568">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达标</w:t>
                  </w:r>
                </w:p>
              </w:tc>
              <w:tc>
                <w:tcPr>
                  <w:tcW w:w="1166" w:type="dxa"/>
                  <w:vMerge w:val="restart"/>
                  <w:vAlign w:val="center"/>
                </w:tcPr>
                <w:p w14:paraId="3913E6A8">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65</w:t>
                  </w:r>
                </w:p>
              </w:tc>
              <w:tc>
                <w:tcPr>
                  <w:tcW w:w="1166" w:type="dxa"/>
                  <w:vMerge w:val="restart"/>
                  <w:vAlign w:val="center"/>
                </w:tcPr>
                <w:p w14:paraId="4B085928">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55</w:t>
                  </w:r>
                </w:p>
              </w:tc>
            </w:tr>
            <w:tr w14:paraId="4E97B3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4" w:type="dxa"/>
                </w:tcPr>
                <w:p w14:paraId="7BC28BA7">
                  <w:pPr>
                    <w:spacing w:line="276"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w:t>
                  </w:r>
                </w:p>
              </w:tc>
              <w:tc>
                <w:tcPr>
                  <w:tcW w:w="3096" w:type="dxa"/>
                  <w:vAlign w:val="center"/>
                </w:tcPr>
                <w:p w14:paraId="2D4137F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kern w:val="0"/>
                      <w:sz w:val="21"/>
                      <w:szCs w:val="21"/>
                    </w:rPr>
                    <w:t>项目南侧厂界外1m</w:t>
                  </w:r>
                </w:p>
              </w:tc>
              <w:tc>
                <w:tcPr>
                  <w:tcW w:w="931" w:type="dxa"/>
                </w:tcPr>
                <w:p w14:paraId="6CBC1827">
                  <w:pPr>
                    <w:spacing w:line="276"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49.7</w:t>
                  </w:r>
                </w:p>
              </w:tc>
              <w:tc>
                <w:tcPr>
                  <w:tcW w:w="933" w:type="dxa"/>
                  <w:vAlign w:val="center"/>
                </w:tcPr>
                <w:p w14:paraId="43F68AC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达标</w:t>
                  </w:r>
                </w:p>
              </w:tc>
              <w:tc>
                <w:tcPr>
                  <w:tcW w:w="931" w:type="dxa"/>
                </w:tcPr>
                <w:p w14:paraId="1AA25259">
                  <w:pPr>
                    <w:spacing w:line="276"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42.7</w:t>
                  </w:r>
                </w:p>
              </w:tc>
              <w:tc>
                <w:tcPr>
                  <w:tcW w:w="941" w:type="dxa"/>
                  <w:vAlign w:val="center"/>
                </w:tcPr>
                <w:p w14:paraId="4757432C">
                  <w:pPr>
                    <w:spacing w:line="276" w:lineRule="auto"/>
                    <w:jc w:val="center"/>
                    <w:rPr>
                      <w:rFonts w:hint="default" w:ascii="Times New Roman" w:hAnsi="Times New Roman" w:cs="Times New Roman"/>
                      <w:b/>
                      <w:color w:val="auto"/>
                      <w:sz w:val="21"/>
                      <w:szCs w:val="21"/>
                    </w:rPr>
                  </w:pPr>
                  <w:r>
                    <w:rPr>
                      <w:rFonts w:hint="default" w:ascii="Times New Roman" w:hAnsi="Times New Roman" w:cs="Times New Roman"/>
                      <w:color w:val="auto"/>
                      <w:sz w:val="21"/>
                      <w:szCs w:val="21"/>
                    </w:rPr>
                    <w:t>达标</w:t>
                  </w:r>
                </w:p>
              </w:tc>
              <w:tc>
                <w:tcPr>
                  <w:tcW w:w="1166" w:type="dxa"/>
                  <w:vMerge w:val="continue"/>
                  <w:vAlign w:val="center"/>
                </w:tcPr>
                <w:p w14:paraId="73AFE75E">
                  <w:pPr>
                    <w:spacing w:line="276" w:lineRule="auto"/>
                    <w:jc w:val="center"/>
                    <w:rPr>
                      <w:rFonts w:hint="default" w:ascii="Times New Roman" w:hAnsi="Times New Roman" w:cs="Times New Roman"/>
                      <w:color w:val="auto"/>
                      <w:sz w:val="21"/>
                      <w:szCs w:val="21"/>
                    </w:rPr>
                  </w:pPr>
                </w:p>
              </w:tc>
              <w:tc>
                <w:tcPr>
                  <w:tcW w:w="1166" w:type="dxa"/>
                  <w:vMerge w:val="continue"/>
                  <w:vAlign w:val="center"/>
                </w:tcPr>
                <w:p w14:paraId="401D5EF4">
                  <w:pPr>
                    <w:spacing w:line="276" w:lineRule="auto"/>
                    <w:jc w:val="center"/>
                    <w:rPr>
                      <w:rFonts w:hint="default" w:ascii="Times New Roman" w:hAnsi="Times New Roman" w:cs="Times New Roman"/>
                      <w:color w:val="auto"/>
                      <w:sz w:val="21"/>
                      <w:szCs w:val="21"/>
                    </w:rPr>
                  </w:pPr>
                </w:p>
              </w:tc>
            </w:tr>
            <w:tr w14:paraId="1E89C6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jc w:val="center"/>
              </w:trPr>
              <w:tc>
                <w:tcPr>
                  <w:tcW w:w="804" w:type="dxa"/>
                </w:tcPr>
                <w:p w14:paraId="7BC32B06">
                  <w:pPr>
                    <w:spacing w:line="276"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3#</w:t>
                  </w:r>
                </w:p>
              </w:tc>
              <w:tc>
                <w:tcPr>
                  <w:tcW w:w="3096" w:type="dxa"/>
                  <w:vAlign w:val="center"/>
                </w:tcPr>
                <w:p w14:paraId="6E45AC8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kern w:val="0"/>
                      <w:sz w:val="21"/>
                      <w:szCs w:val="21"/>
                    </w:rPr>
                    <w:t>项目西侧厂界外1m</w:t>
                  </w:r>
                </w:p>
              </w:tc>
              <w:tc>
                <w:tcPr>
                  <w:tcW w:w="931" w:type="dxa"/>
                </w:tcPr>
                <w:p w14:paraId="76210FD0">
                  <w:pPr>
                    <w:spacing w:line="276"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47.4</w:t>
                  </w:r>
                </w:p>
              </w:tc>
              <w:tc>
                <w:tcPr>
                  <w:tcW w:w="933" w:type="dxa"/>
                  <w:vAlign w:val="center"/>
                </w:tcPr>
                <w:p w14:paraId="6E68A55F">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达标</w:t>
                  </w:r>
                </w:p>
              </w:tc>
              <w:tc>
                <w:tcPr>
                  <w:tcW w:w="931" w:type="dxa"/>
                </w:tcPr>
                <w:p w14:paraId="0C5226CC">
                  <w:pPr>
                    <w:spacing w:line="276"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42.4</w:t>
                  </w:r>
                </w:p>
              </w:tc>
              <w:tc>
                <w:tcPr>
                  <w:tcW w:w="941" w:type="dxa"/>
                  <w:vAlign w:val="center"/>
                </w:tcPr>
                <w:p w14:paraId="3EDFC48C">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达标</w:t>
                  </w:r>
                </w:p>
              </w:tc>
              <w:tc>
                <w:tcPr>
                  <w:tcW w:w="1166" w:type="dxa"/>
                  <w:vMerge w:val="continue"/>
                  <w:vAlign w:val="center"/>
                </w:tcPr>
                <w:p w14:paraId="5C3A5B15">
                  <w:pPr>
                    <w:spacing w:line="276" w:lineRule="auto"/>
                    <w:jc w:val="center"/>
                    <w:rPr>
                      <w:rFonts w:hint="default" w:ascii="Times New Roman" w:hAnsi="Times New Roman" w:cs="Times New Roman"/>
                      <w:color w:val="auto"/>
                      <w:sz w:val="21"/>
                      <w:szCs w:val="21"/>
                    </w:rPr>
                  </w:pPr>
                </w:p>
              </w:tc>
              <w:tc>
                <w:tcPr>
                  <w:tcW w:w="1166" w:type="dxa"/>
                  <w:vMerge w:val="continue"/>
                  <w:vAlign w:val="center"/>
                </w:tcPr>
                <w:p w14:paraId="1AD30CEA">
                  <w:pPr>
                    <w:spacing w:line="276" w:lineRule="auto"/>
                    <w:jc w:val="center"/>
                    <w:rPr>
                      <w:rFonts w:hint="default" w:ascii="Times New Roman" w:hAnsi="Times New Roman" w:cs="Times New Roman"/>
                      <w:color w:val="auto"/>
                      <w:sz w:val="21"/>
                      <w:szCs w:val="21"/>
                    </w:rPr>
                  </w:pPr>
                </w:p>
              </w:tc>
            </w:tr>
            <w:tr w14:paraId="46A544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jc w:val="center"/>
              </w:trPr>
              <w:tc>
                <w:tcPr>
                  <w:tcW w:w="804" w:type="dxa"/>
                </w:tcPr>
                <w:p w14:paraId="1F6D9284">
                  <w:pPr>
                    <w:spacing w:line="276"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4#</w:t>
                  </w:r>
                </w:p>
              </w:tc>
              <w:tc>
                <w:tcPr>
                  <w:tcW w:w="3096" w:type="dxa"/>
                  <w:vAlign w:val="center"/>
                </w:tcPr>
                <w:p w14:paraId="4EF68A3B">
                  <w:pPr>
                    <w:spacing w:line="276"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项目</w:t>
                  </w:r>
                  <w:r>
                    <w:rPr>
                      <w:rFonts w:hint="eastAsia" w:cs="Times New Roman"/>
                      <w:color w:val="auto"/>
                      <w:kern w:val="0"/>
                      <w:sz w:val="21"/>
                      <w:szCs w:val="21"/>
                      <w:lang w:val="en-US" w:eastAsia="zh-CN"/>
                    </w:rPr>
                    <w:t>北</w:t>
                  </w:r>
                  <w:r>
                    <w:rPr>
                      <w:rFonts w:hint="default" w:ascii="Times New Roman" w:hAnsi="Times New Roman" w:cs="Times New Roman"/>
                      <w:color w:val="auto"/>
                      <w:kern w:val="0"/>
                      <w:sz w:val="21"/>
                      <w:szCs w:val="21"/>
                    </w:rPr>
                    <w:t>侧厂界外1m</w:t>
                  </w:r>
                </w:p>
              </w:tc>
              <w:tc>
                <w:tcPr>
                  <w:tcW w:w="931" w:type="dxa"/>
                </w:tcPr>
                <w:p w14:paraId="398438DD">
                  <w:pPr>
                    <w:spacing w:line="276"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53.4</w:t>
                  </w:r>
                </w:p>
              </w:tc>
              <w:tc>
                <w:tcPr>
                  <w:tcW w:w="933" w:type="dxa"/>
                  <w:vAlign w:val="center"/>
                </w:tcPr>
                <w:p w14:paraId="45070C2B">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达标</w:t>
                  </w:r>
                </w:p>
              </w:tc>
              <w:tc>
                <w:tcPr>
                  <w:tcW w:w="931" w:type="dxa"/>
                </w:tcPr>
                <w:p w14:paraId="010C29AB">
                  <w:pPr>
                    <w:spacing w:line="276"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44.5</w:t>
                  </w:r>
                </w:p>
              </w:tc>
              <w:tc>
                <w:tcPr>
                  <w:tcW w:w="941" w:type="dxa"/>
                  <w:vAlign w:val="center"/>
                </w:tcPr>
                <w:p w14:paraId="786E8C50">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达标</w:t>
                  </w:r>
                </w:p>
              </w:tc>
              <w:tc>
                <w:tcPr>
                  <w:tcW w:w="1166" w:type="dxa"/>
                  <w:vMerge w:val="continue"/>
                  <w:vAlign w:val="center"/>
                </w:tcPr>
                <w:p w14:paraId="0FBFA0BB">
                  <w:pPr>
                    <w:spacing w:line="276" w:lineRule="auto"/>
                    <w:jc w:val="center"/>
                    <w:rPr>
                      <w:rFonts w:hint="default" w:ascii="Times New Roman" w:hAnsi="Times New Roman" w:cs="Times New Roman"/>
                      <w:color w:val="auto"/>
                      <w:sz w:val="21"/>
                      <w:szCs w:val="21"/>
                    </w:rPr>
                  </w:pPr>
                </w:p>
              </w:tc>
              <w:tc>
                <w:tcPr>
                  <w:tcW w:w="1166" w:type="dxa"/>
                  <w:vMerge w:val="continue"/>
                  <w:vAlign w:val="center"/>
                </w:tcPr>
                <w:p w14:paraId="6ABAEF03">
                  <w:pPr>
                    <w:spacing w:line="276" w:lineRule="auto"/>
                    <w:jc w:val="center"/>
                    <w:rPr>
                      <w:rFonts w:hint="default" w:ascii="Times New Roman" w:hAnsi="Times New Roman" w:cs="Times New Roman"/>
                      <w:color w:val="auto"/>
                      <w:sz w:val="21"/>
                      <w:szCs w:val="21"/>
                    </w:rPr>
                  </w:pPr>
                </w:p>
              </w:tc>
            </w:tr>
          </w:tbl>
          <w:p w14:paraId="4D56A288">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结果表明，所有监测点昼、夜间噪声均未超过《声环境噪声标准》（GB3096-2008）中的3类区域标准。总体来说，现状监测表面工程所在地声环境质量较好。</w:t>
            </w:r>
          </w:p>
          <w:p w14:paraId="1A269954">
            <w:pPr>
              <w:spacing w:line="360" w:lineRule="auto"/>
              <w:rPr>
                <w:rFonts w:hint="default" w:ascii="Times New Roman" w:hAnsi="Times New Roman" w:eastAsia="黑体" w:cs="Times New Roman"/>
                <w:color w:val="auto"/>
                <w:sz w:val="28"/>
                <w:szCs w:val="28"/>
              </w:rPr>
            </w:pPr>
            <w:r>
              <w:rPr>
                <w:rFonts w:hint="default" w:ascii="Times New Roman" w:hAnsi="Times New Roman" w:eastAsia="黑体" w:cs="Times New Roman"/>
                <w:color w:val="auto"/>
                <w:sz w:val="28"/>
                <w:szCs w:val="28"/>
              </w:rPr>
              <w:t>四、生态质量现状</w:t>
            </w:r>
          </w:p>
          <w:p w14:paraId="51A68FE0">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项目选址于</w:t>
            </w:r>
            <w:r>
              <w:rPr>
                <w:rFonts w:hint="default" w:ascii="Times New Roman" w:hAnsi="Times New Roman" w:cs="Times New Roman"/>
                <w:color w:val="auto"/>
                <w:sz w:val="24"/>
                <w:szCs w:val="24"/>
                <w:lang w:eastAsia="zh-CN"/>
              </w:rPr>
              <w:t>遂宁市安居区工业集中发展区汽摩产业园</w:t>
            </w:r>
            <w:r>
              <w:rPr>
                <w:rFonts w:hint="default" w:ascii="Times New Roman" w:hAnsi="Times New Roman" w:cs="Times New Roman"/>
                <w:color w:val="auto"/>
                <w:sz w:val="24"/>
                <w:szCs w:val="24"/>
              </w:rPr>
              <w:t>，由于人为活动频繁，已不存在原生植被，仅有鸟类、鼠类及昆虫类等小型动物，植被为人工植被，区域生态环境质量较好。区内无大型野生动物及古大珍稀植物，无特殊文物保护单位。</w:t>
            </w:r>
          </w:p>
        </w:tc>
      </w:tr>
      <w:tr w14:paraId="7F33E9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194" w:type="dxa"/>
            <w:shd w:val="clear" w:color="auto" w:fill="auto"/>
          </w:tcPr>
          <w:p w14:paraId="7DF73A1E">
            <w:pPr>
              <w:spacing w:line="360" w:lineRule="auto"/>
              <w:rPr>
                <w:rFonts w:hint="default" w:ascii="Times New Roman" w:hAnsi="Times New Roman" w:cs="Times New Roman"/>
                <w:b/>
                <w:bCs/>
                <w:color w:val="auto"/>
                <w:sz w:val="24"/>
                <w:szCs w:val="24"/>
                <w:lang w:eastAsia="zh-CN"/>
              </w:rPr>
            </w:pPr>
            <w:r>
              <w:rPr>
                <w:rFonts w:hint="default" w:ascii="Times New Roman" w:hAnsi="Times New Roman" w:cs="Times New Roman"/>
                <w:b/>
                <w:bCs/>
                <w:color w:val="auto"/>
                <w:sz w:val="24"/>
                <w:szCs w:val="24"/>
                <w:lang w:eastAsia="zh-CN"/>
              </w:rPr>
              <w:t>主要环境保护目标（列出名单及保护级别）：</w:t>
            </w:r>
          </w:p>
          <w:p w14:paraId="6ED2C2A0">
            <w:pPr>
              <w:spacing w:line="360" w:lineRule="auto"/>
              <w:ind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本项目位于遂宁市安居区工业集中发展区汽摩产业园，主要环境保护目标如下：</w:t>
            </w:r>
          </w:p>
          <w:p w14:paraId="0AFAA487">
            <w:pPr>
              <w:spacing w:line="360" w:lineRule="auto"/>
              <w:ind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1、大气环境</w:t>
            </w:r>
          </w:p>
          <w:p w14:paraId="1B729A45">
            <w:pPr>
              <w:spacing w:line="360" w:lineRule="auto"/>
              <w:ind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本项目大气环境保护目标为项目所在区域大气环境，应符合《环境空气质量标准》（GB3095-2012）二级标准。</w:t>
            </w:r>
          </w:p>
          <w:p w14:paraId="08680738">
            <w:pPr>
              <w:spacing w:line="360" w:lineRule="auto"/>
              <w:ind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2、地表水环境</w:t>
            </w:r>
          </w:p>
          <w:p w14:paraId="617F3D1B">
            <w:pPr>
              <w:spacing w:line="360" w:lineRule="auto"/>
              <w:ind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本项目地表水环境保护目标为评价河段琼江水质，应符合《地表水环境质量标准》（GB3838-2002）III类水域标准。</w:t>
            </w:r>
          </w:p>
          <w:p w14:paraId="424E5846">
            <w:pPr>
              <w:spacing w:line="360" w:lineRule="auto"/>
              <w:ind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3、声环境</w:t>
            </w:r>
          </w:p>
          <w:p w14:paraId="0845AFA3">
            <w:pPr>
              <w:spacing w:line="360" w:lineRule="auto"/>
              <w:ind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声环境保护目标为以项目所在地为中心</w:t>
            </w:r>
            <w:r>
              <w:rPr>
                <w:rFonts w:hint="default" w:ascii="Times New Roman" w:hAnsi="Times New Roman" w:cs="Times New Roman"/>
                <w:color w:val="auto"/>
                <w:sz w:val="24"/>
                <w:szCs w:val="24"/>
                <w:lang w:val="en-US" w:eastAsia="zh-CN"/>
              </w:rPr>
              <w:t>1k</w:t>
            </w:r>
            <w:r>
              <w:rPr>
                <w:rFonts w:hint="default" w:ascii="Times New Roman" w:hAnsi="Times New Roman" w:cs="Times New Roman"/>
                <w:color w:val="auto"/>
                <w:sz w:val="24"/>
                <w:szCs w:val="24"/>
                <w:lang w:eastAsia="zh-CN"/>
              </w:rPr>
              <w:t>m范围内的声环境敏感目标，应符合《声环境质量标准》（GB3096-2008）中3类标准。</w:t>
            </w:r>
          </w:p>
          <w:p w14:paraId="33AECAAB">
            <w:pPr>
              <w:spacing w:line="240" w:lineRule="atLeast"/>
              <w:jc w:val="center"/>
              <w:rPr>
                <w:rFonts w:hint="default" w:ascii="Times New Roman" w:hAnsi="Times New Roman" w:cs="Times New Roman"/>
                <w:b/>
                <w:color w:val="auto"/>
                <w:szCs w:val="21"/>
              </w:rPr>
            </w:pPr>
            <w:r>
              <w:rPr>
                <w:rFonts w:hint="default" w:ascii="Times New Roman" w:hAnsi="Times New Roman" w:cs="Times New Roman"/>
                <w:b/>
                <w:color w:val="auto"/>
                <w:szCs w:val="21"/>
              </w:rPr>
              <w:t>表3-</w:t>
            </w:r>
            <w:r>
              <w:rPr>
                <w:rFonts w:hint="eastAsia" w:ascii="Times New Roman" w:hAnsi="Times New Roman" w:cs="Times New Roman"/>
                <w:b/>
                <w:color w:val="auto"/>
                <w:szCs w:val="21"/>
                <w:lang w:val="en-US" w:eastAsia="zh-CN"/>
              </w:rPr>
              <w:t>10</w:t>
            </w:r>
            <w:r>
              <w:rPr>
                <w:rFonts w:hint="default" w:ascii="Times New Roman" w:hAnsi="Times New Roman" w:cs="Times New Roman"/>
                <w:b/>
                <w:color w:val="auto"/>
                <w:szCs w:val="21"/>
              </w:rPr>
              <w:t xml:space="preserve"> 本项目主要环境保护目标</w:t>
            </w:r>
          </w:p>
          <w:tbl>
            <w:tblPr>
              <w:tblStyle w:val="23"/>
              <w:tblW w:w="9978"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911"/>
              <w:gridCol w:w="1721"/>
              <w:gridCol w:w="1504"/>
              <w:gridCol w:w="4842"/>
            </w:tblGrid>
            <w:tr w14:paraId="4CE33E4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11" w:type="dxa"/>
                  <w:vAlign w:val="center"/>
                </w:tcPr>
                <w:p w14:paraId="65FA4C05">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环境要素</w:t>
                  </w:r>
                </w:p>
              </w:tc>
              <w:tc>
                <w:tcPr>
                  <w:tcW w:w="1721" w:type="dxa"/>
                  <w:vAlign w:val="center"/>
                </w:tcPr>
                <w:p w14:paraId="335434B6">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保护目标</w:t>
                  </w:r>
                </w:p>
              </w:tc>
              <w:tc>
                <w:tcPr>
                  <w:tcW w:w="1504" w:type="dxa"/>
                  <w:vAlign w:val="center"/>
                </w:tcPr>
                <w:p w14:paraId="33ED1985">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位置关系</w:t>
                  </w:r>
                </w:p>
              </w:tc>
              <w:tc>
                <w:tcPr>
                  <w:tcW w:w="4842" w:type="dxa"/>
                  <w:vAlign w:val="center"/>
                </w:tcPr>
                <w:p w14:paraId="6B9FCECE">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保护级别</w:t>
                  </w:r>
                </w:p>
              </w:tc>
            </w:tr>
            <w:tr w14:paraId="4436CF3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11" w:type="dxa"/>
                  <w:vAlign w:val="center"/>
                </w:tcPr>
                <w:p w14:paraId="6D72FC69">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地表水环境</w:t>
                  </w:r>
                </w:p>
              </w:tc>
              <w:tc>
                <w:tcPr>
                  <w:tcW w:w="1721" w:type="dxa"/>
                  <w:vAlign w:val="center"/>
                </w:tcPr>
                <w:p w14:paraId="16B07D82">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eastAsia="zh-CN"/>
                    </w:rPr>
                    <w:t>琼</w:t>
                  </w:r>
                  <w:r>
                    <w:rPr>
                      <w:rFonts w:hint="default" w:ascii="Times New Roman" w:hAnsi="Times New Roman" w:cs="Times New Roman"/>
                      <w:color w:val="auto"/>
                      <w:sz w:val="21"/>
                      <w:szCs w:val="21"/>
                    </w:rPr>
                    <w:t>江</w:t>
                  </w:r>
                </w:p>
              </w:tc>
              <w:tc>
                <w:tcPr>
                  <w:tcW w:w="1504" w:type="dxa"/>
                  <w:vAlign w:val="center"/>
                </w:tcPr>
                <w:p w14:paraId="6F8B658B">
                  <w:pPr>
                    <w:widowControl/>
                    <w:snapToGrid w:val="0"/>
                    <w:spacing w:line="320" w:lineRule="exact"/>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西</w:t>
                  </w:r>
                  <w:r>
                    <w:rPr>
                      <w:rFonts w:hint="eastAsia" w:ascii="Times New Roman" w:hAnsi="Times New Roman" w:cs="Times New Roman"/>
                      <w:color w:val="auto"/>
                      <w:sz w:val="21"/>
                      <w:szCs w:val="21"/>
                      <w:lang w:val="en-US" w:eastAsia="zh-CN"/>
                    </w:rPr>
                    <w:t>北</w:t>
                  </w:r>
                  <w:r>
                    <w:rPr>
                      <w:rFonts w:hint="default" w:ascii="Times New Roman" w:hAnsi="Times New Roman" w:cs="Times New Roman"/>
                      <w:color w:val="auto"/>
                      <w:sz w:val="21"/>
                      <w:szCs w:val="21"/>
                      <w:lang w:eastAsia="zh-CN"/>
                    </w:rPr>
                    <w:t>、</w:t>
                  </w:r>
                  <w:r>
                    <w:rPr>
                      <w:rFonts w:hint="default" w:ascii="Times New Roman" w:hAnsi="Times New Roman" w:cs="Times New Roman"/>
                      <w:color w:val="auto"/>
                      <w:sz w:val="21"/>
                      <w:szCs w:val="21"/>
                      <w:lang w:val="en-US" w:eastAsia="zh-CN"/>
                    </w:rPr>
                    <w:t>7</w:t>
                  </w:r>
                  <w:r>
                    <w:rPr>
                      <w:rFonts w:hint="eastAsia" w:ascii="Times New Roman" w:hAnsi="Times New Roman" w:cs="Times New Roman"/>
                      <w:color w:val="auto"/>
                      <w:sz w:val="21"/>
                      <w:szCs w:val="21"/>
                      <w:lang w:val="en-US" w:eastAsia="zh-CN"/>
                    </w:rPr>
                    <w:t>8</w:t>
                  </w:r>
                  <w:r>
                    <w:rPr>
                      <w:rFonts w:hint="default" w:ascii="Times New Roman" w:hAnsi="Times New Roman" w:cs="Times New Roman"/>
                      <w:color w:val="auto"/>
                      <w:sz w:val="21"/>
                      <w:szCs w:val="21"/>
                      <w:lang w:val="en-US" w:eastAsia="zh-CN"/>
                    </w:rPr>
                    <w:t>0m</w:t>
                  </w:r>
                </w:p>
              </w:tc>
              <w:tc>
                <w:tcPr>
                  <w:tcW w:w="4842" w:type="dxa"/>
                  <w:vAlign w:val="center"/>
                </w:tcPr>
                <w:p w14:paraId="79E6B5F8">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《地表水环境质量标准》(GB3838-2002)Ⅲ类</w:t>
                  </w:r>
                </w:p>
              </w:tc>
            </w:tr>
            <w:tr w14:paraId="47D0F5D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11" w:type="dxa"/>
                  <w:vAlign w:val="center"/>
                </w:tcPr>
                <w:p w14:paraId="25566A44">
                  <w:pPr>
                    <w:widowControl/>
                    <w:snapToGrid w:val="0"/>
                    <w:spacing w:line="320" w:lineRule="exact"/>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声环境保护目标</w:t>
                  </w:r>
                </w:p>
              </w:tc>
              <w:tc>
                <w:tcPr>
                  <w:tcW w:w="1721" w:type="dxa"/>
                  <w:vMerge w:val="restart"/>
                  <w:vAlign w:val="center"/>
                </w:tcPr>
                <w:p w14:paraId="4376EA98">
                  <w:pPr>
                    <w:widowControl/>
                    <w:snapToGrid w:val="0"/>
                    <w:spacing w:line="320" w:lineRule="exact"/>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龙眼井村（约</w:t>
                  </w:r>
                  <w:r>
                    <w:rPr>
                      <w:rFonts w:hint="default" w:ascii="Times New Roman" w:hAnsi="Times New Roman" w:cs="Times New Roman"/>
                      <w:color w:val="auto"/>
                      <w:sz w:val="21"/>
                      <w:szCs w:val="21"/>
                      <w:lang w:val="en-US" w:eastAsia="zh-CN"/>
                    </w:rPr>
                    <w:t>800人</w:t>
                  </w:r>
                  <w:r>
                    <w:rPr>
                      <w:rFonts w:hint="default" w:ascii="Times New Roman" w:hAnsi="Times New Roman" w:cs="Times New Roman"/>
                      <w:color w:val="auto"/>
                      <w:sz w:val="21"/>
                      <w:szCs w:val="21"/>
                      <w:lang w:eastAsia="zh-CN"/>
                    </w:rPr>
                    <w:t>）</w:t>
                  </w:r>
                </w:p>
              </w:tc>
              <w:tc>
                <w:tcPr>
                  <w:tcW w:w="1504" w:type="dxa"/>
                  <w:vMerge w:val="restart"/>
                  <w:vAlign w:val="center"/>
                </w:tcPr>
                <w:p w14:paraId="3ABF0EE2">
                  <w:pPr>
                    <w:widowControl/>
                    <w:snapToGrid w:val="0"/>
                    <w:spacing w:line="320" w:lineRule="exact"/>
                    <w:jc w:val="center"/>
                    <w:rPr>
                      <w:rFonts w:hint="default" w:ascii="Times New Roman" w:hAnsi="Times New Roman" w:cs="Times New Roman"/>
                      <w:color w:val="auto"/>
                      <w:sz w:val="21"/>
                      <w:szCs w:val="21"/>
                      <w:lang w:eastAsia="zh-CN"/>
                    </w:rPr>
                  </w:pPr>
                  <w:r>
                    <w:rPr>
                      <w:rFonts w:hint="eastAsia" w:ascii="Times New Roman" w:hAnsi="Times New Roman" w:cs="Times New Roman"/>
                      <w:color w:val="auto"/>
                      <w:sz w:val="21"/>
                      <w:szCs w:val="21"/>
                      <w:lang w:val="en-US" w:eastAsia="zh-CN"/>
                    </w:rPr>
                    <w:t>西南</w:t>
                  </w:r>
                  <w:r>
                    <w:rPr>
                      <w:rFonts w:hint="default" w:ascii="Times New Roman" w:hAnsi="Times New Roman" w:cs="Times New Roman"/>
                      <w:color w:val="auto"/>
                      <w:sz w:val="21"/>
                      <w:szCs w:val="21"/>
                      <w:lang w:eastAsia="zh-CN"/>
                    </w:rPr>
                    <w:t>、</w:t>
                  </w:r>
                  <w:r>
                    <w:rPr>
                      <w:rFonts w:hint="eastAsia" w:ascii="Times New Roman" w:hAnsi="Times New Roman" w:cs="Times New Roman"/>
                      <w:color w:val="auto"/>
                      <w:sz w:val="21"/>
                      <w:szCs w:val="21"/>
                      <w:lang w:val="en-US" w:eastAsia="zh-CN"/>
                    </w:rPr>
                    <w:t>10</w:t>
                  </w:r>
                  <w:r>
                    <w:rPr>
                      <w:rFonts w:hint="default" w:ascii="Times New Roman" w:hAnsi="Times New Roman" w:cs="Times New Roman"/>
                      <w:color w:val="auto"/>
                      <w:sz w:val="21"/>
                      <w:szCs w:val="21"/>
                      <w:lang w:val="en-US" w:eastAsia="zh-CN"/>
                    </w:rPr>
                    <w:t>00m</w:t>
                  </w:r>
                </w:p>
              </w:tc>
              <w:tc>
                <w:tcPr>
                  <w:tcW w:w="4842" w:type="dxa"/>
                  <w:vAlign w:val="center"/>
                </w:tcPr>
                <w:p w14:paraId="3D030298">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《环境空气质量标准》（GB3095-2012）二级标准</w:t>
                  </w:r>
                </w:p>
              </w:tc>
            </w:tr>
            <w:tr w14:paraId="06FCA8C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11" w:type="dxa"/>
                  <w:vAlign w:val="center"/>
                </w:tcPr>
                <w:p w14:paraId="5DB0B72C">
                  <w:pPr>
                    <w:widowControl/>
                    <w:snapToGrid w:val="0"/>
                    <w:spacing w:line="320" w:lineRule="exact"/>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大气环境保护目标</w:t>
                  </w:r>
                </w:p>
              </w:tc>
              <w:tc>
                <w:tcPr>
                  <w:tcW w:w="1721" w:type="dxa"/>
                  <w:vMerge w:val="continue"/>
                  <w:vAlign w:val="center"/>
                </w:tcPr>
                <w:p w14:paraId="7C16FE2E">
                  <w:pPr>
                    <w:widowControl/>
                    <w:snapToGrid w:val="0"/>
                    <w:spacing w:line="320" w:lineRule="exact"/>
                    <w:jc w:val="center"/>
                    <w:rPr>
                      <w:rFonts w:hint="default" w:ascii="Times New Roman" w:hAnsi="Times New Roman" w:cs="Times New Roman"/>
                      <w:color w:val="auto"/>
                      <w:sz w:val="21"/>
                      <w:szCs w:val="21"/>
                    </w:rPr>
                  </w:pPr>
                </w:p>
              </w:tc>
              <w:tc>
                <w:tcPr>
                  <w:tcW w:w="1504" w:type="dxa"/>
                  <w:vMerge w:val="continue"/>
                  <w:vAlign w:val="center"/>
                </w:tcPr>
                <w:p w14:paraId="4B31E790">
                  <w:pPr>
                    <w:widowControl/>
                    <w:snapToGrid w:val="0"/>
                    <w:spacing w:line="320" w:lineRule="exact"/>
                    <w:jc w:val="center"/>
                    <w:rPr>
                      <w:rFonts w:hint="default" w:ascii="Times New Roman" w:hAnsi="Times New Roman" w:cs="Times New Roman"/>
                      <w:color w:val="auto"/>
                      <w:sz w:val="21"/>
                      <w:szCs w:val="21"/>
                      <w:lang w:eastAsia="zh-CN"/>
                    </w:rPr>
                  </w:pPr>
                </w:p>
              </w:tc>
              <w:tc>
                <w:tcPr>
                  <w:tcW w:w="4842" w:type="dxa"/>
                  <w:vAlign w:val="center"/>
                </w:tcPr>
                <w:p w14:paraId="753F2161">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《声环境质量标准》（GB3096-2008）</w:t>
                  </w:r>
                  <w:r>
                    <w:rPr>
                      <w:rFonts w:hint="default" w:ascii="Times New Roman" w:hAnsi="Times New Roman" w:cs="Times New Roman"/>
                      <w:color w:val="auto"/>
                      <w:sz w:val="21"/>
                      <w:szCs w:val="21"/>
                      <w:lang w:val="en-US" w:eastAsia="zh-CN"/>
                    </w:rPr>
                    <w:t>2</w:t>
                  </w:r>
                  <w:r>
                    <w:rPr>
                      <w:rFonts w:hint="default" w:ascii="Times New Roman" w:hAnsi="Times New Roman" w:cs="Times New Roman"/>
                      <w:color w:val="auto"/>
                      <w:sz w:val="21"/>
                      <w:szCs w:val="21"/>
                    </w:rPr>
                    <w:t>类标准</w:t>
                  </w:r>
                </w:p>
              </w:tc>
            </w:tr>
            <w:tr w14:paraId="3EFBD19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11" w:type="dxa"/>
                  <w:vAlign w:val="center"/>
                </w:tcPr>
                <w:p w14:paraId="2CF6D384">
                  <w:pPr>
                    <w:widowControl/>
                    <w:snapToGrid w:val="0"/>
                    <w:spacing w:line="320" w:lineRule="exact"/>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地下水保护目标</w:t>
                  </w:r>
                </w:p>
              </w:tc>
              <w:tc>
                <w:tcPr>
                  <w:tcW w:w="3225" w:type="dxa"/>
                  <w:gridSpan w:val="2"/>
                  <w:vAlign w:val="center"/>
                </w:tcPr>
                <w:p w14:paraId="06C616BB">
                  <w:pPr>
                    <w:widowControl/>
                    <w:snapToGrid w:val="0"/>
                    <w:spacing w:line="320" w:lineRule="exact"/>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项目及项目周边</w:t>
                  </w:r>
                  <w:r>
                    <w:rPr>
                      <w:rFonts w:hint="default" w:ascii="Times New Roman" w:hAnsi="Times New Roman" w:cs="Times New Roman"/>
                      <w:color w:val="auto"/>
                      <w:sz w:val="21"/>
                      <w:szCs w:val="21"/>
                      <w:lang w:val="en-US" w:eastAsia="zh-CN"/>
                    </w:rPr>
                    <w:t>6km</w:t>
                  </w:r>
                  <w:r>
                    <w:rPr>
                      <w:rFonts w:hint="default" w:ascii="Times New Roman" w:hAnsi="Times New Roman" w:cs="Times New Roman"/>
                      <w:color w:val="auto"/>
                      <w:sz w:val="21"/>
                      <w:szCs w:val="21"/>
                      <w:vertAlign w:val="superscript"/>
                      <w:lang w:val="en-US" w:eastAsia="zh-CN"/>
                    </w:rPr>
                    <w:t>2</w:t>
                  </w:r>
                  <w:r>
                    <w:rPr>
                      <w:rFonts w:hint="default" w:ascii="Times New Roman" w:hAnsi="Times New Roman" w:cs="Times New Roman"/>
                      <w:color w:val="auto"/>
                      <w:sz w:val="21"/>
                      <w:szCs w:val="21"/>
                      <w:lang w:val="en-US" w:eastAsia="zh-CN"/>
                    </w:rPr>
                    <w:t>的区域范围</w:t>
                  </w:r>
                </w:p>
              </w:tc>
              <w:tc>
                <w:tcPr>
                  <w:tcW w:w="4842" w:type="dxa"/>
                  <w:vAlign w:val="center"/>
                </w:tcPr>
                <w:p w14:paraId="031645CA">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《地表水环境质量标准》（GB3838-2002）Ⅲ类</w:t>
                  </w:r>
                </w:p>
              </w:tc>
            </w:tr>
          </w:tbl>
          <w:p w14:paraId="61FF4F04">
            <w:pPr>
              <w:pStyle w:val="28"/>
              <w:rPr>
                <w:rFonts w:hint="eastAsia" w:cs="Times New Roman"/>
                <w:color w:val="auto"/>
                <w:sz w:val="24"/>
                <w:szCs w:val="24"/>
                <w:lang w:eastAsia="zh-CN"/>
              </w:rPr>
            </w:pPr>
          </w:p>
          <w:p w14:paraId="505AE69E">
            <w:pPr>
              <w:pStyle w:val="28"/>
              <w:rPr>
                <w:rFonts w:hint="eastAsia" w:cs="Times New Roman"/>
                <w:color w:val="auto"/>
                <w:sz w:val="24"/>
                <w:szCs w:val="24"/>
                <w:lang w:eastAsia="zh-CN"/>
              </w:rPr>
            </w:pPr>
          </w:p>
          <w:p w14:paraId="321CC887">
            <w:pPr>
              <w:pStyle w:val="28"/>
              <w:rPr>
                <w:rFonts w:hint="eastAsia" w:cs="Times New Roman"/>
                <w:color w:val="auto"/>
                <w:sz w:val="24"/>
                <w:szCs w:val="24"/>
                <w:lang w:eastAsia="zh-CN"/>
              </w:rPr>
            </w:pPr>
          </w:p>
          <w:p w14:paraId="6F1751CB">
            <w:pPr>
              <w:pStyle w:val="28"/>
              <w:rPr>
                <w:rFonts w:hint="eastAsia" w:cs="Times New Roman"/>
                <w:color w:val="auto"/>
                <w:sz w:val="24"/>
                <w:szCs w:val="24"/>
                <w:lang w:eastAsia="zh-CN"/>
              </w:rPr>
            </w:pPr>
          </w:p>
          <w:p w14:paraId="203FC7D4">
            <w:pPr>
              <w:pStyle w:val="28"/>
              <w:rPr>
                <w:rFonts w:hint="eastAsia" w:cs="Times New Roman"/>
                <w:color w:val="auto"/>
                <w:sz w:val="24"/>
                <w:szCs w:val="24"/>
                <w:lang w:eastAsia="zh-CN"/>
              </w:rPr>
            </w:pPr>
          </w:p>
          <w:p w14:paraId="19B475BB">
            <w:pPr>
              <w:pStyle w:val="28"/>
              <w:rPr>
                <w:rFonts w:hint="eastAsia" w:cs="Times New Roman"/>
                <w:color w:val="auto"/>
                <w:sz w:val="24"/>
                <w:szCs w:val="24"/>
                <w:lang w:eastAsia="zh-CN"/>
              </w:rPr>
            </w:pPr>
          </w:p>
          <w:p w14:paraId="77CB7D28">
            <w:pPr>
              <w:pStyle w:val="28"/>
              <w:rPr>
                <w:rFonts w:hint="eastAsia" w:cs="Times New Roman"/>
                <w:color w:val="auto"/>
                <w:sz w:val="24"/>
                <w:szCs w:val="24"/>
                <w:lang w:eastAsia="zh-CN"/>
              </w:rPr>
            </w:pPr>
          </w:p>
          <w:p w14:paraId="4ADAB2FF">
            <w:pPr>
              <w:pStyle w:val="28"/>
              <w:rPr>
                <w:rFonts w:hint="eastAsia" w:cs="Times New Roman"/>
                <w:color w:val="auto"/>
                <w:sz w:val="24"/>
                <w:szCs w:val="24"/>
                <w:lang w:eastAsia="zh-CN"/>
              </w:rPr>
            </w:pPr>
          </w:p>
          <w:p w14:paraId="2A8361DA">
            <w:pPr>
              <w:pStyle w:val="28"/>
              <w:rPr>
                <w:rFonts w:hint="eastAsia" w:cs="Times New Roman"/>
                <w:color w:val="auto"/>
                <w:sz w:val="24"/>
                <w:szCs w:val="24"/>
                <w:lang w:eastAsia="zh-CN"/>
              </w:rPr>
            </w:pPr>
          </w:p>
          <w:p w14:paraId="3BA2EFFD">
            <w:pPr>
              <w:pStyle w:val="28"/>
              <w:rPr>
                <w:rFonts w:hint="eastAsia" w:cs="Times New Roman"/>
                <w:color w:val="auto"/>
                <w:sz w:val="24"/>
                <w:szCs w:val="24"/>
                <w:lang w:eastAsia="zh-CN"/>
              </w:rPr>
            </w:pPr>
          </w:p>
          <w:p w14:paraId="70FBAB44">
            <w:pPr>
              <w:pStyle w:val="28"/>
              <w:rPr>
                <w:rFonts w:hint="eastAsia" w:cs="Times New Roman"/>
                <w:color w:val="auto"/>
                <w:sz w:val="24"/>
                <w:szCs w:val="24"/>
                <w:lang w:eastAsia="zh-CN"/>
              </w:rPr>
            </w:pPr>
          </w:p>
          <w:p w14:paraId="01877E8E">
            <w:pPr>
              <w:pStyle w:val="28"/>
              <w:rPr>
                <w:rFonts w:hint="eastAsia" w:cs="Times New Roman"/>
                <w:color w:val="auto"/>
                <w:sz w:val="24"/>
                <w:szCs w:val="24"/>
                <w:lang w:eastAsia="zh-CN"/>
              </w:rPr>
            </w:pPr>
          </w:p>
          <w:p w14:paraId="6D53DD78">
            <w:pPr>
              <w:pStyle w:val="28"/>
              <w:rPr>
                <w:rFonts w:hint="eastAsia" w:cs="Times New Roman"/>
                <w:color w:val="auto"/>
                <w:sz w:val="24"/>
                <w:szCs w:val="24"/>
                <w:lang w:eastAsia="zh-CN"/>
              </w:rPr>
            </w:pPr>
          </w:p>
          <w:p w14:paraId="67512CB2">
            <w:pPr>
              <w:pStyle w:val="28"/>
              <w:rPr>
                <w:rFonts w:hint="eastAsia" w:cs="Times New Roman"/>
                <w:color w:val="auto"/>
                <w:sz w:val="24"/>
                <w:szCs w:val="24"/>
                <w:lang w:eastAsia="zh-CN"/>
              </w:rPr>
            </w:pPr>
          </w:p>
          <w:p w14:paraId="1756CFEF">
            <w:pPr>
              <w:pStyle w:val="28"/>
              <w:rPr>
                <w:rFonts w:hint="eastAsia" w:cs="Times New Roman"/>
                <w:color w:val="auto"/>
                <w:sz w:val="24"/>
                <w:szCs w:val="24"/>
                <w:lang w:eastAsia="zh-CN"/>
              </w:rPr>
            </w:pPr>
          </w:p>
          <w:p w14:paraId="2F1E9A87">
            <w:pPr>
              <w:pStyle w:val="28"/>
              <w:rPr>
                <w:rFonts w:hint="eastAsia" w:cs="Times New Roman"/>
                <w:color w:val="auto"/>
                <w:sz w:val="24"/>
                <w:szCs w:val="24"/>
                <w:lang w:eastAsia="zh-CN"/>
              </w:rPr>
            </w:pPr>
          </w:p>
          <w:p w14:paraId="3CE04125">
            <w:pPr>
              <w:pStyle w:val="28"/>
              <w:rPr>
                <w:rFonts w:hint="eastAsia" w:cs="Times New Roman"/>
                <w:color w:val="auto"/>
                <w:sz w:val="24"/>
                <w:szCs w:val="24"/>
                <w:lang w:eastAsia="zh-CN"/>
              </w:rPr>
            </w:pPr>
          </w:p>
          <w:p w14:paraId="2CDA5982">
            <w:pPr>
              <w:pStyle w:val="28"/>
              <w:rPr>
                <w:rFonts w:hint="eastAsia" w:cs="Times New Roman"/>
                <w:color w:val="auto"/>
                <w:sz w:val="24"/>
                <w:szCs w:val="24"/>
                <w:lang w:eastAsia="zh-CN"/>
              </w:rPr>
            </w:pPr>
          </w:p>
          <w:p w14:paraId="6AB68ECA">
            <w:pPr>
              <w:pStyle w:val="28"/>
              <w:rPr>
                <w:rFonts w:hint="eastAsia" w:cs="Times New Roman"/>
                <w:color w:val="auto"/>
                <w:sz w:val="24"/>
                <w:szCs w:val="24"/>
                <w:lang w:eastAsia="zh-CN"/>
              </w:rPr>
            </w:pPr>
          </w:p>
          <w:p w14:paraId="7D8D1F95">
            <w:pPr>
              <w:pStyle w:val="28"/>
              <w:rPr>
                <w:rFonts w:hint="eastAsia" w:cs="Times New Roman"/>
                <w:color w:val="auto"/>
                <w:sz w:val="24"/>
                <w:szCs w:val="24"/>
                <w:lang w:eastAsia="zh-CN"/>
              </w:rPr>
            </w:pPr>
          </w:p>
          <w:p w14:paraId="53930F74">
            <w:pPr>
              <w:pStyle w:val="28"/>
              <w:rPr>
                <w:rFonts w:hint="eastAsia" w:cs="Times New Roman"/>
                <w:color w:val="auto"/>
                <w:sz w:val="24"/>
                <w:szCs w:val="24"/>
                <w:lang w:eastAsia="zh-CN"/>
              </w:rPr>
            </w:pPr>
          </w:p>
          <w:p w14:paraId="4BBC6CE6">
            <w:pPr>
              <w:pStyle w:val="28"/>
              <w:rPr>
                <w:rFonts w:hint="eastAsia" w:cs="Times New Roman"/>
                <w:color w:val="auto"/>
                <w:sz w:val="24"/>
                <w:szCs w:val="24"/>
                <w:lang w:eastAsia="zh-CN"/>
              </w:rPr>
            </w:pPr>
          </w:p>
          <w:p w14:paraId="1ACDD2FC">
            <w:pPr>
              <w:pStyle w:val="28"/>
              <w:rPr>
                <w:rFonts w:hint="eastAsia" w:cs="Times New Roman"/>
                <w:color w:val="auto"/>
                <w:sz w:val="24"/>
                <w:szCs w:val="24"/>
                <w:lang w:eastAsia="zh-CN"/>
              </w:rPr>
            </w:pPr>
          </w:p>
          <w:p w14:paraId="2941A9E3">
            <w:pPr>
              <w:pStyle w:val="28"/>
              <w:rPr>
                <w:rFonts w:hint="eastAsia" w:cs="Times New Roman"/>
                <w:color w:val="auto"/>
                <w:sz w:val="24"/>
                <w:szCs w:val="24"/>
                <w:lang w:eastAsia="zh-CN"/>
              </w:rPr>
            </w:pPr>
          </w:p>
          <w:p w14:paraId="4307F4E0">
            <w:pPr>
              <w:pStyle w:val="28"/>
              <w:rPr>
                <w:rFonts w:hint="eastAsia" w:cs="Times New Roman"/>
                <w:color w:val="auto"/>
                <w:sz w:val="24"/>
                <w:szCs w:val="24"/>
                <w:lang w:eastAsia="zh-CN"/>
              </w:rPr>
            </w:pPr>
          </w:p>
          <w:p w14:paraId="31D419DE">
            <w:pPr>
              <w:pStyle w:val="28"/>
              <w:rPr>
                <w:rFonts w:hint="eastAsia" w:cs="Times New Roman"/>
                <w:color w:val="auto"/>
                <w:sz w:val="24"/>
                <w:szCs w:val="24"/>
                <w:lang w:eastAsia="zh-CN"/>
              </w:rPr>
            </w:pPr>
          </w:p>
          <w:p w14:paraId="653DD9E7">
            <w:pPr>
              <w:pStyle w:val="28"/>
              <w:rPr>
                <w:rFonts w:hint="eastAsia" w:cs="Times New Roman"/>
                <w:color w:val="auto"/>
                <w:sz w:val="24"/>
                <w:szCs w:val="24"/>
                <w:lang w:eastAsia="zh-CN"/>
              </w:rPr>
            </w:pPr>
          </w:p>
          <w:p w14:paraId="3E95A9CE">
            <w:pPr>
              <w:pStyle w:val="28"/>
              <w:rPr>
                <w:rFonts w:hint="eastAsia" w:cs="Times New Roman"/>
                <w:color w:val="auto"/>
                <w:sz w:val="24"/>
                <w:szCs w:val="24"/>
                <w:lang w:eastAsia="zh-CN"/>
              </w:rPr>
            </w:pPr>
          </w:p>
        </w:tc>
      </w:tr>
    </w:tbl>
    <w:p w14:paraId="413EDA5F">
      <w:pPr>
        <w:pStyle w:val="3"/>
        <w:spacing w:before="0" w:after="0" w:line="576" w:lineRule="auto"/>
        <w:rPr>
          <w:rFonts w:hint="default" w:ascii="Times New Roman" w:hAnsi="Times New Roman" w:cs="Times New Roman"/>
          <w:color w:val="auto"/>
          <w:szCs w:val="28"/>
        </w:rPr>
      </w:pPr>
      <w:r>
        <w:rPr>
          <w:rFonts w:hint="default" w:ascii="Times New Roman" w:hAnsi="Times New Roman" w:cs="Times New Roman"/>
          <w:color w:val="auto"/>
          <w:sz w:val="28"/>
          <w:szCs w:val="28"/>
        </w:rPr>
        <w:t xml:space="preserve">评价适用标准                                               </w:t>
      </w:r>
      <w:r>
        <w:rPr>
          <w:rFonts w:hint="default" w:ascii="Times New Roman" w:hAnsi="Times New Roman" w:cs="Times New Roman"/>
          <w:color w:val="auto"/>
          <w:sz w:val="28"/>
          <w:szCs w:val="28"/>
          <w:lang w:val="en-US" w:eastAsia="zh-CN"/>
        </w:rPr>
        <w:t xml:space="preserve">      </w:t>
      </w:r>
      <w:r>
        <w:rPr>
          <w:rFonts w:hint="default" w:ascii="Times New Roman" w:hAnsi="Times New Roman" w:cs="Times New Roman"/>
          <w:color w:val="auto"/>
          <w:sz w:val="28"/>
          <w:szCs w:val="28"/>
        </w:rPr>
        <w:t>（表四）</w:t>
      </w:r>
    </w:p>
    <w:tbl>
      <w:tblPr>
        <w:tblStyle w:val="23"/>
        <w:tblW w:w="10191" w:type="dxa"/>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544"/>
        <w:gridCol w:w="9647"/>
      </w:tblGrid>
      <w:tr w14:paraId="380A4CD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955" w:hRule="atLeast"/>
          <w:jc w:val="center"/>
        </w:trPr>
        <w:tc>
          <w:tcPr>
            <w:tcW w:w="544" w:type="dxa"/>
            <w:tcBorders>
              <w:top w:val="single" w:color="000000" w:sz="6" w:space="0"/>
              <w:left w:val="single" w:color="auto" w:sz="4" w:space="0"/>
              <w:bottom w:val="single" w:color="000000" w:sz="6" w:space="0"/>
              <w:right w:val="single" w:color="000000" w:sz="6" w:space="0"/>
            </w:tcBorders>
            <w:vAlign w:val="center"/>
          </w:tcPr>
          <w:p w14:paraId="200D59AD">
            <w:pPr>
              <w:spacing w:line="360" w:lineRule="auto"/>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环境质量标准</w:t>
            </w:r>
          </w:p>
        </w:tc>
        <w:tc>
          <w:tcPr>
            <w:tcW w:w="9647" w:type="dxa"/>
            <w:tcBorders>
              <w:top w:val="single" w:color="000000" w:sz="6" w:space="0"/>
              <w:left w:val="single" w:color="auto" w:sz="4" w:space="0"/>
              <w:bottom w:val="single" w:color="000000" w:sz="6" w:space="0"/>
              <w:right w:val="single" w:color="000000" w:sz="6" w:space="0"/>
            </w:tcBorders>
          </w:tcPr>
          <w:p w14:paraId="11386E42">
            <w:pPr>
              <w:autoSpaceDE w:val="0"/>
              <w:autoSpaceDN w:val="0"/>
              <w:adjustRightInd w:val="0"/>
              <w:snapToGrid w:val="0"/>
              <w:spacing w:line="360" w:lineRule="auto"/>
              <w:ind w:firstLine="480" w:firstLineChars="200"/>
              <w:rPr>
                <w:rFonts w:hint="default" w:ascii="Times New Roman" w:hAnsi="Times New Roman" w:cs="Times New Roman"/>
                <w:bCs/>
                <w:color w:val="auto"/>
                <w:sz w:val="24"/>
              </w:rPr>
            </w:pPr>
            <w:r>
              <w:rPr>
                <w:rFonts w:hint="default" w:ascii="Times New Roman" w:hAnsi="Times New Roman" w:cs="Times New Roman"/>
                <w:bCs/>
                <w:color w:val="auto"/>
                <w:sz w:val="24"/>
              </w:rPr>
              <w:t>根据</w:t>
            </w:r>
            <w:r>
              <w:rPr>
                <w:rFonts w:hint="eastAsia" w:cs="Times New Roman"/>
                <w:bCs/>
                <w:color w:val="auto"/>
                <w:sz w:val="24"/>
                <w:lang w:val="en-US" w:eastAsia="zh-CN"/>
              </w:rPr>
              <w:t>安居区</w:t>
            </w:r>
            <w:r>
              <w:rPr>
                <w:rFonts w:hint="default" w:ascii="Times New Roman" w:hAnsi="Times New Roman" w:cs="Times New Roman"/>
                <w:bCs/>
                <w:color w:val="auto"/>
                <w:sz w:val="24"/>
              </w:rPr>
              <w:t>环保局建设项目执行环保标准的通知</w:t>
            </w:r>
            <w:r>
              <w:rPr>
                <w:rFonts w:hint="default" w:ascii="Times New Roman" w:hAnsi="Times New Roman" w:cs="Times New Roman"/>
                <w:bCs/>
                <w:color w:val="auto"/>
                <w:sz w:val="24"/>
                <w:lang w:eastAsia="zh-CN"/>
              </w:rPr>
              <w:t>遂</w:t>
            </w:r>
            <w:r>
              <w:rPr>
                <w:rFonts w:hint="eastAsia" w:cs="Times New Roman"/>
                <w:bCs/>
                <w:color w:val="auto"/>
                <w:sz w:val="24"/>
                <w:lang w:val="en-US" w:eastAsia="zh-CN"/>
              </w:rPr>
              <w:t>安</w:t>
            </w:r>
            <w:r>
              <w:rPr>
                <w:rFonts w:hint="default" w:ascii="Times New Roman" w:hAnsi="Times New Roman" w:cs="Times New Roman"/>
                <w:bCs/>
                <w:color w:val="auto"/>
                <w:sz w:val="24"/>
                <w:lang w:eastAsia="zh-CN"/>
              </w:rPr>
              <w:t>环</w:t>
            </w:r>
            <w:r>
              <w:rPr>
                <w:rFonts w:hint="eastAsia" w:cs="Times New Roman"/>
                <w:bCs/>
                <w:color w:val="auto"/>
                <w:sz w:val="24"/>
                <w:lang w:val="en-US" w:eastAsia="zh-CN"/>
              </w:rPr>
              <w:t>函</w:t>
            </w:r>
            <w:r>
              <w:rPr>
                <w:rFonts w:hint="default" w:ascii="Times New Roman" w:hAnsi="Times New Roman" w:cs="Times New Roman"/>
                <w:bCs/>
                <w:color w:val="auto"/>
                <w:sz w:val="24"/>
                <w:lang w:eastAsia="zh-CN"/>
              </w:rPr>
              <w:t>【</w:t>
            </w:r>
            <w:r>
              <w:rPr>
                <w:rFonts w:hint="default" w:ascii="Times New Roman" w:hAnsi="Times New Roman" w:cs="Times New Roman"/>
                <w:bCs/>
                <w:color w:val="auto"/>
                <w:sz w:val="24"/>
                <w:lang w:val="en-US" w:eastAsia="zh-CN"/>
              </w:rPr>
              <w:t>2018</w:t>
            </w:r>
            <w:r>
              <w:rPr>
                <w:rFonts w:hint="default" w:ascii="Times New Roman" w:hAnsi="Times New Roman" w:cs="Times New Roman"/>
                <w:bCs/>
                <w:color w:val="auto"/>
                <w:sz w:val="24"/>
                <w:lang w:eastAsia="zh-CN"/>
              </w:rPr>
              <w:t>】</w:t>
            </w:r>
            <w:r>
              <w:rPr>
                <w:rFonts w:hint="eastAsia" w:cs="Times New Roman"/>
                <w:bCs/>
                <w:color w:val="auto"/>
                <w:sz w:val="24"/>
                <w:lang w:val="en-US" w:eastAsia="zh-CN"/>
              </w:rPr>
              <w:t>49</w:t>
            </w:r>
            <w:r>
              <w:rPr>
                <w:rFonts w:hint="default" w:ascii="Times New Roman" w:hAnsi="Times New Roman" w:cs="Times New Roman"/>
                <w:bCs/>
                <w:color w:val="auto"/>
                <w:sz w:val="24"/>
                <w:lang w:val="en-US" w:eastAsia="zh-CN"/>
              </w:rPr>
              <w:t>号</w:t>
            </w:r>
            <w:r>
              <w:rPr>
                <w:rFonts w:hint="default" w:ascii="Times New Roman" w:hAnsi="Times New Roman" w:cs="Times New Roman"/>
                <w:bCs/>
                <w:color w:val="auto"/>
                <w:sz w:val="24"/>
              </w:rPr>
              <w:t>，确定本项评价执行以下环境质量标准：</w:t>
            </w:r>
          </w:p>
          <w:p w14:paraId="5AF8CC99">
            <w:pPr>
              <w:adjustRightInd w:val="0"/>
              <w:snapToGrid w:val="0"/>
              <w:spacing w:line="360" w:lineRule="auto"/>
              <w:rPr>
                <w:rFonts w:hint="default" w:ascii="Times New Roman" w:hAnsi="Times New Roman" w:eastAsia="黑体" w:cs="Times New Roman"/>
                <w:b/>
                <w:color w:val="auto"/>
                <w:sz w:val="24"/>
              </w:rPr>
            </w:pPr>
            <w:r>
              <w:rPr>
                <w:rFonts w:hint="default" w:ascii="Times New Roman" w:hAnsi="Times New Roman" w:eastAsia="黑体" w:cs="Times New Roman"/>
                <w:b/>
                <w:color w:val="auto"/>
                <w:sz w:val="24"/>
              </w:rPr>
              <w:t>1、大气环境执行《环境空气质量标准》（GB3095-2012）二级标准。</w:t>
            </w:r>
          </w:p>
          <w:p w14:paraId="2913BC34">
            <w:pPr>
              <w:jc w:val="center"/>
              <w:rPr>
                <w:rFonts w:hint="default" w:ascii="Times New Roman" w:hAnsi="Times New Roman" w:cs="Times New Roman"/>
                <w:b/>
                <w:color w:val="auto"/>
                <w:szCs w:val="21"/>
              </w:rPr>
            </w:pPr>
            <w:r>
              <w:rPr>
                <w:rFonts w:hint="default" w:ascii="Times New Roman" w:hAnsi="Times New Roman" w:cs="Times New Roman"/>
                <w:b/>
                <w:color w:val="auto"/>
                <w:szCs w:val="21"/>
              </w:rPr>
              <w:t>表4-1  各项污染物的浓度限值  单位：ug/m</w:t>
            </w:r>
            <w:r>
              <w:rPr>
                <w:rFonts w:hint="default" w:ascii="Times New Roman" w:hAnsi="Times New Roman" w:cs="Times New Roman"/>
                <w:b/>
                <w:color w:val="auto"/>
                <w:szCs w:val="21"/>
                <w:vertAlign w:val="superscript"/>
              </w:rPr>
              <w:t>3</w:t>
            </w:r>
          </w:p>
          <w:tbl>
            <w:tblPr>
              <w:tblStyle w:val="23"/>
              <w:tblW w:w="8580"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045"/>
              <w:gridCol w:w="2125"/>
              <w:gridCol w:w="2188"/>
              <w:gridCol w:w="2222"/>
            </w:tblGrid>
            <w:tr w14:paraId="4D3488A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2045" w:type="dxa"/>
                  <w:tcBorders>
                    <w:tl2br w:val="single" w:color="auto" w:sz="12" w:space="0"/>
                  </w:tcBorders>
                  <w:vAlign w:val="top"/>
                </w:tcPr>
                <w:p w14:paraId="74D30FCA">
                  <w:pPr>
                    <w:snapToGrid w:val="0"/>
                    <w:spacing w:line="320" w:lineRule="exact"/>
                    <w:ind w:firstLine="840" w:firstLineChars="400"/>
                    <w:jc w:val="both"/>
                    <w:rPr>
                      <w:rFonts w:hint="default"/>
                    </w:rPr>
                  </w:pPr>
                  <w:r>
                    <w:rPr>
                      <w:rFonts w:hint="default"/>
                    </w:rPr>
                    <w:t>污染物</w:t>
                  </w:r>
                </w:p>
                <w:p w14:paraId="7D469E99">
                  <w:pPr>
                    <w:pStyle w:val="28"/>
                    <w:rPr>
                      <w:rFonts w:hint="eastAsia" w:eastAsia="宋体"/>
                      <w:lang w:val="en-US" w:eastAsia="zh-CN"/>
                    </w:rPr>
                  </w:pPr>
                  <w:r>
                    <w:rPr>
                      <w:rFonts w:hint="eastAsia" w:ascii="Times New Roman" w:cs="Times New Roman"/>
                      <w:color w:val="auto"/>
                      <w:sz w:val="21"/>
                      <w:szCs w:val="21"/>
                      <w:lang w:val="en-US" w:eastAsia="zh-CN"/>
                    </w:rPr>
                    <w:t>标准值</w:t>
                  </w:r>
                </w:p>
              </w:tc>
              <w:tc>
                <w:tcPr>
                  <w:tcW w:w="2125" w:type="dxa"/>
                  <w:vAlign w:val="center"/>
                </w:tcPr>
                <w:p w14:paraId="764C79F4">
                  <w:pPr>
                    <w:snapToGrid w:val="0"/>
                    <w:spacing w:line="320" w:lineRule="exact"/>
                    <w:jc w:val="center"/>
                    <w:rPr>
                      <w:rFonts w:hint="default" w:ascii="Times New Roman" w:hAnsi="Times New Roman" w:eastAsia="仿宋_GB2312" w:cs="Times New Roman"/>
                      <w:color w:val="auto"/>
                      <w:sz w:val="21"/>
                      <w:szCs w:val="21"/>
                    </w:rPr>
                  </w:pPr>
                  <w:r>
                    <w:rPr>
                      <w:rFonts w:hint="default" w:ascii="Times New Roman" w:hAnsi="Times New Roman" w:eastAsia="仿宋_GB2312" w:cs="Times New Roman"/>
                      <w:color w:val="auto"/>
                      <w:sz w:val="21"/>
                      <w:szCs w:val="21"/>
                    </w:rPr>
                    <w:t>SO</w:t>
                  </w:r>
                  <w:r>
                    <w:rPr>
                      <w:rFonts w:hint="default" w:ascii="Times New Roman" w:hAnsi="Times New Roman" w:eastAsia="仿宋_GB2312" w:cs="Times New Roman"/>
                      <w:color w:val="auto"/>
                      <w:sz w:val="21"/>
                      <w:szCs w:val="21"/>
                      <w:vertAlign w:val="subscript"/>
                    </w:rPr>
                    <w:t>2</w:t>
                  </w:r>
                </w:p>
              </w:tc>
              <w:tc>
                <w:tcPr>
                  <w:tcW w:w="2188" w:type="dxa"/>
                  <w:vAlign w:val="center"/>
                </w:tcPr>
                <w:p w14:paraId="6477D210">
                  <w:pPr>
                    <w:snapToGrid w:val="0"/>
                    <w:spacing w:line="320" w:lineRule="exact"/>
                    <w:jc w:val="center"/>
                    <w:rPr>
                      <w:rFonts w:hint="default" w:ascii="Times New Roman" w:hAnsi="Times New Roman" w:eastAsia="仿宋_GB2312" w:cs="Times New Roman"/>
                      <w:color w:val="auto"/>
                      <w:sz w:val="21"/>
                      <w:szCs w:val="21"/>
                    </w:rPr>
                  </w:pPr>
                  <w:r>
                    <w:rPr>
                      <w:rFonts w:hint="default" w:ascii="Times New Roman" w:hAnsi="Times New Roman" w:eastAsia="仿宋_GB2312" w:cs="Times New Roman"/>
                      <w:color w:val="auto"/>
                      <w:sz w:val="21"/>
                      <w:szCs w:val="21"/>
                    </w:rPr>
                    <w:t>NO</w:t>
                  </w:r>
                  <w:r>
                    <w:rPr>
                      <w:rFonts w:hint="default" w:ascii="Times New Roman" w:hAnsi="Times New Roman" w:eastAsia="仿宋_GB2312" w:cs="Times New Roman"/>
                      <w:color w:val="auto"/>
                      <w:sz w:val="21"/>
                      <w:szCs w:val="21"/>
                      <w:vertAlign w:val="subscript"/>
                    </w:rPr>
                    <w:t>2</w:t>
                  </w:r>
                </w:p>
              </w:tc>
              <w:tc>
                <w:tcPr>
                  <w:tcW w:w="2222" w:type="dxa"/>
                  <w:vAlign w:val="center"/>
                </w:tcPr>
                <w:p w14:paraId="5B1AB110">
                  <w:pPr>
                    <w:snapToGrid w:val="0"/>
                    <w:spacing w:line="320" w:lineRule="exact"/>
                    <w:jc w:val="center"/>
                    <w:rPr>
                      <w:rFonts w:hint="default" w:ascii="Times New Roman" w:hAnsi="Times New Roman" w:eastAsia="仿宋_GB2312" w:cs="Times New Roman"/>
                      <w:color w:val="auto"/>
                      <w:sz w:val="21"/>
                      <w:szCs w:val="21"/>
                      <w:lang w:val="en-US" w:eastAsia="zh-CN"/>
                    </w:rPr>
                  </w:pPr>
                  <w:r>
                    <w:rPr>
                      <w:rFonts w:hint="eastAsia" w:eastAsia="仿宋_GB2312" w:cs="Times New Roman"/>
                      <w:color w:val="auto"/>
                      <w:sz w:val="21"/>
                      <w:szCs w:val="21"/>
                      <w:lang w:val="en-US" w:eastAsia="zh-CN"/>
                    </w:rPr>
                    <w:t>PM</w:t>
                  </w:r>
                  <w:r>
                    <w:rPr>
                      <w:rFonts w:hint="eastAsia" w:eastAsia="仿宋_GB2312" w:cs="Times New Roman"/>
                      <w:color w:val="auto"/>
                      <w:sz w:val="21"/>
                      <w:szCs w:val="21"/>
                      <w:vertAlign w:val="subscript"/>
                      <w:lang w:val="en-US" w:eastAsia="zh-CN"/>
                    </w:rPr>
                    <w:t>10</w:t>
                  </w:r>
                </w:p>
              </w:tc>
            </w:tr>
            <w:tr w14:paraId="1D24542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045" w:type="dxa"/>
                  <w:vAlign w:val="center"/>
                </w:tcPr>
                <w:p w14:paraId="1B87A729">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年平均值</w:t>
                  </w:r>
                </w:p>
              </w:tc>
              <w:tc>
                <w:tcPr>
                  <w:tcW w:w="2125" w:type="dxa"/>
                  <w:vAlign w:val="center"/>
                </w:tcPr>
                <w:p w14:paraId="69E1E099">
                  <w:pPr>
                    <w:snapToGrid w:val="0"/>
                    <w:spacing w:line="320" w:lineRule="exact"/>
                    <w:jc w:val="center"/>
                    <w:rPr>
                      <w:rFonts w:hint="eastAsia" w:ascii="Times New Roman" w:hAnsi="Times New Roman" w:eastAsia="仿宋_GB2312" w:cs="Times New Roman"/>
                      <w:color w:val="auto"/>
                      <w:sz w:val="21"/>
                      <w:szCs w:val="21"/>
                      <w:lang w:val="en-US" w:eastAsia="zh-CN"/>
                    </w:rPr>
                  </w:pPr>
                  <w:r>
                    <w:rPr>
                      <w:rFonts w:hint="eastAsia" w:eastAsia="仿宋_GB2312" w:cs="Times New Roman"/>
                      <w:color w:val="auto"/>
                      <w:sz w:val="21"/>
                      <w:szCs w:val="21"/>
                      <w:lang w:val="en-US" w:eastAsia="zh-CN"/>
                    </w:rPr>
                    <w:t>60</w:t>
                  </w:r>
                </w:p>
              </w:tc>
              <w:tc>
                <w:tcPr>
                  <w:tcW w:w="2188" w:type="dxa"/>
                  <w:vAlign w:val="center"/>
                </w:tcPr>
                <w:p w14:paraId="3C3F8B8E">
                  <w:pPr>
                    <w:snapToGrid w:val="0"/>
                    <w:spacing w:line="320" w:lineRule="exact"/>
                    <w:jc w:val="center"/>
                    <w:rPr>
                      <w:rFonts w:hint="eastAsia" w:ascii="Times New Roman" w:hAnsi="Times New Roman" w:eastAsia="仿宋_GB2312" w:cs="Times New Roman"/>
                      <w:color w:val="auto"/>
                      <w:sz w:val="21"/>
                      <w:szCs w:val="21"/>
                      <w:lang w:val="en-US" w:eastAsia="zh-CN"/>
                    </w:rPr>
                  </w:pPr>
                  <w:r>
                    <w:rPr>
                      <w:rFonts w:hint="eastAsia" w:eastAsia="仿宋_GB2312" w:cs="Times New Roman"/>
                      <w:color w:val="auto"/>
                      <w:sz w:val="21"/>
                      <w:szCs w:val="21"/>
                      <w:lang w:val="en-US" w:eastAsia="zh-CN"/>
                    </w:rPr>
                    <w:t>40</w:t>
                  </w:r>
                </w:p>
              </w:tc>
              <w:tc>
                <w:tcPr>
                  <w:tcW w:w="2222" w:type="dxa"/>
                  <w:vAlign w:val="center"/>
                </w:tcPr>
                <w:p w14:paraId="36685A58">
                  <w:pPr>
                    <w:snapToGrid w:val="0"/>
                    <w:spacing w:line="320" w:lineRule="exact"/>
                    <w:jc w:val="center"/>
                    <w:rPr>
                      <w:rFonts w:hint="default" w:ascii="Times New Roman" w:hAnsi="Times New Roman" w:eastAsia="仿宋_GB2312" w:cs="Times New Roman"/>
                      <w:color w:val="auto"/>
                      <w:sz w:val="21"/>
                      <w:szCs w:val="21"/>
                      <w:lang w:val="en-US" w:eastAsia="zh-CN"/>
                    </w:rPr>
                  </w:pPr>
                  <w:r>
                    <w:rPr>
                      <w:rFonts w:hint="eastAsia" w:eastAsia="仿宋_GB2312" w:cs="Times New Roman"/>
                      <w:color w:val="auto"/>
                      <w:sz w:val="21"/>
                      <w:szCs w:val="21"/>
                      <w:lang w:val="en-US" w:eastAsia="zh-CN"/>
                    </w:rPr>
                    <w:t>70</w:t>
                  </w:r>
                </w:p>
              </w:tc>
            </w:tr>
            <w:tr w14:paraId="108BAA6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045" w:type="dxa"/>
                  <w:vAlign w:val="center"/>
                </w:tcPr>
                <w:p w14:paraId="46F5C32F">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日平均值</w:t>
                  </w:r>
                </w:p>
              </w:tc>
              <w:tc>
                <w:tcPr>
                  <w:tcW w:w="2125" w:type="dxa"/>
                  <w:vAlign w:val="center"/>
                </w:tcPr>
                <w:p w14:paraId="0F7F2307">
                  <w:pPr>
                    <w:snapToGrid w:val="0"/>
                    <w:spacing w:line="320" w:lineRule="exact"/>
                    <w:jc w:val="center"/>
                    <w:rPr>
                      <w:rFonts w:hint="eastAsia" w:ascii="Times New Roman" w:hAnsi="Times New Roman" w:eastAsia="仿宋_GB2312" w:cs="Times New Roman"/>
                      <w:color w:val="auto"/>
                      <w:sz w:val="21"/>
                      <w:szCs w:val="21"/>
                      <w:lang w:val="en-US" w:eastAsia="zh-CN"/>
                    </w:rPr>
                  </w:pPr>
                  <w:r>
                    <w:rPr>
                      <w:rFonts w:hint="eastAsia" w:eastAsia="仿宋_GB2312" w:cs="Times New Roman"/>
                      <w:color w:val="auto"/>
                      <w:sz w:val="21"/>
                      <w:szCs w:val="21"/>
                      <w:lang w:val="en-US" w:eastAsia="zh-CN"/>
                    </w:rPr>
                    <w:t>150</w:t>
                  </w:r>
                </w:p>
              </w:tc>
              <w:tc>
                <w:tcPr>
                  <w:tcW w:w="2188" w:type="dxa"/>
                  <w:vAlign w:val="center"/>
                </w:tcPr>
                <w:p w14:paraId="5A0E25FC">
                  <w:pPr>
                    <w:snapToGrid w:val="0"/>
                    <w:spacing w:line="320" w:lineRule="exact"/>
                    <w:jc w:val="center"/>
                    <w:rPr>
                      <w:rFonts w:hint="eastAsia" w:ascii="Times New Roman" w:hAnsi="Times New Roman" w:eastAsia="仿宋_GB2312" w:cs="Times New Roman"/>
                      <w:color w:val="auto"/>
                      <w:sz w:val="21"/>
                      <w:szCs w:val="21"/>
                      <w:lang w:val="en-US" w:eastAsia="zh-CN"/>
                    </w:rPr>
                  </w:pPr>
                  <w:r>
                    <w:rPr>
                      <w:rFonts w:hint="eastAsia" w:eastAsia="仿宋_GB2312" w:cs="Times New Roman"/>
                      <w:color w:val="auto"/>
                      <w:sz w:val="21"/>
                      <w:szCs w:val="21"/>
                      <w:lang w:val="en-US" w:eastAsia="zh-CN"/>
                    </w:rPr>
                    <w:t>80</w:t>
                  </w:r>
                </w:p>
              </w:tc>
              <w:tc>
                <w:tcPr>
                  <w:tcW w:w="2222" w:type="dxa"/>
                  <w:vAlign w:val="center"/>
                </w:tcPr>
                <w:p w14:paraId="2DCE05B6">
                  <w:pPr>
                    <w:snapToGrid w:val="0"/>
                    <w:spacing w:line="320" w:lineRule="exact"/>
                    <w:jc w:val="center"/>
                    <w:rPr>
                      <w:rFonts w:hint="eastAsia" w:ascii="Times New Roman" w:hAnsi="Times New Roman" w:eastAsia="仿宋_GB2312" w:cs="Times New Roman"/>
                      <w:color w:val="auto"/>
                      <w:sz w:val="21"/>
                      <w:szCs w:val="21"/>
                      <w:lang w:val="en-US" w:eastAsia="zh-CN"/>
                    </w:rPr>
                  </w:pPr>
                  <w:r>
                    <w:rPr>
                      <w:rFonts w:hint="eastAsia" w:eastAsia="仿宋_GB2312" w:cs="Times New Roman"/>
                      <w:color w:val="auto"/>
                      <w:sz w:val="21"/>
                      <w:szCs w:val="21"/>
                      <w:lang w:val="en-US" w:eastAsia="zh-CN"/>
                    </w:rPr>
                    <w:t>150</w:t>
                  </w:r>
                </w:p>
              </w:tc>
            </w:tr>
            <w:tr w14:paraId="0FF1D0A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045" w:type="dxa"/>
                  <w:vAlign w:val="center"/>
                </w:tcPr>
                <w:p w14:paraId="66AE8FC8">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小时平均</w:t>
                  </w:r>
                </w:p>
              </w:tc>
              <w:tc>
                <w:tcPr>
                  <w:tcW w:w="2125" w:type="dxa"/>
                  <w:vAlign w:val="center"/>
                </w:tcPr>
                <w:p w14:paraId="15794E61">
                  <w:pPr>
                    <w:snapToGrid w:val="0"/>
                    <w:spacing w:line="320" w:lineRule="exact"/>
                    <w:jc w:val="center"/>
                    <w:rPr>
                      <w:rFonts w:hint="eastAsia" w:ascii="Times New Roman" w:hAnsi="Times New Roman" w:eastAsia="仿宋_GB2312" w:cs="Times New Roman"/>
                      <w:color w:val="auto"/>
                      <w:sz w:val="21"/>
                      <w:szCs w:val="21"/>
                      <w:lang w:val="en-US" w:eastAsia="zh-CN"/>
                    </w:rPr>
                  </w:pPr>
                  <w:r>
                    <w:rPr>
                      <w:rFonts w:hint="eastAsia" w:eastAsia="仿宋_GB2312" w:cs="Times New Roman"/>
                      <w:color w:val="auto"/>
                      <w:sz w:val="21"/>
                      <w:szCs w:val="21"/>
                      <w:lang w:val="en-US" w:eastAsia="zh-CN"/>
                    </w:rPr>
                    <w:t>500</w:t>
                  </w:r>
                </w:p>
              </w:tc>
              <w:tc>
                <w:tcPr>
                  <w:tcW w:w="2188" w:type="dxa"/>
                  <w:vAlign w:val="center"/>
                </w:tcPr>
                <w:p w14:paraId="645EDF82">
                  <w:pPr>
                    <w:snapToGrid w:val="0"/>
                    <w:spacing w:line="320" w:lineRule="exact"/>
                    <w:jc w:val="center"/>
                    <w:rPr>
                      <w:rFonts w:hint="eastAsia" w:ascii="Times New Roman" w:hAnsi="Times New Roman" w:eastAsia="仿宋_GB2312" w:cs="Times New Roman"/>
                      <w:color w:val="auto"/>
                      <w:sz w:val="21"/>
                      <w:szCs w:val="21"/>
                      <w:lang w:val="en-US" w:eastAsia="zh-CN"/>
                    </w:rPr>
                  </w:pPr>
                  <w:r>
                    <w:rPr>
                      <w:rFonts w:hint="eastAsia" w:eastAsia="仿宋_GB2312" w:cs="Times New Roman"/>
                      <w:color w:val="auto"/>
                      <w:sz w:val="21"/>
                      <w:szCs w:val="21"/>
                      <w:lang w:val="en-US" w:eastAsia="zh-CN"/>
                    </w:rPr>
                    <w:t>200</w:t>
                  </w:r>
                </w:p>
              </w:tc>
              <w:tc>
                <w:tcPr>
                  <w:tcW w:w="2222" w:type="dxa"/>
                  <w:vAlign w:val="center"/>
                </w:tcPr>
                <w:p w14:paraId="336DBE2F">
                  <w:pPr>
                    <w:snapToGrid w:val="0"/>
                    <w:spacing w:line="320" w:lineRule="exact"/>
                    <w:jc w:val="center"/>
                    <w:rPr>
                      <w:rFonts w:hint="eastAsia" w:ascii="Times New Roman" w:hAnsi="Times New Roman" w:eastAsia="仿宋_GB2312" w:cs="Times New Roman"/>
                      <w:color w:val="auto"/>
                      <w:sz w:val="21"/>
                      <w:szCs w:val="21"/>
                      <w:lang w:val="en-US" w:eastAsia="zh-CN"/>
                    </w:rPr>
                  </w:pPr>
                  <w:r>
                    <w:rPr>
                      <w:rFonts w:hint="eastAsia" w:eastAsia="仿宋_GB2312" w:cs="Times New Roman"/>
                      <w:color w:val="auto"/>
                      <w:sz w:val="21"/>
                      <w:szCs w:val="21"/>
                      <w:lang w:val="en-US" w:eastAsia="zh-CN"/>
                    </w:rPr>
                    <w:t>--</w:t>
                  </w:r>
                </w:p>
              </w:tc>
            </w:tr>
          </w:tbl>
          <w:p w14:paraId="17633BF8">
            <w:pPr>
              <w:snapToGrid w:val="0"/>
              <w:spacing w:before="156" w:beforeLines="50"/>
              <w:rPr>
                <w:rFonts w:hint="default" w:ascii="Times New Roman" w:hAnsi="Times New Roman" w:cs="Times New Roman"/>
                <w:color w:val="auto"/>
                <w:sz w:val="24"/>
              </w:rPr>
            </w:pPr>
          </w:p>
          <w:p w14:paraId="5FE58297">
            <w:pPr>
              <w:snapToGrid w:val="0"/>
              <w:spacing w:line="360" w:lineRule="auto"/>
              <w:rPr>
                <w:rFonts w:hint="default" w:ascii="Times New Roman" w:hAnsi="Times New Roman" w:cs="Times New Roman"/>
                <w:color w:val="auto"/>
                <w:sz w:val="24"/>
              </w:rPr>
            </w:pPr>
            <w:r>
              <w:rPr>
                <w:rFonts w:hint="default" w:ascii="Times New Roman" w:hAnsi="Times New Roman" w:eastAsia="黑体" w:cs="Times New Roman"/>
                <w:b/>
                <w:color w:val="auto"/>
                <w:sz w:val="24"/>
              </w:rPr>
              <w:t>2、声环境质量执行《声环境质量标准》（GB3096-2008）中3类标准。</w:t>
            </w:r>
          </w:p>
          <w:p w14:paraId="2335EEB2">
            <w:pPr>
              <w:spacing w:line="240" w:lineRule="atLeast"/>
              <w:jc w:val="center"/>
              <w:rPr>
                <w:rFonts w:hint="eastAsia" w:eastAsia="宋体"/>
                <w:lang w:eastAsia="zh-CN"/>
              </w:rPr>
            </w:pPr>
            <w:r>
              <w:rPr>
                <w:rFonts w:hint="default" w:ascii="Times New Roman" w:hAnsi="Times New Roman" w:cs="Times New Roman"/>
                <w:b/>
                <w:color w:val="auto"/>
                <w:szCs w:val="21"/>
              </w:rPr>
              <w:t>表4-2  3类标准中昼夜的噪声值</w:t>
            </w:r>
          </w:p>
          <w:tbl>
            <w:tblPr>
              <w:tblStyle w:val="23"/>
              <w:tblW w:w="8505" w:type="dxa"/>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1914"/>
              <w:gridCol w:w="2194"/>
              <w:gridCol w:w="2706"/>
              <w:gridCol w:w="1691"/>
            </w:tblGrid>
            <w:tr w14:paraId="04A1B84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cantSplit/>
                <w:jc w:val="center"/>
              </w:trPr>
              <w:tc>
                <w:tcPr>
                  <w:tcW w:w="1914" w:type="dxa"/>
                  <w:vMerge w:val="restart"/>
                  <w:vAlign w:val="center"/>
                </w:tcPr>
                <w:p w14:paraId="04691511">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环境噪声</w:t>
                  </w:r>
                </w:p>
              </w:tc>
              <w:tc>
                <w:tcPr>
                  <w:tcW w:w="2194" w:type="dxa"/>
                  <w:vMerge w:val="restart"/>
                  <w:vAlign w:val="center"/>
                </w:tcPr>
                <w:p w14:paraId="6B851E14">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3类</w:t>
                  </w:r>
                </w:p>
              </w:tc>
              <w:tc>
                <w:tcPr>
                  <w:tcW w:w="2706" w:type="dxa"/>
                  <w:vAlign w:val="center"/>
                </w:tcPr>
                <w:p w14:paraId="5B78CC87">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昼间</w:t>
                  </w:r>
                </w:p>
              </w:tc>
              <w:tc>
                <w:tcPr>
                  <w:tcW w:w="1691" w:type="dxa"/>
                  <w:vAlign w:val="center"/>
                </w:tcPr>
                <w:p w14:paraId="7A5CCA43">
                  <w:pPr>
                    <w:snapToGrid w:val="0"/>
                    <w:spacing w:line="320" w:lineRule="exact"/>
                    <w:jc w:val="center"/>
                    <w:rPr>
                      <w:rFonts w:hint="default" w:ascii="Times New Roman" w:hAnsi="Times New Roman" w:eastAsia="仿宋_GB2312" w:cs="Times New Roman"/>
                      <w:color w:val="auto"/>
                      <w:sz w:val="21"/>
                      <w:szCs w:val="21"/>
                    </w:rPr>
                  </w:pPr>
                  <w:r>
                    <w:rPr>
                      <w:rFonts w:hint="default" w:ascii="Times New Roman" w:hAnsi="Times New Roman" w:eastAsia="仿宋_GB2312" w:cs="Times New Roman"/>
                      <w:color w:val="auto"/>
                      <w:sz w:val="21"/>
                      <w:szCs w:val="21"/>
                    </w:rPr>
                    <w:t>65</w:t>
                  </w:r>
                  <w:r>
                    <w:rPr>
                      <w:rFonts w:hint="default" w:ascii="Times New Roman" w:hAnsi="Times New Roman" w:cs="Times New Roman"/>
                      <w:color w:val="auto"/>
                      <w:sz w:val="21"/>
                      <w:szCs w:val="21"/>
                    </w:rPr>
                    <w:t>dB(A)</w:t>
                  </w:r>
                </w:p>
              </w:tc>
            </w:tr>
            <w:tr w14:paraId="53678F1C">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cantSplit/>
                <w:trHeight w:val="70" w:hRule="atLeast"/>
                <w:jc w:val="center"/>
              </w:trPr>
              <w:tc>
                <w:tcPr>
                  <w:tcW w:w="1914" w:type="dxa"/>
                  <w:vMerge w:val="continue"/>
                  <w:vAlign w:val="center"/>
                </w:tcPr>
                <w:p w14:paraId="04BDFD99">
                  <w:pPr>
                    <w:snapToGrid w:val="0"/>
                    <w:spacing w:line="320" w:lineRule="exact"/>
                    <w:jc w:val="center"/>
                    <w:rPr>
                      <w:rFonts w:hint="default" w:ascii="Times New Roman" w:hAnsi="Times New Roman" w:cs="Times New Roman"/>
                      <w:color w:val="auto"/>
                      <w:sz w:val="21"/>
                      <w:szCs w:val="21"/>
                    </w:rPr>
                  </w:pPr>
                </w:p>
              </w:tc>
              <w:tc>
                <w:tcPr>
                  <w:tcW w:w="2194" w:type="dxa"/>
                  <w:vMerge w:val="continue"/>
                  <w:vAlign w:val="center"/>
                </w:tcPr>
                <w:p w14:paraId="71C6D786">
                  <w:pPr>
                    <w:snapToGrid w:val="0"/>
                    <w:spacing w:line="320" w:lineRule="exact"/>
                    <w:jc w:val="center"/>
                    <w:rPr>
                      <w:rFonts w:hint="default" w:ascii="Times New Roman" w:hAnsi="Times New Roman" w:cs="Times New Roman"/>
                      <w:color w:val="auto"/>
                      <w:sz w:val="21"/>
                      <w:szCs w:val="21"/>
                    </w:rPr>
                  </w:pPr>
                </w:p>
              </w:tc>
              <w:tc>
                <w:tcPr>
                  <w:tcW w:w="2706" w:type="dxa"/>
                  <w:vAlign w:val="center"/>
                </w:tcPr>
                <w:p w14:paraId="5646AD23">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夜间</w:t>
                  </w:r>
                </w:p>
              </w:tc>
              <w:tc>
                <w:tcPr>
                  <w:tcW w:w="1691" w:type="dxa"/>
                  <w:vAlign w:val="center"/>
                </w:tcPr>
                <w:p w14:paraId="0CD80AED">
                  <w:pPr>
                    <w:snapToGrid w:val="0"/>
                    <w:spacing w:line="320" w:lineRule="exact"/>
                    <w:jc w:val="center"/>
                    <w:rPr>
                      <w:rFonts w:hint="default" w:ascii="Times New Roman" w:hAnsi="Times New Roman" w:eastAsia="仿宋_GB2312" w:cs="Times New Roman"/>
                      <w:color w:val="auto"/>
                      <w:sz w:val="21"/>
                      <w:szCs w:val="21"/>
                    </w:rPr>
                  </w:pPr>
                  <w:r>
                    <w:rPr>
                      <w:rFonts w:hint="default" w:ascii="Times New Roman" w:hAnsi="Times New Roman" w:eastAsia="仿宋_GB2312" w:cs="Times New Roman"/>
                      <w:color w:val="auto"/>
                      <w:sz w:val="21"/>
                      <w:szCs w:val="21"/>
                    </w:rPr>
                    <w:t>55</w:t>
                  </w:r>
                  <w:r>
                    <w:rPr>
                      <w:rFonts w:hint="default" w:ascii="Times New Roman" w:hAnsi="Times New Roman" w:cs="Times New Roman"/>
                      <w:color w:val="auto"/>
                      <w:sz w:val="21"/>
                      <w:szCs w:val="21"/>
                    </w:rPr>
                    <w:t>dB(A)</w:t>
                  </w:r>
                </w:p>
              </w:tc>
            </w:tr>
          </w:tbl>
          <w:p w14:paraId="260F40F2">
            <w:pPr>
              <w:widowControl/>
              <w:snapToGrid w:val="0"/>
              <w:spacing w:before="156" w:beforeLines="50"/>
              <w:jc w:val="left"/>
              <w:rPr>
                <w:rFonts w:hint="default" w:ascii="Times New Roman" w:hAnsi="Times New Roman" w:cs="Times New Roman"/>
                <w:color w:val="auto"/>
                <w:sz w:val="24"/>
              </w:rPr>
            </w:pPr>
          </w:p>
          <w:p w14:paraId="69675812">
            <w:pPr>
              <w:snapToGrid w:val="0"/>
              <w:spacing w:line="360" w:lineRule="auto"/>
              <w:rPr>
                <w:rFonts w:hint="default" w:ascii="Times New Roman" w:hAnsi="Times New Roman" w:eastAsia="黑体" w:cs="Times New Roman"/>
                <w:b/>
                <w:color w:val="auto"/>
                <w:sz w:val="24"/>
              </w:rPr>
            </w:pPr>
            <w:r>
              <w:rPr>
                <w:rFonts w:hint="default" w:ascii="Times New Roman" w:hAnsi="Times New Roman" w:eastAsia="黑体" w:cs="Times New Roman"/>
                <w:b/>
                <w:color w:val="auto"/>
                <w:sz w:val="24"/>
              </w:rPr>
              <w:t>3、地表水环境执行《地表水环境质量标准》（GB3838-2002）Ⅲ类标准。</w:t>
            </w:r>
          </w:p>
          <w:p w14:paraId="6DC90AFE">
            <w:pPr>
              <w:spacing w:line="240" w:lineRule="atLeast"/>
              <w:jc w:val="center"/>
              <w:rPr>
                <w:rFonts w:hint="default" w:ascii="Times New Roman" w:hAnsi="Times New Roman" w:cs="Times New Roman"/>
                <w:b/>
                <w:color w:val="auto"/>
                <w:szCs w:val="21"/>
              </w:rPr>
            </w:pPr>
            <w:r>
              <w:rPr>
                <w:rFonts w:hint="default" w:ascii="Times New Roman" w:hAnsi="Times New Roman" w:cs="Times New Roman"/>
                <w:b/>
                <w:color w:val="auto"/>
                <w:szCs w:val="21"/>
              </w:rPr>
              <w:t>表4-3  Ⅲ类标准中各项参数的值</w:t>
            </w:r>
          </w:p>
          <w:tbl>
            <w:tblPr>
              <w:tblStyle w:val="23"/>
              <w:tblW w:w="8505"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380"/>
              <w:gridCol w:w="1057"/>
              <w:gridCol w:w="1584"/>
              <w:gridCol w:w="1408"/>
              <w:gridCol w:w="1424"/>
              <w:gridCol w:w="1652"/>
            </w:tblGrid>
            <w:tr w14:paraId="3AE0586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80" w:type="dxa"/>
                  <w:vAlign w:val="top"/>
                </w:tcPr>
                <w:p w14:paraId="799814C0">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项目</w:t>
                  </w:r>
                </w:p>
              </w:tc>
              <w:tc>
                <w:tcPr>
                  <w:tcW w:w="1057" w:type="dxa"/>
                  <w:vAlign w:val="top"/>
                </w:tcPr>
                <w:p w14:paraId="3B54A244">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pH</w:t>
                  </w:r>
                </w:p>
              </w:tc>
              <w:tc>
                <w:tcPr>
                  <w:tcW w:w="1584" w:type="dxa"/>
                  <w:vAlign w:val="top"/>
                </w:tcPr>
                <w:p w14:paraId="3677CCAE">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COD</w:t>
                  </w:r>
                </w:p>
              </w:tc>
              <w:tc>
                <w:tcPr>
                  <w:tcW w:w="1408" w:type="dxa"/>
                  <w:vAlign w:val="top"/>
                </w:tcPr>
                <w:p w14:paraId="7BE7F9CC">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BOD</w:t>
                  </w:r>
                  <w:r>
                    <w:rPr>
                      <w:rFonts w:hint="default" w:ascii="Times New Roman" w:hAnsi="Times New Roman" w:cs="Times New Roman"/>
                      <w:color w:val="auto"/>
                      <w:sz w:val="21"/>
                      <w:szCs w:val="21"/>
                      <w:vertAlign w:val="subscript"/>
                    </w:rPr>
                    <w:t>5</w:t>
                  </w:r>
                </w:p>
              </w:tc>
              <w:tc>
                <w:tcPr>
                  <w:tcW w:w="1424" w:type="dxa"/>
                  <w:vAlign w:val="top"/>
                </w:tcPr>
                <w:p w14:paraId="3C2676E0">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pacing w:val="4"/>
                      <w:sz w:val="21"/>
                      <w:szCs w:val="21"/>
                    </w:rPr>
                    <w:t>NH</w:t>
                  </w:r>
                  <w:r>
                    <w:rPr>
                      <w:rFonts w:hint="default" w:ascii="Times New Roman" w:hAnsi="Times New Roman" w:cs="Times New Roman"/>
                      <w:color w:val="auto"/>
                      <w:spacing w:val="4"/>
                      <w:sz w:val="21"/>
                      <w:szCs w:val="21"/>
                      <w:vertAlign w:val="subscript"/>
                    </w:rPr>
                    <w:t>3</w:t>
                  </w:r>
                  <w:r>
                    <w:rPr>
                      <w:rFonts w:hint="default" w:ascii="Times New Roman" w:hAnsi="Times New Roman" w:cs="Times New Roman"/>
                      <w:color w:val="auto"/>
                      <w:spacing w:val="4"/>
                      <w:sz w:val="21"/>
                      <w:szCs w:val="21"/>
                    </w:rPr>
                    <w:t>-N</w:t>
                  </w:r>
                </w:p>
              </w:tc>
              <w:tc>
                <w:tcPr>
                  <w:tcW w:w="1652" w:type="dxa"/>
                  <w:vAlign w:val="top"/>
                </w:tcPr>
                <w:p w14:paraId="06B01B55">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石油类</w:t>
                  </w:r>
                </w:p>
              </w:tc>
            </w:tr>
            <w:tr w14:paraId="754ADBC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80" w:type="dxa"/>
                  <w:vAlign w:val="top"/>
                </w:tcPr>
                <w:p w14:paraId="44C34FAF">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标准值</w:t>
                  </w:r>
                </w:p>
              </w:tc>
              <w:tc>
                <w:tcPr>
                  <w:tcW w:w="1057" w:type="dxa"/>
                  <w:vAlign w:val="top"/>
                </w:tcPr>
                <w:p w14:paraId="55931CC9">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6~9</w:t>
                  </w:r>
                </w:p>
              </w:tc>
              <w:tc>
                <w:tcPr>
                  <w:tcW w:w="1584" w:type="dxa"/>
                  <w:vAlign w:val="top"/>
                </w:tcPr>
                <w:p w14:paraId="5A4C6A90">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≤20 mg/L</w:t>
                  </w:r>
                </w:p>
              </w:tc>
              <w:tc>
                <w:tcPr>
                  <w:tcW w:w="1408" w:type="dxa"/>
                  <w:vAlign w:val="top"/>
                </w:tcPr>
                <w:p w14:paraId="1ADAA556">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≤4 mg/L</w:t>
                  </w:r>
                </w:p>
              </w:tc>
              <w:tc>
                <w:tcPr>
                  <w:tcW w:w="1424" w:type="dxa"/>
                  <w:vAlign w:val="top"/>
                </w:tcPr>
                <w:p w14:paraId="39C6BDC2">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 mg/L</w:t>
                  </w:r>
                </w:p>
              </w:tc>
              <w:tc>
                <w:tcPr>
                  <w:tcW w:w="1652" w:type="dxa"/>
                  <w:vAlign w:val="top"/>
                </w:tcPr>
                <w:p w14:paraId="7EEB23D9">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≤0.05 mg/L</w:t>
                  </w:r>
                </w:p>
              </w:tc>
            </w:tr>
          </w:tbl>
          <w:p w14:paraId="3B358016">
            <w:pPr>
              <w:widowControl/>
              <w:snapToGrid w:val="0"/>
              <w:spacing w:before="156" w:beforeLines="50"/>
              <w:jc w:val="left"/>
              <w:rPr>
                <w:rFonts w:hint="default" w:ascii="Times New Roman" w:hAnsi="Times New Roman" w:cs="Times New Roman"/>
                <w:color w:val="auto"/>
                <w:sz w:val="24"/>
              </w:rPr>
            </w:pPr>
          </w:p>
          <w:p w14:paraId="412006B7">
            <w:pPr>
              <w:snapToGrid w:val="0"/>
              <w:spacing w:line="360" w:lineRule="auto"/>
              <w:rPr>
                <w:rFonts w:hint="default" w:ascii="Times New Roman" w:hAnsi="Times New Roman" w:eastAsia="黑体" w:cs="Times New Roman"/>
                <w:b/>
                <w:color w:val="auto"/>
                <w:sz w:val="24"/>
              </w:rPr>
            </w:pPr>
            <w:r>
              <w:rPr>
                <w:rFonts w:hint="default" w:ascii="Times New Roman" w:hAnsi="Times New Roman" w:eastAsia="黑体" w:cs="Times New Roman"/>
                <w:b/>
                <w:color w:val="auto"/>
                <w:sz w:val="24"/>
              </w:rPr>
              <w:t>4、地下水环境执行《地下水质量标准》（GB14848-93）Ⅲ类标准。</w:t>
            </w:r>
          </w:p>
          <w:p w14:paraId="05716638">
            <w:pPr>
              <w:spacing w:line="240" w:lineRule="atLeast"/>
              <w:jc w:val="center"/>
              <w:rPr>
                <w:rFonts w:hint="default" w:ascii="Times New Roman" w:hAnsi="Times New Roman" w:cs="Times New Roman"/>
                <w:b/>
                <w:color w:val="auto"/>
                <w:szCs w:val="21"/>
              </w:rPr>
            </w:pPr>
            <w:r>
              <w:rPr>
                <w:rFonts w:hint="default" w:ascii="Times New Roman" w:hAnsi="Times New Roman" w:cs="Times New Roman"/>
                <w:b/>
                <w:color w:val="auto"/>
                <w:szCs w:val="21"/>
              </w:rPr>
              <w:t>表4-4  Ⅲ类标准中各项参数的值</w:t>
            </w:r>
          </w:p>
          <w:tbl>
            <w:tblPr>
              <w:tblStyle w:val="23"/>
              <w:tblW w:w="8505"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397"/>
              <w:gridCol w:w="1474"/>
              <w:gridCol w:w="1924"/>
              <w:gridCol w:w="1924"/>
              <w:gridCol w:w="1786"/>
            </w:tblGrid>
            <w:tr w14:paraId="7732A7E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97" w:type="dxa"/>
                  <w:vAlign w:val="top"/>
                </w:tcPr>
                <w:p w14:paraId="6E31AEC7">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项目</w:t>
                  </w:r>
                </w:p>
              </w:tc>
              <w:tc>
                <w:tcPr>
                  <w:tcW w:w="1474" w:type="dxa"/>
                  <w:vAlign w:val="top"/>
                </w:tcPr>
                <w:p w14:paraId="1CDA0BBD">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pH</w:t>
                  </w:r>
                </w:p>
              </w:tc>
              <w:tc>
                <w:tcPr>
                  <w:tcW w:w="1924" w:type="dxa"/>
                  <w:vAlign w:val="top"/>
                </w:tcPr>
                <w:p w14:paraId="0D12D6C6">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高锰酸盐指数</w:t>
                  </w:r>
                </w:p>
              </w:tc>
              <w:tc>
                <w:tcPr>
                  <w:tcW w:w="1924" w:type="dxa"/>
                  <w:vAlign w:val="top"/>
                </w:tcPr>
                <w:p w14:paraId="2ECEA0DD">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pacing w:val="4"/>
                      <w:sz w:val="21"/>
                      <w:szCs w:val="21"/>
                    </w:rPr>
                    <w:t>NH</w:t>
                  </w:r>
                  <w:r>
                    <w:rPr>
                      <w:rFonts w:hint="default" w:ascii="Times New Roman" w:hAnsi="Times New Roman" w:cs="Times New Roman"/>
                      <w:color w:val="auto"/>
                      <w:spacing w:val="4"/>
                      <w:sz w:val="21"/>
                      <w:szCs w:val="21"/>
                      <w:vertAlign w:val="subscript"/>
                    </w:rPr>
                    <w:t>3</w:t>
                  </w:r>
                  <w:r>
                    <w:rPr>
                      <w:rFonts w:hint="default" w:ascii="Times New Roman" w:hAnsi="Times New Roman" w:cs="Times New Roman"/>
                      <w:color w:val="auto"/>
                      <w:spacing w:val="4"/>
                      <w:sz w:val="21"/>
                      <w:szCs w:val="21"/>
                    </w:rPr>
                    <w:t>-N</w:t>
                  </w:r>
                </w:p>
              </w:tc>
              <w:tc>
                <w:tcPr>
                  <w:tcW w:w="1786" w:type="dxa"/>
                  <w:vAlign w:val="top"/>
                </w:tcPr>
                <w:p w14:paraId="6F5E3B7D">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氟化物</w:t>
                  </w:r>
                </w:p>
              </w:tc>
            </w:tr>
            <w:tr w14:paraId="6C93FC1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97" w:type="dxa"/>
                  <w:vAlign w:val="top"/>
                </w:tcPr>
                <w:p w14:paraId="22B27D27">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标准值</w:t>
                  </w:r>
                </w:p>
              </w:tc>
              <w:tc>
                <w:tcPr>
                  <w:tcW w:w="1474" w:type="dxa"/>
                  <w:vAlign w:val="top"/>
                </w:tcPr>
                <w:p w14:paraId="36B77A11">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6.5~8.5</w:t>
                  </w:r>
                </w:p>
              </w:tc>
              <w:tc>
                <w:tcPr>
                  <w:tcW w:w="1924" w:type="dxa"/>
                  <w:vAlign w:val="top"/>
                </w:tcPr>
                <w:p w14:paraId="7923211B">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≤3.0 mg/L</w:t>
                  </w:r>
                </w:p>
              </w:tc>
              <w:tc>
                <w:tcPr>
                  <w:tcW w:w="1924" w:type="dxa"/>
                  <w:vAlign w:val="top"/>
                </w:tcPr>
                <w:p w14:paraId="535AFB6D">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≤0.2 mg/L</w:t>
                  </w:r>
                </w:p>
              </w:tc>
              <w:tc>
                <w:tcPr>
                  <w:tcW w:w="1786" w:type="dxa"/>
                  <w:vAlign w:val="top"/>
                </w:tcPr>
                <w:p w14:paraId="73E475B7">
                  <w:pPr>
                    <w:widowControl/>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 mg/L</w:t>
                  </w:r>
                </w:p>
              </w:tc>
            </w:tr>
          </w:tbl>
          <w:p w14:paraId="0676BCA1">
            <w:pPr>
              <w:spacing w:line="360" w:lineRule="auto"/>
              <w:rPr>
                <w:rFonts w:hint="default" w:ascii="Times New Roman" w:hAnsi="Times New Roman" w:cs="Times New Roman"/>
                <w:color w:val="auto"/>
                <w:sz w:val="24"/>
                <w:szCs w:val="24"/>
              </w:rPr>
            </w:pPr>
          </w:p>
        </w:tc>
      </w:tr>
      <w:tr w14:paraId="364070B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1261" w:hRule="atLeast"/>
          <w:jc w:val="center"/>
        </w:trPr>
        <w:tc>
          <w:tcPr>
            <w:tcW w:w="544" w:type="dxa"/>
            <w:tcBorders>
              <w:top w:val="single" w:color="000000" w:sz="6" w:space="0"/>
              <w:left w:val="single" w:color="auto" w:sz="4" w:space="0"/>
              <w:bottom w:val="single" w:color="000000" w:sz="6" w:space="0"/>
              <w:right w:val="single" w:color="000000" w:sz="6" w:space="0"/>
            </w:tcBorders>
            <w:vAlign w:val="center"/>
          </w:tcPr>
          <w:p w14:paraId="7E91ADD6">
            <w:pPr>
              <w:spacing w:line="360" w:lineRule="auto"/>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污染物排放标准</w:t>
            </w:r>
          </w:p>
        </w:tc>
        <w:tc>
          <w:tcPr>
            <w:tcW w:w="9647" w:type="dxa"/>
            <w:tcBorders>
              <w:top w:val="single" w:color="000000" w:sz="6" w:space="0"/>
              <w:left w:val="single" w:color="auto" w:sz="4" w:space="0"/>
              <w:bottom w:val="single" w:color="000000" w:sz="6" w:space="0"/>
              <w:right w:val="single" w:color="000000" w:sz="6" w:space="0"/>
            </w:tcBorders>
          </w:tcPr>
          <w:p w14:paraId="1BE9BCEE">
            <w:pPr>
              <w:snapToGrid w:val="0"/>
              <w:spacing w:line="240" w:lineRule="atLeast"/>
              <w:rPr>
                <w:rFonts w:hint="default" w:ascii="Times New Roman" w:hAnsi="Times New Roman" w:eastAsia="黑体" w:cs="Times New Roman"/>
                <w:b/>
                <w:color w:val="auto"/>
                <w:sz w:val="24"/>
              </w:rPr>
            </w:pPr>
            <w:r>
              <w:rPr>
                <w:rFonts w:hint="default" w:ascii="Times New Roman" w:hAnsi="Times New Roman" w:eastAsia="黑体" w:cs="Times New Roman"/>
                <w:b/>
                <w:color w:val="auto"/>
                <w:sz w:val="24"/>
              </w:rPr>
              <w:t>1、废气执行《大气污染物综合排放标准》（GB16297-1996）中的二级标准。大气挥发性有机物排放执行《四川省固定污染源大气挥发性有机物排放标准》（DB51/2377）中表3、表4相关标准。</w:t>
            </w:r>
          </w:p>
          <w:p w14:paraId="788BDF0B">
            <w:pPr>
              <w:pStyle w:val="28"/>
              <w:jc w:val="center"/>
              <w:rPr>
                <w:rFonts w:hint="default" w:ascii="Times New Roman" w:hAnsi="Times New Roman" w:eastAsia="黑体" w:cs="Times New Roman"/>
                <w:b/>
                <w:color w:val="auto"/>
                <w:sz w:val="24"/>
              </w:rPr>
            </w:pPr>
            <w:r>
              <w:rPr>
                <w:rFonts w:hint="default" w:ascii="Times New Roman" w:hAnsi="Times New Roman" w:eastAsia="宋体" w:cs="Times New Roman"/>
                <w:b/>
                <w:color w:val="auto"/>
                <w:kern w:val="2"/>
                <w:sz w:val="21"/>
                <w:szCs w:val="21"/>
                <w:lang w:val="en-US" w:eastAsia="zh-CN" w:bidi="ar-SA"/>
              </w:rPr>
              <w:t>表4-5  大气污染物综合排放二级标准</w:t>
            </w:r>
          </w:p>
          <w:tbl>
            <w:tblPr>
              <w:tblStyle w:val="23"/>
              <w:tblW w:w="8572" w:type="dxa"/>
              <w:jc w:val="center"/>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08" w:type="dxa"/>
                <w:bottom w:w="0" w:type="dxa"/>
                <w:right w:w="108" w:type="dxa"/>
              </w:tblCellMar>
            </w:tblPr>
            <w:tblGrid>
              <w:gridCol w:w="942"/>
              <w:gridCol w:w="1263"/>
              <w:gridCol w:w="2706"/>
              <w:gridCol w:w="1701"/>
              <w:gridCol w:w="1960"/>
            </w:tblGrid>
            <w:tr w14:paraId="41C9C657">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3" w:hRule="atLeast"/>
                <w:jc w:val="center"/>
              </w:trPr>
              <w:tc>
                <w:tcPr>
                  <w:tcW w:w="942" w:type="dxa"/>
                  <w:vAlign w:val="center"/>
                </w:tcPr>
                <w:p w14:paraId="5F67653E">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项目</w:t>
                  </w:r>
                </w:p>
              </w:tc>
              <w:tc>
                <w:tcPr>
                  <w:tcW w:w="5670" w:type="dxa"/>
                  <w:gridSpan w:val="3"/>
                  <w:vAlign w:val="center"/>
                </w:tcPr>
                <w:p w14:paraId="689D9332">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有组织、15m排气筒排放废气</w:t>
                  </w:r>
                </w:p>
              </w:tc>
              <w:tc>
                <w:tcPr>
                  <w:tcW w:w="1960" w:type="dxa"/>
                  <w:vMerge w:val="restart"/>
                  <w:vAlign w:val="center"/>
                </w:tcPr>
                <w:p w14:paraId="6C860540">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无组织排放监控浓度限值（mg/m</w:t>
                  </w:r>
                  <w:r>
                    <w:rPr>
                      <w:rFonts w:hint="default" w:ascii="Times New Roman" w:hAnsi="Times New Roman" w:cs="Times New Roman"/>
                      <w:color w:val="auto"/>
                      <w:spacing w:val="4"/>
                      <w:sz w:val="21"/>
                      <w:szCs w:val="21"/>
                      <w:vertAlign w:val="superscript"/>
                    </w:rPr>
                    <w:t>3</w:t>
                  </w:r>
                  <w:r>
                    <w:rPr>
                      <w:rFonts w:hint="default" w:ascii="Times New Roman" w:hAnsi="Times New Roman" w:cs="Times New Roman"/>
                      <w:color w:val="auto"/>
                      <w:spacing w:val="4"/>
                      <w:sz w:val="21"/>
                      <w:szCs w:val="21"/>
                    </w:rPr>
                    <w:t>）</w:t>
                  </w:r>
                </w:p>
              </w:tc>
            </w:tr>
            <w:tr w14:paraId="64BB7E00">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21" w:hRule="atLeast"/>
                <w:jc w:val="center"/>
              </w:trPr>
              <w:tc>
                <w:tcPr>
                  <w:tcW w:w="942" w:type="dxa"/>
                  <w:vMerge w:val="restart"/>
                  <w:vAlign w:val="center"/>
                </w:tcPr>
                <w:p w14:paraId="07958AB4">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标准值</w:t>
                  </w:r>
                </w:p>
              </w:tc>
              <w:tc>
                <w:tcPr>
                  <w:tcW w:w="1263" w:type="dxa"/>
                  <w:vAlign w:val="center"/>
                </w:tcPr>
                <w:p w14:paraId="18814708">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污染物名称</w:t>
                  </w:r>
                </w:p>
              </w:tc>
              <w:tc>
                <w:tcPr>
                  <w:tcW w:w="2706" w:type="dxa"/>
                  <w:vAlign w:val="center"/>
                </w:tcPr>
                <w:p w14:paraId="2FCFF6F6">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最高允许排放浓度（mg/m</w:t>
                  </w:r>
                  <w:r>
                    <w:rPr>
                      <w:rFonts w:hint="default" w:ascii="Times New Roman" w:hAnsi="Times New Roman" w:cs="Times New Roman"/>
                      <w:color w:val="auto"/>
                      <w:spacing w:val="4"/>
                      <w:sz w:val="21"/>
                      <w:szCs w:val="21"/>
                      <w:vertAlign w:val="superscript"/>
                    </w:rPr>
                    <w:t>3</w:t>
                  </w:r>
                  <w:r>
                    <w:rPr>
                      <w:rFonts w:hint="default" w:ascii="Times New Roman" w:hAnsi="Times New Roman" w:cs="Times New Roman"/>
                      <w:color w:val="auto"/>
                      <w:spacing w:val="4"/>
                      <w:sz w:val="21"/>
                      <w:szCs w:val="21"/>
                    </w:rPr>
                    <w:t>）</w:t>
                  </w:r>
                </w:p>
              </w:tc>
              <w:tc>
                <w:tcPr>
                  <w:tcW w:w="1701" w:type="dxa"/>
                  <w:vAlign w:val="center"/>
                </w:tcPr>
                <w:p w14:paraId="1D78EE33">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排放速率（kg/h）</w:t>
                  </w:r>
                </w:p>
              </w:tc>
              <w:tc>
                <w:tcPr>
                  <w:tcW w:w="1960" w:type="dxa"/>
                  <w:vMerge w:val="continue"/>
                  <w:vAlign w:val="center"/>
                </w:tcPr>
                <w:p w14:paraId="50D93630">
                  <w:pPr>
                    <w:snapToGrid w:val="0"/>
                    <w:spacing w:line="320" w:lineRule="exact"/>
                    <w:jc w:val="center"/>
                    <w:rPr>
                      <w:rFonts w:hint="default" w:ascii="Times New Roman" w:hAnsi="Times New Roman" w:cs="Times New Roman"/>
                      <w:color w:val="auto"/>
                      <w:spacing w:val="4"/>
                      <w:sz w:val="21"/>
                      <w:szCs w:val="21"/>
                    </w:rPr>
                  </w:pPr>
                </w:p>
              </w:tc>
            </w:tr>
            <w:tr w14:paraId="051E53C3">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21" w:hRule="atLeast"/>
                <w:jc w:val="center"/>
              </w:trPr>
              <w:tc>
                <w:tcPr>
                  <w:tcW w:w="942" w:type="dxa"/>
                  <w:vMerge w:val="continue"/>
                  <w:vAlign w:val="center"/>
                </w:tcPr>
                <w:p w14:paraId="57C97037">
                  <w:pPr>
                    <w:snapToGrid w:val="0"/>
                    <w:spacing w:line="320" w:lineRule="exact"/>
                    <w:jc w:val="center"/>
                    <w:rPr>
                      <w:rFonts w:hint="default" w:ascii="Times New Roman" w:hAnsi="Times New Roman" w:cs="Times New Roman"/>
                      <w:color w:val="auto"/>
                      <w:spacing w:val="4"/>
                      <w:sz w:val="21"/>
                      <w:szCs w:val="21"/>
                    </w:rPr>
                  </w:pPr>
                </w:p>
              </w:tc>
              <w:tc>
                <w:tcPr>
                  <w:tcW w:w="1263" w:type="dxa"/>
                  <w:vAlign w:val="center"/>
                </w:tcPr>
                <w:p w14:paraId="41D249D0">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SO</w:t>
                  </w:r>
                  <w:r>
                    <w:rPr>
                      <w:rFonts w:hint="default" w:ascii="Times New Roman" w:hAnsi="Times New Roman" w:cs="Times New Roman"/>
                      <w:color w:val="auto"/>
                      <w:spacing w:val="4"/>
                      <w:sz w:val="21"/>
                      <w:szCs w:val="21"/>
                      <w:vertAlign w:val="subscript"/>
                    </w:rPr>
                    <w:t>2</w:t>
                  </w:r>
                </w:p>
              </w:tc>
              <w:tc>
                <w:tcPr>
                  <w:tcW w:w="2706" w:type="dxa"/>
                  <w:vAlign w:val="center"/>
                </w:tcPr>
                <w:p w14:paraId="41C667BC">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550</w:t>
                  </w:r>
                </w:p>
              </w:tc>
              <w:tc>
                <w:tcPr>
                  <w:tcW w:w="1701" w:type="dxa"/>
                  <w:vAlign w:val="center"/>
                </w:tcPr>
                <w:p w14:paraId="77CF1CE3">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2.6</w:t>
                  </w:r>
                </w:p>
              </w:tc>
              <w:tc>
                <w:tcPr>
                  <w:tcW w:w="1960" w:type="dxa"/>
                  <w:vAlign w:val="center"/>
                </w:tcPr>
                <w:p w14:paraId="48D5DC0B">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0.40</w:t>
                  </w:r>
                </w:p>
              </w:tc>
            </w:tr>
            <w:tr w14:paraId="6C105A04">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21" w:hRule="atLeast"/>
                <w:jc w:val="center"/>
              </w:trPr>
              <w:tc>
                <w:tcPr>
                  <w:tcW w:w="942" w:type="dxa"/>
                  <w:vMerge w:val="continue"/>
                  <w:vAlign w:val="center"/>
                </w:tcPr>
                <w:p w14:paraId="68AE743A">
                  <w:pPr>
                    <w:snapToGrid w:val="0"/>
                    <w:spacing w:line="320" w:lineRule="exact"/>
                    <w:jc w:val="center"/>
                    <w:rPr>
                      <w:rFonts w:hint="default" w:ascii="Times New Roman" w:hAnsi="Times New Roman" w:cs="Times New Roman"/>
                      <w:color w:val="auto"/>
                      <w:spacing w:val="4"/>
                      <w:sz w:val="21"/>
                      <w:szCs w:val="21"/>
                    </w:rPr>
                  </w:pPr>
                </w:p>
              </w:tc>
              <w:tc>
                <w:tcPr>
                  <w:tcW w:w="1263" w:type="dxa"/>
                  <w:vAlign w:val="center"/>
                </w:tcPr>
                <w:p w14:paraId="757D88FE">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氮氧化物</w:t>
                  </w:r>
                </w:p>
              </w:tc>
              <w:tc>
                <w:tcPr>
                  <w:tcW w:w="2706" w:type="dxa"/>
                  <w:vAlign w:val="center"/>
                </w:tcPr>
                <w:p w14:paraId="720E00F8">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240</w:t>
                  </w:r>
                </w:p>
              </w:tc>
              <w:tc>
                <w:tcPr>
                  <w:tcW w:w="1701" w:type="dxa"/>
                  <w:vAlign w:val="center"/>
                </w:tcPr>
                <w:p w14:paraId="5AC60D54">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0.77</w:t>
                  </w:r>
                </w:p>
              </w:tc>
              <w:tc>
                <w:tcPr>
                  <w:tcW w:w="1960" w:type="dxa"/>
                  <w:vAlign w:val="center"/>
                </w:tcPr>
                <w:p w14:paraId="768E5EDB">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0.12</w:t>
                  </w:r>
                </w:p>
              </w:tc>
            </w:tr>
            <w:tr w14:paraId="634D6264">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21" w:hRule="atLeast"/>
                <w:jc w:val="center"/>
              </w:trPr>
              <w:tc>
                <w:tcPr>
                  <w:tcW w:w="942" w:type="dxa"/>
                  <w:vMerge w:val="continue"/>
                  <w:vAlign w:val="center"/>
                </w:tcPr>
                <w:p w14:paraId="34EC7F03">
                  <w:pPr>
                    <w:snapToGrid w:val="0"/>
                    <w:spacing w:line="320" w:lineRule="exact"/>
                    <w:jc w:val="center"/>
                    <w:rPr>
                      <w:rFonts w:hint="default" w:ascii="Times New Roman" w:hAnsi="Times New Roman" w:cs="Times New Roman"/>
                      <w:color w:val="auto"/>
                      <w:spacing w:val="4"/>
                      <w:sz w:val="21"/>
                      <w:szCs w:val="21"/>
                    </w:rPr>
                  </w:pPr>
                </w:p>
              </w:tc>
              <w:tc>
                <w:tcPr>
                  <w:tcW w:w="1263" w:type="dxa"/>
                  <w:vAlign w:val="center"/>
                </w:tcPr>
                <w:p w14:paraId="273C71F7">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颗粒物</w:t>
                  </w:r>
                </w:p>
              </w:tc>
              <w:tc>
                <w:tcPr>
                  <w:tcW w:w="2706" w:type="dxa"/>
                  <w:vAlign w:val="center"/>
                </w:tcPr>
                <w:p w14:paraId="09FD7053">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120</w:t>
                  </w:r>
                </w:p>
              </w:tc>
              <w:tc>
                <w:tcPr>
                  <w:tcW w:w="1701" w:type="dxa"/>
                  <w:vAlign w:val="center"/>
                </w:tcPr>
                <w:p w14:paraId="33A33C44">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3.5</w:t>
                  </w:r>
                </w:p>
              </w:tc>
              <w:tc>
                <w:tcPr>
                  <w:tcW w:w="1960" w:type="dxa"/>
                  <w:vAlign w:val="center"/>
                </w:tcPr>
                <w:p w14:paraId="28204DEC">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1.0</w:t>
                  </w:r>
                </w:p>
              </w:tc>
            </w:tr>
            <w:tr w14:paraId="3B0D3096">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21" w:hRule="atLeast"/>
                <w:jc w:val="center"/>
              </w:trPr>
              <w:tc>
                <w:tcPr>
                  <w:tcW w:w="942" w:type="dxa"/>
                  <w:vMerge w:val="continue"/>
                  <w:vAlign w:val="center"/>
                </w:tcPr>
                <w:p w14:paraId="7AC432C9">
                  <w:pPr>
                    <w:snapToGrid w:val="0"/>
                    <w:spacing w:line="320" w:lineRule="exact"/>
                    <w:jc w:val="center"/>
                    <w:rPr>
                      <w:rFonts w:hint="default" w:ascii="Times New Roman" w:hAnsi="Times New Roman" w:cs="Times New Roman"/>
                      <w:color w:val="auto"/>
                      <w:spacing w:val="4"/>
                      <w:sz w:val="21"/>
                      <w:szCs w:val="21"/>
                    </w:rPr>
                  </w:pPr>
                </w:p>
              </w:tc>
              <w:tc>
                <w:tcPr>
                  <w:tcW w:w="1263" w:type="dxa"/>
                  <w:vAlign w:val="center"/>
                </w:tcPr>
                <w:p w14:paraId="466ECF78">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苯</w:t>
                  </w:r>
                </w:p>
              </w:tc>
              <w:tc>
                <w:tcPr>
                  <w:tcW w:w="2706" w:type="dxa"/>
                  <w:vAlign w:val="center"/>
                </w:tcPr>
                <w:p w14:paraId="2BDF9A18">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12</w:t>
                  </w:r>
                </w:p>
              </w:tc>
              <w:tc>
                <w:tcPr>
                  <w:tcW w:w="1701" w:type="dxa"/>
                  <w:vAlign w:val="center"/>
                </w:tcPr>
                <w:p w14:paraId="004F6792">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0.5</w:t>
                  </w:r>
                </w:p>
              </w:tc>
              <w:tc>
                <w:tcPr>
                  <w:tcW w:w="1960" w:type="dxa"/>
                  <w:vAlign w:val="center"/>
                </w:tcPr>
                <w:p w14:paraId="11457C4E">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0.4</w:t>
                  </w:r>
                </w:p>
              </w:tc>
            </w:tr>
            <w:tr w14:paraId="0FE44140">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21" w:hRule="atLeast"/>
                <w:jc w:val="center"/>
              </w:trPr>
              <w:tc>
                <w:tcPr>
                  <w:tcW w:w="942" w:type="dxa"/>
                  <w:vMerge w:val="continue"/>
                  <w:vAlign w:val="center"/>
                </w:tcPr>
                <w:p w14:paraId="40F48CE6">
                  <w:pPr>
                    <w:snapToGrid w:val="0"/>
                    <w:spacing w:line="320" w:lineRule="exact"/>
                    <w:jc w:val="center"/>
                    <w:rPr>
                      <w:rFonts w:hint="default" w:ascii="Times New Roman" w:hAnsi="Times New Roman" w:cs="Times New Roman"/>
                      <w:color w:val="auto"/>
                      <w:spacing w:val="4"/>
                      <w:sz w:val="21"/>
                      <w:szCs w:val="21"/>
                    </w:rPr>
                  </w:pPr>
                </w:p>
              </w:tc>
              <w:tc>
                <w:tcPr>
                  <w:tcW w:w="1263" w:type="dxa"/>
                  <w:vAlign w:val="center"/>
                </w:tcPr>
                <w:p w14:paraId="6C79A0C9">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甲苯</w:t>
                  </w:r>
                </w:p>
              </w:tc>
              <w:tc>
                <w:tcPr>
                  <w:tcW w:w="2706" w:type="dxa"/>
                  <w:vAlign w:val="center"/>
                </w:tcPr>
                <w:p w14:paraId="6FBC1269">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40</w:t>
                  </w:r>
                </w:p>
              </w:tc>
              <w:tc>
                <w:tcPr>
                  <w:tcW w:w="1701" w:type="dxa"/>
                  <w:vAlign w:val="center"/>
                </w:tcPr>
                <w:p w14:paraId="347CF205">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3.1</w:t>
                  </w:r>
                </w:p>
              </w:tc>
              <w:tc>
                <w:tcPr>
                  <w:tcW w:w="1960" w:type="dxa"/>
                  <w:vAlign w:val="center"/>
                </w:tcPr>
                <w:p w14:paraId="507613F3">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2.4</w:t>
                  </w:r>
                </w:p>
              </w:tc>
            </w:tr>
            <w:tr w14:paraId="7FAA856F">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21" w:hRule="atLeast"/>
                <w:jc w:val="center"/>
              </w:trPr>
              <w:tc>
                <w:tcPr>
                  <w:tcW w:w="942" w:type="dxa"/>
                  <w:vMerge w:val="continue"/>
                  <w:vAlign w:val="center"/>
                </w:tcPr>
                <w:p w14:paraId="09AD457E">
                  <w:pPr>
                    <w:snapToGrid w:val="0"/>
                    <w:spacing w:line="320" w:lineRule="exact"/>
                    <w:jc w:val="center"/>
                    <w:rPr>
                      <w:rFonts w:hint="default" w:ascii="Times New Roman" w:hAnsi="Times New Roman" w:cs="Times New Roman"/>
                      <w:color w:val="auto"/>
                      <w:spacing w:val="4"/>
                      <w:sz w:val="21"/>
                      <w:szCs w:val="21"/>
                    </w:rPr>
                  </w:pPr>
                </w:p>
              </w:tc>
              <w:tc>
                <w:tcPr>
                  <w:tcW w:w="1263" w:type="dxa"/>
                  <w:vAlign w:val="center"/>
                </w:tcPr>
                <w:p w14:paraId="3A8D8AB0">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二甲苯</w:t>
                  </w:r>
                </w:p>
              </w:tc>
              <w:tc>
                <w:tcPr>
                  <w:tcW w:w="2706" w:type="dxa"/>
                  <w:vAlign w:val="center"/>
                </w:tcPr>
                <w:p w14:paraId="59D14D1F">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70</w:t>
                  </w:r>
                </w:p>
              </w:tc>
              <w:tc>
                <w:tcPr>
                  <w:tcW w:w="1701" w:type="dxa"/>
                  <w:vAlign w:val="center"/>
                </w:tcPr>
                <w:p w14:paraId="0AF8E09E">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1.0</w:t>
                  </w:r>
                </w:p>
              </w:tc>
              <w:tc>
                <w:tcPr>
                  <w:tcW w:w="1960" w:type="dxa"/>
                  <w:vAlign w:val="center"/>
                </w:tcPr>
                <w:p w14:paraId="26FCE32F">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1.2</w:t>
                  </w:r>
                </w:p>
              </w:tc>
            </w:tr>
            <w:tr w14:paraId="5DB5C328">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21" w:hRule="atLeast"/>
                <w:jc w:val="center"/>
              </w:trPr>
              <w:tc>
                <w:tcPr>
                  <w:tcW w:w="942" w:type="dxa"/>
                  <w:vMerge w:val="continue"/>
                  <w:vAlign w:val="center"/>
                </w:tcPr>
                <w:p w14:paraId="0F3B7BF8">
                  <w:pPr>
                    <w:snapToGrid w:val="0"/>
                    <w:spacing w:line="320" w:lineRule="exact"/>
                    <w:jc w:val="center"/>
                    <w:rPr>
                      <w:rFonts w:hint="default" w:ascii="Times New Roman" w:hAnsi="Times New Roman" w:cs="Times New Roman"/>
                      <w:color w:val="auto"/>
                      <w:spacing w:val="4"/>
                      <w:sz w:val="21"/>
                      <w:szCs w:val="21"/>
                    </w:rPr>
                  </w:pPr>
                </w:p>
              </w:tc>
              <w:tc>
                <w:tcPr>
                  <w:tcW w:w="1263" w:type="dxa"/>
                  <w:vAlign w:val="center"/>
                </w:tcPr>
                <w:p w14:paraId="52AE7BA4">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非甲烷总烃</w:t>
                  </w:r>
                </w:p>
              </w:tc>
              <w:tc>
                <w:tcPr>
                  <w:tcW w:w="2706" w:type="dxa"/>
                  <w:vAlign w:val="center"/>
                </w:tcPr>
                <w:p w14:paraId="476633E9">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120</w:t>
                  </w:r>
                </w:p>
              </w:tc>
              <w:tc>
                <w:tcPr>
                  <w:tcW w:w="1701" w:type="dxa"/>
                  <w:vAlign w:val="center"/>
                </w:tcPr>
                <w:p w14:paraId="790CF644">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10</w:t>
                  </w:r>
                </w:p>
              </w:tc>
              <w:tc>
                <w:tcPr>
                  <w:tcW w:w="1960" w:type="dxa"/>
                  <w:vAlign w:val="center"/>
                </w:tcPr>
                <w:p w14:paraId="557E0914">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4.0</w:t>
                  </w:r>
                </w:p>
              </w:tc>
            </w:tr>
          </w:tbl>
          <w:p w14:paraId="75C95B78">
            <w:pPr>
              <w:pStyle w:val="28"/>
              <w:jc w:val="center"/>
              <w:rPr>
                <w:rFonts w:hint="default" w:ascii="Times New Roman" w:hAnsi="Times New Roman" w:eastAsia="宋体" w:cs="Times New Roman"/>
                <w:b/>
                <w:color w:val="auto"/>
                <w:kern w:val="2"/>
                <w:sz w:val="21"/>
                <w:szCs w:val="21"/>
                <w:lang w:val="en-US" w:eastAsia="zh-CN" w:bidi="ar-SA"/>
              </w:rPr>
            </w:pPr>
          </w:p>
          <w:p w14:paraId="7EA34980">
            <w:pPr>
              <w:pStyle w:val="28"/>
              <w:jc w:val="center"/>
              <w:rPr>
                <w:rFonts w:hint="default" w:ascii="Times New Roman" w:hAnsi="Times New Roman" w:eastAsia="黑体" w:cs="Times New Roman"/>
                <w:b/>
                <w:color w:val="auto"/>
                <w:sz w:val="24"/>
              </w:rPr>
            </w:pPr>
            <w:r>
              <w:rPr>
                <w:rFonts w:hint="default" w:ascii="Times New Roman" w:hAnsi="Times New Roman" w:eastAsia="宋体" w:cs="Times New Roman"/>
                <w:b/>
                <w:color w:val="auto"/>
                <w:kern w:val="2"/>
                <w:sz w:val="21"/>
                <w:szCs w:val="21"/>
                <w:lang w:val="en-US" w:eastAsia="zh-CN" w:bidi="ar-SA"/>
              </w:rPr>
              <w:t>表4-6  四川省固定污染源大气挥发性有机物排放标准</w:t>
            </w:r>
          </w:p>
          <w:tbl>
            <w:tblPr>
              <w:tblStyle w:val="23"/>
              <w:tblW w:w="8572" w:type="dxa"/>
              <w:jc w:val="center"/>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08" w:type="dxa"/>
                <w:bottom w:w="0" w:type="dxa"/>
                <w:right w:w="108" w:type="dxa"/>
              </w:tblCellMar>
            </w:tblPr>
            <w:tblGrid>
              <w:gridCol w:w="942"/>
              <w:gridCol w:w="1263"/>
              <w:gridCol w:w="2706"/>
              <w:gridCol w:w="1701"/>
              <w:gridCol w:w="1960"/>
            </w:tblGrid>
            <w:tr w14:paraId="74B28EE2">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3" w:hRule="atLeast"/>
                <w:jc w:val="center"/>
              </w:trPr>
              <w:tc>
                <w:tcPr>
                  <w:tcW w:w="942" w:type="dxa"/>
                  <w:vAlign w:val="center"/>
                </w:tcPr>
                <w:p w14:paraId="2727AB24">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项目</w:t>
                  </w:r>
                </w:p>
              </w:tc>
              <w:tc>
                <w:tcPr>
                  <w:tcW w:w="5670" w:type="dxa"/>
                  <w:gridSpan w:val="3"/>
                  <w:vAlign w:val="center"/>
                </w:tcPr>
                <w:p w14:paraId="1B0C867E">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有组织、15m排气筒排放废气</w:t>
                  </w:r>
                </w:p>
              </w:tc>
              <w:tc>
                <w:tcPr>
                  <w:tcW w:w="1960" w:type="dxa"/>
                  <w:vMerge w:val="restart"/>
                  <w:vAlign w:val="center"/>
                </w:tcPr>
                <w:p w14:paraId="23C81070">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最低去除效率（%）</w:t>
                  </w:r>
                </w:p>
              </w:tc>
            </w:tr>
            <w:tr w14:paraId="583BDC5E">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21" w:hRule="atLeast"/>
                <w:jc w:val="center"/>
              </w:trPr>
              <w:tc>
                <w:tcPr>
                  <w:tcW w:w="942" w:type="dxa"/>
                  <w:vMerge w:val="restart"/>
                  <w:vAlign w:val="center"/>
                </w:tcPr>
                <w:p w14:paraId="54872F1C">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标准值</w:t>
                  </w:r>
                </w:p>
              </w:tc>
              <w:tc>
                <w:tcPr>
                  <w:tcW w:w="1263" w:type="dxa"/>
                  <w:vAlign w:val="center"/>
                </w:tcPr>
                <w:p w14:paraId="78B13C35">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污染物名称</w:t>
                  </w:r>
                </w:p>
              </w:tc>
              <w:tc>
                <w:tcPr>
                  <w:tcW w:w="2706" w:type="dxa"/>
                  <w:vAlign w:val="center"/>
                </w:tcPr>
                <w:p w14:paraId="54133364">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最高允许排放浓度（mg/m3）</w:t>
                  </w:r>
                </w:p>
              </w:tc>
              <w:tc>
                <w:tcPr>
                  <w:tcW w:w="1701" w:type="dxa"/>
                  <w:vAlign w:val="center"/>
                </w:tcPr>
                <w:p w14:paraId="5207051E">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排放速率（kg/h）</w:t>
                  </w:r>
                </w:p>
              </w:tc>
              <w:tc>
                <w:tcPr>
                  <w:tcW w:w="1960" w:type="dxa"/>
                  <w:vMerge w:val="continue"/>
                  <w:vAlign w:val="center"/>
                </w:tcPr>
                <w:p w14:paraId="408EBD29">
                  <w:pPr>
                    <w:snapToGrid w:val="0"/>
                    <w:spacing w:line="320" w:lineRule="exact"/>
                    <w:jc w:val="center"/>
                    <w:rPr>
                      <w:rFonts w:hint="default" w:ascii="Times New Roman" w:hAnsi="Times New Roman" w:cs="Times New Roman"/>
                      <w:color w:val="auto"/>
                      <w:spacing w:val="4"/>
                      <w:sz w:val="21"/>
                      <w:szCs w:val="21"/>
                    </w:rPr>
                  </w:pPr>
                </w:p>
              </w:tc>
            </w:tr>
            <w:tr w14:paraId="17EF5B05">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21" w:hRule="atLeast"/>
                <w:jc w:val="center"/>
              </w:trPr>
              <w:tc>
                <w:tcPr>
                  <w:tcW w:w="942" w:type="dxa"/>
                  <w:vMerge w:val="continue"/>
                  <w:vAlign w:val="center"/>
                </w:tcPr>
                <w:p w14:paraId="1CFA2B5B">
                  <w:pPr>
                    <w:snapToGrid w:val="0"/>
                    <w:spacing w:line="320" w:lineRule="exact"/>
                    <w:jc w:val="center"/>
                    <w:rPr>
                      <w:rFonts w:hint="default" w:ascii="Times New Roman" w:hAnsi="Times New Roman" w:cs="Times New Roman"/>
                      <w:color w:val="auto"/>
                      <w:spacing w:val="4"/>
                      <w:sz w:val="21"/>
                      <w:szCs w:val="21"/>
                    </w:rPr>
                  </w:pPr>
                </w:p>
              </w:tc>
              <w:tc>
                <w:tcPr>
                  <w:tcW w:w="1263" w:type="dxa"/>
                  <w:vAlign w:val="center"/>
                </w:tcPr>
                <w:p w14:paraId="47D2DDDE">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苯</w:t>
                  </w:r>
                </w:p>
              </w:tc>
              <w:tc>
                <w:tcPr>
                  <w:tcW w:w="2706" w:type="dxa"/>
                  <w:vAlign w:val="center"/>
                </w:tcPr>
                <w:p w14:paraId="76C30934">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1</w:t>
                  </w:r>
                </w:p>
              </w:tc>
              <w:tc>
                <w:tcPr>
                  <w:tcW w:w="1701" w:type="dxa"/>
                  <w:vAlign w:val="center"/>
                </w:tcPr>
                <w:p w14:paraId="11FB7249">
                  <w:pPr>
                    <w:snapToGrid w:val="0"/>
                    <w:spacing w:line="320" w:lineRule="exact"/>
                    <w:jc w:val="center"/>
                    <w:rPr>
                      <w:rFonts w:hint="eastAsia" w:ascii="Times New Roman" w:hAnsi="Times New Roman" w:eastAsia="宋体" w:cs="Times New Roman"/>
                      <w:color w:val="auto"/>
                      <w:spacing w:val="4"/>
                      <w:sz w:val="21"/>
                      <w:szCs w:val="21"/>
                      <w:lang w:val="en-US" w:eastAsia="zh-CN"/>
                    </w:rPr>
                  </w:pPr>
                  <w:r>
                    <w:rPr>
                      <w:rFonts w:hint="default" w:ascii="Times New Roman" w:hAnsi="Times New Roman" w:cs="Times New Roman"/>
                      <w:color w:val="auto"/>
                      <w:spacing w:val="4"/>
                      <w:sz w:val="21"/>
                      <w:szCs w:val="21"/>
                    </w:rPr>
                    <w:t>0.</w:t>
                  </w:r>
                  <w:r>
                    <w:rPr>
                      <w:rFonts w:hint="eastAsia" w:cs="Times New Roman"/>
                      <w:color w:val="auto"/>
                      <w:spacing w:val="4"/>
                      <w:sz w:val="21"/>
                      <w:szCs w:val="21"/>
                      <w:lang w:val="en-US" w:eastAsia="zh-CN"/>
                    </w:rPr>
                    <w:t>2</w:t>
                  </w:r>
                </w:p>
              </w:tc>
              <w:tc>
                <w:tcPr>
                  <w:tcW w:w="1960" w:type="dxa"/>
                  <w:vAlign w:val="center"/>
                </w:tcPr>
                <w:p w14:paraId="28AA22AB">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w:t>
                  </w:r>
                </w:p>
              </w:tc>
            </w:tr>
            <w:tr w14:paraId="6E27CF00">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21" w:hRule="atLeast"/>
                <w:jc w:val="center"/>
              </w:trPr>
              <w:tc>
                <w:tcPr>
                  <w:tcW w:w="942" w:type="dxa"/>
                  <w:vMerge w:val="continue"/>
                  <w:vAlign w:val="center"/>
                </w:tcPr>
                <w:p w14:paraId="1BA33E95">
                  <w:pPr>
                    <w:snapToGrid w:val="0"/>
                    <w:spacing w:line="320" w:lineRule="exact"/>
                    <w:jc w:val="center"/>
                    <w:rPr>
                      <w:rFonts w:hint="default" w:ascii="Times New Roman" w:hAnsi="Times New Roman" w:cs="Times New Roman"/>
                      <w:color w:val="auto"/>
                      <w:spacing w:val="4"/>
                      <w:sz w:val="21"/>
                      <w:szCs w:val="21"/>
                    </w:rPr>
                  </w:pPr>
                </w:p>
              </w:tc>
              <w:tc>
                <w:tcPr>
                  <w:tcW w:w="1263" w:type="dxa"/>
                  <w:vAlign w:val="center"/>
                </w:tcPr>
                <w:p w14:paraId="234BF1E6">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甲苯</w:t>
                  </w:r>
                </w:p>
              </w:tc>
              <w:tc>
                <w:tcPr>
                  <w:tcW w:w="2706" w:type="dxa"/>
                  <w:vAlign w:val="center"/>
                </w:tcPr>
                <w:p w14:paraId="6B473683">
                  <w:pPr>
                    <w:snapToGrid w:val="0"/>
                    <w:spacing w:line="320" w:lineRule="exact"/>
                    <w:jc w:val="center"/>
                    <w:rPr>
                      <w:rFonts w:hint="eastAsia" w:ascii="Times New Roman" w:hAnsi="Times New Roman" w:eastAsia="宋体" w:cs="Times New Roman"/>
                      <w:color w:val="auto"/>
                      <w:spacing w:val="4"/>
                      <w:sz w:val="21"/>
                      <w:szCs w:val="21"/>
                      <w:lang w:eastAsia="zh-CN"/>
                    </w:rPr>
                  </w:pPr>
                  <w:r>
                    <w:rPr>
                      <w:rFonts w:hint="eastAsia" w:cs="Times New Roman"/>
                      <w:color w:val="auto"/>
                      <w:spacing w:val="4"/>
                      <w:sz w:val="21"/>
                      <w:szCs w:val="21"/>
                      <w:lang w:val="en-US" w:eastAsia="zh-CN"/>
                    </w:rPr>
                    <w:t>5</w:t>
                  </w:r>
                </w:p>
              </w:tc>
              <w:tc>
                <w:tcPr>
                  <w:tcW w:w="1701" w:type="dxa"/>
                  <w:vAlign w:val="center"/>
                </w:tcPr>
                <w:p w14:paraId="1D067056">
                  <w:pPr>
                    <w:snapToGrid w:val="0"/>
                    <w:spacing w:line="320" w:lineRule="exact"/>
                    <w:jc w:val="center"/>
                    <w:rPr>
                      <w:rFonts w:hint="eastAsia" w:ascii="Times New Roman" w:hAnsi="Times New Roman" w:eastAsia="宋体" w:cs="Times New Roman"/>
                      <w:color w:val="auto"/>
                      <w:spacing w:val="4"/>
                      <w:sz w:val="21"/>
                      <w:szCs w:val="21"/>
                      <w:lang w:val="en-US" w:eastAsia="zh-CN"/>
                    </w:rPr>
                  </w:pPr>
                  <w:r>
                    <w:rPr>
                      <w:rFonts w:hint="default" w:ascii="Times New Roman" w:hAnsi="Times New Roman" w:cs="Times New Roman"/>
                      <w:color w:val="auto"/>
                      <w:spacing w:val="4"/>
                      <w:sz w:val="21"/>
                      <w:szCs w:val="21"/>
                    </w:rPr>
                    <w:t>0.</w:t>
                  </w:r>
                  <w:r>
                    <w:rPr>
                      <w:rFonts w:hint="eastAsia" w:cs="Times New Roman"/>
                      <w:color w:val="auto"/>
                      <w:spacing w:val="4"/>
                      <w:sz w:val="21"/>
                      <w:szCs w:val="21"/>
                      <w:lang w:val="en-US" w:eastAsia="zh-CN"/>
                    </w:rPr>
                    <w:t>6</w:t>
                  </w:r>
                </w:p>
              </w:tc>
              <w:tc>
                <w:tcPr>
                  <w:tcW w:w="1960" w:type="dxa"/>
                  <w:vAlign w:val="center"/>
                </w:tcPr>
                <w:p w14:paraId="79110E68">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w:t>
                  </w:r>
                </w:p>
              </w:tc>
            </w:tr>
            <w:tr w14:paraId="791E5A84">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21" w:hRule="atLeast"/>
                <w:jc w:val="center"/>
              </w:trPr>
              <w:tc>
                <w:tcPr>
                  <w:tcW w:w="942" w:type="dxa"/>
                  <w:vMerge w:val="continue"/>
                  <w:vAlign w:val="center"/>
                </w:tcPr>
                <w:p w14:paraId="6BF9E267">
                  <w:pPr>
                    <w:snapToGrid w:val="0"/>
                    <w:spacing w:line="320" w:lineRule="exact"/>
                    <w:jc w:val="center"/>
                    <w:rPr>
                      <w:rFonts w:hint="default" w:ascii="Times New Roman" w:hAnsi="Times New Roman" w:cs="Times New Roman"/>
                      <w:color w:val="auto"/>
                      <w:spacing w:val="4"/>
                      <w:sz w:val="21"/>
                      <w:szCs w:val="21"/>
                    </w:rPr>
                  </w:pPr>
                </w:p>
              </w:tc>
              <w:tc>
                <w:tcPr>
                  <w:tcW w:w="1263" w:type="dxa"/>
                  <w:vAlign w:val="center"/>
                </w:tcPr>
                <w:p w14:paraId="6DA610F5">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二甲苯</w:t>
                  </w:r>
                </w:p>
              </w:tc>
              <w:tc>
                <w:tcPr>
                  <w:tcW w:w="2706" w:type="dxa"/>
                  <w:vAlign w:val="center"/>
                </w:tcPr>
                <w:p w14:paraId="7A19B235">
                  <w:pPr>
                    <w:snapToGrid w:val="0"/>
                    <w:spacing w:line="320" w:lineRule="exact"/>
                    <w:jc w:val="center"/>
                    <w:rPr>
                      <w:rFonts w:hint="eastAsia" w:ascii="Times New Roman" w:hAnsi="Times New Roman" w:eastAsia="宋体" w:cs="Times New Roman"/>
                      <w:color w:val="auto"/>
                      <w:spacing w:val="4"/>
                      <w:sz w:val="21"/>
                      <w:szCs w:val="21"/>
                      <w:lang w:val="en-US" w:eastAsia="zh-CN"/>
                    </w:rPr>
                  </w:pPr>
                  <w:r>
                    <w:rPr>
                      <w:rFonts w:hint="eastAsia" w:cs="Times New Roman"/>
                      <w:color w:val="auto"/>
                      <w:spacing w:val="4"/>
                      <w:sz w:val="21"/>
                      <w:szCs w:val="21"/>
                      <w:lang w:val="en-US" w:eastAsia="zh-CN"/>
                    </w:rPr>
                    <w:t>15</w:t>
                  </w:r>
                </w:p>
              </w:tc>
              <w:tc>
                <w:tcPr>
                  <w:tcW w:w="1701" w:type="dxa"/>
                  <w:vAlign w:val="center"/>
                </w:tcPr>
                <w:p w14:paraId="44F97CD1">
                  <w:pPr>
                    <w:snapToGrid w:val="0"/>
                    <w:spacing w:line="320" w:lineRule="exact"/>
                    <w:jc w:val="center"/>
                    <w:rPr>
                      <w:rFonts w:hint="eastAsia" w:ascii="Times New Roman" w:hAnsi="Times New Roman" w:eastAsia="宋体" w:cs="Times New Roman"/>
                      <w:color w:val="auto"/>
                      <w:spacing w:val="4"/>
                      <w:sz w:val="21"/>
                      <w:szCs w:val="21"/>
                      <w:lang w:val="en-US" w:eastAsia="zh-CN"/>
                    </w:rPr>
                  </w:pPr>
                  <w:r>
                    <w:rPr>
                      <w:rFonts w:hint="eastAsia" w:cs="Times New Roman"/>
                      <w:color w:val="auto"/>
                      <w:spacing w:val="4"/>
                      <w:sz w:val="21"/>
                      <w:szCs w:val="21"/>
                      <w:lang w:val="en-US" w:eastAsia="zh-CN"/>
                    </w:rPr>
                    <w:t>0.9</w:t>
                  </w:r>
                </w:p>
              </w:tc>
              <w:tc>
                <w:tcPr>
                  <w:tcW w:w="1960" w:type="dxa"/>
                  <w:vAlign w:val="center"/>
                </w:tcPr>
                <w:p w14:paraId="30F8AA29">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w:t>
                  </w:r>
                </w:p>
              </w:tc>
            </w:tr>
            <w:tr w14:paraId="42902C33">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21" w:hRule="atLeast"/>
                <w:jc w:val="center"/>
              </w:trPr>
              <w:tc>
                <w:tcPr>
                  <w:tcW w:w="942" w:type="dxa"/>
                  <w:vMerge w:val="continue"/>
                  <w:vAlign w:val="center"/>
                </w:tcPr>
                <w:p w14:paraId="7B826378">
                  <w:pPr>
                    <w:snapToGrid w:val="0"/>
                    <w:spacing w:line="320" w:lineRule="exact"/>
                    <w:jc w:val="center"/>
                    <w:rPr>
                      <w:rFonts w:hint="default" w:ascii="Times New Roman" w:hAnsi="Times New Roman" w:cs="Times New Roman"/>
                      <w:color w:val="auto"/>
                      <w:spacing w:val="4"/>
                      <w:sz w:val="21"/>
                      <w:szCs w:val="21"/>
                    </w:rPr>
                  </w:pPr>
                </w:p>
              </w:tc>
              <w:tc>
                <w:tcPr>
                  <w:tcW w:w="1263" w:type="dxa"/>
                  <w:vAlign w:val="center"/>
                </w:tcPr>
                <w:p w14:paraId="593C7ED1">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VOCs</w:t>
                  </w:r>
                </w:p>
              </w:tc>
              <w:tc>
                <w:tcPr>
                  <w:tcW w:w="2706" w:type="dxa"/>
                  <w:vAlign w:val="center"/>
                </w:tcPr>
                <w:p w14:paraId="37663F89">
                  <w:pPr>
                    <w:snapToGrid w:val="0"/>
                    <w:spacing w:line="320" w:lineRule="exact"/>
                    <w:jc w:val="center"/>
                    <w:rPr>
                      <w:rFonts w:hint="eastAsia" w:ascii="Times New Roman" w:hAnsi="Times New Roman" w:eastAsia="宋体" w:cs="Times New Roman"/>
                      <w:color w:val="auto"/>
                      <w:spacing w:val="4"/>
                      <w:sz w:val="21"/>
                      <w:szCs w:val="21"/>
                      <w:lang w:val="en-US" w:eastAsia="zh-CN"/>
                    </w:rPr>
                  </w:pPr>
                  <w:r>
                    <w:rPr>
                      <w:rFonts w:hint="eastAsia" w:cs="Times New Roman"/>
                      <w:color w:val="auto"/>
                      <w:spacing w:val="4"/>
                      <w:sz w:val="21"/>
                      <w:szCs w:val="21"/>
                      <w:lang w:val="en-US" w:eastAsia="zh-CN"/>
                    </w:rPr>
                    <w:t>60</w:t>
                  </w:r>
                </w:p>
              </w:tc>
              <w:tc>
                <w:tcPr>
                  <w:tcW w:w="1701" w:type="dxa"/>
                  <w:vAlign w:val="center"/>
                </w:tcPr>
                <w:p w14:paraId="4B8C6C51">
                  <w:pPr>
                    <w:snapToGrid w:val="0"/>
                    <w:spacing w:line="320" w:lineRule="exact"/>
                    <w:jc w:val="center"/>
                    <w:rPr>
                      <w:rFonts w:hint="eastAsia" w:ascii="Times New Roman" w:hAnsi="Times New Roman" w:eastAsia="宋体" w:cs="Times New Roman"/>
                      <w:color w:val="auto"/>
                      <w:spacing w:val="4"/>
                      <w:sz w:val="21"/>
                      <w:szCs w:val="21"/>
                      <w:lang w:val="en-US" w:eastAsia="zh-CN"/>
                    </w:rPr>
                  </w:pPr>
                  <w:r>
                    <w:rPr>
                      <w:rFonts w:hint="eastAsia" w:cs="Times New Roman"/>
                      <w:color w:val="auto"/>
                      <w:spacing w:val="4"/>
                      <w:sz w:val="21"/>
                      <w:szCs w:val="21"/>
                      <w:lang w:val="en-US" w:eastAsia="zh-CN"/>
                    </w:rPr>
                    <w:t>3.4</w:t>
                  </w:r>
                </w:p>
              </w:tc>
              <w:tc>
                <w:tcPr>
                  <w:tcW w:w="1960" w:type="dxa"/>
                  <w:vAlign w:val="center"/>
                </w:tcPr>
                <w:p w14:paraId="5D0843F9">
                  <w:pPr>
                    <w:snapToGrid w:val="0"/>
                    <w:spacing w:line="320" w:lineRule="exact"/>
                    <w:jc w:val="center"/>
                    <w:rPr>
                      <w:rFonts w:hint="default" w:ascii="Times New Roman" w:hAnsi="Times New Roman" w:cs="Times New Roman"/>
                      <w:color w:val="auto"/>
                      <w:spacing w:val="4"/>
                      <w:sz w:val="21"/>
                      <w:szCs w:val="21"/>
                    </w:rPr>
                  </w:pPr>
                  <w:r>
                    <w:rPr>
                      <w:rFonts w:hint="eastAsia" w:cs="Times New Roman"/>
                      <w:color w:val="auto"/>
                      <w:spacing w:val="4"/>
                      <w:sz w:val="21"/>
                      <w:szCs w:val="21"/>
                      <w:lang w:val="en-US" w:eastAsia="zh-CN"/>
                    </w:rPr>
                    <w:t>90</w:t>
                  </w:r>
                  <w:r>
                    <w:rPr>
                      <w:rFonts w:hint="default" w:ascii="Times New Roman" w:hAnsi="Times New Roman" w:cs="Times New Roman"/>
                      <w:color w:val="auto"/>
                      <w:spacing w:val="4"/>
                      <w:sz w:val="21"/>
                      <w:szCs w:val="21"/>
                    </w:rPr>
                    <w:t>%</w:t>
                  </w:r>
                </w:p>
              </w:tc>
            </w:tr>
          </w:tbl>
          <w:p w14:paraId="28C0398F">
            <w:pPr>
              <w:pStyle w:val="28"/>
              <w:rPr>
                <w:rFonts w:hint="default" w:ascii="Times New Roman" w:hAnsi="Times New Roman" w:eastAsia="黑体" w:cs="Times New Roman"/>
                <w:b/>
                <w:color w:val="auto"/>
                <w:sz w:val="24"/>
              </w:rPr>
            </w:pPr>
          </w:p>
          <w:p w14:paraId="4EA12FA5">
            <w:pPr>
              <w:pStyle w:val="28"/>
              <w:rPr>
                <w:rFonts w:hint="default" w:ascii="Times New Roman" w:hAnsi="Times New Roman" w:eastAsia="黑体" w:cs="Times New Roman"/>
                <w:b/>
                <w:color w:val="auto"/>
                <w:sz w:val="24"/>
              </w:rPr>
            </w:pPr>
          </w:p>
          <w:p w14:paraId="2E52671F">
            <w:pPr>
              <w:snapToGrid w:val="0"/>
              <w:spacing w:line="360" w:lineRule="auto"/>
              <w:rPr>
                <w:rFonts w:hint="default" w:ascii="Times New Roman" w:hAnsi="Times New Roman" w:eastAsia="黑体" w:cs="Times New Roman"/>
                <w:b/>
                <w:color w:val="auto"/>
                <w:sz w:val="24"/>
              </w:rPr>
            </w:pPr>
            <w:r>
              <w:rPr>
                <w:rFonts w:hint="default" w:ascii="Times New Roman" w:hAnsi="Times New Roman" w:eastAsia="黑体" w:cs="Times New Roman"/>
                <w:b/>
                <w:color w:val="auto"/>
                <w:sz w:val="24"/>
              </w:rPr>
              <w:t>2、废水执行《污水综合排放标准》（GB8978-1996）中的三级标准。</w:t>
            </w:r>
          </w:p>
          <w:p w14:paraId="300E72A3">
            <w:pPr>
              <w:snapToGrid w:val="0"/>
              <w:jc w:val="center"/>
              <w:rPr>
                <w:rFonts w:hint="default" w:ascii="Times New Roman" w:hAnsi="Times New Roman" w:cs="Times New Roman"/>
                <w:b/>
                <w:color w:val="auto"/>
                <w:szCs w:val="21"/>
              </w:rPr>
            </w:pPr>
            <w:r>
              <w:rPr>
                <w:rFonts w:hint="default" w:ascii="Times New Roman" w:hAnsi="Times New Roman" w:cs="Times New Roman"/>
                <w:b/>
                <w:color w:val="auto"/>
                <w:szCs w:val="21"/>
              </w:rPr>
              <w:t>表4-</w:t>
            </w:r>
            <w:r>
              <w:rPr>
                <w:rFonts w:hint="eastAsia" w:cs="Times New Roman"/>
                <w:b/>
                <w:color w:val="auto"/>
                <w:szCs w:val="21"/>
                <w:lang w:val="en-US" w:eastAsia="zh-CN"/>
              </w:rPr>
              <w:t>7</w:t>
            </w:r>
            <w:r>
              <w:rPr>
                <w:rFonts w:hint="default" w:ascii="Times New Roman" w:hAnsi="Times New Roman" w:cs="Times New Roman"/>
                <w:b/>
                <w:color w:val="auto"/>
                <w:szCs w:val="21"/>
              </w:rPr>
              <w:t xml:space="preserve">  污水综合排放标准限值  单位：mg/L</w:t>
            </w:r>
          </w:p>
          <w:tbl>
            <w:tblPr>
              <w:tblStyle w:val="23"/>
              <w:tblW w:w="8572" w:type="dxa"/>
              <w:jc w:val="center"/>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08" w:type="dxa"/>
                <w:bottom w:w="0" w:type="dxa"/>
                <w:right w:w="108" w:type="dxa"/>
              </w:tblCellMar>
            </w:tblPr>
            <w:tblGrid>
              <w:gridCol w:w="1225"/>
              <w:gridCol w:w="1418"/>
              <w:gridCol w:w="980"/>
              <w:gridCol w:w="1122"/>
              <w:gridCol w:w="1016"/>
              <w:gridCol w:w="993"/>
              <w:gridCol w:w="1012"/>
              <w:gridCol w:w="806"/>
            </w:tblGrid>
            <w:tr w14:paraId="2856863B">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68" w:hRule="atLeast"/>
                <w:jc w:val="center"/>
              </w:trPr>
              <w:tc>
                <w:tcPr>
                  <w:tcW w:w="1225" w:type="dxa"/>
                  <w:vAlign w:val="center"/>
                </w:tcPr>
                <w:p w14:paraId="18396DD8">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项目</w:t>
                  </w:r>
                </w:p>
              </w:tc>
              <w:tc>
                <w:tcPr>
                  <w:tcW w:w="1418" w:type="dxa"/>
                  <w:vAlign w:val="center"/>
                </w:tcPr>
                <w:p w14:paraId="3EE27466">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pH</w:t>
                  </w:r>
                </w:p>
              </w:tc>
              <w:tc>
                <w:tcPr>
                  <w:tcW w:w="980" w:type="dxa"/>
                  <w:vAlign w:val="center"/>
                </w:tcPr>
                <w:p w14:paraId="17EC8696">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BOD</w:t>
                  </w:r>
                  <w:r>
                    <w:rPr>
                      <w:rFonts w:hint="default" w:ascii="Times New Roman" w:hAnsi="Times New Roman" w:cs="Times New Roman"/>
                      <w:color w:val="auto"/>
                      <w:spacing w:val="4"/>
                      <w:sz w:val="21"/>
                      <w:szCs w:val="21"/>
                      <w:vertAlign w:val="subscript"/>
                    </w:rPr>
                    <w:t>5</w:t>
                  </w:r>
                </w:p>
              </w:tc>
              <w:tc>
                <w:tcPr>
                  <w:tcW w:w="1122" w:type="dxa"/>
                  <w:vAlign w:val="center"/>
                </w:tcPr>
                <w:p w14:paraId="3927DF79">
                  <w:pPr>
                    <w:snapToGrid w:val="0"/>
                    <w:spacing w:line="320" w:lineRule="exact"/>
                    <w:jc w:val="center"/>
                    <w:rPr>
                      <w:rFonts w:hint="eastAsia" w:ascii="Times New Roman" w:hAnsi="Times New Roman" w:eastAsia="宋体" w:cs="Times New Roman"/>
                      <w:color w:val="auto"/>
                      <w:spacing w:val="4"/>
                      <w:sz w:val="21"/>
                      <w:szCs w:val="21"/>
                      <w:lang w:val="en-US" w:eastAsia="zh-CN"/>
                    </w:rPr>
                  </w:pPr>
                  <w:r>
                    <w:rPr>
                      <w:rFonts w:hint="default" w:ascii="Times New Roman" w:hAnsi="Times New Roman" w:cs="Times New Roman"/>
                      <w:color w:val="auto"/>
                      <w:spacing w:val="4"/>
                      <w:sz w:val="21"/>
                      <w:szCs w:val="21"/>
                    </w:rPr>
                    <w:t>COD</w:t>
                  </w:r>
                  <w:r>
                    <w:rPr>
                      <w:rFonts w:hint="eastAsia" w:ascii="Times New Roman" w:hAnsi="Times New Roman" w:cs="Times New Roman"/>
                      <w:color w:val="auto"/>
                      <w:spacing w:val="4"/>
                      <w:sz w:val="21"/>
                      <w:szCs w:val="21"/>
                      <w:lang w:val="en-US" w:eastAsia="zh-CN"/>
                    </w:rPr>
                    <w:t>cr</w:t>
                  </w:r>
                </w:p>
              </w:tc>
              <w:tc>
                <w:tcPr>
                  <w:tcW w:w="1016" w:type="dxa"/>
                  <w:vAlign w:val="center"/>
                </w:tcPr>
                <w:p w14:paraId="74B0A134">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NH</w:t>
                  </w:r>
                  <w:r>
                    <w:rPr>
                      <w:rFonts w:hint="default" w:ascii="Times New Roman" w:hAnsi="Times New Roman" w:cs="Times New Roman"/>
                      <w:color w:val="auto"/>
                      <w:spacing w:val="4"/>
                      <w:sz w:val="21"/>
                      <w:szCs w:val="21"/>
                      <w:vertAlign w:val="subscript"/>
                    </w:rPr>
                    <w:t>3</w:t>
                  </w:r>
                  <w:r>
                    <w:rPr>
                      <w:rFonts w:hint="default" w:ascii="Times New Roman" w:hAnsi="Times New Roman" w:cs="Times New Roman"/>
                      <w:color w:val="auto"/>
                      <w:spacing w:val="4"/>
                      <w:sz w:val="21"/>
                      <w:szCs w:val="21"/>
                    </w:rPr>
                    <w:t>-N*</w:t>
                  </w:r>
                </w:p>
              </w:tc>
              <w:tc>
                <w:tcPr>
                  <w:tcW w:w="993" w:type="dxa"/>
                  <w:tcBorders>
                    <w:right w:val="single" w:color="auto" w:sz="4" w:space="0"/>
                  </w:tcBorders>
                  <w:vAlign w:val="center"/>
                </w:tcPr>
                <w:p w14:paraId="58F68756">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SS</w:t>
                  </w:r>
                </w:p>
              </w:tc>
              <w:tc>
                <w:tcPr>
                  <w:tcW w:w="1012" w:type="dxa"/>
                  <w:tcBorders>
                    <w:left w:val="single" w:color="auto" w:sz="4" w:space="0"/>
                    <w:right w:val="single" w:color="auto" w:sz="4" w:space="0"/>
                  </w:tcBorders>
                  <w:vAlign w:val="center"/>
                </w:tcPr>
                <w:p w14:paraId="6E582FB2">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石油类</w:t>
                  </w:r>
                </w:p>
              </w:tc>
              <w:tc>
                <w:tcPr>
                  <w:tcW w:w="806" w:type="dxa"/>
                  <w:tcBorders>
                    <w:left w:val="single" w:color="auto" w:sz="4" w:space="0"/>
                  </w:tcBorders>
                  <w:vAlign w:val="center"/>
                </w:tcPr>
                <w:p w14:paraId="06638094">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LAS</w:t>
                  </w:r>
                </w:p>
              </w:tc>
            </w:tr>
            <w:tr w14:paraId="4A2BA2E2">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21" w:hRule="atLeast"/>
                <w:jc w:val="center"/>
              </w:trPr>
              <w:tc>
                <w:tcPr>
                  <w:tcW w:w="1225" w:type="dxa"/>
                  <w:vAlign w:val="center"/>
                </w:tcPr>
                <w:p w14:paraId="5785059A">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标准值</w:t>
                  </w:r>
                </w:p>
              </w:tc>
              <w:tc>
                <w:tcPr>
                  <w:tcW w:w="1418" w:type="dxa"/>
                  <w:vAlign w:val="center"/>
                </w:tcPr>
                <w:p w14:paraId="087ED551">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6~9</w:t>
                  </w:r>
                </w:p>
              </w:tc>
              <w:tc>
                <w:tcPr>
                  <w:tcW w:w="980" w:type="dxa"/>
                  <w:vAlign w:val="center"/>
                </w:tcPr>
                <w:p w14:paraId="669D9ADE">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300</w:t>
                  </w:r>
                </w:p>
              </w:tc>
              <w:tc>
                <w:tcPr>
                  <w:tcW w:w="1122" w:type="dxa"/>
                  <w:vAlign w:val="center"/>
                </w:tcPr>
                <w:p w14:paraId="1EEA2E3A">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500</w:t>
                  </w:r>
                </w:p>
              </w:tc>
              <w:tc>
                <w:tcPr>
                  <w:tcW w:w="1016" w:type="dxa"/>
                  <w:vAlign w:val="center"/>
                </w:tcPr>
                <w:p w14:paraId="32D1D4A5">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45</w:t>
                  </w:r>
                </w:p>
              </w:tc>
              <w:tc>
                <w:tcPr>
                  <w:tcW w:w="993" w:type="dxa"/>
                  <w:tcBorders>
                    <w:right w:val="single" w:color="auto" w:sz="4" w:space="0"/>
                  </w:tcBorders>
                  <w:vAlign w:val="center"/>
                </w:tcPr>
                <w:p w14:paraId="30A4C874">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400</w:t>
                  </w:r>
                </w:p>
              </w:tc>
              <w:tc>
                <w:tcPr>
                  <w:tcW w:w="1012" w:type="dxa"/>
                  <w:tcBorders>
                    <w:left w:val="single" w:color="auto" w:sz="4" w:space="0"/>
                    <w:right w:val="single" w:color="auto" w:sz="4" w:space="0"/>
                  </w:tcBorders>
                  <w:vAlign w:val="center"/>
                </w:tcPr>
                <w:p w14:paraId="62D4CFE0">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30</w:t>
                  </w:r>
                </w:p>
              </w:tc>
              <w:tc>
                <w:tcPr>
                  <w:tcW w:w="806" w:type="dxa"/>
                  <w:tcBorders>
                    <w:left w:val="single" w:color="auto" w:sz="4" w:space="0"/>
                  </w:tcBorders>
                  <w:vAlign w:val="center"/>
                </w:tcPr>
                <w:p w14:paraId="68CFC61C">
                  <w:pPr>
                    <w:snapToGrid w:val="0"/>
                    <w:spacing w:line="320" w:lineRule="exact"/>
                    <w:jc w:val="center"/>
                    <w:rPr>
                      <w:rFonts w:hint="default" w:ascii="Times New Roman" w:hAnsi="Times New Roman" w:cs="Times New Roman"/>
                      <w:color w:val="auto"/>
                      <w:spacing w:val="4"/>
                      <w:sz w:val="21"/>
                      <w:szCs w:val="21"/>
                    </w:rPr>
                  </w:pPr>
                  <w:r>
                    <w:rPr>
                      <w:rFonts w:hint="default" w:ascii="Times New Roman" w:hAnsi="Times New Roman" w:cs="Times New Roman"/>
                      <w:color w:val="auto"/>
                      <w:spacing w:val="4"/>
                      <w:sz w:val="21"/>
                      <w:szCs w:val="21"/>
                    </w:rPr>
                    <w:t>20</w:t>
                  </w:r>
                </w:p>
              </w:tc>
            </w:tr>
          </w:tbl>
          <w:p w14:paraId="7DBBD51A">
            <w:pPr>
              <w:snapToGrid w:val="0"/>
              <w:rPr>
                <w:rFonts w:hint="default" w:ascii="Times New Roman" w:hAnsi="Times New Roman" w:cs="Times New Roman"/>
                <w:b w:val="0"/>
                <w:bCs/>
                <w:color w:val="auto"/>
                <w:szCs w:val="21"/>
              </w:rPr>
            </w:pPr>
            <w:r>
              <w:rPr>
                <w:rFonts w:hint="default" w:ascii="Times New Roman" w:hAnsi="Times New Roman" w:cs="Times New Roman"/>
                <w:b w:val="0"/>
                <w:bCs/>
                <w:color w:val="auto"/>
                <w:szCs w:val="21"/>
              </w:rPr>
              <w:t>注：上面表中，pH为无量纲；*表示NH</w:t>
            </w:r>
            <w:r>
              <w:rPr>
                <w:rFonts w:hint="default" w:ascii="Times New Roman" w:hAnsi="Times New Roman" w:cs="Times New Roman"/>
                <w:b w:val="0"/>
                <w:bCs/>
                <w:color w:val="auto"/>
                <w:szCs w:val="21"/>
                <w:vertAlign w:val="subscript"/>
              </w:rPr>
              <w:t>3</w:t>
            </w:r>
            <w:r>
              <w:rPr>
                <w:rFonts w:hint="default" w:ascii="Times New Roman" w:hAnsi="Times New Roman" w:cs="Times New Roman"/>
                <w:b w:val="0"/>
                <w:bCs/>
                <w:color w:val="auto"/>
                <w:szCs w:val="21"/>
              </w:rPr>
              <w:t>-N 排放浓度参考《污水排入城镇下水道水质标准》（CJ343-2010）B 等级。</w:t>
            </w:r>
          </w:p>
          <w:p w14:paraId="05AFD487">
            <w:pPr>
              <w:snapToGrid w:val="0"/>
              <w:rPr>
                <w:rFonts w:hint="default" w:ascii="Times New Roman" w:hAnsi="Times New Roman" w:cs="Times New Roman"/>
                <w:color w:val="auto"/>
                <w:sz w:val="24"/>
              </w:rPr>
            </w:pPr>
          </w:p>
          <w:p w14:paraId="51C7F157">
            <w:pPr>
              <w:snapToGrid w:val="0"/>
              <w:rPr>
                <w:rFonts w:hint="default" w:ascii="Times New Roman" w:hAnsi="Times New Roman" w:eastAsia="黑体" w:cs="Times New Roman"/>
                <w:b/>
                <w:color w:val="auto"/>
                <w:sz w:val="24"/>
              </w:rPr>
            </w:pPr>
            <w:r>
              <w:rPr>
                <w:rFonts w:hint="default" w:ascii="Times New Roman" w:hAnsi="Times New Roman" w:eastAsia="黑体" w:cs="Times New Roman"/>
                <w:b/>
                <w:color w:val="auto"/>
                <w:sz w:val="24"/>
              </w:rPr>
              <w:t>3、噪声执行《工业企业厂界环境噪声排放标准》（GB12348-2008）3类标准。</w:t>
            </w:r>
          </w:p>
          <w:p w14:paraId="65CD3D03">
            <w:pPr>
              <w:spacing w:line="240" w:lineRule="atLeast"/>
              <w:jc w:val="center"/>
              <w:rPr>
                <w:rFonts w:hint="default" w:ascii="Times New Roman" w:hAnsi="Times New Roman" w:cs="Times New Roman"/>
                <w:b/>
                <w:color w:val="auto"/>
                <w:szCs w:val="21"/>
              </w:rPr>
            </w:pPr>
            <w:r>
              <w:rPr>
                <w:rFonts w:hint="default" w:ascii="Times New Roman" w:hAnsi="Times New Roman" w:cs="Times New Roman"/>
                <w:b/>
                <w:color w:val="auto"/>
                <w:szCs w:val="21"/>
              </w:rPr>
              <w:t>表4-</w:t>
            </w:r>
            <w:r>
              <w:rPr>
                <w:rFonts w:hint="eastAsia" w:cs="Times New Roman"/>
                <w:b/>
                <w:color w:val="auto"/>
                <w:szCs w:val="21"/>
                <w:lang w:val="en-US" w:eastAsia="zh-CN"/>
              </w:rPr>
              <w:t>8</w:t>
            </w:r>
            <w:r>
              <w:rPr>
                <w:rFonts w:hint="default" w:ascii="Times New Roman" w:hAnsi="Times New Roman" w:cs="Times New Roman"/>
                <w:b/>
                <w:color w:val="auto"/>
                <w:szCs w:val="21"/>
              </w:rPr>
              <w:t xml:space="preserve">  工业企业厂界环境噪声排放3类标准</w:t>
            </w:r>
          </w:p>
          <w:tbl>
            <w:tblPr>
              <w:tblStyle w:val="23"/>
              <w:tblW w:w="850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832"/>
              <w:gridCol w:w="2304"/>
              <w:gridCol w:w="2369"/>
            </w:tblGrid>
            <w:tr w14:paraId="378824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1" w:hRule="atLeast"/>
                <w:jc w:val="center"/>
              </w:trPr>
              <w:tc>
                <w:tcPr>
                  <w:tcW w:w="3832" w:type="dxa"/>
                  <w:tcBorders>
                    <w:top w:val="single" w:color="auto" w:sz="12" w:space="0"/>
                    <w:left w:val="nil"/>
                    <w:tl2br w:val="single" w:color="auto" w:sz="4" w:space="0"/>
                  </w:tcBorders>
                  <w:vAlign w:val="top"/>
                </w:tcPr>
                <w:p w14:paraId="610F46BC">
                  <w:pPr>
                    <w:snapToGrid w:val="0"/>
                    <w:spacing w:line="320" w:lineRule="exact"/>
                    <w:ind w:firstLine="2310" w:firstLineChars="1100"/>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时段</w:t>
                  </w:r>
                </w:p>
                <w:p w14:paraId="2A2DD1A4">
                  <w:pPr>
                    <w:snapToGrid w:val="0"/>
                    <w:spacing w:line="320" w:lineRule="exact"/>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环境功能区类别</w:t>
                  </w:r>
                </w:p>
              </w:tc>
              <w:tc>
                <w:tcPr>
                  <w:tcW w:w="2304" w:type="dxa"/>
                  <w:tcBorders>
                    <w:top w:val="single" w:color="auto" w:sz="12" w:space="0"/>
                  </w:tcBorders>
                  <w:vAlign w:val="center"/>
                </w:tcPr>
                <w:p w14:paraId="3A866031">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昼间</w:t>
                  </w:r>
                </w:p>
              </w:tc>
              <w:tc>
                <w:tcPr>
                  <w:tcW w:w="2369" w:type="dxa"/>
                  <w:tcBorders>
                    <w:top w:val="single" w:color="auto" w:sz="12" w:space="0"/>
                    <w:right w:val="nil"/>
                  </w:tcBorders>
                  <w:vAlign w:val="center"/>
                </w:tcPr>
                <w:p w14:paraId="194553D9">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夜间</w:t>
                  </w:r>
                </w:p>
              </w:tc>
            </w:tr>
            <w:tr w14:paraId="3FE579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32" w:type="dxa"/>
                  <w:tcBorders>
                    <w:left w:val="nil"/>
                    <w:bottom w:val="single" w:color="auto" w:sz="12" w:space="0"/>
                  </w:tcBorders>
                  <w:vAlign w:val="top"/>
                </w:tcPr>
                <w:p w14:paraId="6E207AE2">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3类</w:t>
                  </w:r>
                </w:p>
              </w:tc>
              <w:tc>
                <w:tcPr>
                  <w:tcW w:w="2304" w:type="dxa"/>
                  <w:tcBorders>
                    <w:bottom w:val="single" w:color="auto" w:sz="12" w:space="0"/>
                  </w:tcBorders>
                  <w:vAlign w:val="top"/>
                </w:tcPr>
                <w:p w14:paraId="1883218E">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65dB</w:t>
                  </w:r>
                </w:p>
              </w:tc>
              <w:tc>
                <w:tcPr>
                  <w:tcW w:w="2369" w:type="dxa"/>
                  <w:tcBorders>
                    <w:bottom w:val="single" w:color="auto" w:sz="12" w:space="0"/>
                    <w:right w:val="nil"/>
                  </w:tcBorders>
                  <w:vAlign w:val="top"/>
                </w:tcPr>
                <w:p w14:paraId="2CF908C0">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55dB</w:t>
                  </w:r>
                </w:p>
              </w:tc>
            </w:tr>
          </w:tbl>
          <w:p w14:paraId="7AE508A2">
            <w:pPr>
              <w:snapToGrid w:val="0"/>
              <w:spacing w:before="156" w:beforeLines="50"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施工期噪声执行《建筑施工场界环境噪声排放标准》（GB12523-2011）。</w:t>
            </w:r>
          </w:p>
          <w:p w14:paraId="1DFFFE28">
            <w:pPr>
              <w:spacing w:line="240" w:lineRule="atLeast"/>
              <w:jc w:val="center"/>
              <w:rPr>
                <w:rFonts w:hint="default" w:ascii="Times New Roman" w:hAnsi="Times New Roman" w:cs="Times New Roman"/>
                <w:b/>
                <w:color w:val="auto"/>
                <w:szCs w:val="21"/>
              </w:rPr>
            </w:pPr>
            <w:r>
              <w:rPr>
                <w:rFonts w:hint="default" w:ascii="Times New Roman" w:hAnsi="Times New Roman" w:cs="Times New Roman"/>
                <w:b/>
                <w:color w:val="auto"/>
                <w:szCs w:val="21"/>
              </w:rPr>
              <w:t>表4-</w:t>
            </w:r>
            <w:r>
              <w:rPr>
                <w:rFonts w:hint="eastAsia" w:cs="Times New Roman"/>
                <w:b/>
                <w:color w:val="auto"/>
                <w:szCs w:val="21"/>
                <w:lang w:val="en-US" w:eastAsia="zh-CN"/>
              </w:rPr>
              <w:t>9</w:t>
            </w:r>
            <w:r>
              <w:rPr>
                <w:rFonts w:hint="default" w:ascii="Times New Roman" w:hAnsi="Times New Roman" w:cs="Times New Roman"/>
                <w:b/>
                <w:color w:val="auto"/>
                <w:szCs w:val="21"/>
              </w:rPr>
              <w:t xml:space="preserve">  建筑施工场界噪声限值  单位：Leq[dB(A)]</w:t>
            </w:r>
          </w:p>
          <w:tbl>
            <w:tblPr>
              <w:tblStyle w:val="23"/>
              <w:tblW w:w="8505" w:type="dxa"/>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4354"/>
              <w:gridCol w:w="2227"/>
              <w:gridCol w:w="1924"/>
            </w:tblGrid>
            <w:tr w14:paraId="0945C0C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54" w:hRule="atLeast"/>
                <w:jc w:val="center"/>
              </w:trPr>
              <w:tc>
                <w:tcPr>
                  <w:tcW w:w="4354" w:type="dxa"/>
                  <w:vAlign w:val="top"/>
                </w:tcPr>
                <w:p w14:paraId="337A49CE">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主要噪声源</w:t>
                  </w:r>
                </w:p>
              </w:tc>
              <w:tc>
                <w:tcPr>
                  <w:tcW w:w="2227" w:type="dxa"/>
                  <w:vAlign w:val="top"/>
                </w:tcPr>
                <w:p w14:paraId="0595CF2D">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昼间</w:t>
                  </w:r>
                </w:p>
              </w:tc>
              <w:tc>
                <w:tcPr>
                  <w:tcW w:w="1924" w:type="dxa"/>
                  <w:vAlign w:val="top"/>
                </w:tcPr>
                <w:p w14:paraId="45F359C7">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夜间</w:t>
                  </w:r>
                </w:p>
              </w:tc>
            </w:tr>
            <w:tr w14:paraId="0733972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28" w:hRule="atLeast"/>
                <w:jc w:val="center"/>
              </w:trPr>
              <w:tc>
                <w:tcPr>
                  <w:tcW w:w="4354" w:type="dxa"/>
                  <w:vAlign w:val="top"/>
                </w:tcPr>
                <w:p w14:paraId="3B04D60C">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建筑施工</w:t>
                  </w:r>
                </w:p>
              </w:tc>
              <w:tc>
                <w:tcPr>
                  <w:tcW w:w="2227" w:type="dxa"/>
                  <w:vAlign w:val="top"/>
                </w:tcPr>
                <w:p w14:paraId="27358548">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70</w:t>
                  </w:r>
                </w:p>
              </w:tc>
              <w:tc>
                <w:tcPr>
                  <w:tcW w:w="1924" w:type="dxa"/>
                  <w:vAlign w:val="top"/>
                </w:tcPr>
                <w:p w14:paraId="7DF61FEB">
                  <w:pPr>
                    <w:snapToGrid w:val="0"/>
                    <w:spacing w:line="320" w:lineRule="exac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55</w:t>
                  </w:r>
                </w:p>
              </w:tc>
            </w:tr>
          </w:tbl>
          <w:p w14:paraId="1D40BFD9">
            <w:pPr>
              <w:spacing w:line="360" w:lineRule="auto"/>
              <w:rPr>
                <w:rFonts w:hint="default" w:ascii="Times New Roman" w:hAnsi="Times New Roman" w:cs="Times New Roman"/>
                <w:color w:val="auto"/>
                <w:sz w:val="24"/>
                <w:szCs w:val="24"/>
              </w:rPr>
            </w:pPr>
          </w:p>
        </w:tc>
      </w:tr>
      <w:tr w14:paraId="17D8849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2644" w:hRule="atLeast"/>
          <w:jc w:val="center"/>
        </w:trPr>
        <w:tc>
          <w:tcPr>
            <w:tcW w:w="544" w:type="dxa"/>
            <w:tcBorders>
              <w:top w:val="single" w:color="000000" w:sz="6" w:space="0"/>
              <w:left w:val="single" w:color="auto" w:sz="4" w:space="0"/>
              <w:bottom w:val="single" w:color="auto" w:sz="4" w:space="0"/>
              <w:right w:val="single" w:color="000000" w:sz="6" w:space="0"/>
            </w:tcBorders>
            <w:vAlign w:val="center"/>
          </w:tcPr>
          <w:p w14:paraId="32E6D4B9">
            <w:pPr>
              <w:spacing w:line="360" w:lineRule="auto"/>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总量控制指标</w:t>
            </w:r>
          </w:p>
        </w:tc>
        <w:tc>
          <w:tcPr>
            <w:tcW w:w="9647" w:type="dxa"/>
            <w:tcBorders>
              <w:top w:val="single" w:color="000000" w:sz="6" w:space="0"/>
              <w:left w:val="single" w:color="auto" w:sz="4" w:space="0"/>
              <w:bottom w:val="single" w:color="auto" w:sz="4" w:space="0"/>
              <w:right w:val="single" w:color="000000" w:sz="6" w:space="0"/>
            </w:tcBorders>
            <w:vAlign w:val="center"/>
          </w:tcPr>
          <w:p w14:paraId="6B4CAAEB">
            <w:pPr>
              <w:pStyle w:val="46"/>
              <w:spacing w:line="360" w:lineRule="auto"/>
              <w:rPr>
                <w:rFonts w:hint="default"/>
              </w:rPr>
            </w:pPr>
            <w:r>
              <w:rPr>
                <w:rFonts w:hint="default"/>
              </w:rPr>
              <w:t>项目年排放</w:t>
            </w:r>
            <w:r>
              <w:rPr>
                <w:rFonts w:hint="default"/>
                <w:lang w:eastAsia="zh-CN"/>
              </w:rPr>
              <w:t>生活</w:t>
            </w:r>
            <w:r>
              <w:rPr>
                <w:rFonts w:hint="default"/>
              </w:rPr>
              <w:t>污水</w:t>
            </w:r>
            <w:r>
              <w:rPr>
                <w:rFonts w:hint="eastAsia"/>
                <w:lang w:val="en-US" w:eastAsia="zh-CN"/>
              </w:rPr>
              <w:t>2124</w:t>
            </w:r>
            <w:r>
              <w:rPr>
                <w:rFonts w:hint="default"/>
              </w:rPr>
              <w:t>t/a。</w:t>
            </w:r>
            <w:r>
              <w:rPr>
                <w:rFonts w:hint="default"/>
                <w:lang w:eastAsia="zh-CN"/>
              </w:rPr>
              <w:t>生活</w:t>
            </w:r>
            <w:r>
              <w:rPr>
                <w:rFonts w:hint="default"/>
              </w:rPr>
              <w:t>污水经</w:t>
            </w:r>
            <w:r>
              <w:rPr>
                <w:rFonts w:hint="default"/>
                <w:lang w:eastAsia="zh-CN"/>
              </w:rPr>
              <w:t>化粪池、食堂隔油池</w:t>
            </w:r>
            <w:r>
              <w:rPr>
                <w:rFonts w:hint="default"/>
              </w:rPr>
              <w:t>处理达《污水综合排放标准》（GB8978-1996）三级标准后排入园区污水管网，经</w:t>
            </w:r>
            <w:r>
              <w:rPr>
                <w:rFonts w:hint="default"/>
                <w:lang w:eastAsia="zh-CN"/>
              </w:rPr>
              <w:t>龙眼经污水</w:t>
            </w:r>
            <w:r>
              <w:rPr>
                <w:rFonts w:hint="default"/>
              </w:rPr>
              <w:t>处理厂处理达《城镇污水处理厂污染物排放标准》（GB18918-2002）一级A标准后排至</w:t>
            </w:r>
            <w:r>
              <w:rPr>
                <w:rFonts w:hint="default"/>
                <w:lang w:eastAsia="zh-CN"/>
              </w:rPr>
              <w:t>琼江</w:t>
            </w:r>
            <w:r>
              <w:rPr>
                <w:rFonts w:hint="default"/>
              </w:rPr>
              <w:t>。</w:t>
            </w:r>
          </w:p>
          <w:p w14:paraId="210F633C">
            <w:pPr>
              <w:pStyle w:val="46"/>
              <w:spacing w:line="360" w:lineRule="auto"/>
              <w:rPr>
                <w:rFonts w:hint="default"/>
                <w:lang w:val="fr-FR"/>
              </w:rPr>
            </w:pPr>
            <w:r>
              <w:rPr>
                <w:rFonts w:hint="default"/>
                <w:lang w:val="fr-FR"/>
              </w:rPr>
              <w:t>本项目总量控制指标如下：</w:t>
            </w:r>
          </w:p>
          <w:p w14:paraId="7E400A5D">
            <w:pPr>
              <w:pStyle w:val="46"/>
              <w:spacing w:line="360" w:lineRule="auto"/>
              <w:rPr>
                <w:rFonts w:hint="default"/>
                <w:lang w:val="fr-FR"/>
              </w:rPr>
            </w:pPr>
            <w:r>
              <w:rPr>
                <w:rFonts w:hint="default"/>
                <w:lang w:val="fr-FR" w:eastAsia="zh-CN"/>
              </w:rPr>
              <w:t>化粪</w:t>
            </w:r>
            <w:r>
              <w:rPr>
                <w:rFonts w:hint="default"/>
                <w:lang w:val="fr-FR"/>
              </w:rPr>
              <w:t>池处理后：COD：</w:t>
            </w:r>
            <w:r>
              <w:rPr>
                <w:rFonts w:hint="eastAsia"/>
                <w:lang w:val="en-US" w:eastAsia="zh-CN"/>
              </w:rPr>
              <w:t>1.062</w:t>
            </w:r>
            <w:r>
              <w:rPr>
                <w:rFonts w:hint="default"/>
                <w:lang w:val="fr-FR"/>
              </w:rPr>
              <w:t>t/a；NH</w:t>
            </w:r>
            <w:r>
              <w:rPr>
                <w:rFonts w:hint="default"/>
                <w:vertAlign w:val="subscript"/>
                <w:lang w:val="fr-FR"/>
              </w:rPr>
              <w:t>3</w:t>
            </w:r>
            <w:r>
              <w:rPr>
                <w:rFonts w:hint="default"/>
                <w:lang w:val="fr-FR"/>
              </w:rPr>
              <w:t>-N：</w:t>
            </w:r>
            <w:r>
              <w:rPr>
                <w:rFonts w:hint="eastAsia"/>
                <w:lang w:val="en-US" w:eastAsia="zh-CN"/>
              </w:rPr>
              <w:t>0.0956</w:t>
            </w:r>
            <w:r>
              <w:rPr>
                <w:rFonts w:hint="default"/>
                <w:lang w:val="fr-FR"/>
              </w:rPr>
              <w:t>t/a</w:t>
            </w:r>
          </w:p>
          <w:p w14:paraId="45DA2006">
            <w:pPr>
              <w:pStyle w:val="46"/>
              <w:spacing w:line="360" w:lineRule="auto"/>
              <w:rPr>
                <w:rFonts w:hint="default"/>
                <w:lang w:val="fr-FR"/>
              </w:rPr>
            </w:pPr>
            <w:r>
              <w:rPr>
                <w:rFonts w:hint="default"/>
                <w:lang w:val="fr-FR"/>
              </w:rPr>
              <w:t>污水处理厂处理后：COD：</w:t>
            </w:r>
            <w:r>
              <w:rPr>
                <w:rFonts w:hint="eastAsia"/>
                <w:lang w:val="en-US" w:eastAsia="zh-CN"/>
              </w:rPr>
              <w:t>0.1062</w:t>
            </w:r>
            <w:r>
              <w:rPr>
                <w:rFonts w:hint="default"/>
                <w:lang w:val="fr-FR"/>
              </w:rPr>
              <w:t>t/a；NH</w:t>
            </w:r>
            <w:r>
              <w:rPr>
                <w:rFonts w:hint="default"/>
                <w:vertAlign w:val="subscript"/>
                <w:lang w:val="fr-FR"/>
              </w:rPr>
              <w:t>3</w:t>
            </w:r>
            <w:r>
              <w:rPr>
                <w:rFonts w:hint="default"/>
                <w:lang w:val="fr-FR"/>
              </w:rPr>
              <w:t>-N：</w:t>
            </w:r>
            <w:r>
              <w:rPr>
                <w:rFonts w:hint="eastAsia"/>
                <w:lang w:val="en-US" w:eastAsia="zh-CN"/>
              </w:rPr>
              <w:t>0.0106</w:t>
            </w:r>
            <w:r>
              <w:rPr>
                <w:rFonts w:hint="default"/>
                <w:lang w:val="fr-FR"/>
              </w:rPr>
              <w:t>t/a</w:t>
            </w:r>
          </w:p>
          <w:p w14:paraId="67E315EC">
            <w:pPr>
              <w:pStyle w:val="46"/>
              <w:spacing w:line="360" w:lineRule="auto"/>
              <w:rPr>
                <w:rFonts w:hint="default"/>
                <w:lang w:val="de-DE"/>
              </w:rPr>
            </w:pPr>
            <w:r>
              <w:rPr>
                <w:rFonts w:hint="default"/>
                <w:lang w:val="de-DE"/>
              </w:rPr>
              <w:t>大气污染物：</w:t>
            </w:r>
            <w:r>
              <w:rPr>
                <w:rFonts w:hint="eastAsia"/>
                <w:lang w:val="en-US" w:eastAsia="zh-CN"/>
              </w:rPr>
              <w:t>VOCs</w:t>
            </w:r>
            <w:r>
              <w:rPr>
                <w:rFonts w:hint="default"/>
                <w:lang w:val="de-DE"/>
              </w:rPr>
              <w:t>：</w:t>
            </w:r>
            <w:r>
              <w:rPr>
                <w:rFonts w:hint="eastAsia"/>
                <w:lang w:val="en-US" w:eastAsia="zh-CN"/>
              </w:rPr>
              <w:t>5.5kg/</w:t>
            </w:r>
            <w:r>
              <w:rPr>
                <w:rFonts w:hint="default"/>
                <w:lang w:val="de-DE"/>
              </w:rPr>
              <w:t>a</w:t>
            </w:r>
          </w:p>
          <w:p w14:paraId="0D8BF811">
            <w:pPr>
              <w:pStyle w:val="2"/>
              <w:rPr>
                <w:rFonts w:hint="default"/>
                <w:lang w:val="fr-FR"/>
              </w:rPr>
            </w:pPr>
          </w:p>
          <w:p w14:paraId="5309C2F3">
            <w:pPr>
              <w:pStyle w:val="2"/>
              <w:rPr>
                <w:rFonts w:hint="default"/>
                <w:lang w:val="fr-FR"/>
              </w:rPr>
            </w:pPr>
          </w:p>
        </w:tc>
      </w:tr>
    </w:tbl>
    <w:p w14:paraId="779DD899">
      <w:pPr>
        <w:pStyle w:val="3"/>
        <w:spacing w:before="0" w:after="0" w:line="576" w:lineRule="auto"/>
        <w:rPr>
          <w:rFonts w:hint="default" w:ascii="Times New Roman" w:hAnsi="Times New Roman" w:cs="Times New Roman"/>
          <w:b/>
          <w:color w:val="auto"/>
          <w:szCs w:val="28"/>
        </w:rPr>
      </w:pPr>
      <w:r>
        <w:rPr>
          <w:rFonts w:hint="default" w:ascii="Times New Roman" w:hAnsi="Times New Roman" w:cs="Times New Roman"/>
          <w:color w:val="auto"/>
          <w:sz w:val="28"/>
          <w:szCs w:val="28"/>
        </w:rPr>
        <w:t xml:space="preserve">建设项目工程分析                                           </w:t>
      </w:r>
      <w:r>
        <w:rPr>
          <w:rFonts w:hint="default" w:ascii="Times New Roman" w:hAnsi="Times New Roman" w:cs="Times New Roman"/>
          <w:color w:val="auto"/>
          <w:sz w:val="28"/>
          <w:szCs w:val="28"/>
          <w:lang w:val="en-US" w:eastAsia="zh-CN"/>
        </w:rPr>
        <w:t xml:space="preserve">      </w:t>
      </w:r>
      <w:r>
        <w:rPr>
          <w:rFonts w:hint="default" w:ascii="Times New Roman" w:hAnsi="Times New Roman" w:cs="Times New Roman"/>
          <w:color w:val="auto"/>
          <w:sz w:val="28"/>
          <w:szCs w:val="28"/>
        </w:rPr>
        <w:t>（表五）</w:t>
      </w:r>
    </w:p>
    <w:tbl>
      <w:tblPr>
        <w:tblStyle w:val="23"/>
        <w:tblW w:w="101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94"/>
      </w:tblGrid>
      <w:tr w14:paraId="3E47E7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194" w:type="dxa"/>
            <w:shd w:val="clear" w:color="auto" w:fill="auto"/>
          </w:tcPr>
          <w:p w14:paraId="4FDBBC02">
            <w:pPr>
              <w:spacing w:line="360" w:lineRule="auto"/>
              <w:jc w:val="left"/>
              <w:rPr>
                <w:rFonts w:hint="default" w:ascii="Times New Roman" w:hAnsi="Times New Roman" w:cs="Times New Roman"/>
                <w:b/>
                <w:color w:val="auto"/>
                <w:sz w:val="28"/>
                <w:szCs w:val="28"/>
              </w:rPr>
            </w:pPr>
            <w:r>
              <w:rPr>
                <w:rFonts w:hint="default" w:ascii="Times New Roman" w:hAnsi="Times New Roman" w:cs="Times New Roman"/>
                <w:b/>
                <w:color w:val="auto"/>
                <w:sz w:val="28"/>
                <w:szCs w:val="28"/>
              </w:rPr>
              <w:t>工艺流程简述（图示）：</w:t>
            </w:r>
          </w:p>
          <w:p w14:paraId="433B9990">
            <w:pPr>
              <w:spacing w:line="360" w:lineRule="auto"/>
              <w:ind w:firstLine="480" w:firstLineChars="200"/>
              <w:rPr>
                <w:rFonts w:hint="default" w:ascii="Times New Roman" w:hAnsi="Times New Roman" w:cs="Times New Roman"/>
                <w:b w:val="0"/>
                <w:bCs w:val="0"/>
                <w:color w:val="auto"/>
                <w:sz w:val="24"/>
                <w:szCs w:val="24"/>
                <w:lang w:val="en-US" w:eastAsia="zh-CN"/>
              </w:rPr>
            </w:pPr>
            <w:bookmarkStart w:id="7" w:name="_Toc499732383"/>
            <w:r>
              <w:rPr>
                <w:rFonts w:hint="default" w:ascii="Times New Roman" w:hAnsi="Times New Roman" w:cs="Times New Roman"/>
                <w:b w:val="0"/>
                <w:bCs w:val="0"/>
                <w:color w:val="auto"/>
                <w:sz w:val="24"/>
                <w:szCs w:val="24"/>
                <w:lang w:val="en-US" w:eastAsia="zh-CN"/>
              </w:rPr>
              <w:t>本评价报告中应按照《环境影响评价技术导则》要求，分为施工期和营运期。</w:t>
            </w:r>
          </w:p>
          <w:p w14:paraId="1DCA0D73">
            <w:pPr>
              <w:pStyle w:val="46"/>
              <w:ind w:left="0" w:leftChars="0" w:firstLine="0" w:firstLineChars="0"/>
              <w:rPr>
                <w:rFonts w:hint="default" w:ascii="Times New Roman" w:hAnsi="Times New Roman" w:eastAsia="黑体" w:cs="Times New Roman"/>
                <w:color w:val="auto"/>
                <w:sz w:val="28"/>
                <w:szCs w:val="28"/>
                <w:lang w:eastAsia="zh-CN"/>
              </w:rPr>
            </w:pPr>
            <w:r>
              <w:rPr>
                <w:rFonts w:hint="eastAsia" w:ascii="Times New Roman" w:hAnsi="Times New Roman" w:eastAsia="黑体" w:cs="Times New Roman"/>
                <w:color w:val="auto"/>
                <w:sz w:val="28"/>
                <w:szCs w:val="28"/>
                <w:lang w:val="en-US" w:eastAsia="zh-CN"/>
              </w:rPr>
              <w:t>一、</w:t>
            </w:r>
            <w:r>
              <w:rPr>
                <w:rFonts w:hint="default" w:ascii="Times New Roman" w:hAnsi="Times New Roman" w:eastAsia="黑体" w:cs="Times New Roman"/>
                <w:color w:val="auto"/>
                <w:sz w:val="28"/>
                <w:szCs w:val="28"/>
                <w:lang w:eastAsia="zh-CN"/>
              </w:rPr>
              <w:t>施工期工程分析</w:t>
            </w:r>
            <w:bookmarkEnd w:id="7"/>
          </w:p>
          <w:p w14:paraId="2FE29738">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本项目施工期工艺流程如图</w:t>
            </w:r>
            <w:r>
              <w:rPr>
                <w:rFonts w:hint="default" w:ascii="Times New Roman" w:hAnsi="Times New Roman" w:cs="Times New Roman"/>
                <w:color w:val="auto"/>
                <w:sz w:val="24"/>
                <w:szCs w:val="24"/>
                <w:lang w:val="en-US" w:eastAsia="zh-CN"/>
              </w:rPr>
              <w:t>5</w:t>
            </w:r>
            <w:r>
              <w:rPr>
                <w:rFonts w:hint="default" w:ascii="Times New Roman" w:hAnsi="Times New Roman" w:cs="Times New Roman"/>
                <w:color w:val="auto"/>
                <w:sz w:val="24"/>
                <w:szCs w:val="24"/>
              </w:rPr>
              <w:t>-1所示。</w:t>
            </w:r>
          </w:p>
          <w:p w14:paraId="4E593D09">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mc:AlternateContent>
                <mc:Choice Requires="wpg">
                  <w:drawing>
                    <wp:anchor distT="0" distB="0" distL="114300" distR="114300" simplePos="0" relativeHeight="251736064" behindDoc="0" locked="0" layoutInCell="1" allowOverlap="1">
                      <wp:simplePos x="0" y="0"/>
                      <wp:positionH relativeFrom="column">
                        <wp:posOffset>619125</wp:posOffset>
                      </wp:positionH>
                      <wp:positionV relativeFrom="paragraph">
                        <wp:posOffset>13970</wp:posOffset>
                      </wp:positionV>
                      <wp:extent cx="5251450" cy="675640"/>
                      <wp:effectExtent l="4445" t="4445" r="20955" b="5715"/>
                      <wp:wrapNone/>
                      <wp:docPr id="38" name="组合 38"/>
                      <wp:cNvGraphicFramePr/>
                      <a:graphic xmlns:a="http://schemas.openxmlformats.org/drawingml/2006/main">
                        <a:graphicData uri="http://schemas.microsoft.com/office/word/2010/wordprocessingGroup">
                          <wpg:wgp>
                            <wpg:cNvGrpSpPr/>
                            <wpg:grpSpPr>
                              <a:xfrm>
                                <a:off x="0" y="0"/>
                                <a:ext cx="5251450" cy="675640"/>
                                <a:chOff x="1977" y="2629"/>
                                <a:chExt cx="8270" cy="1064"/>
                              </a:xfrm>
                              <a:effectLst/>
                            </wpg:grpSpPr>
                            <wps:wsp>
                              <wps:cNvPr id="39" name="矩形 3"/>
                              <wps:cNvSpPr/>
                              <wps:spPr>
                                <a:xfrm>
                                  <a:off x="9268" y="3029"/>
                                  <a:ext cx="912" cy="484"/>
                                </a:xfrm>
                                <a:prstGeom prst="rect">
                                  <a:avLst/>
                                </a:prstGeom>
                                <a:solidFill>
                                  <a:srgbClr val="FFFFFF">
                                    <a:alpha val="0"/>
                                  </a:srgbClr>
                                </a:solidFill>
                                <a:ln w="9525" cap="flat" cmpd="sng">
                                  <a:solidFill>
                                    <a:srgbClr val="FFFFFF"/>
                                  </a:solidFill>
                                  <a:prstDash val="solid"/>
                                  <a:miter/>
                                  <a:headEnd type="none" w="med" len="med"/>
                                  <a:tailEnd type="none" w="med" len="med"/>
                                </a:ln>
                                <a:effectLst/>
                              </wps:spPr>
                              <wps:txbx>
                                <w:txbxContent>
                                  <w:p w14:paraId="258ACB95">
                                    <w:pPr>
                                      <w:spacing w:before="120" w:beforeLines="50"/>
                                      <w:jc w:val="center"/>
                                      <w:rPr>
                                        <w:szCs w:val="21"/>
                                      </w:rPr>
                                    </w:pPr>
                                    <w:r>
                                      <w:rPr>
                                        <w:rFonts w:hint="eastAsia" w:ascii="仿宋_GB2312" w:eastAsia="仿宋_GB2312"/>
                                        <w:szCs w:val="21"/>
                                      </w:rPr>
                                      <w:t>营运期</w:t>
                                    </w:r>
                                  </w:p>
                                </w:txbxContent>
                              </wps:txbx>
                              <wps:bodyPr lIns="0" tIns="0" rIns="0" bIns="0" upright="1"/>
                            </wps:wsp>
                            <wpg:grpSp>
                              <wpg:cNvPr id="40" name="组合 4"/>
                              <wpg:cNvGrpSpPr/>
                              <wpg:grpSpPr>
                                <a:xfrm>
                                  <a:off x="1977" y="2629"/>
                                  <a:ext cx="8270" cy="1064"/>
                                  <a:chOff x="1977" y="2629"/>
                                  <a:chExt cx="8270" cy="1064"/>
                                </a:xfrm>
                                <a:effectLst/>
                              </wpg:grpSpPr>
                              <wps:wsp>
                                <wps:cNvPr id="41" name="矩形 5"/>
                                <wps:cNvSpPr/>
                                <wps:spPr>
                                  <a:xfrm>
                                    <a:off x="1977" y="2644"/>
                                    <a:ext cx="1100" cy="470"/>
                                  </a:xfrm>
                                  <a:prstGeom prst="rect">
                                    <a:avLst/>
                                  </a:prstGeom>
                                  <a:solidFill>
                                    <a:srgbClr val="FFFFFF">
                                      <a:alpha val="0"/>
                                    </a:srgbClr>
                                  </a:solidFill>
                                  <a:ln w="9525" cap="flat" cmpd="sng">
                                    <a:solidFill>
                                      <a:srgbClr val="000000"/>
                                    </a:solidFill>
                                    <a:prstDash val="solid"/>
                                    <a:miter/>
                                    <a:headEnd type="none" w="med" len="med"/>
                                    <a:tailEnd type="none" w="med" len="med"/>
                                  </a:ln>
                                  <a:effectLst/>
                                </wps:spPr>
                                <wps:txbx>
                                  <w:txbxContent>
                                    <w:p w14:paraId="629F7B0B">
                                      <w:pPr>
                                        <w:jc w:val="center"/>
                                        <w:rPr>
                                          <w:szCs w:val="21"/>
                                        </w:rPr>
                                      </w:pPr>
                                      <w:r>
                                        <w:rPr>
                                          <w:rFonts w:hint="eastAsia" w:ascii="仿宋_GB2312" w:eastAsia="仿宋_GB2312"/>
                                          <w:szCs w:val="21"/>
                                        </w:rPr>
                                        <w:t>基础工程</w:t>
                                      </w:r>
                                    </w:p>
                                  </w:txbxContent>
                                </wps:txbx>
                                <wps:bodyPr lIns="0" tIns="0" rIns="0" bIns="0" upright="1"/>
                              </wps:wsp>
                              <wps:wsp>
                                <wps:cNvPr id="42" name="矩形 6"/>
                                <wps:cNvSpPr/>
                                <wps:spPr>
                                  <a:xfrm>
                                    <a:off x="3417" y="2644"/>
                                    <a:ext cx="1100" cy="470"/>
                                  </a:xfrm>
                                  <a:prstGeom prst="rect">
                                    <a:avLst/>
                                  </a:prstGeom>
                                  <a:solidFill>
                                    <a:srgbClr val="FFFFFF">
                                      <a:alpha val="0"/>
                                    </a:srgbClr>
                                  </a:solidFill>
                                  <a:ln w="9525" cap="flat" cmpd="sng">
                                    <a:solidFill>
                                      <a:srgbClr val="000000"/>
                                    </a:solidFill>
                                    <a:prstDash val="solid"/>
                                    <a:miter/>
                                    <a:headEnd type="none" w="med" len="med"/>
                                    <a:tailEnd type="none" w="med" len="med"/>
                                  </a:ln>
                                  <a:effectLst/>
                                </wps:spPr>
                                <wps:txbx>
                                  <w:txbxContent>
                                    <w:p w14:paraId="42920C21">
                                      <w:pPr>
                                        <w:jc w:val="center"/>
                                        <w:rPr>
                                          <w:szCs w:val="21"/>
                                        </w:rPr>
                                      </w:pPr>
                                      <w:r>
                                        <w:rPr>
                                          <w:rFonts w:hint="eastAsia" w:ascii="仿宋_GB2312" w:eastAsia="仿宋_GB2312"/>
                                          <w:szCs w:val="21"/>
                                        </w:rPr>
                                        <w:t>主体工程</w:t>
                                      </w:r>
                                    </w:p>
                                  </w:txbxContent>
                                </wps:txbx>
                                <wps:bodyPr lIns="0" tIns="0" rIns="0" bIns="0" upright="1"/>
                              </wps:wsp>
                              <wps:wsp>
                                <wps:cNvPr id="43" name="矩形 7"/>
                                <wps:cNvSpPr/>
                                <wps:spPr>
                                  <a:xfrm>
                                    <a:off x="6297" y="2644"/>
                                    <a:ext cx="1100" cy="470"/>
                                  </a:xfrm>
                                  <a:prstGeom prst="rect">
                                    <a:avLst/>
                                  </a:prstGeom>
                                  <a:solidFill>
                                    <a:srgbClr val="FFFFFF">
                                      <a:alpha val="0"/>
                                    </a:srgbClr>
                                  </a:solidFill>
                                  <a:ln w="9525" cap="flat" cmpd="sng">
                                    <a:solidFill>
                                      <a:srgbClr val="000000"/>
                                    </a:solidFill>
                                    <a:prstDash val="solid"/>
                                    <a:miter/>
                                    <a:headEnd type="none" w="med" len="med"/>
                                    <a:tailEnd type="none" w="med" len="med"/>
                                  </a:ln>
                                  <a:effectLst/>
                                </wps:spPr>
                                <wps:txbx>
                                  <w:txbxContent>
                                    <w:p w14:paraId="62596010">
                                      <w:pPr>
                                        <w:jc w:val="center"/>
                                        <w:rPr>
                                          <w:szCs w:val="21"/>
                                        </w:rPr>
                                      </w:pPr>
                                      <w:r>
                                        <w:rPr>
                                          <w:rFonts w:hint="eastAsia" w:ascii="仿宋_GB2312" w:eastAsia="仿宋_GB2312"/>
                                          <w:szCs w:val="21"/>
                                        </w:rPr>
                                        <w:t>装饰工程</w:t>
                                      </w:r>
                                    </w:p>
                                  </w:txbxContent>
                                </wps:txbx>
                                <wps:bodyPr lIns="0" tIns="0" rIns="0" bIns="0" upright="1"/>
                              </wps:wsp>
                              <wps:wsp>
                                <wps:cNvPr id="44" name="矩形 8"/>
                                <wps:cNvSpPr/>
                                <wps:spPr>
                                  <a:xfrm>
                                    <a:off x="4857" y="2644"/>
                                    <a:ext cx="1100" cy="455"/>
                                  </a:xfrm>
                                  <a:prstGeom prst="rect">
                                    <a:avLst/>
                                  </a:prstGeom>
                                  <a:solidFill>
                                    <a:srgbClr val="FFFFFF">
                                      <a:alpha val="0"/>
                                    </a:srgbClr>
                                  </a:solidFill>
                                  <a:ln w="9525" cap="flat" cmpd="sng">
                                    <a:solidFill>
                                      <a:srgbClr val="000000"/>
                                    </a:solidFill>
                                    <a:prstDash val="solid"/>
                                    <a:miter/>
                                    <a:headEnd type="none" w="med" len="med"/>
                                    <a:tailEnd type="none" w="med" len="med"/>
                                  </a:ln>
                                  <a:effectLst/>
                                </wps:spPr>
                                <wps:txbx>
                                  <w:txbxContent>
                                    <w:p w14:paraId="7E63653B">
                                      <w:pPr>
                                        <w:jc w:val="center"/>
                                        <w:rPr>
                                          <w:szCs w:val="21"/>
                                        </w:rPr>
                                      </w:pPr>
                                      <w:r>
                                        <w:rPr>
                                          <w:rFonts w:hint="eastAsia" w:ascii="仿宋_GB2312" w:eastAsia="仿宋_GB2312"/>
                                          <w:szCs w:val="21"/>
                                        </w:rPr>
                                        <w:t>设备安装</w:t>
                                      </w:r>
                                    </w:p>
                                  </w:txbxContent>
                                </wps:txbx>
                                <wps:bodyPr lIns="0" tIns="0" rIns="0" bIns="0" upright="1"/>
                              </wps:wsp>
                              <wps:wsp>
                                <wps:cNvPr id="45" name="矩形 9"/>
                                <wps:cNvSpPr/>
                                <wps:spPr>
                                  <a:xfrm>
                                    <a:off x="5108" y="3043"/>
                                    <a:ext cx="1100" cy="627"/>
                                  </a:xfrm>
                                  <a:prstGeom prst="rect">
                                    <a:avLst/>
                                  </a:prstGeom>
                                  <a:solidFill>
                                    <a:srgbClr val="FFFFFF">
                                      <a:alpha val="0"/>
                                    </a:srgbClr>
                                  </a:solidFill>
                                  <a:ln w="9525" cap="flat" cmpd="sng">
                                    <a:solidFill>
                                      <a:srgbClr val="FFFFFF"/>
                                    </a:solidFill>
                                    <a:prstDash val="solid"/>
                                    <a:miter/>
                                    <a:headEnd type="none" w="med" len="med"/>
                                    <a:tailEnd type="none" w="med" len="med"/>
                                  </a:ln>
                                  <a:effectLst/>
                                </wps:spPr>
                                <wps:txbx>
                                  <w:txbxContent>
                                    <w:p w14:paraId="28CE0EFB">
                                      <w:pPr>
                                        <w:spacing w:before="120" w:beforeLines="50"/>
                                        <w:jc w:val="center"/>
                                        <w:rPr>
                                          <w:szCs w:val="21"/>
                                        </w:rPr>
                                      </w:pPr>
                                      <w:r>
                                        <w:rPr>
                                          <w:rFonts w:hint="eastAsia" w:ascii="仿宋_GB2312" w:eastAsia="仿宋_GB2312"/>
                                          <w:szCs w:val="21"/>
                                        </w:rPr>
                                        <w:t>施工期</w:t>
                                      </w:r>
                                    </w:p>
                                  </w:txbxContent>
                                </wps:txbx>
                                <wps:bodyPr lIns="0" tIns="0" rIns="0" bIns="0" upright="1"/>
                              </wps:wsp>
                              <wps:wsp>
                                <wps:cNvPr id="46" name="直线 10"/>
                                <wps:cNvCnPr/>
                                <wps:spPr>
                                  <a:xfrm>
                                    <a:off x="3057" y="2800"/>
                                    <a:ext cx="360" cy="0"/>
                                  </a:xfrm>
                                  <a:prstGeom prst="line">
                                    <a:avLst/>
                                  </a:prstGeom>
                                  <a:ln w="9525" cap="flat" cmpd="sng">
                                    <a:solidFill>
                                      <a:srgbClr val="000000"/>
                                    </a:solidFill>
                                    <a:prstDash val="solid"/>
                                    <a:headEnd type="none" w="med" len="med"/>
                                    <a:tailEnd type="triangle" w="sm" len="med"/>
                                  </a:ln>
                                  <a:effectLst/>
                                </wps:spPr>
                                <wps:bodyPr upright="1"/>
                              </wps:wsp>
                              <wps:wsp>
                                <wps:cNvPr id="47" name="直线 11"/>
                                <wps:cNvCnPr/>
                                <wps:spPr>
                                  <a:xfrm>
                                    <a:off x="8817" y="2800"/>
                                    <a:ext cx="360" cy="0"/>
                                  </a:xfrm>
                                  <a:prstGeom prst="line">
                                    <a:avLst/>
                                  </a:prstGeom>
                                  <a:ln w="9525" cap="flat" cmpd="sng">
                                    <a:solidFill>
                                      <a:srgbClr val="000000"/>
                                    </a:solidFill>
                                    <a:prstDash val="solid"/>
                                    <a:headEnd type="none" w="med" len="med"/>
                                    <a:tailEnd type="triangle" w="sm" len="med"/>
                                  </a:ln>
                                  <a:effectLst/>
                                </wps:spPr>
                                <wps:bodyPr upright="1"/>
                              </wps:wsp>
                              <wps:wsp>
                                <wps:cNvPr id="48" name="直线 12"/>
                                <wps:cNvCnPr/>
                                <wps:spPr>
                                  <a:xfrm>
                                    <a:off x="7377" y="2800"/>
                                    <a:ext cx="360" cy="0"/>
                                  </a:xfrm>
                                  <a:prstGeom prst="line">
                                    <a:avLst/>
                                  </a:prstGeom>
                                  <a:ln w="9525" cap="flat" cmpd="sng">
                                    <a:solidFill>
                                      <a:srgbClr val="000000"/>
                                    </a:solidFill>
                                    <a:prstDash val="solid"/>
                                    <a:headEnd type="none" w="med" len="med"/>
                                    <a:tailEnd type="triangle" w="sm" len="med"/>
                                  </a:ln>
                                  <a:effectLst/>
                                </wps:spPr>
                                <wps:bodyPr upright="1"/>
                              </wps:wsp>
                              <wps:wsp>
                                <wps:cNvPr id="49" name="直线 13"/>
                                <wps:cNvCnPr/>
                                <wps:spPr>
                                  <a:xfrm>
                                    <a:off x="5937" y="2800"/>
                                    <a:ext cx="360" cy="0"/>
                                  </a:xfrm>
                                  <a:prstGeom prst="line">
                                    <a:avLst/>
                                  </a:prstGeom>
                                  <a:ln w="9525" cap="flat" cmpd="sng">
                                    <a:solidFill>
                                      <a:srgbClr val="000000"/>
                                    </a:solidFill>
                                    <a:prstDash val="solid"/>
                                    <a:headEnd type="none" w="med" len="med"/>
                                    <a:tailEnd type="triangle" w="sm" len="med"/>
                                  </a:ln>
                                  <a:effectLst/>
                                </wps:spPr>
                                <wps:bodyPr upright="1"/>
                              </wps:wsp>
                              <wps:wsp>
                                <wps:cNvPr id="50" name="直线 14"/>
                                <wps:cNvCnPr/>
                                <wps:spPr>
                                  <a:xfrm>
                                    <a:off x="4497" y="2800"/>
                                    <a:ext cx="360" cy="0"/>
                                  </a:xfrm>
                                  <a:prstGeom prst="line">
                                    <a:avLst/>
                                  </a:prstGeom>
                                  <a:ln w="9525" cap="flat" cmpd="sng">
                                    <a:solidFill>
                                      <a:srgbClr val="000000"/>
                                    </a:solidFill>
                                    <a:prstDash val="solid"/>
                                    <a:headEnd type="none" w="med" len="med"/>
                                    <a:tailEnd type="triangle" w="sm" len="med"/>
                                  </a:ln>
                                  <a:effectLst/>
                                </wps:spPr>
                                <wps:bodyPr upright="1"/>
                              </wps:wsp>
                              <wps:wsp>
                                <wps:cNvPr id="51" name="矩形 15"/>
                                <wps:cNvSpPr/>
                                <wps:spPr>
                                  <a:xfrm>
                                    <a:off x="7717" y="2629"/>
                                    <a:ext cx="1100" cy="470"/>
                                  </a:xfrm>
                                  <a:prstGeom prst="rect">
                                    <a:avLst/>
                                  </a:prstGeom>
                                  <a:solidFill>
                                    <a:srgbClr val="FFFFFF">
                                      <a:alpha val="0"/>
                                    </a:srgbClr>
                                  </a:solidFill>
                                  <a:ln w="9525" cap="flat" cmpd="sng">
                                    <a:solidFill>
                                      <a:srgbClr val="000000"/>
                                    </a:solidFill>
                                    <a:prstDash val="solid"/>
                                    <a:miter/>
                                    <a:headEnd type="none" w="med" len="med"/>
                                    <a:tailEnd type="none" w="med" len="med"/>
                                  </a:ln>
                                  <a:effectLst/>
                                </wps:spPr>
                                <wps:txbx>
                                  <w:txbxContent>
                                    <w:p w14:paraId="24D1C9FF">
                                      <w:pPr>
                                        <w:jc w:val="center"/>
                                        <w:rPr>
                                          <w:szCs w:val="21"/>
                                        </w:rPr>
                                      </w:pPr>
                                      <w:r>
                                        <w:rPr>
                                          <w:rFonts w:hint="eastAsia" w:ascii="仿宋_GB2312" w:eastAsia="仿宋_GB2312"/>
                                          <w:szCs w:val="21"/>
                                        </w:rPr>
                                        <w:t>工程验收</w:t>
                                      </w:r>
                                    </w:p>
                                  </w:txbxContent>
                                </wps:txbx>
                                <wps:bodyPr lIns="0" tIns="0" rIns="0" bIns="0" upright="1"/>
                              </wps:wsp>
                              <wps:wsp>
                                <wps:cNvPr id="52" name="矩形 16"/>
                                <wps:cNvSpPr/>
                                <wps:spPr>
                                  <a:xfrm>
                                    <a:off x="9147" y="2644"/>
                                    <a:ext cx="1100" cy="470"/>
                                  </a:xfrm>
                                  <a:prstGeom prst="rect">
                                    <a:avLst/>
                                  </a:prstGeom>
                                  <a:solidFill>
                                    <a:srgbClr val="FFFFFF">
                                      <a:alpha val="0"/>
                                    </a:srgbClr>
                                  </a:solidFill>
                                  <a:ln w="9525" cap="flat" cmpd="sng">
                                    <a:solidFill>
                                      <a:srgbClr val="000000"/>
                                    </a:solidFill>
                                    <a:prstDash val="solid"/>
                                    <a:miter/>
                                    <a:headEnd type="none" w="med" len="med"/>
                                    <a:tailEnd type="none" w="med" len="med"/>
                                  </a:ln>
                                  <a:effectLst/>
                                </wps:spPr>
                                <wps:txbx>
                                  <w:txbxContent>
                                    <w:p w14:paraId="6AD012AC">
                                      <w:pPr>
                                        <w:jc w:val="center"/>
                                        <w:rPr>
                                          <w:szCs w:val="21"/>
                                        </w:rPr>
                                      </w:pPr>
                                      <w:r>
                                        <w:rPr>
                                          <w:rFonts w:hint="eastAsia" w:ascii="仿宋_GB2312" w:eastAsia="仿宋_GB2312"/>
                                          <w:szCs w:val="21"/>
                                        </w:rPr>
                                        <w:t>运行使用</w:t>
                                      </w:r>
                                    </w:p>
                                  </w:txbxContent>
                                </wps:txbx>
                                <wps:bodyPr lIns="0" tIns="0" rIns="0" bIns="0" upright="1"/>
                              </wps:wsp>
                              <wps:wsp>
                                <wps:cNvPr id="53" name="自选图形 17"/>
                                <wps:cNvCnPr/>
                                <wps:spPr>
                                  <a:xfrm>
                                    <a:off x="8997" y="3114"/>
                                    <a:ext cx="0" cy="579"/>
                                  </a:xfrm>
                                  <a:prstGeom prst="straightConnector1">
                                    <a:avLst/>
                                  </a:prstGeom>
                                  <a:ln w="9525" cap="flat" cmpd="sng">
                                    <a:solidFill>
                                      <a:srgbClr val="000000"/>
                                    </a:solidFill>
                                    <a:prstDash val="dash"/>
                                    <a:headEnd type="none" w="med" len="med"/>
                                    <a:tailEnd type="none" w="med" len="med"/>
                                  </a:ln>
                                  <a:effectLst/>
                                </wps:spPr>
                                <wps:bodyPr/>
                              </wps:wsp>
                              <wps:wsp>
                                <wps:cNvPr id="54" name="自选图形 18"/>
                                <wps:cNvCnPr/>
                                <wps:spPr>
                                  <a:xfrm>
                                    <a:off x="1977" y="3099"/>
                                    <a:ext cx="0" cy="579"/>
                                  </a:xfrm>
                                  <a:prstGeom prst="straightConnector1">
                                    <a:avLst/>
                                  </a:prstGeom>
                                  <a:ln w="9525" cap="flat" cmpd="sng">
                                    <a:solidFill>
                                      <a:srgbClr val="000000"/>
                                    </a:solidFill>
                                    <a:prstDash val="dash"/>
                                    <a:headEnd type="none" w="med" len="med"/>
                                    <a:tailEnd type="none" w="med" len="med"/>
                                  </a:ln>
                                  <a:effectLst/>
                                </wps:spPr>
                                <wps:bodyPr/>
                              </wps:wsp>
                              <wps:wsp>
                                <wps:cNvPr id="55" name="自选图形 19"/>
                                <wps:cNvCnPr/>
                                <wps:spPr>
                                  <a:xfrm>
                                    <a:off x="10247" y="3114"/>
                                    <a:ext cx="0" cy="579"/>
                                  </a:xfrm>
                                  <a:prstGeom prst="straightConnector1">
                                    <a:avLst/>
                                  </a:prstGeom>
                                  <a:ln w="9525" cap="flat" cmpd="sng">
                                    <a:solidFill>
                                      <a:srgbClr val="000000"/>
                                    </a:solidFill>
                                    <a:prstDash val="dash"/>
                                    <a:headEnd type="none" w="med" len="med"/>
                                    <a:tailEnd type="none" w="med" len="med"/>
                                  </a:ln>
                                  <a:effectLst/>
                                </wps:spPr>
                                <wps:bodyPr/>
                              </wps:wsp>
                              <wps:wsp>
                                <wps:cNvPr id="56" name="自选图形 20"/>
                                <wps:cNvCnPr/>
                                <wps:spPr>
                                  <a:xfrm>
                                    <a:off x="1977" y="3492"/>
                                    <a:ext cx="7020" cy="0"/>
                                  </a:xfrm>
                                  <a:prstGeom prst="straightConnector1">
                                    <a:avLst/>
                                  </a:prstGeom>
                                  <a:ln w="9525" cap="flat" cmpd="sng">
                                    <a:solidFill>
                                      <a:srgbClr val="000000"/>
                                    </a:solidFill>
                                    <a:prstDash val="dash"/>
                                    <a:headEnd type="triangle" w="med" len="med"/>
                                    <a:tailEnd type="triangle" w="med" len="med"/>
                                  </a:ln>
                                  <a:effectLst/>
                                </wps:spPr>
                                <wps:bodyPr/>
                              </wps:wsp>
                              <wps:wsp>
                                <wps:cNvPr id="57" name="自选图形 21"/>
                                <wps:cNvCnPr/>
                                <wps:spPr>
                                  <a:xfrm>
                                    <a:off x="8997" y="3478"/>
                                    <a:ext cx="1250" cy="0"/>
                                  </a:xfrm>
                                  <a:prstGeom prst="straightConnector1">
                                    <a:avLst/>
                                  </a:prstGeom>
                                  <a:ln w="9525" cap="flat" cmpd="sng">
                                    <a:solidFill>
                                      <a:srgbClr val="000000"/>
                                    </a:solidFill>
                                    <a:prstDash val="dash"/>
                                    <a:headEnd type="triangle" w="med" len="med"/>
                                    <a:tailEnd type="triangle" w="med" len="med"/>
                                  </a:ln>
                                  <a:effectLst/>
                                </wps:spPr>
                                <wps:bodyPr/>
                              </wps:wsp>
                            </wpg:grpSp>
                          </wpg:wgp>
                        </a:graphicData>
                      </a:graphic>
                    </wp:anchor>
                  </w:drawing>
                </mc:Choice>
                <mc:Fallback>
                  <w:pict>
                    <v:group id="_x0000_s1026" o:spid="_x0000_s1026" o:spt="203" style="position:absolute;left:0pt;margin-left:48.75pt;margin-top:1.1pt;height:53.2pt;width:413.5pt;z-index:251736064;mso-width-relative:page;mso-height-relative:page;" coordorigin="1977,2629" coordsize="8270,1064" o:gfxdata="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">
                      <o:lock v:ext="edit" aspectratio="f"/>
                      <v:rect id="矩形 3" o:spid="_x0000_s1026" o:spt="1" style="position:absolute;left:9268;top:3029;height:484;width:912;" fillcolor="#FFFFFF" filled="t" stroked="t" coordsize="21600,21600" o:gfxdata="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3TNYK8AAAA&#10;2wAAAA8AAAAAAAAAAQAgAAAAIgAAAGRycy9kb3ducmV2LnhtbFBLAQIUABQAAAAIAIdO4kAzLwWe&#10;OwAAADkAAAAQAAAAAAAAAAEAIAAAAAsBAABkcnMvc2hhcGV4bWwueG1sUEsFBgAAAAAGAAYAWwEA&#10;ALUDAAAAAA==&#10;">
                        <v:fill on="t" opacity="0f" focussize="0,0"/>
                        <v:stroke color="#FFFFFF" joinstyle="miter"/>
                        <v:imagedata o:title=""/>
                        <o:lock v:ext="edit" aspectratio="f"/>
                        <v:textbox inset="0mm,0mm,0mm,0mm">
                          <w:txbxContent>
                            <w:p w14:paraId="258ACB95">
                              <w:pPr>
                                <w:spacing w:before="120" w:beforeLines="50"/>
                                <w:jc w:val="center"/>
                                <w:rPr>
                                  <w:szCs w:val="21"/>
                                </w:rPr>
                              </w:pPr>
                              <w:r>
                                <w:rPr>
                                  <w:rFonts w:hint="eastAsia" w:ascii="仿宋_GB2312" w:eastAsia="仿宋_GB2312"/>
                                  <w:szCs w:val="21"/>
                                </w:rPr>
                                <w:t>营运期</w:t>
                              </w:r>
                            </w:p>
                          </w:txbxContent>
                        </v:textbox>
                      </v:rect>
                      <v:group id="组合 4" o:spid="_x0000_s1026" o:spt="203" style="position:absolute;left:1977;top:2629;height:1064;width:8270;" coordorigin="1977,2629" coordsize="8270,1064" o:gfxdata="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OG9vgi7AAAA2wAAAA8AAAAAAAAAAQAgAAAAIgAAAGRycy9kb3ducmV2LnhtbFBL&#10;AQIUABQAAAAIAIdO4kAzLwWeOwAAADkAAAAVAAAAAAAAAAEAIAAAAAoBAABkcnMvZ3JvdXBzaGFw&#10;ZXhtbC54bWxQSwUGAAAAAAYABgBgAQAAxwMAAAAA&#10;">
                        <o:lock v:ext="edit" aspectratio="f"/>
                        <v:rect id="矩形 5" o:spid="_x0000_s1026" o:spt="1" style="position:absolute;left:1977;top:2644;height:470;width:1100;" fillcolor="#FFFFFF" filled="t" stroked="t" coordsize="21600,21600" o:gfxdata="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BdIEJvQAA&#10;ANsAAAAPAAAAAAAAAAEAIAAAACIAAABkcnMvZG93bnJldi54bWxQSwECFAAUAAAACACHTuJAMy8F&#10;njsAAAA5AAAAEAAAAAAAAAABACAAAAAMAQAAZHJzL3NoYXBleG1sLnhtbFBLBQYAAAAABgAGAFsB&#10;AAC2AwAAAAA=&#10;">
                          <v:fill on="t" opacity="0f" focussize="0,0"/>
                          <v:stroke color="#000000" joinstyle="miter"/>
                          <v:imagedata o:title=""/>
                          <o:lock v:ext="edit" aspectratio="f"/>
                          <v:textbox inset="0mm,0mm,0mm,0mm">
                            <w:txbxContent>
                              <w:p w14:paraId="629F7B0B">
                                <w:pPr>
                                  <w:jc w:val="center"/>
                                  <w:rPr>
                                    <w:szCs w:val="21"/>
                                  </w:rPr>
                                </w:pPr>
                                <w:r>
                                  <w:rPr>
                                    <w:rFonts w:hint="eastAsia" w:ascii="仿宋_GB2312" w:eastAsia="仿宋_GB2312"/>
                                    <w:szCs w:val="21"/>
                                  </w:rPr>
                                  <w:t>基础工程</w:t>
                                </w:r>
                              </w:p>
                            </w:txbxContent>
                          </v:textbox>
                        </v:rect>
                        <v:rect id="矩形 6" o:spid="_x0000_s1026" o:spt="1" style="position:absolute;left:3417;top:2644;height:470;width:1100;" fillcolor="#FFFFFF" filled="t" stroked="t" coordsize="21600,21600" o:gfxdata="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ph9+vQAA&#10;ANsAAAAPAAAAAAAAAAEAIAAAACIAAABkcnMvZG93bnJldi54bWxQSwECFAAUAAAACACHTuJAMy8F&#10;njsAAAA5AAAAEAAAAAAAAAABACAAAAAMAQAAZHJzL3NoYXBleG1sLnhtbFBLBQYAAAAABgAGAFsB&#10;AAC2AwAAAAA=&#10;">
                          <v:fill on="t" opacity="0f" focussize="0,0"/>
                          <v:stroke color="#000000" joinstyle="miter"/>
                          <v:imagedata o:title=""/>
                          <o:lock v:ext="edit" aspectratio="f"/>
                          <v:textbox inset="0mm,0mm,0mm,0mm">
                            <w:txbxContent>
                              <w:p w14:paraId="42920C21">
                                <w:pPr>
                                  <w:jc w:val="center"/>
                                  <w:rPr>
                                    <w:szCs w:val="21"/>
                                  </w:rPr>
                                </w:pPr>
                                <w:r>
                                  <w:rPr>
                                    <w:rFonts w:hint="eastAsia" w:ascii="仿宋_GB2312" w:eastAsia="仿宋_GB2312"/>
                                    <w:szCs w:val="21"/>
                                  </w:rPr>
                                  <w:t>主体工程</w:t>
                                </w:r>
                              </w:p>
                            </w:txbxContent>
                          </v:textbox>
                        </v:rect>
                        <v:rect id="矩形 7" o:spid="_x0000_s1026" o:spt="1" style="position:absolute;left:6297;top:2644;height:470;width:1100;" fillcolor="#FFFFFF" filled="t" stroked="t" coordsize="21600,21600" o:gfxdata="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uq65b4A&#10;AADbAAAADwAAAAAAAAABACAAAAAiAAAAZHJzL2Rvd25yZXYueG1sUEsBAhQAFAAAAAgAh07iQDMv&#10;BZ47AAAAOQAAABAAAAAAAAAAAQAgAAAADQEAAGRycy9zaGFwZXhtbC54bWxQSwUGAAAAAAYABgBb&#10;AQAAtwMAAAAA&#10;">
                          <v:fill on="t" opacity="0f" focussize="0,0"/>
                          <v:stroke color="#000000" joinstyle="miter"/>
                          <v:imagedata o:title=""/>
                          <o:lock v:ext="edit" aspectratio="f"/>
                          <v:textbox inset="0mm,0mm,0mm,0mm">
                            <w:txbxContent>
                              <w:p w14:paraId="62596010">
                                <w:pPr>
                                  <w:jc w:val="center"/>
                                  <w:rPr>
                                    <w:szCs w:val="21"/>
                                  </w:rPr>
                                </w:pPr>
                                <w:r>
                                  <w:rPr>
                                    <w:rFonts w:hint="eastAsia" w:ascii="仿宋_GB2312" w:eastAsia="仿宋_GB2312"/>
                                    <w:szCs w:val="21"/>
                                  </w:rPr>
                                  <w:t>装饰工程</w:t>
                                </w:r>
                              </w:p>
                            </w:txbxContent>
                          </v:textbox>
                        </v:rect>
                        <v:rect id="矩形 8" o:spid="_x0000_s1026" o:spt="1" style="position:absolute;left:4857;top:2644;height:455;width:1100;" fillcolor="#FFFFFF" filled="t" stroked="t" coordsize="21600,21600" o:gfxdata="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RAyKRvQAA&#10;ANsAAAAPAAAAAAAAAAEAIAAAACIAAABkcnMvZG93bnJldi54bWxQSwECFAAUAAAACACHTuJAMy8F&#10;njsAAAA5AAAAEAAAAAAAAAABACAAAAAMAQAAZHJzL3NoYXBleG1sLnhtbFBLBQYAAAAABgAGAFsB&#10;AAC2AwAAAAA=&#10;">
                          <v:fill on="t" opacity="0f" focussize="0,0"/>
                          <v:stroke color="#000000" joinstyle="miter"/>
                          <v:imagedata o:title=""/>
                          <o:lock v:ext="edit" aspectratio="f"/>
                          <v:textbox inset="0mm,0mm,0mm,0mm">
                            <w:txbxContent>
                              <w:p w14:paraId="7E63653B">
                                <w:pPr>
                                  <w:jc w:val="center"/>
                                  <w:rPr>
                                    <w:szCs w:val="21"/>
                                  </w:rPr>
                                </w:pPr>
                                <w:r>
                                  <w:rPr>
                                    <w:rFonts w:hint="eastAsia" w:ascii="仿宋_GB2312" w:eastAsia="仿宋_GB2312"/>
                                    <w:szCs w:val="21"/>
                                  </w:rPr>
                                  <w:t>设备安装</w:t>
                                </w:r>
                              </w:p>
                            </w:txbxContent>
                          </v:textbox>
                        </v:rect>
                        <v:rect id="矩形 9" o:spid="_x0000_s1026" o:spt="1" style="position:absolute;left:5108;top:3043;height:627;width:1100;" fillcolor="#FFFFFF" filled="t" stroked="t" coordsize="21600,21600" o:gfxdata="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mEz6vQAA&#10;ANsAAAAPAAAAAAAAAAEAIAAAACIAAABkcnMvZG93bnJldi54bWxQSwECFAAUAAAACACHTuJAMy8F&#10;njsAAAA5AAAAEAAAAAAAAAABACAAAAAMAQAAZHJzL3NoYXBleG1sLnhtbFBLBQYAAAAABgAGAFsB&#10;AAC2AwAAAAA=&#10;">
                          <v:fill on="t" opacity="0f" focussize="0,0"/>
                          <v:stroke color="#FFFFFF" joinstyle="miter"/>
                          <v:imagedata o:title=""/>
                          <o:lock v:ext="edit" aspectratio="f"/>
                          <v:textbox inset="0mm,0mm,0mm,0mm">
                            <w:txbxContent>
                              <w:p w14:paraId="28CE0EFB">
                                <w:pPr>
                                  <w:spacing w:before="120" w:beforeLines="50"/>
                                  <w:jc w:val="center"/>
                                  <w:rPr>
                                    <w:szCs w:val="21"/>
                                  </w:rPr>
                                </w:pPr>
                                <w:r>
                                  <w:rPr>
                                    <w:rFonts w:hint="eastAsia" w:ascii="仿宋_GB2312" w:eastAsia="仿宋_GB2312"/>
                                    <w:szCs w:val="21"/>
                                  </w:rPr>
                                  <w:t>施工期</w:t>
                                </w:r>
                              </w:p>
                            </w:txbxContent>
                          </v:textbox>
                        </v:rect>
                        <v:line id="直线 10" o:spid="_x0000_s1026" o:spt="20" style="position:absolute;left:3057;top:2800;height:0;width:360;" filled="f" stroked="t" coordsize="21600,21600" o:gfxdata="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J1K/&#10;AAAA2wAAAA8AAAAAAAAAAQAgAAAAIgAAAGRycy9kb3ducmV2LnhtbFBLAQIUABQAAAAIAIdO4kAz&#10;LwWeOwAAADkAAAAQAAAAAAAAAAEAIAAAAA4BAABkcnMvc2hhcGV4bWwueG1sUEsFBgAAAAAGAAYA&#10;WwEAALgDAAAAAA==&#10;">
                          <v:fill on="f" focussize="0,0"/>
                          <v:stroke color="#000000" joinstyle="round" endarrow="block" endarrowwidth="narrow"/>
                          <v:imagedata o:title=""/>
                          <o:lock v:ext="edit" aspectratio="f"/>
                        </v:line>
                        <v:line id="直线 11" o:spid="_x0000_s1026" o:spt="20" style="position:absolute;left:8817;top:2800;height:0;width:360;" filled="f" stroked="t" coordsize="21600,21600" o:gfxdata="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Q84LJ&#10;wAAAANsAAAAPAAAAAAAAAAEAIAAAACIAAABkcnMvZG93bnJldi54bWxQSwECFAAUAAAACACHTuJA&#10;My8FnjsAAAA5AAAAEAAAAAAAAAABACAAAAAPAQAAZHJzL3NoYXBleG1sLnhtbFBLBQYAAAAABgAG&#10;AFsBAAC5AwAAAAA=&#10;">
                          <v:fill on="f" focussize="0,0"/>
                          <v:stroke color="#000000" joinstyle="round" endarrow="block" endarrowwidth="narrow"/>
                          <v:imagedata o:title=""/>
                          <o:lock v:ext="edit" aspectratio="f"/>
                        </v:line>
                        <v:line id="直线 12" o:spid="_x0000_s1026" o:spt="20" style="position:absolute;left:7377;top:2800;height:0;width:360;" filled="f" stroked="t" coordsize="21600,21600" o:gfxdata="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FsFru8AAAA&#10;2wAAAA8AAAAAAAAAAQAgAAAAIgAAAGRycy9kb3ducmV2LnhtbFBLAQIUABQAAAAIAIdO4kAzLwWe&#10;OwAAADkAAAAQAAAAAAAAAAEAIAAAAAsBAABkcnMvc2hhcGV4bWwueG1sUEsFBgAAAAAGAAYAWwEA&#10;ALUDAAAAAA==&#10;">
                          <v:fill on="f" focussize="0,0"/>
                          <v:stroke color="#000000" joinstyle="round" endarrow="block" endarrowwidth="narrow"/>
                          <v:imagedata o:title=""/>
                          <o:lock v:ext="edit" aspectratio="f"/>
                        </v:line>
                        <v:line id="直线 13" o:spid="_x0000_s1026" o:spt="20" style="position:absolute;left:5937;top:2800;height:0;width:360;" filled="f" stroked="t" coordsize="21600,21600" o:gfxdata="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OILMg&#10;wAAAANsAAAAPAAAAAAAAAAEAIAAAACIAAABkcnMvZG93bnJldi54bWxQSwECFAAUAAAACACHTuJA&#10;My8FnjsAAAA5AAAAEAAAAAAAAAABACAAAAAPAQAAZHJzL3NoYXBleG1sLnhtbFBLBQYAAAAABgAG&#10;AFsBAAC5AwAAAAA=&#10;">
                          <v:fill on="f" focussize="0,0"/>
                          <v:stroke color="#000000" joinstyle="round" endarrow="block" endarrowwidth="narrow"/>
                          <v:imagedata o:title=""/>
                          <o:lock v:ext="edit" aspectratio="f"/>
                        </v:line>
                        <v:line id="直线 14" o:spid="_x0000_s1026" o:spt="20" style="position:absolute;left:4497;top:2800;height:0;width:360;" filled="f" stroked="t" coordsize="21600,21600" o:gfxdata="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rDjGC8AAAA&#10;2wAAAA8AAAAAAAAAAQAgAAAAIgAAAGRycy9kb3ducmV2LnhtbFBLAQIUABQAAAAIAIdO4kAzLwWe&#10;OwAAADkAAAAQAAAAAAAAAAEAIAAAAAsBAABkcnMvc2hhcGV4bWwueG1sUEsFBgAAAAAGAAYAWwEA&#10;ALUDAAAAAA==&#10;">
                          <v:fill on="f" focussize="0,0"/>
                          <v:stroke color="#000000" joinstyle="round" endarrow="block" endarrowwidth="narrow"/>
                          <v:imagedata o:title=""/>
                          <o:lock v:ext="edit" aspectratio="f"/>
                        </v:line>
                        <v:rect id="矩形 15" o:spid="_x0000_s1026" o:spt="1" style="position:absolute;left:7717;top:2629;height:470;width:1100;" fillcolor="#FFFFFF" filled="t" stroked="t" coordsize="21600,21600" o:gfxdata="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ErRfUvQAA&#10;ANsAAAAPAAAAAAAAAAEAIAAAACIAAABkcnMvZG93bnJldi54bWxQSwECFAAUAAAACACHTuJAMy8F&#10;njsAAAA5AAAAEAAAAAAAAAABACAAAAAMAQAAZHJzL3NoYXBleG1sLnhtbFBLBQYAAAAABgAGAFsB&#10;AAC2AwAAAAA=&#10;">
                          <v:fill on="t" opacity="0f" focussize="0,0"/>
                          <v:stroke color="#000000" joinstyle="miter"/>
                          <v:imagedata o:title=""/>
                          <o:lock v:ext="edit" aspectratio="f"/>
                          <v:textbox inset="0mm,0mm,0mm,0mm">
                            <w:txbxContent>
                              <w:p w14:paraId="24D1C9FF">
                                <w:pPr>
                                  <w:jc w:val="center"/>
                                  <w:rPr>
                                    <w:szCs w:val="21"/>
                                  </w:rPr>
                                </w:pPr>
                                <w:r>
                                  <w:rPr>
                                    <w:rFonts w:hint="eastAsia" w:ascii="仿宋_GB2312" w:eastAsia="仿宋_GB2312"/>
                                    <w:szCs w:val="21"/>
                                  </w:rPr>
                                  <w:t>工程验收</w:t>
                                </w:r>
                              </w:p>
                            </w:txbxContent>
                          </v:textbox>
                        </v:rect>
                        <v:rect id="矩形 16" o:spid="_x0000_s1026" o:spt="1" style="position:absolute;left:9147;top:2644;height:470;width:1100;" fillcolor="#FFFFFF" filled="t" stroked="t" coordsize="21600,21600" o:gfxdata="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0f4mjvQAA&#10;ANsAAAAPAAAAAAAAAAEAIAAAACIAAABkcnMvZG93bnJldi54bWxQSwECFAAUAAAACACHTuJAMy8F&#10;njsAAAA5AAAAEAAAAAAAAAABACAAAAAMAQAAZHJzL3NoYXBleG1sLnhtbFBLBQYAAAAABgAGAFsB&#10;AAC2AwAAAAA=&#10;">
                          <v:fill on="t" opacity="0f" focussize="0,0"/>
                          <v:stroke color="#000000" joinstyle="miter"/>
                          <v:imagedata o:title=""/>
                          <o:lock v:ext="edit" aspectratio="f"/>
                          <v:textbox inset="0mm,0mm,0mm,0mm">
                            <w:txbxContent>
                              <w:p w14:paraId="6AD012AC">
                                <w:pPr>
                                  <w:jc w:val="center"/>
                                  <w:rPr>
                                    <w:szCs w:val="21"/>
                                  </w:rPr>
                                </w:pPr>
                                <w:r>
                                  <w:rPr>
                                    <w:rFonts w:hint="eastAsia" w:ascii="仿宋_GB2312" w:eastAsia="仿宋_GB2312"/>
                                    <w:szCs w:val="21"/>
                                  </w:rPr>
                                  <w:t>运行使用</w:t>
                                </w:r>
                              </w:p>
                            </w:txbxContent>
                          </v:textbox>
                        </v:rect>
                        <v:shape id="自选图形 17" o:spid="_x0000_s1026" o:spt="32" type="#_x0000_t32" style="position:absolute;left:8997;top:3114;height:579;width:0;" filled="f" stroked="t" coordsize="21600,21600" o:gfxdata="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unapb4A&#10;AADbAAAADwAAAAAAAAABACAAAAAiAAAAZHJzL2Rvd25yZXYueG1sUEsBAhQAFAAAAAgAh07iQDMv&#10;BZ47AAAAOQAAABAAAAAAAAAAAQAgAAAADQEAAGRycy9zaGFwZXhtbC54bWxQSwUGAAAAAAYABgBb&#10;AQAAtwMAAAAA&#10;">
                          <v:fill on="f" focussize="0,0"/>
                          <v:stroke color="#000000" joinstyle="round" dashstyle="dash"/>
                          <v:imagedata o:title=""/>
                          <o:lock v:ext="edit" aspectratio="f"/>
                        </v:shape>
                        <v:shape id="自选图形 18" o:spid="_x0000_s1026" o:spt="32" type="#_x0000_t32" style="position:absolute;left:1977;top:3099;height:579;width:0;" filled="f" stroked="t" coordsize="21600,21600" o:gfxdata="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QBC0b4A&#10;AADbAAAADwAAAAAAAAABACAAAAAiAAAAZHJzL2Rvd25yZXYueG1sUEsBAhQAFAAAAAgAh07iQDMv&#10;BZ47AAAAOQAAABAAAAAAAAAAAQAgAAAADQEAAGRycy9zaGFwZXhtbC54bWxQSwUGAAAAAAYABgBb&#10;AQAAtwMAAAAA&#10;">
                          <v:fill on="f" focussize="0,0"/>
                          <v:stroke color="#000000" joinstyle="round" dashstyle="dash"/>
                          <v:imagedata o:title=""/>
                          <o:lock v:ext="edit" aspectratio="f"/>
                        </v:shape>
                        <v:shape id="自选图形 19" o:spid="_x0000_s1026" o:spt="32" type="#_x0000_t32" style="position:absolute;left:10247;top:3114;height:579;width:0;" filled="f" stroked="t" coordsize="21600,21600" o:gfxdata="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kznSr4A&#10;AADbAAAADwAAAAAAAAABACAAAAAiAAAAZHJzL2Rvd25yZXYueG1sUEsBAhQAFAAAAAgAh07iQDMv&#10;BZ47AAAAOQAAABAAAAAAAAAAAQAgAAAADQEAAGRycy9zaGFwZXhtbC54bWxQSwUGAAAAAAYABgBb&#10;AQAAtwMAAAAA&#10;">
                          <v:fill on="f" focussize="0,0"/>
                          <v:stroke color="#000000" joinstyle="round" dashstyle="dash"/>
                          <v:imagedata o:title=""/>
                          <o:lock v:ext="edit" aspectratio="f"/>
                        </v:shape>
                        <v:shape id="自选图形 20" o:spid="_x0000_s1026" o:spt="32" type="#_x0000_t32" style="position:absolute;left:1977;top:3492;height:0;width:7020;" filled="f" stroked="t" coordsize="21600,21600" o:gfxdata="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Iro+vQAA&#10;ANsAAAAPAAAAAAAAAAEAIAAAACIAAABkcnMvZG93bnJldi54bWxQSwECFAAUAAAACACHTuJAMy8F&#10;njsAAAA5AAAAEAAAAAAAAAABACAAAAAMAQAAZHJzL3NoYXBleG1sLnhtbFBLBQYAAAAABgAGAFsB&#10;AAC2AwAAAAA=&#10;">
                          <v:fill on="f" focussize="0,0"/>
                          <v:stroke color="#000000" joinstyle="round" dashstyle="dash" startarrow="block" endarrow="block"/>
                          <v:imagedata o:title=""/>
                          <o:lock v:ext="edit" aspectratio="f"/>
                        </v:shape>
                        <v:shape id="自选图形 21" o:spid="_x0000_s1026" o:spt="32" type="#_x0000_t32" style="position:absolute;left:8997;top:3478;height:0;width:1250;" filled="f" stroked="t" coordsize="21600,21600" o:gfxdata="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m4fpb4A&#10;AADbAAAADwAAAAAAAAABACAAAAAiAAAAZHJzL2Rvd25yZXYueG1sUEsBAhQAFAAAAAgAh07iQDMv&#10;BZ47AAAAOQAAABAAAAAAAAAAAQAgAAAADQEAAGRycy9zaGFwZXhtbC54bWxQSwUGAAAAAAYABgBb&#10;AQAAtwMAAAAA&#10;">
                          <v:fill on="f" focussize="0,0"/>
                          <v:stroke color="#000000" joinstyle="round" dashstyle="dash" startarrow="block" endarrow="block"/>
                          <v:imagedata o:title=""/>
                          <o:lock v:ext="edit" aspectratio="f"/>
                        </v:shape>
                      </v:group>
                    </v:group>
                  </w:pict>
                </mc:Fallback>
              </mc:AlternateContent>
            </w:r>
          </w:p>
          <w:p w14:paraId="3947C08D">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ab/>
            </w:r>
          </w:p>
          <w:p w14:paraId="080A71E9">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mc:AlternateContent>
                <mc:Choice Requires="wps">
                  <w:drawing>
                    <wp:anchor distT="0" distB="0" distL="114300" distR="114300" simplePos="0" relativeHeight="251737088" behindDoc="0" locked="0" layoutInCell="1" allowOverlap="1">
                      <wp:simplePos x="0" y="0"/>
                      <wp:positionH relativeFrom="column">
                        <wp:posOffset>1876425</wp:posOffset>
                      </wp:positionH>
                      <wp:positionV relativeFrom="paragraph">
                        <wp:posOffset>226060</wp:posOffset>
                      </wp:positionV>
                      <wp:extent cx="2513965" cy="291465"/>
                      <wp:effectExtent l="4445" t="4445" r="15240" b="8890"/>
                      <wp:wrapNone/>
                      <wp:docPr id="92" name="矩形 92"/>
                      <wp:cNvGraphicFramePr/>
                      <a:graphic xmlns:a="http://schemas.openxmlformats.org/drawingml/2006/main">
                        <a:graphicData uri="http://schemas.microsoft.com/office/word/2010/wordprocessingShape">
                          <wps:wsp>
                            <wps:cNvSpPr/>
                            <wps:spPr>
                              <a:xfrm>
                                <a:off x="0" y="0"/>
                                <a:ext cx="2513965" cy="291465"/>
                              </a:xfrm>
                              <a:prstGeom prst="rect">
                                <a:avLst/>
                              </a:prstGeom>
                              <a:solidFill>
                                <a:srgbClr val="FFFFFF">
                                  <a:alpha val="0"/>
                                </a:srgbClr>
                              </a:solidFill>
                              <a:ln w="9525" cap="flat" cmpd="sng">
                                <a:solidFill>
                                  <a:srgbClr val="FFFFFF"/>
                                </a:solidFill>
                                <a:prstDash val="sysDot"/>
                                <a:miter/>
                                <a:headEnd type="none" w="med" len="med"/>
                                <a:tailEnd type="none" w="med" len="med"/>
                              </a:ln>
                              <a:effectLst/>
                            </wps:spPr>
                            <wps:txbx>
                              <w:txbxContent>
                                <w:p w14:paraId="166D2C20">
                                  <w:pPr>
                                    <w:spacing w:before="120" w:beforeLines="50" w:after="24" w:afterLines="10" w:line="300" w:lineRule="exact"/>
                                    <w:jc w:val="center"/>
                                    <w:rPr>
                                      <w:b/>
                                      <w:sz w:val="24"/>
                                    </w:rPr>
                                  </w:pPr>
                                  <w:r>
                                    <w:rPr>
                                      <w:rFonts w:hAnsi="宋体"/>
                                      <w:b/>
                                      <w:sz w:val="24"/>
                                    </w:rPr>
                                    <w:t>图</w:t>
                                  </w:r>
                                  <w:r>
                                    <w:rPr>
                                      <w:rFonts w:hint="eastAsia" w:hAnsi="宋体"/>
                                      <w:b/>
                                      <w:sz w:val="24"/>
                                      <w:lang w:val="en-US" w:eastAsia="zh-CN"/>
                                    </w:rPr>
                                    <w:t>5</w:t>
                                  </w:r>
                                  <w:r>
                                    <w:rPr>
                                      <w:b/>
                                      <w:sz w:val="24"/>
                                    </w:rPr>
                                    <w:t>-</w:t>
                                  </w:r>
                                  <w:r>
                                    <w:rPr>
                                      <w:rFonts w:hint="eastAsia"/>
                                      <w:b/>
                                      <w:sz w:val="24"/>
                                    </w:rPr>
                                    <w:t>1</w:t>
                                  </w:r>
                                  <w:r>
                                    <w:rPr>
                                      <w:b/>
                                      <w:sz w:val="24"/>
                                    </w:rPr>
                                    <w:t xml:space="preserve">  </w:t>
                                  </w:r>
                                  <w:r>
                                    <w:rPr>
                                      <w:rFonts w:hAnsi="宋体"/>
                                      <w:b/>
                                      <w:sz w:val="24"/>
                                    </w:rPr>
                                    <w:t>项目工艺流程简图</w:t>
                                  </w:r>
                                </w:p>
                              </w:txbxContent>
                            </wps:txbx>
                            <wps:bodyPr lIns="18000" tIns="0" rIns="18000" bIns="0" upright="1"/>
                          </wps:wsp>
                        </a:graphicData>
                      </a:graphic>
                    </wp:anchor>
                  </w:drawing>
                </mc:Choice>
                <mc:Fallback>
                  <w:pict>
                    <v:rect id="_x0000_s1026" o:spid="_x0000_s1026" o:spt="1" style="position:absolute;left:0pt;margin-left:147.75pt;margin-top:17.8pt;height:22.95pt;width:197.95pt;z-index:251737088;mso-width-relative:page;mso-height-relative:page;" fillcolor="#FFFFFF" filled="t" stroked="t" coordsize="21600,21600" o:gfxdata="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bAFJk2AAAAAkBAAAPAAAAAAAAAAEAIAAAACIAAABkcnMvZG93bnJldi54bWxQSwECFAAUAAAA&#10;CACHTuJAW/KzqycCAACDBAAADgAAAAAAAAABACAAAAAnAQAAZHJzL2Uyb0RvYy54bWxQSwUGAAAA&#10;AAYABgBZAQAAwAUAAAAA&#10;">
                      <v:fill on="t" opacity="0f" focussize="0,0"/>
                      <v:stroke color="#FFFFFF" joinstyle="miter" dashstyle="1 1"/>
                      <v:imagedata o:title=""/>
                      <o:lock v:ext="edit" aspectratio="f"/>
                      <v:textbox inset="0.5mm,0mm,0.5mm,0mm">
                        <w:txbxContent>
                          <w:p w14:paraId="166D2C20">
                            <w:pPr>
                              <w:spacing w:before="120" w:beforeLines="50" w:after="24" w:afterLines="10" w:line="300" w:lineRule="exact"/>
                              <w:jc w:val="center"/>
                              <w:rPr>
                                <w:b/>
                                <w:sz w:val="24"/>
                              </w:rPr>
                            </w:pPr>
                            <w:r>
                              <w:rPr>
                                <w:rFonts w:hAnsi="宋体"/>
                                <w:b/>
                                <w:sz w:val="24"/>
                              </w:rPr>
                              <w:t>图</w:t>
                            </w:r>
                            <w:r>
                              <w:rPr>
                                <w:rFonts w:hint="eastAsia" w:hAnsi="宋体"/>
                                <w:b/>
                                <w:sz w:val="24"/>
                                <w:lang w:val="en-US" w:eastAsia="zh-CN"/>
                              </w:rPr>
                              <w:t>5</w:t>
                            </w:r>
                            <w:r>
                              <w:rPr>
                                <w:b/>
                                <w:sz w:val="24"/>
                              </w:rPr>
                              <w:t>-</w:t>
                            </w:r>
                            <w:r>
                              <w:rPr>
                                <w:rFonts w:hint="eastAsia"/>
                                <w:b/>
                                <w:sz w:val="24"/>
                              </w:rPr>
                              <w:t>1</w:t>
                            </w:r>
                            <w:r>
                              <w:rPr>
                                <w:b/>
                                <w:sz w:val="24"/>
                              </w:rPr>
                              <w:t xml:space="preserve">  </w:t>
                            </w:r>
                            <w:r>
                              <w:rPr>
                                <w:rFonts w:hAnsi="宋体"/>
                                <w:b/>
                                <w:sz w:val="24"/>
                              </w:rPr>
                              <w:t>项目工艺流程简图</w:t>
                            </w:r>
                          </w:p>
                        </w:txbxContent>
                      </v:textbox>
                    </v:rect>
                  </w:pict>
                </mc:Fallback>
              </mc:AlternateContent>
            </w:r>
          </w:p>
          <w:p w14:paraId="6C44A70D">
            <w:pPr>
              <w:spacing w:line="360" w:lineRule="auto"/>
              <w:ind w:firstLine="480" w:firstLineChars="200"/>
              <w:rPr>
                <w:rFonts w:hint="default" w:ascii="Times New Roman" w:hAnsi="Times New Roman" w:cs="Times New Roman"/>
                <w:color w:val="auto"/>
                <w:sz w:val="24"/>
                <w:szCs w:val="24"/>
              </w:rPr>
            </w:pPr>
          </w:p>
          <w:p w14:paraId="0B0A63BE">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从图</w:t>
            </w:r>
            <w:r>
              <w:rPr>
                <w:rFonts w:hint="default" w:ascii="Times New Roman" w:hAnsi="Times New Roman" w:cs="Times New Roman"/>
                <w:color w:val="auto"/>
                <w:sz w:val="24"/>
                <w:szCs w:val="24"/>
                <w:lang w:val="en-US" w:eastAsia="zh-CN"/>
              </w:rPr>
              <w:t>5</w:t>
            </w:r>
            <w:r>
              <w:rPr>
                <w:rFonts w:hint="default" w:ascii="Times New Roman" w:hAnsi="Times New Roman" w:cs="Times New Roman"/>
                <w:color w:val="auto"/>
                <w:sz w:val="24"/>
                <w:szCs w:val="24"/>
              </w:rPr>
              <w:t>-1中可知，项目分为工程施工期和竣工后营运期两个阶段。</w:t>
            </w:r>
          </w:p>
          <w:p w14:paraId="78326683">
            <w:pPr>
              <w:spacing w:line="360" w:lineRule="auto"/>
              <w:rPr>
                <w:rFonts w:hint="default" w:ascii="Times New Roman" w:hAnsi="Times New Roman" w:eastAsia="黑体" w:cs="Times New Roman"/>
                <w:color w:val="auto"/>
                <w:sz w:val="24"/>
                <w:lang w:eastAsia="zh-CN"/>
              </w:rPr>
            </w:pPr>
            <w:r>
              <w:rPr>
                <w:rFonts w:hint="eastAsia" w:ascii="Times New Roman" w:hAnsi="Times New Roman" w:eastAsia="黑体" w:cs="Times New Roman"/>
                <w:color w:val="auto"/>
                <w:sz w:val="24"/>
                <w:lang w:val="en-US" w:eastAsia="zh-CN"/>
              </w:rPr>
              <w:t>（一）</w:t>
            </w:r>
            <w:r>
              <w:rPr>
                <w:rFonts w:hint="default" w:ascii="Times New Roman" w:hAnsi="Times New Roman" w:eastAsia="黑体" w:cs="Times New Roman"/>
                <w:color w:val="auto"/>
                <w:sz w:val="24"/>
                <w:lang w:eastAsia="zh-CN"/>
              </w:rPr>
              <w:t>施工期工艺流程及产污环节分析</w:t>
            </w:r>
          </w:p>
          <w:p w14:paraId="7E3C90C3">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本项目的施工是基础工程→主体工程→装饰工程→设备安装及配套工程→工程验收等建设工序，施工期工艺流程及产污位置如图</w:t>
            </w:r>
            <w:r>
              <w:rPr>
                <w:rFonts w:hint="default" w:ascii="Times New Roman" w:hAnsi="Times New Roman" w:cs="Times New Roman"/>
                <w:color w:val="auto"/>
                <w:sz w:val="24"/>
                <w:szCs w:val="24"/>
                <w:lang w:val="en-US" w:eastAsia="zh-CN"/>
              </w:rPr>
              <w:t>5-2</w:t>
            </w:r>
            <w:r>
              <w:rPr>
                <w:rFonts w:hint="default" w:ascii="Times New Roman" w:hAnsi="Times New Roman" w:cs="Times New Roman"/>
                <w:color w:val="auto"/>
                <w:sz w:val="24"/>
                <w:szCs w:val="24"/>
              </w:rPr>
              <w:t>所示。</w:t>
            </w:r>
          </w:p>
          <w:p w14:paraId="7DFD5D4D">
            <w:pPr>
              <w:spacing w:line="360" w:lineRule="auto"/>
              <w:ind w:firstLine="480" w:firstLineChars="200"/>
              <w:rPr>
                <w:rFonts w:hint="default" w:ascii="Times New Roman" w:hAnsi="Times New Roman" w:cs="Times New Roman"/>
                <w:color w:val="auto"/>
                <w:sz w:val="24"/>
                <w:szCs w:val="24"/>
              </w:rPr>
            </w:pPr>
            <w:r>
              <w:rPr>
                <w:rFonts w:hint="eastAsia" w:cs="Times New Roman"/>
                <w:color w:val="auto"/>
                <w:sz w:val="24"/>
                <w:szCs w:val="24"/>
                <w:lang w:val="en-US" w:eastAsia="zh-CN"/>
              </w:rPr>
              <w:t xml:space="preserve">   </w:t>
            </w:r>
            <w:r>
              <w:rPr>
                <w:rFonts w:hint="default" w:ascii="Times New Roman" w:hAnsi="Times New Roman" w:cs="Times New Roman"/>
                <w:color w:val="auto"/>
                <w:sz w:val="24"/>
                <w:szCs w:val="24"/>
              </w:rPr>
              <mc:AlternateContent>
                <mc:Choice Requires="wpg">
                  <w:drawing>
                    <wp:inline distT="0" distB="0" distL="114300" distR="114300">
                      <wp:extent cx="5168265" cy="2489200"/>
                      <wp:effectExtent l="5080" t="4445" r="8255" b="1905"/>
                      <wp:docPr id="65" name="组合 65"/>
                      <wp:cNvGraphicFramePr/>
                      <a:graphic xmlns:a="http://schemas.openxmlformats.org/drawingml/2006/main">
                        <a:graphicData uri="http://schemas.microsoft.com/office/word/2010/wordprocessingGroup">
                          <wpg:wgp>
                            <wpg:cNvGrpSpPr>
                              <a:grpSpLocks noRot="1"/>
                            </wpg:cNvGrpSpPr>
                            <wpg:grpSpPr>
                              <a:xfrm>
                                <a:off x="0" y="0"/>
                                <a:ext cx="5168265" cy="2489200"/>
                                <a:chOff x="2138" y="2157"/>
                                <a:chExt cx="7597" cy="3741"/>
                              </a:xfrm>
                              <a:effectLst/>
                            </wpg:grpSpPr>
                            <wps:wsp>
                              <wps:cNvPr id="58" name="Text Box 1106"/>
                              <wps:cNvSpPr txBox="1"/>
                              <wps:spPr>
                                <a:xfrm>
                                  <a:off x="3494" y="5516"/>
                                  <a:ext cx="5037" cy="382"/>
                                </a:xfrm>
                                <a:prstGeom prst="rect">
                                  <a:avLst/>
                                </a:prstGeom>
                                <a:solidFill>
                                  <a:srgbClr val="FFFFFF"/>
                                </a:solidFill>
                                <a:ln w="9525">
                                  <a:noFill/>
                                </a:ln>
                                <a:effectLst/>
                              </wps:spPr>
                              <wps:txbx>
                                <w:txbxContent>
                                  <w:p w14:paraId="2E2B7EE4">
                                    <w:pPr>
                                      <w:jc w:val="center"/>
                                      <w:rPr>
                                        <w:rFonts w:hint="eastAsia" w:eastAsia="黑体"/>
                                        <w:b/>
                                        <w:color w:val="000000" w:themeColor="text1"/>
                                        <w:sz w:val="24"/>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eastAsia="黑体"/>
                                        <w:b/>
                                        <w:color w:val="000000" w:themeColor="text1"/>
                                        <w:sz w:val="24"/>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图</w:t>
                                    </w:r>
                                    <w:r>
                                      <w:rPr>
                                        <w:rFonts w:hint="eastAsia" w:eastAsia="黑体"/>
                                        <w:b/>
                                        <w:color w:val="000000" w:themeColor="text1"/>
                                        <w:sz w:val="24"/>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5</w:t>
                                    </w:r>
                                    <w:r>
                                      <w:rPr>
                                        <w:rFonts w:hint="eastAsia" w:eastAsia="黑体"/>
                                        <w:b/>
                                        <w:color w:val="000000" w:themeColor="text1"/>
                                        <w:sz w:val="24"/>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-2施工</w:t>
                                    </w:r>
                                    <w:r>
                                      <w:rPr>
                                        <w:rFonts w:eastAsia="黑体"/>
                                        <w:b/>
                                        <w:color w:val="000000" w:themeColor="text1"/>
                                        <w:sz w:val="24"/>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期工艺流程</w:t>
                                    </w:r>
                                    <w:r>
                                      <w:rPr>
                                        <w:rFonts w:hint="eastAsia" w:eastAsia="黑体"/>
                                        <w:b/>
                                        <w:color w:val="000000" w:themeColor="text1"/>
                                        <w:sz w:val="24"/>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及产污环节图</w:t>
                                    </w:r>
                                  </w:p>
                                </w:txbxContent>
                              </wps:txbx>
                              <wps:bodyPr lIns="0" tIns="0" rIns="0" bIns="0" upright="1"/>
                            </wps:wsp>
                            <wpg:grpSp>
                              <wpg:cNvPr id="64" name="组合 25"/>
                              <wpg:cNvGrpSpPr/>
                              <wpg:grpSpPr>
                                <a:xfrm>
                                  <a:off x="2138" y="2157"/>
                                  <a:ext cx="7597" cy="3126"/>
                                  <a:chOff x="1536" y="7451"/>
                                  <a:chExt cx="7984" cy="3313"/>
                                </a:xfrm>
                                <a:effectLst/>
                              </wpg:grpSpPr>
                              <wps:wsp>
                                <wps:cNvPr id="27" name="矩形 26"/>
                                <wps:cNvSpPr/>
                                <wps:spPr>
                                  <a:xfrm>
                                    <a:off x="5138" y="7599"/>
                                    <a:ext cx="1132" cy="384"/>
                                  </a:xfrm>
                                  <a:prstGeom prst="rect">
                                    <a:avLst/>
                                  </a:prstGeom>
                                  <a:solidFill>
                                    <a:srgbClr val="FFFFFF"/>
                                  </a:solidFill>
                                  <a:ln w="9525" cap="flat" cmpd="sng">
                                    <a:solidFill>
                                      <a:srgbClr val="FFFFFF"/>
                                    </a:solidFill>
                                    <a:prstDash val="solid"/>
                                    <a:miter/>
                                    <a:headEnd type="none" w="med" len="med"/>
                                    <a:tailEnd type="none" w="med" len="med"/>
                                  </a:ln>
                                  <a:effectLst/>
                                </wps:spPr>
                                <wps:txbx>
                                  <w:txbxContent>
                                    <w:p w14:paraId="6C74C9FD">
                                      <w:pPr>
                                        <w:jc w:val="center"/>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循环使用</w:t>
                                      </w:r>
                                    </w:p>
                                  </w:txbxContent>
                                </wps:txbx>
                                <wps:bodyPr lIns="0" tIns="0" rIns="0" bIns="0" upright="1"/>
                              </wps:wsp>
                              <wpg:grpSp>
                                <wpg:cNvPr id="63" name="组合 27"/>
                                <wpg:cNvGrpSpPr/>
                                <wpg:grpSpPr>
                                  <a:xfrm>
                                    <a:off x="1536" y="7451"/>
                                    <a:ext cx="7984" cy="3313"/>
                                    <a:chOff x="1536" y="7451"/>
                                    <a:chExt cx="7984" cy="3313"/>
                                  </a:xfrm>
                                  <a:effectLst/>
                                </wpg:grpSpPr>
                                <wps:wsp>
                                  <wps:cNvPr id="59" name="直线 28"/>
                                  <wps:cNvCnPr/>
                                  <wps:spPr>
                                    <a:xfrm>
                                      <a:off x="2662" y="10577"/>
                                      <a:ext cx="533" cy="0"/>
                                    </a:xfrm>
                                    <a:prstGeom prst="line">
                                      <a:avLst/>
                                    </a:prstGeom>
                                    <a:ln w="9525" cap="flat" cmpd="sng">
                                      <a:solidFill>
                                        <a:srgbClr val="000000"/>
                                      </a:solidFill>
                                      <a:prstDash val="solid"/>
                                      <a:headEnd type="none" w="med" len="med"/>
                                      <a:tailEnd type="triangle" w="sm" len="med"/>
                                    </a:ln>
                                    <a:effectLst/>
                                  </wps:spPr>
                                  <wps:bodyPr upright="1"/>
                                </wps:wsp>
                                <wps:wsp>
                                  <wps:cNvPr id="60" name="直线 29"/>
                                  <wps:cNvCnPr/>
                                  <wps:spPr>
                                    <a:xfrm flipV="1">
                                      <a:off x="2209" y="7983"/>
                                      <a:ext cx="1" cy="1020"/>
                                    </a:xfrm>
                                    <a:prstGeom prst="line">
                                      <a:avLst/>
                                    </a:prstGeom>
                                    <a:ln w="9525" cap="flat" cmpd="sng">
                                      <a:solidFill>
                                        <a:srgbClr val="000000"/>
                                      </a:solidFill>
                                      <a:prstDash val="dash"/>
                                      <a:headEnd type="none" w="med" len="med"/>
                                      <a:tailEnd type="triangle" w="sm" len="med"/>
                                    </a:ln>
                                    <a:effectLst/>
                                  </wps:spPr>
                                  <wps:bodyPr upright="1"/>
                                </wps:wsp>
                                <wps:wsp>
                                  <wps:cNvPr id="30" name="直线 30"/>
                                  <wps:cNvCnPr/>
                                  <wps:spPr>
                                    <a:xfrm flipV="1">
                                      <a:off x="5686" y="8572"/>
                                      <a:ext cx="1" cy="468"/>
                                    </a:xfrm>
                                    <a:prstGeom prst="line">
                                      <a:avLst/>
                                    </a:prstGeom>
                                    <a:ln w="9525" cap="flat" cmpd="sng">
                                      <a:solidFill>
                                        <a:srgbClr val="000000"/>
                                      </a:solidFill>
                                      <a:prstDash val="dash"/>
                                      <a:headEnd type="none" w="med" len="med"/>
                                      <a:tailEnd type="triangle" w="sm" len="med"/>
                                    </a:ln>
                                    <a:effectLst/>
                                  </wps:spPr>
                                  <wps:bodyPr upright="1"/>
                                </wps:wsp>
                                <wps:wsp>
                                  <wps:cNvPr id="61" name="矩形 31"/>
                                  <wps:cNvSpPr/>
                                  <wps:spPr>
                                    <a:xfrm>
                                      <a:off x="1536" y="10267"/>
                                      <a:ext cx="1134" cy="468"/>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4D60F3A">
                                        <w:pPr>
                                          <w:ind w:right="-315" w:rightChars="-150"/>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基础工程</w:t>
                                        </w:r>
                                      </w:p>
                                    </w:txbxContent>
                                  </wps:txbx>
                                  <wps:bodyPr lIns="18000" tIns="72000" rIns="0" bIns="45720" upright="1"/>
                                </wps:wsp>
                                <wps:wsp>
                                  <wps:cNvPr id="62" name="矩形 32"/>
                                  <wps:cNvSpPr/>
                                  <wps:spPr>
                                    <a:xfrm>
                                      <a:off x="3202" y="10234"/>
                                      <a:ext cx="1140" cy="468"/>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1E96AB45">
                                        <w:pPr>
                                          <w:ind w:right="-315" w:rightChars="-150"/>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主体工程</w:t>
                                        </w:r>
                                      </w:p>
                                    </w:txbxContent>
                                  </wps:txbx>
                                  <wps:bodyPr lIns="18000" tIns="45720" rIns="18000" bIns="45720" upright="1"/>
                                </wps:wsp>
                                <wps:wsp>
                                  <wps:cNvPr id="33" name="矩形 33"/>
                                  <wps:cNvSpPr/>
                                  <wps:spPr>
                                    <a:xfrm>
                                      <a:off x="4875" y="10246"/>
                                      <a:ext cx="1147" cy="468"/>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2513E702">
                                        <w:pPr>
                                          <w:ind w:right="-315" w:rightChars="-150"/>
                                          <w:jc w:val="left"/>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装饰工程</w:t>
                                        </w:r>
                                      </w:p>
                                    </w:txbxContent>
                                  </wps:txbx>
                                  <wps:bodyPr lIns="18000" tIns="45720" rIns="18000" bIns="45720" upright="1"/>
                                </wps:wsp>
                                <wps:wsp>
                                  <wps:cNvPr id="34" name="直线 34"/>
                                  <wps:cNvCnPr/>
                                  <wps:spPr>
                                    <a:xfrm>
                                      <a:off x="4342" y="10577"/>
                                      <a:ext cx="533" cy="0"/>
                                    </a:xfrm>
                                    <a:prstGeom prst="line">
                                      <a:avLst/>
                                    </a:prstGeom>
                                    <a:ln w="9525" cap="flat" cmpd="sng">
                                      <a:solidFill>
                                        <a:srgbClr val="000000"/>
                                      </a:solidFill>
                                      <a:prstDash val="solid"/>
                                      <a:headEnd type="none" w="med" len="med"/>
                                      <a:tailEnd type="triangle" w="sm" len="med"/>
                                    </a:ln>
                                    <a:effectLst/>
                                  </wps:spPr>
                                  <wps:bodyPr upright="1"/>
                                </wps:wsp>
                                <wps:wsp>
                                  <wps:cNvPr id="35" name="直线 35"/>
                                  <wps:cNvCnPr/>
                                  <wps:spPr>
                                    <a:xfrm>
                                      <a:off x="6039" y="10577"/>
                                      <a:ext cx="533" cy="0"/>
                                    </a:xfrm>
                                    <a:prstGeom prst="line">
                                      <a:avLst/>
                                    </a:prstGeom>
                                    <a:ln w="9525" cap="flat" cmpd="sng">
                                      <a:solidFill>
                                        <a:srgbClr val="000000"/>
                                      </a:solidFill>
                                      <a:prstDash val="solid"/>
                                      <a:headEnd type="none" w="med" len="med"/>
                                      <a:tailEnd type="triangle" w="sm" len="med"/>
                                    </a:ln>
                                    <a:effectLst/>
                                  </wps:spPr>
                                  <wps:bodyPr upright="1"/>
                                </wps:wsp>
                                <wps:wsp>
                                  <wps:cNvPr id="36" name="直线 36"/>
                                  <wps:cNvCnPr/>
                                  <wps:spPr>
                                    <a:xfrm>
                                      <a:off x="7839" y="10577"/>
                                      <a:ext cx="533" cy="0"/>
                                    </a:xfrm>
                                    <a:prstGeom prst="line">
                                      <a:avLst/>
                                    </a:prstGeom>
                                    <a:ln w="9525" cap="flat" cmpd="sng">
                                      <a:solidFill>
                                        <a:srgbClr val="000000"/>
                                      </a:solidFill>
                                      <a:prstDash val="solid"/>
                                      <a:headEnd type="none" w="med" len="med"/>
                                      <a:tailEnd type="triangle" w="sm" len="med"/>
                                    </a:ln>
                                    <a:effectLst/>
                                  </wps:spPr>
                                  <wps:bodyPr upright="1"/>
                                </wps:wsp>
                                <wps:wsp>
                                  <wps:cNvPr id="66" name="矩形 37"/>
                                  <wps:cNvSpPr/>
                                  <wps:spPr>
                                    <a:xfrm>
                                      <a:off x="6555" y="10258"/>
                                      <a:ext cx="1335" cy="506"/>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0B47917A">
                                        <w:pPr>
                                          <w:spacing w:line="240" w:lineRule="exact"/>
                                          <w:jc w:val="center"/>
                                          <w:rPr>
                                            <w:color w:val="000000" w:themeColor="text1"/>
                                            <w:spacing w:val="-8"/>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pacing w:val="-8"/>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设备安装</w:t>
                                        </w:r>
                                      </w:p>
                                      <w:p w14:paraId="056D88C4">
                                        <w:pPr>
                                          <w:spacing w:line="240" w:lineRule="exact"/>
                                          <w:jc w:val="center"/>
                                          <w:rPr>
                                            <w:color w:val="000000" w:themeColor="text1"/>
                                            <w:spacing w:val="-8"/>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pacing w:val="-8"/>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及配套工程</w:t>
                                        </w:r>
                                      </w:p>
                                    </w:txbxContent>
                                  </wps:txbx>
                                  <wps:bodyPr lIns="18000" tIns="0" rIns="18000" bIns="0" upright="1"/>
                                </wps:wsp>
                                <wps:wsp>
                                  <wps:cNvPr id="67" name="矩形 38"/>
                                  <wps:cNvSpPr/>
                                  <wps:spPr>
                                    <a:xfrm>
                                      <a:off x="8355" y="10258"/>
                                      <a:ext cx="1155" cy="468"/>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1B7AC7AA">
                                        <w:pPr>
                                          <w:ind w:right="-315" w:rightChars="-150"/>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工程验收</w:t>
                                        </w:r>
                                      </w:p>
                                    </w:txbxContent>
                                  </wps:txbx>
                                  <wps:bodyPr upright="1"/>
                                </wps:wsp>
                                <wps:wsp>
                                  <wps:cNvPr id="68" name="矩形 39"/>
                                  <wps:cNvSpPr/>
                                  <wps:spPr>
                                    <a:xfrm>
                                      <a:off x="1665" y="8936"/>
                                      <a:ext cx="1122" cy="357"/>
                                    </a:xfrm>
                                    <a:prstGeom prst="rect">
                                      <a:avLst/>
                                    </a:prstGeom>
                                    <a:solidFill>
                                      <a:srgbClr val="FFFFFF"/>
                                    </a:solidFill>
                                    <a:ln w="9525" cap="flat" cmpd="sng">
                                      <a:solidFill>
                                        <a:srgbClr val="000000"/>
                                      </a:solidFill>
                                      <a:prstDash val="dash"/>
                                      <a:miter/>
                                      <a:headEnd type="none" w="med" len="med"/>
                                      <a:tailEnd type="none" w="med" len="med"/>
                                    </a:ln>
                                    <a:effectLst/>
                                  </wps:spPr>
                                  <wps:txbx>
                                    <w:txbxContent>
                                      <w:p w14:paraId="4F65221D">
                                        <w:pPr>
                                          <w:spacing w:line="320" w:lineRule="exact"/>
                                          <w:ind w:left="-105" w:leftChars="-50" w:right="-105" w:rightChars="-50"/>
                                          <w:jc w:val="center"/>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施工噪声</w:t>
                                        </w:r>
                                      </w:p>
                                    </w:txbxContent>
                                  </wps:txbx>
                                  <wps:bodyPr lIns="91440" tIns="0" rIns="91440" bIns="0" upright="1"/>
                                </wps:wsp>
                                <wps:wsp>
                                  <wps:cNvPr id="69" name="矩形 40"/>
                                  <wps:cNvSpPr/>
                                  <wps:spPr>
                                    <a:xfrm>
                                      <a:off x="3465" y="8936"/>
                                      <a:ext cx="1365" cy="357"/>
                                    </a:xfrm>
                                    <a:prstGeom prst="rect">
                                      <a:avLst/>
                                    </a:prstGeom>
                                    <a:solidFill>
                                      <a:srgbClr val="FFFFFF"/>
                                    </a:solidFill>
                                    <a:ln w="9525" cap="flat" cmpd="sng">
                                      <a:solidFill>
                                        <a:srgbClr val="000000"/>
                                      </a:solidFill>
                                      <a:prstDash val="dash"/>
                                      <a:miter/>
                                      <a:headEnd type="none" w="med" len="med"/>
                                      <a:tailEnd type="none" w="med" len="med"/>
                                    </a:ln>
                                    <a:effectLst/>
                                  </wps:spPr>
                                  <wps:txbx>
                                    <w:txbxContent>
                                      <w:p w14:paraId="6D71CBFD">
                                        <w:pPr>
                                          <w:spacing w:line="300" w:lineRule="exact"/>
                                          <w:ind w:right="-315" w:rightChars="-150"/>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扬尘、废气</w:t>
                                        </w:r>
                                      </w:p>
                                    </w:txbxContent>
                                  </wps:txbx>
                                  <wps:bodyPr lIns="91440" tIns="0" rIns="91440" bIns="0" upright="1"/>
                                </wps:wsp>
                                <wps:wsp>
                                  <wps:cNvPr id="70" name="矩形 41"/>
                                  <wps:cNvSpPr/>
                                  <wps:spPr>
                                    <a:xfrm>
                                      <a:off x="5107" y="8908"/>
                                      <a:ext cx="1155" cy="357"/>
                                    </a:xfrm>
                                    <a:prstGeom prst="rect">
                                      <a:avLst/>
                                    </a:prstGeom>
                                    <a:solidFill>
                                      <a:srgbClr val="FFFFFF"/>
                                    </a:solidFill>
                                    <a:ln w="9525" cap="flat" cmpd="sng">
                                      <a:solidFill>
                                        <a:srgbClr val="000000"/>
                                      </a:solidFill>
                                      <a:prstDash val="dash"/>
                                      <a:miter/>
                                      <a:headEnd type="none" w="med" len="med"/>
                                      <a:tailEnd type="none" w="med" len="med"/>
                                    </a:ln>
                                    <a:effectLst/>
                                  </wps:spPr>
                                  <wps:txbx>
                                    <w:txbxContent>
                                      <w:p w14:paraId="2D8C4287">
                                        <w:pPr>
                                          <w:ind w:right="-315" w:rightChars="-150"/>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施工废水</w:t>
                                        </w:r>
                                      </w:p>
                                    </w:txbxContent>
                                  </wps:txbx>
                                  <wps:bodyPr lIns="91440" tIns="0" rIns="91440" bIns="0" upright="1"/>
                                </wps:wsp>
                                <wps:wsp>
                                  <wps:cNvPr id="71" name="矩形 42"/>
                                  <wps:cNvSpPr/>
                                  <wps:spPr>
                                    <a:xfrm>
                                      <a:off x="6547" y="8940"/>
                                      <a:ext cx="1155" cy="357"/>
                                    </a:xfrm>
                                    <a:prstGeom prst="rect">
                                      <a:avLst/>
                                    </a:prstGeom>
                                    <a:solidFill>
                                      <a:srgbClr val="FFFFFF"/>
                                    </a:solidFill>
                                    <a:ln w="9525" cap="flat" cmpd="sng">
                                      <a:solidFill>
                                        <a:srgbClr val="000000"/>
                                      </a:solidFill>
                                      <a:prstDash val="dash"/>
                                      <a:miter/>
                                      <a:headEnd type="none" w="med" len="med"/>
                                      <a:tailEnd type="none" w="med" len="med"/>
                                    </a:ln>
                                    <a:effectLst/>
                                  </wps:spPr>
                                  <wps:txbx>
                                    <w:txbxContent>
                                      <w:p w14:paraId="7267A22F">
                                        <w:pPr>
                                          <w:ind w:right="-315" w:rightChars="-150"/>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生活污水</w:t>
                                        </w:r>
                                      </w:p>
                                    </w:txbxContent>
                                  </wps:txbx>
                                  <wps:bodyPr lIns="91440" tIns="0" rIns="91440" bIns="0" upright="1"/>
                                </wps:wsp>
                                <wps:wsp>
                                  <wps:cNvPr id="72" name="矩形 43"/>
                                  <wps:cNvSpPr/>
                                  <wps:spPr>
                                    <a:xfrm>
                                      <a:off x="8106" y="8944"/>
                                      <a:ext cx="1227" cy="357"/>
                                    </a:xfrm>
                                    <a:prstGeom prst="rect">
                                      <a:avLst/>
                                    </a:prstGeom>
                                    <a:solidFill>
                                      <a:srgbClr val="FFFFFF"/>
                                    </a:solidFill>
                                    <a:ln w="9525" cap="flat" cmpd="sng">
                                      <a:solidFill>
                                        <a:srgbClr val="000000"/>
                                      </a:solidFill>
                                      <a:prstDash val="dash"/>
                                      <a:miter/>
                                      <a:headEnd type="none" w="med" len="med"/>
                                      <a:tailEnd type="none" w="med" len="med"/>
                                    </a:ln>
                                    <a:effectLst/>
                                  </wps:spPr>
                                  <wps:txbx>
                                    <w:txbxContent>
                                      <w:p w14:paraId="64168FCC">
                                        <w:pPr>
                                          <w:spacing w:line="300" w:lineRule="exact"/>
                                          <w:ind w:right="-315" w:rightChars="-150"/>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弃土、弃渣</w:t>
                                        </w:r>
                                      </w:p>
                                    </w:txbxContent>
                                  </wps:txbx>
                                  <wps:bodyPr lIns="18000" tIns="0" rIns="18000" bIns="0" upright="1"/>
                                </wps:wsp>
                                <wps:wsp>
                                  <wps:cNvPr id="73" name="直线 44"/>
                                  <wps:cNvCnPr/>
                                  <wps:spPr>
                                    <a:xfrm>
                                      <a:off x="5190" y="9760"/>
                                      <a:ext cx="1" cy="369"/>
                                    </a:xfrm>
                                    <a:prstGeom prst="line">
                                      <a:avLst/>
                                    </a:prstGeom>
                                    <a:ln w="9525" cap="flat" cmpd="sng">
                                      <a:solidFill>
                                        <a:srgbClr val="000000"/>
                                      </a:solidFill>
                                      <a:prstDash val="dash"/>
                                      <a:headEnd type="none" w="med" len="med"/>
                                      <a:tailEnd type="none" w="med" len="med"/>
                                    </a:ln>
                                    <a:effectLst/>
                                  </wps:spPr>
                                  <wps:bodyPr upright="1"/>
                                </wps:wsp>
                                <wps:wsp>
                                  <wps:cNvPr id="74" name="直线 45"/>
                                  <wps:cNvCnPr/>
                                  <wps:spPr>
                                    <a:xfrm>
                                      <a:off x="6982" y="9708"/>
                                      <a:ext cx="1" cy="537"/>
                                    </a:xfrm>
                                    <a:prstGeom prst="line">
                                      <a:avLst/>
                                    </a:prstGeom>
                                    <a:ln w="9525" cap="flat" cmpd="sng">
                                      <a:solidFill>
                                        <a:srgbClr val="000000"/>
                                      </a:solidFill>
                                      <a:prstDash val="dash"/>
                                      <a:headEnd type="none" w="med" len="med"/>
                                      <a:tailEnd type="none" w="med" len="med"/>
                                    </a:ln>
                                    <a:effectLst/>
                                  </wps:spPr>
                                  <wps:bodyPr upright="1"/>
                                </wps:wsp>
                                <wps:wsp>
                                  <wps:cNvPr id="75" name="直线 46"/>
                                  <wps:cNvCnPr/>
                                  <wps:spPr>
                                    <a:xfrm flipV="1">
                                      <a:off x="2232" y="9296"/>
                                      <a:ext cx="1" cy="425"/>
                                    </a:xfrm>
                                    <a:prstGeom prst="line">
                                      <a:avLst/>
                                    </a:prstGeom>
                                    <a:ln w="9525" cap="flat" cmpd="sng">
                                      <a:solidFill>
                                        <a:srgbClr val="000000"/>
                                      </a:solidFill>
                                      <a:prstDash val="dash"/>
                                      <a:headEnd type="none" w="med" len="med"/>
                                      <a:tailEnd type="triangle" w="sm" len="med"/>
                                    </a:ln>
                                    <a:effectLst/>
                                  </wps:spPr>
                                  <wps:bodyPr upright="1"/>
                                </wps:wsp>
                                <wps:wsp>
                                  <wps:cNvPr id="76" name="直线 47"/>
                                  <wps:cNvCnPr/>
                                  <wps:spPr>
                                    <a:xfrm flipV="1">
                                      <a:off x="4110" y="9291"/>
                                      <a:ext cx="1" cy="425"/>
                                    </a:xfrm>
                                    <a:prstGeom prst="line">
                                      <a:avLst/>
                                    </a:prstGeom>
                                    <a:ln w="9525" cap="flat" cmpd="sng">
                                      <a:solidFill>
                                        <a:srgbClr val="000000"/>
                                      </a:solidFill>
                                      <a:prstDash val="dash"/>
                                      <a:headEnd type="none" w="med" len="med"/>
                                      <a:tailEnd type="triangle" w="sm" len="med"/>
                                    </a:ln>
                                    <a:effectLst/>
                                  </wps:spPr>
                                  <wps:bodyPr upright="1"/>
                                </wps:wsp>
                                <wps:wsp>
                                  <wps:cNvPr id="77" name="直线 48"/>
                                  <wps:cNvCnPr/>
                                  <wps:spPr>
                                    <a:xfrm flipV="1">
                                      <a:off x="8542" y="9266"/>
                                      <a:ext cx="1" cy="431"/>
                                    </a:xfrm>
                                    <a:prstGeom prst="line">
                                      <a:avLst/>
                                    </a:prstGeom>
                                    <a:ln w="9525" cap="flat" cmpd="sng">
                                      <a:solidFill>
                                        <a:srgbClr val="000000"/>
                                      </a:solidFill>
                                      <a:prstDash val="dash"/>
                                      <a:headEnd type="none" w="med" len="med"/>
                                      <a:tailEnd type="triangle" w="sm" len="med"/>
                                    </a:ln>
                                    <a:effectLst/>
                                  </wps:spPr>
                                  <wps:bodyPr upright="1"/>
                                </wps:wsp>
                                <wps:wsp>
                                  <wps:cNvPr id="78" name="直线 49"/>
                                  <wps:cNvCnPr/>
                                  <wps:spPr>
                                    <a:xfrm flipV="1">
                                      <a:off x="4114" y="7911"/>
                                      <a:ext cx="1" cy="964"/>
                                    </a:xfrm>
                                    <a:prstGeom prst="line">
                                      <a:avLst/>
                                    </a:prstGeom>
                                    <a:ln w="9525" cap="flat" cmpd="sng">
                                      <a:solidFill>
                                        <a:srgbClr val="000000"/>
                                      </a:solidFill>
                                      <a:prstDash val="dash"/>
                                      <a:headEnd type="none" w="med" len="med"/>
                                      <a:tailEnd type="triangle" w="sm" len="med"/>
                                    </a:ln>
                                    <a:effectLst/>
                                  </wps:spPr>
                                  <wps:bodyPr upright="1"/>
                                </wps:wsp>
                                <wps:wsp>
                                  <wps:cNvPr id="79" name="直线 50"/>
                                  <wps:cNvCnPr/>
                                  <wps:spPr>
                                    <a:xfrm flipV="1">
                                      <a:off x="8545" y="8250"/>
                                      <a:ext cx="1" cy="693"/>
                                    </a:xfrm>
                                    <a:prstGeom prst="line">
                                      <a:avLst/>
                                    </a:prstGeom>
                                    <a:ln w="9525" cap="flat" cmpd="sng">
                                      <a:solidFill>
                                        <a:srgbClr val="000000"/>
                                      </a:solidFill>
                                      <a:prstDash val="dash"/>
                                      <a:headEnd type="none" w="med" len="med"/>
                                      <a:tailEnd type="triangle" w="sm" len="med"/>
                                    </a:ln>
                                    <a:effectLst/>
                                  </wps:spPr>
                                  <wps:bodyPr upright="1"/>
                                </wps:wsp>
                                <wps:wsp>
                                  <wps:cNvPr id="80" name="直线 51"/>
                                  <wps:cNvCnPr/>
                                  <wps:spPr>
                                    <a:xfrm flipV="1">
                                      <a:off x="5678" y="7964"/>
                                      <a:ext cx="1" cy="340"/>
                                    </a:xfrm>
                                    <a:prstGeom prst="line">
                                      <a:avLst/>
                                    </a:prstGeom>
                                    <a:ln w="9525" cap="flat" cmpd="sng">
                                      <a:solidFill>
                                        <a:srgbClr val="000000"/>
                                      </a:solidFill>
                                      <a:prstDash val="dash"/>
                                      <a:headEnd type="none" w="med" len="med"/>
                                      <a:tailEnd type="triangle" w="sm" len="med"/>
                                    </a:ln>
                                    <a:effectLst/>
                                  </wps:spPr>
                                  <wps:bodyPr upright="1"/>
                                </wps:wsp>
                                <wps:wsp>
                                  <wps:cNvPr id="81" name="直线 52"/>
                                  <wps:cNvCnPr/>
                                  <wps:spPr>
                                    <a:xfrm flipV="1">
                                      <a:off x="7026" y="8454"/>
                                      <a:ext cx="1" cy="410"/>
                                    </a:xfrm>
                                    <a:prstGeom prst="line">
                                      <a:avLst/>
                                    </a:prstGeom>
                                    <a:ln w="9525" cap="flat" cmpd="sng">
                                      <a:solidFill>
                                        <a:srgbClr val="000000"/>
                                      </a:solidFill>
                                      <a:prstDash val="dash"/>
                                      <a:headEnd type="none" w="med" len="med"/>
                                      <a:tailEnd type="triangle" w="sm" len="med"/>
                                    </a:ln>
                                    <a:effectLst/>
                                  </wps:spPr>
                                  <wps:bodyPr upright="1"/>
                                </wps:wsp>
                                <wps:wsp>
                                  <wps:cNvPr id="82" name="直线 53"/>
                                  <wps:cNvCnPr/>
                                  <wps:spPr>
                                    <a:xfrm flipH="1">
                                      <a:off x="1950" y="9760"/>
                                      <a:ext cx="1" cy="369"/>
                                    </a:xfrm>
                                    <a:prstGeom prst="line">
                                      <a:avLst/>
                                    </a:prstGeom>
                                    <a:ln w="9525" cap="flat" cmpd="sng">
                                      <a:solidFill>
                                        <a:srgbClr val="000000"/>
                                      </a:solidFill>
                                      <a:prstDash val="dash"/>
                                      <a:headEnd type="none" w="med" len="med"/>
                                      <a:tailEnd type="none" w="med" len="med"/>
                                    </a:ln>
                                    <a:effectLst/>
                                  </wps:spPr>
                                  <wps:bodyPr upright="1"/>
                                </wps:wsp>
                                <wps:wsp>
                                  <wps:cNvPr id="83" name="直线 54"/>
                                  <wps:cNvCnPr/>
                                  <wps:spPr>
                                    <a:xfrm flipV="1">
                                      <a:off x="2000" y="9718"/>
                                      <a:ext cx="6565" cy="0"/>
                                    </a:xfrm>
                                    <a:prstGeom prst="line">
                                      <a:avLst/>
                                    </a:prstGeom>
                                    <a:ln w="9525" cap="flat" cmpd="sng">
                                      <a:solidFill>
                                        <a:srgbClr val="000000"/>
                                      </a:solidFill>
                                      <a:prstDash val="dash"/>
                                      <a:headEnd type="none" w="med" len="med"/>
                                      <a:tailEnd type="none" w="med" len="med"/>
                                    </a:ln>
                                    <a:effectLst/>
                                  </wps:spPr>
                                  <wps:bodyPr upright="1"/>
                                </wps:wsp>
                                <wps:wsp>
                                  <wps:cNvPr id="84" name="直线 55"/>
                                  <wps:cNvCnPr/>
                                  <wps:spPr>
                                    <a:xfrm flipV="1">
                                      <a:off x="5674" y="9323"/>
                                      <a:ext cx="1" cy="320"/>
                                    </a:xfrm>
                                    <a:prstGeom prst="line">
                                      <a:avLst/>
                                    </a:prstGeom>
                                    <a:ln w="9525" cap="flat" cmpd="sng">
                                      <a:solidFill>
                                        <a:srgbClr val="000000"/>
                                      </a:solidFill>
                                      <a:prstDash val="dash"/>
                                      <a:headEnd type="none" w="med" len="med"/>
                                      <a:tailEnd type="triangle" w="sm" len="med"/>
                                    </a:ln>
                                    <a:effectLst/>
                                  </wps:spPr>
                                  <wps:bodyPr upright="1"/>
                                </wps:wsp>
                                <wps:wsp>
                                  <wps:cNvPr id="85" name="矩形 56"/>
                                  <wps:cNvSpPr/>
                                  <wps:spPr>
                                    <a:xfrm>
                                      <a:off x="1649" y="7729"/>
                                      <a:ext cx="1312" cy="313"/>
                                    </a:xfrm>
                                    <a:prstGeom prst="rect">
                                      <a:avLst/>
                                    </a:prstGeom>
                                    <a:solidFill>
                                      <a:srgbClr val="FFFFFF"/>
                                    </a:solidFill>
                                    <a:ln w="9525" cap="flat" cmpd="sng">
                                      <a:solidFill>
                                        <a:srgbClr val="FFFFFF"/>
                                      </a:solidFill>
                                      <a:prstDash val="sysDot"/>
                                      <a:miter/>
                                      <a:headEnd type="none" w="med" len="med"/>
                                      <a:tailEnd type="none" w="med" len="med"/>
                                    </a:ln>
                                    <a:effectLst/>
                                  </wps:spPr>
                                  <wps:txbx>
                                    <w:txbxContent>
                                      <w:p w14:paraId="65CA4BA1">
                                        <w:pPr>
                                          <w:jc w:val="center"/>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声学环境</w:t>
                                        </w:r>
                                      </w:p>
                                    </w:txbxContent>
                                  </wps:txbx>
                                  <wps:bodyPr lIns="0" tIns="0" rIns="0" bIns="0" upright="1"/>
                                </wps:wsp>
                                <wps:wsp>
                                  <wps:cNvPr id="86" name="矩形 57"/>
                                  <wps:cNvSpPr/>
                                  <wps:spPr>
                                    <a:xfrm>
                                      <a:off x="3642" y="7451"/>
                                      <a:ext cx="1132" cy="412"/>
                                    </a:xfrm>
                                    <a:prstGeom prst="rect">
                                      <a:avLst/>
                                    </a:prstGeom>
                                    <a:solidFill>
                                      <a:srgbClr val="FFFFFF"/>
                                    </a:solidFill>
                                    <a:ln w="9525" cap="flat" cmpd="sng">
                                      <a:solidFill>
                                        <a:srgbClr val="FFFFFF"/>
                                      </a:solidFill>
                                      <a:prstDash val="sysDot"/>
                                      <a:miter/>
                                      <a:headEnd type="none" w="med" len="med"/>
                                      <a:tailEnd type="none" w="med" len="med"/>
                                    </a:ln>
                                    <a:effectLst/>
                                  </wps:spPr>
                                  <wps:txbx>
                                    <w:txbxContent>
                                      <w:p w14:paraId="6E371449">
                                        <w:pPr>
                                          <w:jc w:val="center"/>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大气环境</w:t>
                                        </w:r>
                                      </w:p>
                                    </w:txbxContent>
                                  </wps:txbx>
                                  <wps:bodyPr lIns="0" tIns="0" rIns="0" bIns="0" upright="1"/>
                                </wps:wsp>
                                <wps:wsp>
                                  <wps:cNvPr id="87" name="矩形 58"/>
                                  <wps:cNvSpPr/>
                                  <wps:spPr>
                                    <a:xfrm>
                                      <a:off x="5011" y="8354"/>
                                      <a:ext cx="1329" cy="265"/>
                                    </a:xfrm>
                                    <a:prstGeom prst="rect">
                                      <a:avLst/>
                                    </a:prstGeom>
                                    <a:solidFill>
                                      <a:srgbClr val="FFFFFF"/>
                                    </a:solidFill>
                                    <a:ln w="9525" cap="flat" cmpd="sng">
                                      <a:solidFill>
                                        <a:srgbClr val="FFFFFF"/>
                                      </a:solidFill>
                                      <a:prstDash val="sysDot"/>
                                      <a:miter/>
                                      <a:headEnd type="none" w="med" len="med"/>
                                      <a:tailEnd type="none" w="med" len="med"/>
                                    </a:ln>
                                    <a:effectLst/>
                                  </wps:spPr>
                                  <wps:txbx>
                                    <w:txbxContent>
                                      <w:p w14:paraId="7E2C432B">
                                        <w:pPr>
                                          <w:jc w:val="center"/>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沉淀池处理</w:t>
                                        </w:r>
                                      </w:p>
                                    </w:txbxContent>
                                  </wps:txbx>
                                  <wps:bodyPr lIns="0" tIns="0" rIns="0" bIns="0" upright="1"/>
                                </wps:wsp>
                                <wps:wsp>
                                  <wps:cNvPr id="88" name="矩形 59"/>
                                  <wps:cNvSpPr/>
                                  <wps:spPr>
                                    <a:xfrm>
                                      <a:off x="7950" y="7836"/>
                                      <a:ext cx="1570" cy="380"/>
                                    </a:xfrm>
                                    <a:prstGeom prst="rect">
                                      <a:avLst/>
                                    </a:prstGeom>
                                    <a:solidFill>
                                      <a:srgbClr val="FFFFFF"/>
                                    </a:solidFill>
                                    <a:ln w="9525" cap="flat" cmpd="sng">
                                      <a:solidFill>
                                        <a:srgbClr val="FFFFFF"/>
                                      </a:solidFill>
                                      <a:prstDash val="sysDot"/>
                                      <a:miter/>
                                      <a:headEnd type="none" w="med" len="med"/>
                                      <a:tailEnd type="none" w="med" len="med"/>
                                    </a:ln>
                                    <a:effectLst/>
                                  </wps:spPr>
                                  <wps:txbx>
                                    <w:txbxContent>
                                      <w:p w14:paraId="1368C0D7">
                                        <w:pPr>
                                          <w:jc w:val="center"/>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pacing w:val="-10"/>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指定</w:t>
                                        </w: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地点</w:t>
                                        </w:r>
                                        <w:r>
                                          <w:rPr>
                                            <w:rFonts w:hint="eastAsia"/>
                                            <w:color w:val="000000" w:themeColor="text1"/>
                                            <w:spacing w:val="-10"/>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堆放</w:t>
                                        </w:r>
                                      </w:p>
                                    </w:txbxContent>
                                  </wps:txbx>
                                  <wps:bodyPr lIns="0" tIns="0" rIns="0" bIns="0" upright="1"/>
                                </wps:wsp>
                                <wps:wsp>
                                  <wps:cNvPr id="89" name="矩形 60"/>
                                  <wps:cNvSpPr/>
                                  <wps:spPr>
                                    <a:xfrm>
                                      <a:off x="6514" y="8231"/>
                                      <a:ext cx="969" cy="377"/>
                                    </a:xfrm>
                                    <a:prstGeom prst="rect">
                                      <a:avLst/>
                                    </a:prstGeom>
                                    <a:solidFill>
                                      <a:srgbClr val="FFFFFF"/>
                                    </a:solidFill>
                                    <a:ln w="9525" cap="flat" cmpd="sng">
                                      <a:solidFill>
                                        <a:srgbClr val="FFFFFF"/>
                                      </a:solidFill>
                                      <a:prstDash val="sysDot"/>
                                      <a:miter/>
                                      <a:headEnd type="none" w="med" len="med"/>
                                      <a:tailEnd type="none" w="med" len="med"/>
                                    </a:ln>
                                    <a:effectLst/>
                                  </wps:spPr>
                                  <wps:txbx>
                                    <w:txbxContent>
                                      <w:p w14:paraId="6FBC38CF">
                                        <w:pPr>
                                          <w:jc w:val="center"/>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旱厕</w:t>
                                        </w:r>
                                      </w:p>
                                    </w:txbxContent>
                                  </wps:txbx>
                                  <wps:bodyPr lIns="0" tIns="0" rIns="0" bIns="0" upright="1"/>
                                </wps:wsp>
                                <wps:wsp>
                                  <wps:cNvPr id="90" name="直线 61"/>
                                  <wps:cNvCnPr/>
                                  <wps:spPr>
                                    <a:xfrm flipV="1">
                                      <a:off x="7039" y="9323"/>
                                      <a:ext cx="1" cy="341"/>
                                    </a:xfrm>
                                    <a:prstGeom prst="line">
                                      <a:avLst/>
                                    </a:prstGeom>
                                    <a:ln w="9525" cap="flat" cmpd="sng">
                                      <a:solidFill>
                                        <a:srgbClr val="000000"/>
                                      </a:solidFill>
                                      <a:prstDash val="dash"/>
                                      <a:headEnd type="none" w="med" len="med"/>
                                      <a:tailEnd type="triangle" w="sm" len="med"/>
                                    </a:ln>
                                    <a:effectLst/>
                                  </wps:spPr>
                                  <wps:bodyPr upright="1"/>
                                </wps:wsp>
                                <wps:wsp>
                                  <wps:cNvPr id="91" name="直线 62"/>
                                  <wps:cNvCnPr/>
                                  <wps:spPr>
                                    <a:xfrm>
                                      <a:off x="3270" y="9760"/>
                                      <a:ext cx="1" cy="369"/>
                                    </a:xfrm>
                                    <a:prstGeom prst="line">
                                      <a:avLst/>
                                    </a:prstGeom>
                                    <a:ln w="9525" cap="flat" cmpd="sng">
                                      <a:solidFill>
                                        <a:srgbClr val="000000"/>
                                      </a:solidFill>
                                      <a:prstDash val="dash"/>
                                      <a:headEnd type="none" w="med" len="med"/>
                                      <a:tailEnd type="none" w="med" len="med"/>
                                    </a:ln>
                                    <a:effectLst/>
                                  </wps:spPr>
                                  <wps:bodyPr upright="1"/>
                                </wps:wsp>
                              </wpg:grpSp>
                            </wpg:grpSp>
                          </wpg:wgp>
                        </a:graphicData>
                      </a:graphic>
                    </wp:inline>
                  </w:drawing>
                </mc:Choice>
                <mc:Fallback>
                  <w:pict>
                    <v:group id="_x0000_s1026" o:spid="_x0000_s1026" o:spt="203" style="height:196pt;width:406.95pt;" coordorigin="2138,2157" coordsize="7597,3741" o:gfxdata="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">
                      <o:lock v:ext="edit" rotation="t" aspectratio="f"/>
                      <v:shape id="Text Box 1106" o:spid="_x0000_s1026" o:spt="202" type="#_x0000_t202" style="position:absolute;left:3494;top:5516;height:382;width:5037;" fillcolor="#FFFFFF" filled="t" stroked="f" coordsize="21600,21600" o:gfxdata="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uDTKXtwAAANsAAAAP&#10;AAAAAAAAAAEAIAAAACIAAABkcnMvZG93bnJldi54bWxQSwECFAAUAAAACACHTuJAMy8FnjsAAAA5&#10;AAAAEAAAAAAAAAABACAAAAAGAQAAZHJzL3NoYXBleG1sLnhtbFBLBQYAAAAABgAGAFsBAACwAwAA&#10;AAA=&#10;">
                        <v:fill on="t" focussize="0,0"/>
                        <v:stroke on="f"/>
                        <v:imagedata o:title=""/>
                        <o:lock v:ext="edit" aspectratio="f"/>
                        <v:textbox inset="0mm,0mm,0mm,0mm">
                          <w:txbxContent>
                            <w:p w14:paraId="2E2B7EE4">
                              <w:pPr>
                                <w:jc w:val="center"/>
                                <w:rPr>
                                  <w:rFonts w:hint="eastAsia" w:eastAsia="黑体"/>
                                  <w:b/>
                                  <w:color w:val="000000" w:themeColor="text1"/>
                                  <w:sz w:val="24"/>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eastAsia="黑体"/>
                                  <w:b/>
                                  <w:color w:val="000000" w:themeColor="text1"/>
                                  <w:sz w:val="24"/>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图</w:t>
                              </w:r>
                              <w:r>
                                <w:rPr>
                                  <w:rFonts w:hint="eastAsia" w:eastAsia="黑体"/>
                                  <w:b/>
                                  <w:color w:val="000000" w:themeColor="text1"/>
                                  <w:sz w:val="24"/>
                                  <w:lang w:val="en-US"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5</w:t>
                              </w:r>
                              <w:r>
                                <w:rPr>
                                  <w:rFonts w:hint="eastAsia" w:eastAsia="黑体"/>
                                  <w:b/>
                                  <w:color w:val="000000" w:themeColor="text1"/>
                                  <w:sz w:val="24"/>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-2施工</w:t>
                              </w:r>
                              <w:r>
                                <w:rPr>
                                  <w:rFonts w:eastAsia="黑体"/>
                                  <w:b/>
                                  <w:color w:val="000000" w:themeColor="text1"/>
                                  <w:sz w:val="24"/>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期工艺流程</w:t>
                              </w:r>
                              <w:r>
                                <w:rPr>
                                  <w:rFonts w:hint="eastAsia" w:eastAsia="黑体"/>
                                  <w:b/>
                                  <w:color w:val="000000" w:themeColor="text1"/>
                                  <w:sz w:val="24"/>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及产污环节图</w:t>
                              </w:r>
                            </w:p>
                          </w:txbxContent>
                        </v:textbox>
                      </v:shape>
                      <v:group id="组合 25" o:spid="_x0000_s1026" o:spt="203" style="position:absolute;left:2138;top:2157;height:3126;width:7597;" coordorigin="1536,7451" coordsize="7984,3313" o:gfxdata="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1TPka70AAADbAAAADwAAAAAAAAABACAAAAAiAAAAZHJzL2Rvd25yZXYueG1s&#10;UEsBAhQAFAAAAAgAh07iQDMvBZ47AAAAOQAAABUAAAAAAAAAAQAgAAAADAEAAGRycy9ncm91cHNo&#10;YXBleG1sLnhtbFBLBQYAAAAABgAGAGABAADJAwAAAAA=&#10;">
                        <o:lock v:ext="edit" aspectratio="f"/>
                        <v:rect id="矩形 26" o:spid="_x0000_s1026" o:spt="1" style="position:absolute;left:5138;top:7599;height:384;width:1132;" fillcolor="#FFFFFF" filled="t" stroked="t" coordsize="21600,21600" o:gfxdata="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4FB1rsAAADb&#10;AAAADwAAAAAAAAABACAAAAAiAAAAZHJzL2Rvd25yZXYueG1sUEsBAhQAFAAAAAgAh07iQDMvBZ47&#10;AAAAOQAAABAAAAAAAAAAAQAgAAAACgEAAGRycy9zaGFwZXhtbC54bWxQSwUGAAAAAAYABgBbAQAA&#10;tAMAAAAA&#10;">
                          <v:fill on="t" focussize="0,0"/>
                          <v:stroke color="#FFFFFF" joinstyle="miter"/>
                          <v:imagedata o:title=""/>
                          <o:lock v:ext="edit" aspectratio="f"/>
                          <v:textbox inset="0mm,0mm,0mm,0mm">
                            <w:txbxContent>
                              <w:p w14:paraId="6C74C9FD">
                                <w:pPr>
                                  <w:jc w:val="center"/>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循环使用</w:t>
                                </w:r>
                              </w:p>
                            </w:txbxContent>
                          </v:textbox>
                        </v:rect>
                        <v:group id="组合 27" o:spid="_x0000_s1026" o:spt="203" style="position:absolute;left:1536;top:7451;height:3313;width:7984;" coordorigin="1536,7451" coordsize="7984,3313" o:gfxdata="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a2nwfvAAAANsAAAAPAAAAAAAAAAEAIAAAACIAAABkcnMvZG93bnJldi54bWxQ&#10;SwECFAAUAAAACACHTuJAMy8FnjsAAAA5AAAAFQAAAAAAAAABACAAAAALAQAAZHJzL2dyb3Vwc2hh&#10;cGV4bWwueG1sUEsFBgAAAAAGAAYAYAEAAMgDAAAAAA==&#10;">
                          <o:lock v:ext="edit" aspectratio="f"/>
                          <v:line id="直线 28" o:spid="_x0000_s1026" o:spt="20" style="position:absolute;left:2662;top:10577;height:0;width:533;" filled="f" stroked="t" coordsize="21600,21600" o:gfxdata="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v5Jf2/&#10;AAAA2wAAAA8AAAAAAAAAAQAgAAAAIgAAAGRycy9kb3ducmV2LnhtbFBLAQIUABQAAAAIAIdO4kAz&#10;LwWeOwAAADkAAAAQAAAAAAAAAAEAIAAAAA4BAABkcnMvc2hhcGV4bWwueG1sUEsFBgAAAAAGAAYA&#10;WwEAALgDAAAAAA==&#10;">
                            <v:fill on="f" focussize="0,0"/>
                            <v:stroke color="#000000" joinstyle="round" endarrow="block" endarrowwidth="narrow"/>
                            <v:imagedata o:title=""/>
                            <o:lock v:ext="edit" aspectratio="f"/>
                          </v:line>
                          <v:line id="直线 29" o:spid="_x0000_s1026" o:spt="20" style="position:absolute;left:2209;top:7983;flip:y;height:1020;width:1;" filled="f" stroked="t" coordsize="21600,21600" o:gfxdata="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b6U1rtwAAANsAAAAP&#10;AAAAAAAAAAEAIAAAACIAAABkcnMvZG93bnJldi54bWxQSwECFAAUAAAACACHTuJAMy8FnjsAAAA5&#10;AAAAEAAAAAAAAAABACAAAAAGAQAAZHJzL3NoYXBleG1sLnhtbFBLBQYAAAAABgAGAFsBAACwAwAA&#10;AAA=&#10;">
                            <v:fill on="f" focussize="0,0"/>
                            <v:stroke color="#000000" joinstyle="round" dashstyle="dash" endarrow="block" endarrowwidth="narrow"/>
                            <v:imagedata o:title=""/>
                            <o:lock v:ext="edit" aspectratio="f"/>
                          </v:line>
                          <v:line id="直线 30" o:spid="_x0000_s1026" o:spt="20" style="position:absolute;left:5686;top:8572;flip:y;height:468;width:1;" filled="f" stroked="t" coordsize="21600,21600" o:gfxdata="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IWmJ2ugAAANsA&#10;AAAPAAAAAAAAAAEAIAAAACIAAABkcnMvZG93bnJldi54bWxQSwECFAAUAAAACACHTuJAMy8FnjsA&#10;AAA5AAAAEAAAAAAAAAABACAAAAAJAQAAZHJzL3NoYXBleG1sLnhtbFBLBQYAAAAABgAGAFsBAACz&#10;AwAAAAA=&#10;">
                            <v:fill on="f" focussize="0,0"/>
                            <v:stroke color="#000000" joinstyle="round" dashstyle="dash" endarrow="block" endarrowwidth="narrow"/>
                            <v:imagedata o:title=""/>
                            <o:lock v:ext="edit" aspectratio="f"/>
                          </v:line>
                          <v:rect id="矩形 31" o:spid="_x0000_s1026" o:spt="1" style="position:absolute;left:1536;top:10267;height:468;width:1134;" fillcolor="#FFFFFF" filled="t" stroked="t" coordsize="21600,21600" o:gfxdata="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Fje6L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inset="0.5mm,2mm,0mm,1.27mm">
                              <w:txbxContent>
                                <w:p w14:paraId="54D60F3A">
                                  <w:pPr>
                                    <w:ind w:right="-315" w:rightChars="-150"/>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基础工程</w:t>
                                  </w:r>
                                </w:p>
                              </w:txbxContent>
                            </v:textbox>
                          </v:rect>
                          <v:rect id="矩形 32" o:spid="_x0000_s1026" o:spt="1" style="position:absolute;left:3202;top:10234;height:468;width:1140;" fillcolor="#FFFFFF" filled="t" stroked="t" coordsize="21600,21600" o:gfxdata="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yfPj+twAAANsAAAAP&#10;AAAAAAAAAAEAIAAAACIAAABkcnMvZG93bnJldi54bWxQSwECFAAUAAAACACHTuJAMy8FnjsAAAA5&#10;AAAAEAAAAAAAAAABACAAAAAGAQAAZHJzL3NoYXBleG1sLnhtbFBLBQYAAAAABgAGAFsBAACwAwAA&#10;AAA=&#10;">
                            <v:fill on="t" focussize="0,0"/>
                            <v:stroke color="#000000" joinstyle="miter"/>
                            <v:imagedata o:title=""/>
                            <o:lock v:ext="edit" aspectratio="f"/>
                            <v:textbox inset="0.5mm,1.27mm,0.5mm,1.27mm">
                              <w:txbxContent>
                                <w:p w14:paraId="1E96AB45">
                                  <w:pPr>
                                    <w:ind w:right="-315" w:rightChars="-150"/>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主体工程</w:t>
                                  </w:r>
                                </w:p>
                              </w:txbxContent>
                            </v:textbox>
                          </v:rect>
                          <v:rect id="_x0000_s1026" o:spid="_x0000_s1026" o:spt="1" style="position:absolute;left:4875;top:10246;height:468;width:1147;" fillcolor="#FFFFFF" filled="t" stroked="t" coordsize="21600,21600" o:gfxdata="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ToNyeLgAAADbAAAA&#10;DwAAAAAAAAABACAAAAAiAAAAZHJzL2Rvd25yZXYueG1sUEsBAhQAFAAAAAgAh07iQDMvBZ47AAAA&#10;OQAAABAAAAAAAAAAAQAgAAAABwEAAGRycy9zaGFwZXhtbC54bWxQSwUGAAAAAAYABgBbAQAAsQMA&#10;AAAA&#10;">
                            <v:fill on="t" focussize="0,0"/>
                            <v:stroke color="#000000" joinstyle="miter"/>
                            <v:imagedata o:title=""/>
                            <o:lock v:ext="edit" aspectratio="f"/>
                            <v:textbox inset="0.5mm,1.27mm,0.5mm,1.27mm">
                              <w:txbxContent>
                                <w:p w14:paraId="2513E702">
                                  <w:pPr>
                                    <w:ind w:right="-315" w:rightChars="-150"/>
                                    <w:jc w:val="left"/>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装饰工程</w:t>
                                  </w:r>
                                </w:p>
                              </w:txbxContent>
                            </v:textbox>
                          </v:rect>
                          <v:line id="直线 34" o:spid="_x0000_s1026" o:spt="20" style="position:absolute;left:4342;top:10577;height:0;width:533;" filled="f" stroked="t" coordsize="21600,21600" o:gfxdata="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4J2/D&#10;wAAAANsAAAAPAAAAAAAAAAEAIAAAACIAAABkcnMvZG93bnJldi54bWxQSwECFAAUAAAACACHTuJA&#10;My8FnjsAAAA5AAAAEAAAAAAAAAABACAAAAAPAQAAZHJzL3NoYXBleG1sLnhtbFBLBQYAAAAABgAG&#10;AFsBAAC5AwAAAAA=&#10;">
                            <v:fill on="f" focussize="0,0"/>
                            <v:stroke color="#000000" joinstyle="round" endarrow="block" endarrowwidth="narrow"/>
                            <v:imagedata o:title=""/>
                            <o:lock v:ext="edit" aspectratio="f"/>
                          </v:line>
                          <v:line id="直线 35" o:spid="_x0000_s1026" o:spt="20" style="position:absolute;left:6039;top:10577;height:0;width:533;" filled="f" stroked="t" coordsize="21600,21600" o:gfxdata="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a8pY&#10;wAAAANsAAAAPAAAAAAAAAAEAIAAAACIAAABkcnMvZG93bnJldi54bWxQSwECFAAUAAAACACHTuJA&#10;My8FnjsAAAA5AAAAEAAAAAAAAAABACAAAAAPAQAAZHJzL3NoYXBleG1sLnhtbFBLBQYAAAAABgAG&#10;AFsBAAC5AwAAAAA=&#10;">
                            <v:fill on="f" focussize="0,0"/>
                            <v:stroke color="#000000" joinstyle="round" endarrow="block" endarrowwidth="narrow"/>
                            <v:imagedata o:title=""/>
                            <o:lock v:ext="edit" aspectratio="f"/>
                          </v:line>
                          <v:line id="直线 36" o:spid="_x0000_s1026" o:spt="20" style="position:absolute;left:7839;top:10577;height:0;width:533;" filled="f" stroked="t" coordsize="21600,21600" o:gfxdata="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e5VC+/&#10;AAAA2wAAAA8AAAAAAAAAAQAgAAAAIgAAAGRycy9kb3ducmV2LnhtbFBLAQIUABQAAAAIAIdO4kAz&#10;LwWeOwAAADkAAAAQAAAAAAAAAAEAIAAAAA4BAABkcnMvc2hhcGV4bWwueG1sUEsFBgAAAAAGAAYA&#10;WwEAALgDAAAAAA==&#10;">
                            <v:fill on="f" focussize="0,0"/>
                            <v:stroke color="#000000" joinstyle="round" endarrow="block" endarrowwidth="narrow"/>
                            <v:imagedata o:title=""/>
                            <o:lock v:ext="edit" aspectratio="f"/>
                          </v:line>
                          <v:rect id="矩形 37" o:spid="_x0000_s1026" o:spt="1" style="position:absolute;left:6555;top:10258;height:506;width:1335;" fillcolor="#FFFFFF" filled="t" stroked="t" coordsize="21600,21600" o:gfxdata="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7Wt4X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inset="0.5mm,0mm,0.5mm,0mm">
                              <w:txbxContent>
                                <w:p w14:paraId="0B47917A">
                                  <w:pPr>
                                    <w:spacing w:line="240" w:lineRule="exact"/>
                                    <w:jc w:val="center"/>
                                    <w:rPr>
                                      <w:color w:val="000000" w:themeColor="text1"/>
                                      <w:spacing w:val="-8"/>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pacing w:val="-8"/>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设备安装</w:t>
                                  </w:r>
                                </w:p>
                                <w:p w14:paraId="056D88C4">
                                  <w:pPr>
                                    <w:spacing w:line="240" w:lineRule="exact"/>
                                    <w:jc w:val="center"/>
                                    <w:rPr>
                                      <w:color w:val="000000" w:themeColor="text1"/>
                                      <w:spacing w:val="-8"/>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pacing w:val="-8"/>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及配套工程</w:t>
                                  </w:r>
                                </w:p>
                              </w:txbxContent>
                            </v:textbox>
                          </v:rect>
                          <v:rect id="矩形 38" o:spid="_x0000_s1026" o:spt="1" style="position:absolute;left:8355;top:10258;height:468;width:1155;" fillcolor="#FFFFFF" filled="t" stroked="t" coordsize="21600,21600" o:gfxdata="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nP1mL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14:paraId="1B7AC7AA">
                                  <w:pPr>
                                    <w:ind w:right="-315" w:rightChars="-150"/>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工程验收</w:t>
                                  </w:r>
                                </w:p>
                              </w:txbxContent>
                            </v:textbox>
                          </v:rect>
                          <v:rect id="矩形 39" o:spid="_x0000_s1026" o:spt="1" style="position:absolute;left:1665;top:8936;height:357;width:1122;" fillcolor="#FFFFFF" filled="t" stroked="t" coordsize="21600,21600" o:gfxdata="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GG6ATtwAAANsAAAAP&#10;AAAAAAAAAAEAIAAAACIAAABkcnMvZG93bnJldi54bWxQSwECFAAUAAAACACHTuJAMy8FnjsAAAA5&#10;AAAAEAAAAAAAAAABACAAAAAGAQAAZHJzL3NoYXBleG1sLnhtbFBLBQYAAAAABgAGAFsBAACwAwAA&#10;AAA=&#10;">
                            <v:fill on="t" focussize="0,0"/>
                            <v:stroke color="#000000" joinstyle="miter" dashstyle="dash"/>
                            <v:imagedata o:title=""/>
                            <o:lock v:ext="edit" aspectratio="f"/>
                            <v:textbox inset="2.54mm,0mm,2.54mm,0mm">
                              <w:txbxContent>
                                <w:p w14:paraId="4F65221D">
                                  <w:pPr>
                                    <w:spacing w:line="320" w:lineRule="exact"/>
                                    <w:ind w:left="-105" w:leftChars="-50" w:right="-105" w:rightChars="-50"/>
                                    <w:jc w:val="center"/>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施工噪声</w:t>
                                  </w:r>
                                </w:p>
                              </w:txbxContent>
                            </v:textbox>
                          </v:rect>
                          <v:rect id="矩形 40" o:spid="_x0000_s1026" o:spt="1" style="position:absolute;left:3465;top:8936;height:357;width:1365;" fillcolor="#FFFFFF" filled="t" stroked="t" coordsize="21600,21600" o:gfxdata="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VwWIvQAA&#10;ANsAAAAPAAAAAAAAAAEAIAAAACIAAABkcnMvZG93bnJldi54bWxQSwECFAAUAAAACACHTuJAMy8F&#10;njsAAAA5AAAAEAAAAAAAAAABACAAAAAMAQAAZHJzL3NoYXBleG1sLnhtbFBLBQYAAAAABgAGAFsB&#10;AAC2AwAAAAA=&#10;">
                            <v:fill on="t" focussize="0,0"/>
                            <v:stroke color="#000000" joinstyle="miter" dashstyle="dash"/>
                            <v:imagedata o:title=""/>
                            <o:lock v:ext="edit" aspectratio="f"/>
                            <v:textbox inset="2.54mm,0mm,2.54mm,0mm">
                              <w:txbxContent>
                                <w:p w14:paraId="6D71CBFD">
                                  <w:pPr>
                                    <w:spacing w:line="300" w:lineRule="exact"/>
                                    <w:ind w:right="-315" w:rightChars="-150"/>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扬尘、废气</w:t>
                                  </w:r>
                                </w:p>
                              </w:txbxContent>
                            </v:textbox>
                          </v:rect>
                          <v:rect id="矩形 41" o:spid="_x0000_s1026" o:spt="1" style="position:absolute;left:5107;top:8908;height:357;width:1155;" fillcolor="#FFFFFF" filled="t" stroked="t" coordsize="21600,21600" o:gfxdata="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bQ6yLgAAADbAAAA&#10;DwAAAAAAAAABACAAAAAiAAAAZHJzL2Rvd25yZXYueG1sUEsBAhQAFAAAAAgAh07iQDMvBZ47AAAA&#10;OQAAABAAAAAAAAAAAQAgAAAABwEAAGRycy9zaGFwZXhtbC54bWxQSwUGAAAAAAYABgBbAQAAsQMA&#10;AAAA&#10;">
                            <v:fill on="t" focussize="0,0"/>
                            <v:stroke color="#000000" joinstyle="miter" dashstyle="dash"/>
                            <v:imagedata o:title=""/>
                            <o:lock v:ext="edit" aspectratio="f"/>
                            <v:textbox inset="2.54mm,0mm,2.54mm,0mm">
                              <w:txbxContent>
                                <w:p w14:paraId="2D8C4287">
                                  <w:pPr>
                                    <w:ind w:right="-315" w:rightChars="-150"/>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施工废水</w:t>
                                  </w:r>
                                </w:p>
                              </w:txbxContent>
                            </v:textbox>
                          </v:rect>
                          <v:rect id="矩形 42" o:spid="_x0000_s1026" o:spt="1" style="position:absolute;left:6547;top:8940;height:357;width:1155;" fillcolor="#FFFFFF" filled="t" stroked="t" coordsize="21600,21600" o:gfxdata="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L4n1O8AAAA&#10;2wAAAA8AAAAAAAAAAQAgAAAAIgAAAGRycy9kb3ducmV2LnhtbFBLAQIUABQAAAAIAIdO4kAzLwWe&#10;OwAAADkAAAAQAAAAAAAAAAEAIAAAAAsBAABkcnMvc2hhcGV4bWwueG1sUEsFBgAAAAAGAAYAWwEA&#10;ALUDAAAAAA==&#10;">
                            <v:fill on="t" focussize="0,0"/>
                            <v:stroke color="#000000" joinstyle="miter" dashstyle="dash"/>
                            <v:imagedata o:title=""/>
                            <o:lock v:ext="edit" aspectratio="f"/>
                            <v:textbox inset="2.54mm,0mm,2.54mm,0mm">
                              <w:txbxContent>
                                <w:p w14:paraId="7267A22F">
                                  <w:pPr>
                                    <w:ind w:right="-315" w:rightChars="-150"/>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生活污水</w:t>
                                  </w:r>
                                </w:p>
                              </w:txbxContent>
                            </v:textbox>
                          </v:rect>
                          <v:rect id="矩形 43" o:spid="_x0000_s1026" o:spt="1" style="position:absolute;left:8106;top:8944;height:357;width:1227;" fillcolor="#FFFFFF" filled="t" stroked="t" coordsize="21600,21600" o:gfxdata="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paxSvQAA&#10;ANsAAAAPAAAAAAAAAAEAIAAAACIAAABkcnMvZG93bnJldi54bWxQSwECFAAUAAAACACHTuJAMy8F&#10;njsAAAA5AAAAEAAAAAAAAAABACAAAAAMAQAAZHJzL3NoYXBleG1sLnhtbFBLBQYAAAAABgAGAFsB&#10;AAC2AwAAAAA=&#10;">
                            <v:fill on="t" focussize="0,0"/>
                            <v:stroke color="#000000" joinstyle="miter" dashstyle="dash"/>
                            <v:imagedata o:title=""/>
                            <o:lock v:ext="edit" aspectratio="f"/>
                            <v:textbox inset="0.5mm,0mm,0.5mm,0mm">
                              <w:txbxContent>
                                <w:p w14:paraId="64168FCC">
                                  <w:pPr>
                                    <w:spacing w:line="300" w:lineRule="exact"/>
                                    <w:ind w:right="-315" w:rightChars="-150"/>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弃土、弃渣</w:t>
                                  </w:r>
                                </w:p>
                              </w:txbxContent>
                            </v:textbox>
                          </v:rect>
                          <v:line id="直线 44" o:spid="_x0000_s1026" o:spt="20" style="position:absolute;left:5190;top:9760;height:369;width:1;" filled="f" stroked="t" coordsize="21600,21600" o:gfxdata="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mAQEO/&#10;AAAA2wAAAA8AAAAAAAAAAQAgAAAAIgAAAGRycy9kb3ducmV2LnhtbFBLAQIUABQAAAAIAIdO4kAz&#10;LwWeOwAAADkAAAAQAAAAAAAAAAEAIAAAAA4BAABkcnMvc2hhcGV4bWwueG1sUEsFBgAAAAAGAAYA&#10;WwEAALgDAAAAAA==&#10;">
                            <v:fill on="f" focussize="0,0"/>
                            <v:stroke color="#000000" joinstyle="round" dashstyle="dash"/>
                            <v:imagedata o:title=""/>
                            <o:lock v:ext="edit" aspectratio="f"/>
                          </v:line>
                          <v:line id="直线 45" o:spid="_x0000_s1026" o:spt="20" style="position:absolute;left:6982;top:9708;height:537;width:1;" filled="f" stroked="t" coordsize="21600,21600" o:gfxdata="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Zp2De/&#10;AAAA2wAAAA8AAAAAAAAAAQAgAAAAIgAAAGRycy9kb3ducmV2LnhtbFBLAQIUABQAAAAIAIdO4kAz&#10;LwWeOwAAADkAAAAQAAAAAAAAAAEAIAAAAA4BAABkcnMvc2hhcGV4bWwueG1sUEsFBgAAAAAGAAYA&#10;WwEAALgDAAAAAA==&#10;">
                            <v:fill on="f" focussize="0,0"/>
                            <v:stroke color="#000000" joinstyle="round" dashstyle="dash"/>
                            <v:imagedata o:title=""/>
                            <o:lock v:ext="edit" aspectratio="f"/>
                          </v:line>
                          <v:line id="直线 46" o:spid="_x0000_s1026" o:spt="20" style="position:absolute;left:2232;top:9296;flip:y;height:425;width:1;" filled="f" stroked="t" coordsize="21600,21600" o:gfxdata="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5HeC68AAAA&#10;2wAAAA8AAAAAAAAAAQAgAAAAIgAAAGRycy9kb3ducmV2LnhtbFBLAQIUABQAAAAIAIdO4kAzLwWe&#10;OwAAADkAAAAQAAAAAAAAAAEAIAAAAAsBAABkcnMvc2hhcGV4bWwueG1sUEsFBgAAAAAGAAYAWwEA&#10;ALUDAAAAAA==&#10;">
                            <v:fill on="f" focussize="0,0"/>
                            <v:stroke color="#000000" joinstyle="round" dashstyle="dash" endarrow="block" endarrowwidth="narrow"/>
                            <v:imagedata o:title=""/>
                            <o:lock v:ext="edit" aspectratio="f"/>
                          </v:line>
                          <v:line id="直线 47" o:spid="_x0000_s1026" o:spt="20" style="position:absolute;left:4110;top:9291;flip:y;height:425;width:1;" filled="f" stroked="t" coordsize="21600,21600" o:gfxdata="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eZZvQAA&#10;ANsAAAAPAAAAAAAAAAEAIAAAACIAAABkcnMvZG93bnJldi54bWxQSwECFAAUAAAACACHTuJAMy8F&#10;njsAAAA5AAAAEAAAAAAAAAABACAAAAAMAQAAZHJzL3NoYXBleG1sLnhtbFBLBQYAAAAABgAGAFsB&#10;AAC2AwAAAAA=&#10;">
                            <v:fill on="f" focussize="0,0"/>
                            <v:stroke color="#000000" joinstyle="round" dashstyle="dash" endarrow="block" endarrowwidth="narrow"/>
                            <v:imagedata o:title=""/>
                            <o:lock v:ext="edit" aspectratio="f"/>
                          </v:line>
                          <v:line id="直线 48" o:spid="_x0000_s1026" o:spt="20" style="position:absolute;left:8542;top:9266;flip:y;height:431;width:1;" filled="f" stroked="t" coordsize="21600,21600" o:gfxdata="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2UPCvQAA&#10;ANsAAAAPAAAAAAAAAAEAIAAAACIAAABkcnMvZG93bnJldi54bWxQSwECFAAUAAAACACHTuJAMy8F&#10;njsAAAA5AAAAEAAAAAAAAAABACAAAAAMAQAAZHJzL3NoYXBleG1sLnhtbFBLBQYAAAAABgAGAFsB&#10;AAC2AwAAAAA=&#10;">
                            <v:fill on="f" focussize="0,0"/>
                            <v:stroke color="#000000" joinstyle="round" dashstyle="dash" endarrow="block" endarrowwidth="narrow"/>
                            <v:imagedata o:title=""/>
                            <o:lock v:ext="edit" aspectratio="f"/>
                          </v:line>
                          <v:line id="直线 49" o:spid="_x0000_s1026" o:spt="20" style="position:absolute;left:4114;top:7911;flip:y;height:964;width:1;" filled="f" stroked="t" coordsize="21600,21600" o:gfxdata="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gRtewugAAANsA&#10;AAAPAAAAAAAAAAEAIAAAACIAAABkcnMvZG93bnJldi54bWxQSwECFAAUAAAACACHTuJAMy8FnjsA&#10;AAA5AAAAEAAAAAAAAAABACAAAAAJAQAAZHJzL3NoYXBleG1sLnhtbFBLBQYAAAAABgAGAFsBAACz&#10;AwAAAAA=&#10;">
                            <v:fill on="f" focussize="0,0"/>
                            <v:stroke color="#000000" joinstyle="round" dashstyle="dash" endarrow="block" endarrowwidth="narrow"/>
                            <v:imagedata o:title=""/>
                            <o:lock v:ext="edit" aspectratio="f"/>
                          </v:line>
                          <v:line id="直线 50" o:spid="_x0000_s1026" o:spt="20" style="position:absolute;left:8545;top:8250;flip:y;height:693;width:1;" filled="f" stroked="t" coordsize="21600,21600" o:gfxdata="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8Kciu8AAAA&#10;2wAAAA8AAAAAAAAAAQAgAAAAIgAAAGRycy9kb3ducmV2LnhtbFBLAQIUABQAAAAIAIdO4kAzLwWe&#10;OwAAADkAAAAQAAAAAAAAAAEAIAAAAAsBAABkcnMvc2hhcGV4bWwueG1sUEsFBgAAAAAGAAYAWwEA&#10;ALUDAAAAAA==&#10;">
                            <v:fill on="f" focussize="0,0"/>
                            <v:stroke color="#000000" joinstyle="round" dashstyle="dash" endarrow="block" endarrowwidth="narrow"/>
                            <v:imagedata o:title=""/>
                            <o:lock v:ext="edit" aspectratio="f"/>
                          </v:line>
                          <v:line id="直线 51" o:spid="_x0000_s1026" o:spt="20" style="position:absolute;left:5678;top:7964;flip:y;height:340;width:1;" filled="f" stroked="t" coordsize="21600,21600" o:gfxdata="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r5auRtwAAANsAAAAP&#10;AAAAAAAAAAEAIAAAACIAAABkcnMvZG93bnJldi54bWxQSwECFAAUAAAACACHTuJAMy8FnjsAAAA5&#10;AAAAEAAAAAAAAAABACAAAAAGAQAAZHJzL3NoYXBleG1sLnhtbFBLBQYAAAAABgAGAFsBAACwAwAA&#10;AAA=&#10;">
                            <v:fill on="f" focussize="0,0"/>
                            <v:stroke color="#000000" joinstyle="round" dashstyle="dash" endarrow="block" endarrowwidth="narrow"/>
                            <v:imagedata o:title=""/>
                            <o:lock v:ext="edit" aspectratio="f"/>
                          </v:line>
                          <v:line id="直线 52" o:spid="_x0000_s1026" o:spt="20" style="position:absolute;left:7026;top:8454;flip:y;height:410;width:1;" filled="f" stroked="t" coordsize="21600,21600" o:gfxdata="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SpDgq8AAAA&#10;2wAAAA8AAAAAAAAAAQAgAAAAIgAAAGRycy9kb3ducmV2LnhtbFBLAQIUABQAAAAIAIdO4kAzLwWe&#10;OwAAADkAAAAQAAAAAAAAAAEAIAAAAAsBAABkcnMvc2hhcGV4bWwueG1sUEsFBgAAAAAGAAYAWwEA&#10;ALUDAAAAAA==&#10;">
                            <v:fill on="f" focussize="0,0"/>
                            <v:stroke color="#000000" joinstyle="round" dashstyle="dash" endarrow="block" endarrowwidth="narrow"/>
                            <v:imagedata o:title=""/>
                            <o:lock v:ext="edit" aspectratio="f"/>
                          </v:line>
                          <v:line id="直线 53" o:spid="_x0000_s1026" o:spt="20" style="position:absolute;left:1950;top:9760;flip:x;height:369;width:1;" filled="f" stroked="t" coordsize="21600,21600" o:gfxdata="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7m8me5AAAA2wAA&#10;AA8AAAAAAAAAAQAgAAAAIgAAAGRycy9kb3ducmV2LnhtbFBLAQIUABQAAAAIAIdO4kAzLwWeOwAA&#10;ADkAAAAQAAAAAAAAAAEAIAAAAAgBAABkcnMvc2hhcGV4bWwueG1sUEsFBgAAAAAGAAYAWwEAALID&#10;AAAAAA==&#10;">
                            <v:fill on="f" focussize="0,0"/>
                            <v:stroke color="#000000" joinstyle="round" dashstyle="dash"/>
                            <v:imagedata o:title=""/>
                            <o:lock v:ext="edit" aspectratio="f"/>
                          </v:line>
                          <v:line id="直线 54" o:spid="_x0000_s1026" o:spt="20" style="position:absolute;left:2000;top:9718;flip:y;height:0;width:6565;" filled="f" stroked="t" coordsize="21600,21600" o:gfxdata="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Rqlf8ugAAANsA&#10;AAAPAAAAAAAAAAEAIAAAACIAAABkcnMvZG93bnJldi54bWxQSwECFAAUAAAACACHTuJAMy8FnjsA&#10;AAA5AAAAEAAAAAAAAAABACAAAAAJAQAAZHJzL3NoYXBleG1sLnhtbFBLBQYAAAAABgAGAFsBAACz&#10;AwAAAAA=&#10;">
                            <v:fill on="f" focussize="0,0"/>
                            <v:stroke color="#000000" joinstyle="round" dashstyle="dash"/>
                            <v:imagedata o:title=""/>
                            <o:lock v:ext="edit" aspectratio="f"/>
                          </v:line>
                          <v:line id="直线 55" o:spid="_x0000_s1026" o:spt="20" style="position:absolute;left:5674;top:9323;flip:y;height:320;width:1;" filled="f" stroked="t" coordsize="21600,21600" o:gfxdata="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N6tkrsAAADb&#10;AAAADwAAAAAAAAABACAAAAAiAAAAZHJzL2Rvd25yZXYueG1sUEsBAhQAFAAAAAgAh07iQDMvBZ47&#10;AAAAOQAAABAAAAAAAAAAAQAgAAAACgEAAGRycy9zaGFwZXhtbC54bWxQSwUGAAAAAAYABgBbAQAA&#10;tAMAAAAA&#10;">
                            <v:fill on="f" focussize="0,0"/>
                            <v:stroke color="#000000" joinstyle="round" dashstyle="dash" endarrow="block" endarrowwidth="narrow"/>
                            <v:imagedata o:title=""/>
                            <o:lock v:ext="edit" aspectratio="f"/>
                          </v:line>
                          <v:rect id="矩形 56" o:spid="_x0000_s1026" o:spt="1" style="position:absolute;left:1649;top:7729;height:313;width:1312;" fillcolor="#FFFFFF" filled="t" stroked="t" coordsize="21600,21600" o:gfxdata="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OLUq7sAAADb&#10;AAAADwAAAAAAAAABACAAAAAiAAAAZHJzL2Rvd25yZXYueG1sUEsBAhQAFAAAAAgAh07iQDMvBZ47&#10;AAAAOQAAABAAAAAAAAAAAQAgAAAACgEAAGRycy9zaGFwZXhtbC54bWxQSwUGAAAAAAYABgBbAQAA&#10;tAMAAAAA&#10;">
                            <v:fill on="t" focussize="0,0"/>
                            <v:stroke color="#FFFFFF" joinstyle="miter" dashstyle="1 1"/>
                            <v:imagedata o:title=""/>
                            <o:lock v:ext="edit" aspectratio="f"/>
                            <v:textbox inset="0mm,0mm,0mm,0mm">
                              <w:txbxContent>
                                <w:p w14:paraId="65CA4BA1">
                                  <w:pPr>
                                    <w:jc w:val="center"/>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声学环境</w:t>
                                  </w:r>
                                </w:p>
                              </w:txbxContent>
                            </v:textbox>
                          </v:rect>
                          <v:rect id="矩形 57" o:spid="_x0000_s1026" o:spt="1" style="position:absolute;left:3642;top:7451;height:412;width:1132;" fillcolor="#FFFFFF" filled="t" stroked="t" coordsize="21600,21600" o:gfxdata="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MMErcugAAANsA&#10;AAAPAAAAAAAAAAEAIAAAACIAAABkcnMvZG93bnJldi54bWxQSwECFAAUAAAACACHTuJAMy8FnjsA&#10;AAA5AAAAEAAAAAAAAAABACAAAAAJAQAAZHJzL3NoYXBleG1sLnhtbFBLBQYAAAAABgAGAFsBAACz&#10;AwAAAAA=&#10;">
                            <v:fill on="t" focussize="0,0"/>
                            <v:stroke color="#FFFFFF" joinstyle="miter" dashstyle="1 1"/>
                            <v:imagedata o:title=""/>
                            <o:lock v:ext="edit" aspectratio="f"/>
                            <v:textbox inset="0mm,0mm,0mm,0mm">
                              <w:txbxContent>
                                <w:p w14:paraId="6E371449">
                                  <w:pPr>
                                    <w:jc w:val="center"/>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大气环境</w:t>
                                  </w:r>
                                </w:p>
                              </w:txbxContent>
                            </v:textbox>
                          </v:rect>
                          <v:rect id="矩形 58" o:spid="_x0000_s1026" o:spt="1" style="position:absolute;left:5011;top:8354;height:265;width:1329;" fillcolor="#FFFFFF" filled="t" stroked="t" coordsize="21600,21600" o:gfxdata="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3zvR7sAAADb&#10;AAAADwAAAAAAAAABACAAAAAiAAAAZHJzL2Rvd25yZXYueG1sUEsBAhQAFAAAAAgAh07iQDMvBZ47&#10;AAAAOQAAABAAAAAAAAAAAQAgAAAACgEAAGRycy9zaGFwZXhtbC54bWxQSwUGAAAAAAYABgBbAQAA&#10;tAMAAAAA&#10;">
                            <v:fill on="t" focussize="0,0"/>
                            <v:stroke color="#FFFFFF" joinstyle="miter" dashstyle="1 1"/>
                            <v:imagedata o:title=""/>
                            <o:lock v:ext="edit" aspectratio="f"/>
                            <v:textbox inset="0mm,0mm,0mm,0mm">
                              <w:txbxContent>
                                <w:p w14:paraId="7E2C432B">
                                  <w:pPr>
                                    <w:jc w:val="center"/>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沉淀池处理</w:t>
                                  </w:r>
                                </w:p>
                              </w:txbxContent>
                            </v:textbox>
                          </v:rect>
                          <v:rect id="矩形 59" o:spid="_x0000_s1026" o:spt="1" style="position:absolute;left:7950;top:7836;height:380;width:1570;" fillcolor="#FFFFFF" filled="t" stroked="t" coordsize="21600,21600" o:gfxdata="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NLjezW2AAAA2wAAAA8A&#10;AAAAAAAAAQAgAAAAIgAAAGRycy9kb3ducmV2LnhtbFBLAQIUABQAAAAIAIdO4kAzLwWeOwAAADkA&#10;AAAQAAAAAAAAAAEAIAAAAAUBAABkcnMvc2hhcGV4bWwueG1sUEsFBgAAAAAGAAYAWwEAAK8DAAAA&#10;AA==&#10;">
                            <v:fill on="t" focussize="0,0"/>
                            <v:stroke color="#FFFFFF" joinstyle="miter" dashstyle="1 1"/>
                            <v:imagedata o:title=""/>
                            <o:lock v:ext="edit" aspectratio="f"/>
                            <v:textbox inset="0mm,0mm,0mm,0mm">
                              <w:txbxContent>
                                <w:p w14:paraId="1368C0D7">
                                  <w:pPr>
                                    <w:jc w:val="center"/>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pacing w:val="-10"/>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指定</w:t>
                                  </w: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地点</w:t>
                                  </w:r>
                                  <w:r>
                                    <w:rPr>
                                      <w:rFonts w:hint="eastAsia"/>
                                      <w:color w:val="000000" w:themeColor="text1"/>
                                      <w:spacing w:val="-10"/>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堆放</w:t>
                                  </w:r>
                                </w:p>
                              </w:txbxContent>
                            </v:textbox>
                          </v:rect>
                          <v:rect id="矩形 60" o:spid="_x0000_s1026" o:spt="1" style="position:absolute;left:6514;top:8231;height:377;width:969;" fillcolor="#FFFFFF" filled="t" stroked="t" coordsize="21600,21600" o:gfxdata="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9r96uvQAA&#10;ANsAAAAPAAAAAAAAAAEAIAAAACIAAABkcnMvZG93bnJldi54bWxQSwECFAAUAAAACACHTuJAMy8F&#10;njsAAAA5AAAAEAAAAAAAAAABACAAAAAMAQAAZHJzL3NoYXBleG1sLnhtbFBLBQYAAAAABgAGAFsB&#10;AAC2AwAAAAA=&#10;">
                            <v:fill on="t" focussize="0,0"/>
                            <v:stroke color="#FFFFFF" joinstyle="miter" dashstyle="1 1"/>
                            <v:imagedata o:title=""/>
                            <o:lock v:ext="edit" aspectratio="f"/>
                            <v:textbox inset="0mm,0mm,0mm,0mm">
                              <w:txbxContent>
                                <w:p w14:paraId="6FBC38CF">
                                  <w:pPr>
                                    <w:jc w:val="center"/>
                                    <w:rPr>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Cs w:val="21"/>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旱厕</w:t>
                                  </w:r>
                                </w:p>
                              </w:txbxContent>
                            </v:textbox>
                          </v:rect>
                          <v:line id="直线 61" o:spid="_x0000_s1026" o:spt="20" style="position:absolute;left:7039;top:9323;flip:y;height:341;width:1;" filled="f" stroked="t" coordsize="21600,21600" o:gfxdata="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uPD1MugAAANsA&#10;AAAPAAAAAAAAAAEAIAAAACIAAABkcnMvZG93bnJldi54bWxQSwECFAAUAAAACACHTuJAMy8FnjsA&#10;AAA5AAAAEAAAAAAAAAABACAAAAAJAQAAZHJzL3NoYXBleG1sLnhtbFBLBQYAAAAABgAGAFsBAACz&#10;AwAAAAA=&#10;">
                            <v:fill on="f" focussize="0,0"/>
                            <v:stroke color="#000000" joinstyle="round" dashstyle="dash" endarrow="block" endarrowwidth="narrow"/>
                            <v:imagedata o:title=""/>
                            <o:lock v:ext="edit" aspectratio="f"/>
                          </v:line>
                          <v:line id="直线 62" o:spid="_x0000_s1026" o:spt="20" style="position:absolute;left:3270;top:9760;height:369;width:1;" filled="f" stroked="t" coordsize="21600,21600" o:gfxdata="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WEp1VvQAA&#10;ANsAAAAPAAAAAAAAAAEAIAAAACIAAABkcnMvZG93bnJldi54bWxQSwECFAAUAAAACACHTuJAMy8F&#10;njsAAAA5AAAAEAAAAAAAAAABACAAAAAMAQAAZHJzL3NoYXBleG1sLnhtbFBLBQYAAAAABgAGAFsB&#10;AAC2AwAAAAA=&#10;">
                            <v:fill on="f" focussize="0,0"/>
                            <v:stroke color="#000000" joinstyle="round" dashstyle="dash"/>
                            <v:imagedata o:title=""/>
                            <o:lock v:ext="edit" aspectratio="f"/>
                          </v:line>
                        </v:group>
                      </v:group>
                      <w10:wrap type="none"/>
                      <w10:anchorlock/>
                    </v:group>
                  </w:pict>
                </mc:Fallback>
              </mc:AlternateContent>
            </w:r>
          </w:p>
          <w:p w14:paraId="61181019">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主要污染工序简析如下：</w:t>
            </w:r>
          </w:p>
          <w:p w14:paraId="04BEFB7A">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1、基础工程施工：</w:t>
            </w:r>
          </w:p>
          <w:p w14:paraId="52F36FCB">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噪声：产生自挖土机、冲击机、卷扬机、振捣器等施工机械作业。</w:t>
            </w:r>
          </w:p>
          <w:p w14:paraId="6B759858">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扬尘：场地平整、地基开挖与回填施工作业、施工机械行驶。</w:t>
            </w:r>
          </w:p>
          <w:p w14:paraId="522CC733">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弃土：挖填土石方形成的余弃量。</w:t>
            </w:r>
          </w:p>
          <w:p w14:paraId="6F7B3254">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污水：施工人员生活污水。</w:t>
            </w:r>
          </w:p>
          <w:p w14:paraId="24CF2BC4">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2、主体工程及附属工程施工：</w:t>
            </w:r>
          </w:p>
          <w:p w14:paraId="2A617953">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噪声：由切割机、弯曲机、电焊机等钢筋加工机械，卷扬机、起重机、升降机等轻吊装机械以及水泥车、运土车、材料运送车等车辆行驶。</w:t>
            </w:r>
          </w:p>
          <w:p w14:paraId="3E60B025">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扬尘：建筑材料运输、装卸、仓库及施工作业活动。</w:t>
            </w:r>
          </w:p>
          <w:p w14:paraId="2372B830">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固废：土建工程施工废弃物、建渣、施工人员生活垃圾。</w:t>
            </w:r>
          </w:p>
          <w:p w14:paraId="516D000D">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污水：施工废水、施工人员生活污水。</w:t>
            </w:r>
          </w:p>
          <w:p w14:paraId="266EBC34">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3、装饰及设备安装工程</w:t>
            </w:r>
          </w:p>
          <w:p w14:paraId="3E757CAD">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对构筑物室内外进行装修时（如表面粉刷、油漆、喷涂、裱糊等），钻机、电锤、切割机等产生噪声，油漆和喷涂产生废气、废弃物料，安装工程产生废包装材料及噪声等，同时产生施工人员生活垃圾、生活污水。</w:t>
            </w:r>
          </w:p>
          <w:p w14:paraId="606D931B">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从上述污染分析可知，施工期主要环境污染问题是：施工扬尘、施工弃土、</w:t>
            </w:r>
          </w:p>
          <w:p w14:paraId="00038B73">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施工噪声、生活污水和施工废水、建筑及生活垃圾、废气等。这些污染贯穿于整个施工过程，但不同污染因子在不同施工时段污染强度各不相同。</w:t>
            </w:r>
          </w:p>
          <w:p w14:paraId="7DF9ABD9">
            <w:pPr>
              <w:spacing w:line="360" w:lineRule="auto"/>
              <w:rPr>
                <w:rFonts w:hint="default" w:ascii="Times New Roman" w:hAnsi="Times New Roman" w:eastAsia="黑体" w:cs="Times New Roman"/>
                <w:color w:val="auto"/>
                <w:sz w:val="24"/>
                <w:lang w:val="en-US" w:eastAsia="zh-CN"/>
              </w:rPr>
            </w:pPr>
            <w:r>
              <w:rPr>
                <w:rFonts w:hint="eastAsia" w:ascii="Times New Roman" w:hAnsi="Times New Roman" w:eastAsia="黑体" w:cs="Times New Roman"/>
                <w:color w:val="auto"/>
                <w:sz w:val="24"/>
                <w:lang w:val="en-US" w:eastAsia="zh-CN"/>
              </w:rPr>
              <w:t>（二）</w:t>
            </w:r>
            <w:r>
              <w:rPr>
                <w:rFonts w:hint="default" w:ascii="Times New Roman" w:hAnsi="Times New Roman" w:eastAsia="黑体" w:cs="Times New Roman"/>
                <w:color w:val="auto"/>
                <w:sz w:val="24"/>
                <w:lang w:val="en-US" w:eastAsia="zh-CN"/>
              </w:rPr>
              <w:t>施工期污染源及治理措施分析</w:t>
            </w:r>
          </w:p>
          <w:p w14:paraId="6859E4C2">
            <w:pPr>
              <w:spacing w:line="360" w:lineRule="auto"/>
              <w:ind w:firstLine="482" w:firstLineChars="200"/>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1、大气污染物</w:t>
            </w:r>
          </w:p>
          <w:p w14:paraId="77820F60">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根据项目特点，本项目施工期产生的主要大气污染物是扬尘以及少量的机械废气和油漆废气。</w:t>
            </w:r>
          </w:p>
          <w:p w14:paraId="6CBC69EF">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（1）扬尘</w:t>
            </w:r>
          </w:p>
          <w:p w14:paraId="3C953DD3">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施工期对空气的污染主要是扬尘，扬尘污染造成大气中TSP值增高。建筑物的基础开挖，地基处理，土地平整等；开挖的土方堆放如遇大风天气，会造成粉尘、扬尘等大气污染；水泥、砂石、混凝土等建筑材料如运输、装卸、仓库储存方式不当，可能造成泄漏，产生扬尘；施工所需建筑材料数量较大，施工将增加车流量，加之建筑砂石、土、水泥等泄漏，会增加路面起尘量。</w:t>
            </w:r>
          </w:p>
          <w:p w14:paraId="45C6DDE1">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施工期扬尘的起尘量与许多因素有关。影响起尘量的因素包括：基础开挖起尘量、基地填埋起尘量、施工渣土堆场起尘量、进出车辆带泥砂量、水泥搬运量、弃土外运装载起尘量以及起尘高度、采取的防护措施、空气湿度、风速等。</w:t>
            </w:r>
          </w:p>
          <w:p w14:paraId="5451BCD2">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根据中国环境科学研究院的研究，建筑扬尘排放经验因子为0.292kg/m2，本项目总建筑面积为</w:t>
            </w:r>
            <w:r>
              <w:rPr>
                <w:rFonts w:hint="default" w:ascii="Times New Roman" w:hAnsi="Times New Roman" w:cs="Times New Roman"/>
                <w:color w:val="auto"/>
                <w:sz w:val="24"/>
                <w:szCs w:val="24"/>
                <w:lang w:val="en-US" w:eastAsia="zh-CN"/>
              </w:rPr>
              <w:t>3050.13</w:t>
            </w:r>
            <w:r>
              <w:rPr>
                <w:rFonts w:hint="default" w:ascii="Times New Roman" w:hAnsi="Times New Roman" w:cs="Times New Roman"/>
                <w:color w:val="auto"/>
                <w:sz w:val="24"/>
                <w:szCs w:val="24"/>
              </w:rPr>
              <w:t>m2，据此可估算出本项目施工期建筑扬尘排放量约为</w:t>
            </w:r>
            <w:r>
              <w:rPr>
                <w:rFonts w:hint="default" w:ascii="Times New Roman" w:hAnsi="Times New Roman" w:cs="Times New Roman"/>
                <w:color w:val="auto"/>
                <w:sz w:val="24"/>
                <w:szCs w:val="24"/>
                <w:lang w:val="en-US" w:eastAsia="zh-CN"/>
              </w:rPr>
              <w:t>0.89</w:t>
            </w:r>
            <w:r>
              <w:rPr>
                <w:rFonts w:hint="default" w:ascii="Times New Roman" w:hAnsi="Times New Roman" w:cs="Times New Roman"/>
                <w:color w:val="auto"/>
                <w:sz w:val="24"/>
                <w:szCs w:val="24"/>
              </w:rPr>
              <w:t xml:space="preserve">t；此外，根据类比分析，扬尘浓度一般约为3.5mg/m3。为减少扬尘的产生量及其浓度，在施工过程中，建设单位应严格按照原国家环保总局和建设部发的环发(2001)56 号“关于有效控制城市扬尘污染的通知”、四川省环保厅关于印发《四川省灰霾污染防治实施方案》的通知、《四川省人民政府关于重点区域大气污染防治“十二五”规划四川省实施方案、《遂宁市大气污染防治行动计划2015年度工作方案》等要求》，督促施工单位做好以下防护措施： </w:t>
            </w:r>
          </w:p>
          <w:p w14:paraId="54E4B599">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①施工现场架设2.5～3m围墙，封闭施工现场，采用密目安全网，以减少结构和装修过程中的粉尘飞扬现象，降低粉尘向大气中的排放；脚手架在拆除前，先将脚手板上的垃圾清理干净，清理时应避免扬尘；</w:t>
            </w:r>
          </w:p>
          <w:p w14:paraId="4CD64833">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②文明施工，定期对地面洒水，并对撒落在路面的渣土尽快清除。采取洒水措施后，可以有效控制扬尘。</w:t>
            </w:r>
          </w:p>
          <w:p w14:paraId="6F4F538E">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③在施工场地对施工车辆实施限速行驶，同时施工现场主要运输道路尽量采用硬化路面并进行洒水抑尘；在施工场地出口放置防尘垫，对运输车辆出入口设置U型槽，对进出车辆用水清洗车体和轮胎。</w:t>
            </w:r>
          </w:p>
          <w:p w14:paraId="4C8A79F5">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④施工过程中，楼上施工产生的建筑渣土，不得在楼上向下倾倒，必须运送地面。</w:t>
            </w:r>
          </w:p>
          <w:p w14:paraId="5CAADB32">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⑤禁止在风天进行渣土堆放作业，建材堆放地点相对集中，临时废弃土石堆场及时清运，并对堆场必须以毡布覆盖，不得有裸土，并且裸露地面进行硬化和绿化，减少建材的露天堆放时间；开挖出的土石方应加强围栏，表面用毡布覆盖，并及时回填。</w:t>
            </w:r>
          </w:p>
          <w:p w14:paraId="1B6E112E">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⑥此外，为进一步减轻扬尘污染，评价要求施工单位应落实“六必须”、“六不准”规定：</w:t>
            </w:r>
          </w:p>
          <w:p w14:paraId="4A0FD023">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a.必须湿法作业，必须打围作业，必须硬化道路，必须设置冲洗设施、设备， 必须配齐保洁人员，必须定时清扫施工现场。</w:t>
            </w:r>
          </w:p>
          <w:p w14:paraId="7769B1A1">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b.不准车辆带泥出门，不准运渣车辆超载，不准高空抛撒建渣，不准现场搅 拌混凝土，不准场地积水，不准现场焚烧废弃物。</w:t>
            </w:r>
          </w:p>
          <w:p w14:paraId="103FCA6B">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⑦风速四级以上易产生扬尘时，施工单位应暂时停止土方开挖，并采取有效 措施，防止扬尘飞散。</w:t>
            </w:r>
          </w:p>
          <w:p w14:paraId="7A839443">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⑧施工建设应使用商品混凝土。</w:t>
            </w:r>
          </w:p>
          <w:p w14:paraId="666AE04F">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（2）施工机械废气</w:t>
            </w:r>
          </w:p>
          <w:p w14:paraId="0B8FED0A">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施工期间，使用机动车运送原材料、设备和建筑机械设备的运转，均会排放一定量的CO、NOx 以及未完全燃烧的THC等，其特点是排放量小，且属间断性无组织排放，由于其这一特点，加之施工场地开阔，扩散条件良好，因此对其不加处理也可达到相应的排放标准。在施工期内应多加注意施工设备的维护，使其能够正常的运行，提高设备原料的利用率。</w:t>
            </w:r>
          </w:p>
          <w:p w14:paraId="5246DBC5">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（3）油漆废气</w:t>
            </w:r>
          </w:p>
          <w:p w14:paraId="6D9FB104">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油漆废气主要来自于建筑装修阶段，该废气的排放属无组织排放，其主要污染因子为二甲苯和甲苯，此外还有极少量的汽油、丁醇和丙醇等。</w:t>
            </w:r>
          </w:p>
          <w:p w14:paraId="2FFF36FD">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由于油漆废气的排放时间和部位不能十分明确，并且装修阶段的油漆废气排放周期短，且作业点分散。因此，在装修油漆期间，建设单位在采用环保型油漆、加强了室内的通风换气情况下，再加之项目所在场地扩散条件较好，从而，项目装修施工产生的油漆废气可实现达标排放。</w:t>
            </w:r>
          </w:p>
          <w:p w14:paraId="4941A465">
            <w:pPr>
              <w:spacing w:line="360" w:lineRule="auto"/>
              <w:ind w:firstLine="482" w:firstLineChars="200"/>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2、水污染物</w:t>
            </w:r>
          </w:p>
          <w:p w14:paraId="0FC309F5">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（1）生活污水</w:t>
            </w:r>
          </w:p>
          <w:p w14:paraId="6EF28B08">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本项目施工高峰期工作人员约50人，按每人每天产生生活污水0.05m3 计，日产生生活污水2.5m3/d，其排放量按产生量的85%计，则生活污水排放量为2.13m3/d，生活污水利用旱厕收集后用作绿化和农肥。</w:t>
            </w:r>
          </w:p>
          <w:p w14:paraId="4754558D">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（2）施工方在建筑施工现场开挖修建临时废水储存池，对产生的不同水质废水采取相应的处理方法。</w:t>
            </w:r>
          </w:p>
          <w:p w14:paraId="5B7FC7E7">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①灰浆拌和系统冲洗废水。本项目采用商砼，施工现场只进行少量的灰浆拌合（用于少量附属设施砌筑使用），灰浆拌和系统废水来源于灰浆转筒和料罐的冲洗，悬浮物含量较高，需修建沉降池，使悬浮物沉淀后重复利用（可用于建筑工地洒水防尘），人工运输水泥砂浆时，应避免泄漏，泄漏水泥砂浆应及时清理，运浆容器等，工休时尽量集中放置，及时清洗，冲洗水引入沉降池经处理后循环使用。</w:t>
            </w:r>
          </w:p>
          <w:p w14:paraId="5E2E1A4D">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②混凝土养护废水。混凝土养护可以直接用薄膜或塑料溶液喷刷在混凝土表面，待溶液挥发后，与混凝土表面结合成一层塑料薄膜，使混凝土与空气隔离，封闭混凝土中水分不再蒸发外逸，水泥依靠混凝土中水分完成水化作用，因用水量较小，故废水排放量小，因此养护废水可以不需专门处理。</w:t>
            </w:r>
          </w:p>
          <w:p w14:paraId="4F3D9146">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③机械和车辆冲洗废水。主要为含油废水，应尽量要求施工机械和车辆到附近专门清洗点或修理点进行清洗和修理，小部分在项目区内进行清洗和修理的施工机械、车辆所产生的含油废水或废弃物，不得随意弃置和倾流，可用容器收集后回收利用，以防止油污染。机械保养冲洗水、</w:t>
            </w:r>
            <w:r>
              <w:rPr>
                <w:rFonts w:hint="default" w:ascii="Times New Roman" w:hAnsi="Times New Roman" w:cs="Times New Roman"/>
                <w:color w:val="auto"/>
                <w:sz w:val="24"/>
                <w:szCs w:val="24"/>
                <w:lang w:eastAsia="zh-CN"/>
              </w:rPr>
              <w:t>含油废水</w:t>
            </w:r>
            <w:r>
              <w:rPr>
                <w:rFonts w:hint="default" w:ascii="Times New Roman" w:hAnsi="Times New Roman" w:cs="Times New Roman"/>
                <w:color w:val="auto"/>
                <w:sz w:val="24"/>
                <w:szCs w:val="24"/>
              </w:rPr>
              <w:t>不得随意排放，需修建排水沟和小型隔油池，经处理后用于建筑工地洒水防尘，不外排。</w:t>
            </w:r>
          </w:p>
          <w:p w14:paraId="5A9D8069">
            <w:pPr>
              <w:spacing w:line="360" w:lineRule="auto"/>
              <w:ind w:firstLine="482" w:firstLineChars="200"/>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3、施工噪声</w:t>
            </w:r>
          </w:p>
          <w:p w14:paraId="07BB1A73">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本项目在建设施工过程中，主要噪声源有挖土机、空压机、冲击机和各种运输车辆等，其运行噪声值一般在75～100dB(A)之间，最高瞬时值约100dB(A)。</w:t>
            </w:r>
          </w:p>
          <w:p w14:paraId="7CE1BB22">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由于这些设备的运行是间歇性的，因此其所产生的噪声也是间歇性和短暂性的。项目施工期各阶段的主要噪声源及其声级见表</w:t>
            </w:r>
            <w:r>
              <w:rPr>
                <w:rFonts w:hint="default" w:ascii="Times New Roman" w:hAnsi="Times New Roman" w:cs="Times New Roman"/>
                <w:color w:val="auto"/>
                <w:sz w:val="24"/>
                <w:szCs w:val="24"/>
                <w:lang w:val="en-US" w:eastAsia="zh-CN"/>
              </w:rPr>
              <w:t>5</w:t>
            </w:r>
            <w:r>
              <w:rPr>
                <w:rFonts w:hint="default" w:ascii="Times New Roman" w:hAnsi="Times New Roman" w:cs="Times New Roman"/>
                <w:color w:val="auto"/>
                <w:sz w:val="24"/>
                <w:szCs w:val="24"/>
              </w:rPr>
              <w:t>-1。</w:t>
            </w:r>
          </w:p>
          <w:p w14:paraId="6910F8BD">
            <w:pPr>
              <w:spacing w:line="360" w:lineRule="auto"/>
              <w:ind w:firstLine="482" w:firstLineChars="200"/>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表</w:t>
            </w:r>
            <w:r>
              <w:rPr>
                <w:rFonts w:hint="default" w:ascii="Times New Roman" w:hAnsi="Times New Roman" w:cs="Times New Roman"/>
                <w:b/>
                <w:bCs/>
                <w:color w:val="auto"/>
                <w:sz w:val="24"/>
                <w:szCs w:val="24"/>
                <w:lang w:val="en-US" w:eastAsia="zh-CN"/>
              </w:rPr>
              <w:t>5</w:t>
            </w:r>
            <w:r>
              <w:rPr>
                <w:rFonts w:hint="default" w:ascii="Times New Roman" w:hAnsi="Times New Roman" w:cs="Times New Roman"/>
                <w:b/>
                <w:bCs/>
                <w:color w:val="auto"/>
                <w:sz w:val="24"/>
                <w:szCs w:val="24"/>
              </w:rPr>
              <w:t>-1  施工期主要设备噪声源强度表</w:t>
            </w:r>
          </w:p>
          <w:tbl>
            <w:tblPr>
              <w:tblStyle w:val="23"/>
              <w:tblW w:w="9638" w:type="dxa"/>
              <w:jc w:val="center"/>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1571"/>
              <w:gridCol w:w="1601"/>
              <w:gridCol w:w="1361"/>
              <w:gridCol w:w="1409"/>
              <w:gridCol w:w="2049"/>
              <w:gridCol w:w="1647"/>
            </w:tblGrid>
            <w:tr w14:paraId="2A0C3827">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555" w:hRule="atLeast"/>
                <w:jc w:val="center"/>
              </w:trPr>
              <w:tc>
                <w:tcPr>
                  <w:tcW w:w="1571" w:type="dxa"/>
                  <w:tcBorders>
                    <w:top w:val="double" w:color="auto" w:sz="4" w:space="0"/>
                    <w:left w:val="nil"/>
                    <w:bottom w:val="single" w:color="auto" w:sz="4" w:space="0"/>
                  </w:tcBorders>
                  <w:vAlign w:val="center"/>
                </w:tcPr>
                <w:p w14:paraId="01EE449D">
                  <w:pPr>
                    <w:spacing w:line="360" w:lineRule="auto"/>
                    <w:jc w:val="center"/>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施工阶段</w:t>
                  </w:r>
                </w:p>
              </w:tc>
              <w:tc>
                <w:tcPr>
                  <w:tcW w:w="1601" w:type="dxa"/>
                  <w:tcBorders>
                    <w:top w:val="double" w:color="auto" w:sz="4" w:space="0"/>
                    <w:bottom w:val="single" w:color="auto" w:sz="4" w:space="0"/>
                  </w:tcBorders>
                  <w:vAlign w:val="center"/>
                </w:tcPr>
                <w:p w14:paraId="5BC8D347">
                  <w:pPr>
                    <w:spacing w:line="360" w:lineRule="auto"/>
                    <w:jc w:val="center"/>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声 源</w:t>
                  </w:r>
                </w:p>
              </w:tc>
              <w:tc>
                <w:tcPr>
                  <w:tcW w:w="1361" w:type="dxa"/>
                  <w:tcBorders>
                    <w:top w:val="double" w:color="auto" w:sz="4" w:space="0"/>
                    <w:bottom w:val="single" w:color="auto" w:sz="4" w:space="0"/>
                  </w:tcBorders>
                  <w:vAlign w:val="center"/>
                </w:tcPr>
                <w:p w14:paraId="0AD80A28">
                  <w:pPr>
                    <w:spacing w:line="360" w:lineRule="auto"/>
                    <w:jc w:val="center"/>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声源强度</w:t>
                  </w:r>
                </w:p>
                <w:p w14:paraId="6AE6EA38">
                  <w:pPr>
                    <w:spacing w:line="360" w:lineRule="auto"/>
                    <w:jc w:val="center"/>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[dB(A)]</w:t>
                  </w:r>
                </w:p>
              </w:tc>
              <w:tc>
                <w:tcPr>
                  <w:tcW w:w="1409" w:type="dxa"/>
                  <w:tcBorders>
                    <w:top w:val="double" w:color="auto" w:sz="4" w:space="0"/>
                    <w:bottom w:val="single" w:color="auto" w:sz="4" w:space="0"/>
                  </w:tcBorders>
                  <w:vAlign w:val="center"/>
                </w:tcPr>
                <w:p w14:paraId="31D19664">
                  <w:pPr>
                    <w:spacing w:line="360" w:lineRule="auto"/>
                    <w:jc w:val="center"/>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施工阶段</w:t>
                  </w:r>
                </w:p>
              </w:tc>
              <w:tc>
                <w:tcPr>
                  <w:tcW w:w="2049" w:type="dxa"/>
                  <w:tcBorders>
                    <w:top w:val="double" w:color="auto" w:sz="4" w:space="0"/>
                    <w:bottom w:val="single" w:color="auto" w:sz="4" w:space="0"/>
                  </w:tcBorders>
                  <w:vAlign w:val="center"/>
                </w:tcPr>
                <w:p w14:paraId="73AC5C83">
                  <w:pPr>
                    <w:spacing w:line="360" w:lineRule="auto"/>
                    <w:jc w:val="center"/>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声 源</w:t>
                  </w:r>
                </w:p>
              </w:tc>
              <w:tc>
                <w:tcPr>
                  <w:tcW w:w="1647" w:type="dxa"/>
                  <w:tcBorders>
                    <w:top w:val="double" w:color="auto" w:sz="4" w:space="0"/>
                    <w:bottom w:val="single" w:color="auto" w:sz="4" w:space="0"/>
                    <w:right w:val="nil"/>
                  </w:tcBorders>
                  <w:vAlign w:val="center"/>
                </w:tcPr>
                <w:p w14:paraId="0403382A">
                  <w:pPr>
                    <w:spacing w:line="360" w:lineRule="auto"/>
                    <w:jc w:val="center"/>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声源强度</w:t>
                  </w:r>
                </w:p>
                <w:p w14:paraId="1E48478A">
                  <w:pPr>
                    <w:spacing w:line="360" w:lineRule="auto"/>
                    <w:jc w:val="center"/>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[dB(A)]</w:t>
                  </w:r>
                </w:p>
              </w:tc>
            </w:tr>
            <w:tr w14:paraId="5E36791D">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190" w:hRule="atLeast"/>
                <w:jc w:val="center"/>
              </w:trPr>
              <w:tc>
                <w:tcPr>
                  <w:tcW w:w="1571" w:type="dxa"/>
                  <w:vMerge w:val="restart"/>
                  <w:tcBorders>
                    <w:top w:val="single" w:color="auto" w:sz="4" w:space="0"/>
                    <w:left w:val="nil"/>
                  </w:tcBorders>
                  <w:vAlign w:val="center"/>
                </w:tcPr>
                <w:p w14:paraId="52F4EB9E">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土石方阶段</w:t>
                  </w:r>
                </w:p>
              </w:tc>
              <w:tc>
                <w:tcPr>
                  <w:tcW w:w="1601" w:type="dxa"/>
                  <w:tcBorders>
                    <w:top w:val="single" w:color="auto" w:sz="4" w:space="0"/>
                  </w:tcBorders>
                  <w:vAlign w:val="center"/>
                </w:tcPr>
                <w:p w14:paraId="36F3C1A9">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挖土机</w:t>
                  </w:r>
                </w:p>
              </w:tc>
              <w:tc>
                <w:tcPr>
                  <w:tcW w:w="1361" w:type="dxa"/>
                  <w:tcBorders>
                    <w:top w:val="single" w:color="auto" w:sz="4" w:space="0"/>
                  </w:tcBorders>
                  <w:vAlign w:val="center"/>
                </w:tcPr>
                <w:p w14:paraId="4372FF2B">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78～96</w:t>
                  </w:r>
                </w:p>
              </w:tc>
              <w:tc>
                <w:tcPr>
                  <w:tcW w:w="1409" w:type="dxa"/>
                  <w:vMerge w:val="restart"/>
                  <w:tcBorders>
                    <w:top w:val="single" w:color="auto" w:sz="4" w:space="0"/>
                  </w:tcBorders>
                  <w:vAlign w:val="center"/>
                </w:tcPr>
                <w:p w14:paraId="185B9A2E">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装修、安装阶段</w:t>
                  </w:r>
                </w:p>
              </w:tc>
              <w:tc>
                <w:tcPr>
                  <w:tcW w:w="2049" w:type="dxa"/>
                  <w:tcBorders>
                    <w:top w:val="single" w:color="auto" w:sz="4" w:space="0"/>
                  </w:tcBorders>
                  <w:vAlign w:val="center"/>
                </w:tcPr>
                <w:p w14:paraId="0D1EC84A">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电钻</w:t>
                  </w:r>
                </w:p>
              </w:tc>
              <w:tc>
                <w:tcPr>
                  <w:tcW w:w="1647" w:type="dxa"/>
                  <w:tcBorders>
                    <w:top w:val="single" w:color="auto" w:sz="4" w:space="0"/>
                    <w:right w:val="nil"/>
                  </w:tcBorders>
                  <w:vAlign w:val="center"/>
                </w:tcPr>
                <w:p w14:paraId="18CE6068">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100～105</w:t>
                  </w:r>
                </w:p>
              </w:tc>
            </w:tr>
            <w:tr w14:paraId="3A39EE2D">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143" w:hRule="atLeast"/>
                <w:jc w:val="center"/>
              </w:trPr>
              <w:tc>
                <w:tcPr>
                  <w:tcW w:w="1571" w:type="dxa"/>
                  <w:vMerge w:val="continue"/>
                  <w:tcBorders>
                    <w:left w:val="nil"/>
                  </w:tcBorders>
                  <w:vAlign w:val="center"/>
                </w:tcPr>
                <w:p w14:paraId="4787927A">
                  <w:pPr>
                    <w:spacing w:line="360" w:lineRule="auto"/>
                    <w:ind w:firstLine="420" w:firstLineChars="200"/>
                    <w:jc w:val="center"/>
                    <w:rPr>
                      <w:rFonts w:hint="default" w:ascii="Times New Roman" w:hAnsi="Times New Roman" w:cs="Times New Roman"/>
                      <w:color w:val="auto"/>
                      <w:sz w:val="21"/>
                      <w:szCs w:val="21"/>
                    </w:rPr>
                  </w:pPr>
                </w:p>
              </w:tc>
              <w:tc>
                <w:tcPr>
                  <w:tcW w:w="1601" w:type="dxa"/>
                  <w:vAlign w:val="center"/>
                </w:tcPr>
                <w:p w14:paraId="518054CA">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冲击机</w:t>
                  </w:r>
                </w:p>
              </w:tc>
              <w:tc>
                <w:tcPr>
                  <w:tcW w:w="1361" w:type="dxa"/>
                  <w:vAlign w:val="center"/>
                </w:tcPr>
                <w:p w14:paraId="4986A539">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95</w:t>
                  </w:r>
                </w:p>
              </w:tc>
              <w:tc>
                <w:tcPr>
                  <w:tcW w:w="1409" w:type="dxa"/>
                  <w:vMerge w:val="continue"/>
                  <w:vAlign w:val="center"/>
                </w:tcPr>
                <w:p w14:paraId="59BCCEA2">
                  <w:pPr>
                    <w:spacing w:line="360" w:lineRule="auto"/>
                    <w:ind w:firstLine="420" w:firstLineChars="200"/>
                    <w:jc w:val="center"/>
                    <w:rPr>
                      <w:rFonts w:hint="default" w:ascii="Times New Roman" w:hAnsi="Times New Roman" w:cs="Times New Roman"/>
                      <w:color w:val="auto"/>
                      <w:sz w:val="21"/>
                      <w:szCs w:val="21"/>
                    </w:rPr>
                  </w:pPr>
                </w:p>
              </w:tc>
              <w:tc>
                <w:tcPr>
                  <w:tcW w:w="2049" w:type="dxa"/>
                  <w:vAlign w:val="center"/>
                </w:tcPr>
                <w:p w14:paraId="691C1CDB">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电锤</w:t>
                  </w:r>
                </w:p>
              </w:tc>
              <w:tc>
                <w:tcPr>
                  <w:tcW w:w="1647" w:type="dxa"/>
                  <w:tcBorders>
                    <w:right w:val="nil"/>
                  </w:tcBorders>
                  <w:vAlign w:val="center"/>
                </w:tcPr>
                <w:p w14:paraId="3D4B2EDD">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100～105</w:t>
                  </w:r>
                </w:p>
              </w:tc>
            </w:tr>
            <w:tr w14:paraId="57432D86">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143" w:hRule="atLeast"/>
                <w:jc w:val="center"/>
              </w:trPr>
              <w:tc>
                <w:tcPr>
                  <w:tcW w:w="1571" w:type="dxa"/>
                  <w:vMerge w:val="continue"/>
                  <w:tcBorders>
                    <w:left w:val="nil"/>
                  </w:tcBorders>
                  <w:vAlign w:val="center"/>
                </w:tcPr>
                <w:p w14:paraId="05CF27EF">
                  <w:pPr>
                    <w:spacing w:line="360" w:lineRule="auto"/>
                    <w:ind w:firstLine="420" w:firstLineChars="200"/>
                    <w:jc w:val="center"/>
                    <w:rPr>
                      <w:rFonts w:hint="default" w:ascii="Times New Roman" w:hAnsi="Times New Roman" w:cs="Times New Roman"/>
                      <w:color w:val="auto"/>
                      <w:sz w:val="21"/>
                      <w:szCs w:val="21"/>
                    </w:rPr>
                  </w:pPr>
                </w:p>
              </w:tc>
              <w:tc>
                <w:tcPr>
                  <w:tcW w:w="1601" w:type="dxa"/>
                  <w:vAlign w:val="center"/>
                </w:tcPr>
                <w:p w14:paraId="7CD615CD">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空压机</w:t>
                  </w:r>
                </w:p>
              </w:tc>
              <w:tc>
                <w:tcPr>
                  <w:tcW w:w="1361" w:type="dxa"/>
                  <w:vAlign w:val="center"/>
                </w:tcPr>
                <w:p w14:paraId="4719C6AA">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75～85</w:t>
                  </w:r>
                </w:p>
              </w:tc>
              <w:tc>
                <w:tcPr>
                  <w:tcW w:w="1409" w:type="dxa"/>
                  <w:vMerge w:val="continue"/>
                  <w:vAlign w:val="center"/>
                </w:tcPr>
                <w:p w14:paraId="6C20FE39">
                  <w:pPr>
                    <w:spacing w:line="360" w:lineRule="auto"/>
                    <w:ind w:firstLine="420" w:firstLineChars="200"/>
                    <w:jc w:val="center"/>
                    <w:rPr>
                      <w:rFonts w:hint="default" w:ascii="Times New Roman" w:hAnsi="Times New Roman" w:cs="Times New Roman"/>
                      <w:color w:val="auto"/>
                      <w:sz w:val="21"/>
                      <w:szCs w:val="21"/>
                    </w:rPr>
                  </w:pPr>
                </w:p>
              </w:tc>
              <w:tc>
                <w:tcPr>
                  <w:tcW w:w="2049" w:type="dxa"/>
                  <w:vAlign w:val="center"/>
                </w:tcPr>
                <w:p w14:paraId="1A152DC1">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手工钻</w:t>
                  </w:r>
                </w:p>
              </w:tc>
              <w:tc>
                <w:tcPr>
                  <w:tcW w:w="1647" w:type="dxa"/>
                  <w:tcBorders>
                    <w:right w:val="nil"/>
                  </w:tcBorders>
                  <w:vAlign w:val="center"/>
                </w:tcPr>
                <w:p w14:paraId="3132DAE4">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100～105</w:t>
                  </w:r>
                </w:p>
              </w:tc>
            </w:tr>
            <w:tr w14:paraId="4BEB1CE5">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143" w:hRule="atLeast"/>
                <w:jc w:val="center"/>
              </w:trPr>
              <w:tc>
                <w:tcPr>
                  <w:tcW w:w="1571" w:type="dxa"/>
                  <w:vMerge w:val="continue"/>
                  <w:tcBorders>
                    <w:left w:val="nil"/>
                  </w:tcBorders>
                  <w:vAlign w:val="center"/>
                </w:tcPr>
                <w:p w14:paraId="5743800B">
                  <w:pPr>
                    <w:spacing w:line="360" w:lineRule="auto"/>
                    <w:ind w:firstLine="420" w:firstLineChars="200"/>
                    <w:jc w:val="center"/>
                    <w:rPr>
                      <w:rFonts w:hint="default" w:ascii="Times New Roman" w:hAnsi="Times New Roman" w:cs="Times New Roman"/>
                      <w:color w:val="auto"/>
                      <w:sz w:val="21"/>
                      <w:szCs w:val="21"/>
                    </w:rPr>
                  </w:pPr>
                </w:p>
              </w:tc>
              <w:tc>
                <w:tcPr>
                  <w:tcW w:w="1601" w:type="dxa"/>
                  <w:vAlign w:val="center"/>
                </w:tcPr>
                <w:p w14:paraId="21397F0F">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蛙式打桩机</w:t>
                  </w:r>
                </w:p>
              </w:tc>
              <w:tc>
                <w:tcPr>
                  <w:tcW w:w="1361" w:type="dxa"/>
                  <w:vAlign w:val="center"/>
                </w:tcPr>
                <w:p w14:paraId="63C09D68">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90</w:t>
                  </w:r>
                </w:p>
              </w:tc>
              <w:tc>
                <w:tcPr>
                  <w:tcW w:w="1409" w:type="dxa"/>
                  <w:vMerge w:val="continue"/>
                  <w:vAlign w:val="center"/>
                </w:tcPr>
                <w:p w14:paraId="6B8D84D9">
                  <w:pPr>
                    <w:spacing w:line="360" w:lineRule="auto"/>
                    <w:ind w:firstLine="420" w:firstLineChars="200"/>
                    <w:jc w:val="center"/>
                    <w:rPr>
                      <w:rFonts w:hint="default" w:ascii="Times New Roman" w:hAnsi="Times New Roman" w:cs="Times New Roman"/>
                      <w:color w:val="auto"/>
                      <w:sz w:val="21"/>
                      <w:szCs w:val="21"/>
                    </w:rPr>
                  </w:pPr>
                </w:p>
              </w:tc>
              <w:tc>
                <w:tcPr>
                  <w:tcW w:w="2049" w:type="dxa"/>
                  <w:vAlign w:val="center"/>
                </w:tcPr>
                <w:p w14:paraId="183AD8CC">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无齿锯</w:t>
                  </w:r>
                </w:p>
              </w:tc>
              <w:tc>
                <w:tcPr>
                  <w:tcW w:w="1647" w:type="dxa"/>
                  <w:tcBorders>
                    <w:right w:val="nil"/>
                  </w:tcBorders>
                  <w:vAlign w:val="center"/>
                </w:tcPr>
                <w:p w14:paraId="0E4BDEE7">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105</w:t>
                  </w:r>
                </w:p>
              </w:tc>
            </w:tr>
            <w:tr w14:paraId="7E29C714">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143" w:hRule="atLeast"/>
                <w:jc w:val="center"/>
              </w:trPr>
              <w:tc>
                <w:tcPr>
                  <w:tcW w:w="1571" w:type="dxa"/>
                  <w:vMerge w:val="continue"/>
                  <w:tcBorders>
                    <w:left w:val="nil"/>
                  </w:tcBorders>
                  <w:vAlign w:val="center"/>
                </w:tcPr>
                <w:p w14:paraId="02750CB9">
                  <w:pPr>
                    <w:spacing w:line="360" w:lineRule="auto"/>
                    <w:ind w:firstLine="420" w:firstLineChars="200"/>
                    <w:jc w:val="center"/>
                    <w:rPr>
                      <w:rFonts w:hint="default" w:ascii="Times New Roman" w:hAnsi="Times New Roman" w:cs="Times New Roman"/>
                      <w:color w:val="auto"/>
                      <w:sz w:val="21"/>
                      <w:szCs w:val="21"/>
                    </w:rPr>
                  </w:pPr>
                </w:p>
              </w:tc>
              <w:tc>
                <w:tcPr>
                  <w:tcW w:w="1601" w:type="dxa"/>
                  <w:vAlign w:val="center"/>
                </w:tcPr>
                <w:p w14:paraId="4449BF44">
                  <w:pPr>
                    <w:spacing w:line="360" w:lineRule="auto"/>
                    <w:ind w:firstLine="420" w:firstLineChars="20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卷扬机</w:t>
                  </w:r>
                </w:p>
              </w:tc>
              <w:tc>
                <w:tcPr>
                  <w:tcW w:w="1361" w:type="dxa"/>
                  <w:vAlign w:val="center"/>
                </w:tcPr>
                <w:p w14:paraId="0AAA3CB4">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95～105</w:t>
                  </w:r>
                </w:p>
              </w:tc>
              <w:tc>
                <w:tcPr>
                  <w:tcW w:w="1409" w:type="dxa"/>
                  <w:vMerge w:val="continue"/>
                  <w:vAlign w:val="center"/>
                </w:tcPr>
                <w:p w14:paraId="127E2C45">
                  <w:pPr>
                    <w:spacing w:line="360" w:lineRule="auto"/>
                    <w:ind w:firstLine="420" w:firstLineChars="200"/>
                    <w:jc w:val="center"/>
                    <w:rPr>
                      <w:rFonts w:hint="default" w:ascii="Times New Roman" w:hAnsi="Times New Roman" w:cs="Times New Roman"/>
                      <w:color w:val="auto"/>
                      <w:sz w:val="21"/>
                      <w:szCs w:val="21"/>
                    </w:rPr>
                  </w:pPr>
                </w:p>
              </w:tc>
              <w:tc>
                <w:tcPr>
                  <w:tcW w:w="2049" w:type="dxa"/>
                  <w:vAlign w:val="center"/>
                </w:tcPr>
                <w:p w14:paraId="44585917">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多功能木工刨</w:t>
                  </w:r>
                </w:p>
              </w:tc>
              <w:tc>
                <w:tcPr>
                  <w:tcW w:w="1647" w:type="dxa"/>
                  <w:tcBorders>
                    <w:right w:val="nil"/>
                  </w:tcBorders>
                  <w:vAlign w:val="center"/>
                </w:tcPr>
                <w:p w14:paraId="01AC51F3">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90～100</w:t>
                  </w:r>
                </w:p>
              </w:tc>
            </w:tr>
            <w:tr w14:paraId="155A288B">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143" w:hRule="atLeast"/>
                <w:jc w:val="center"/>
              </w:trPr>
              <w:tc>
                <w:tcPr>
                  <w:tcW w:w="1571" w:type="dxa"/>
                  <w:vMerge w:val="continue"/>
                  <w:tcBorders>
                    <w:left w:val="nil"/>
                  </w:tcBorders>
                  <w:vAlign w:val="center"/>
                </w:tcPr>
                <w:p w14:paraId="7227BB49">
                  <w:pPr>
                    <w:spacing w:line="360" w:lineRule="auto"/>
                    <w:ind w:firstLine="420" w:firstLineChars="200"/>
                    <w:jc w:val="center"/>
                    <w:rPr>
                      <w:rFonts w:hint="default" w:ascii="Times New Roman" w:hAnsi="Times New Roman" w:cs="Times New Roman"/>
                      <w:color w:val="auto"/>
                      <w:sz w:val="21"/>
                      <w:szCs w:val="21"/>
                    </w:rPr>
                  </w:pPr>
                </w:p>
              </w:tc>
              <w:tc>
                <w:tcPr>
                  <w:tcW w:w="1601" w:type="dxa"/>
                  <w:vAlign w:val="center"/>
                </w:tcPr>
                <w:p w14:paraId="04C95960">
                  <w:pPr>
                    <w:spacing w:line="360" w:lineRule="auto"/>
                    <w:ind w:firstLine="420" w:firstLineChars="20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压缩机</w:t>
                  </w:r>
                </w:p>
              </w:tc>
              <w:tc>
                <w:tcPr>
                  <w:tcW w:w="1361" w:type="dxa"/>
                  <w:vAlign w:val="center"/>
                </w:tcPr>
                <w:p w14:paraId="3E7107CB">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75～88</w:t>
                  </w:r>
                </w:p>
              </w:tc>
              <w:tc>
                <w:tcPr>
                  <w:tcW w:w="1409" w:type="dxa"/>
                  <w:vMerge w:val="continue"/>
                  <w:vAlign w:val="center"/>
                </w:tcPr>
                <w:p w14:paraId="7AA792EA">
                  <w:pPr>
                    <w:spacing w:line="360" w:lineRule="auto"/>
                    <w:ind w:firstLine="420" w:firstLineChars="200"/>
                    <w:jc w:val="center"/>
                    <w:rPr>
                      <w:rFonts w:hint="default" w:ascii="Times New Roman" w:hAnsi="Times New Roman" w:cs="Times New Roman"/>
                      <w:color w:val="auto"/>
                      <w:sz w:val="21"/>
                      <w:szCs w:val="21"/>
                    </w:rPr>
                  </w:pPr>
                </w:p>
              </w:tc>
              <w:tc>
                <w:tcPr>
                  <w:tcW w:w="2049" w:type="dxa"/>
                  <w:vAlign w:val="center"/>
                </w:tcPr>
                <w:p w14:paraId="61DC285E">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云石机</w:t>
                  </w:r>
                </w:p>
              </w:tc>
              <w:tc>
                <w:tcPr>
                  <w:tcW w:w="1647" w:type="dxa"/>
                  <w:tcBorders>
                    <w:right w:val="nil"/>
                  </w:tcBorders>
                  <w:vAlign w:val="center"/>
                </w:tcPr>
                <w:p w14:paraId="77361473">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100～110</w:t>
                  </w:r>
                </w:p>
              </w:tc>
            </w:tr>
            <w:tr w14:paraId="46DA0C7E">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70" w:hRule="atLeast"/>
                <w:jc w:val="center"/>
              </w:trPr>
              <w:tc>
                <w:tcPr>
                  <w:tcW w:w="1571" w:type="dxa"/>
                  <w:vMerge w:val="restart"/>
                  <w:tcBorders>
                    <w:left w:val="nil"/>
                  </w:tcBorders>
                  <w:vAlign w:val="center"/>
                </w:tcPr>
                <w:p w14:paraId="1328D2A5">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底板与结构阶段</w:t>
                  </w:r>
                </w:p>
              </w:tc>
              <w:tc>
                <w:tcPr>
                  <w:tcW w:w="1601" w:type="dxa"/>
                  <w:vAlign w:val="center"/>
                </w:tcPr>
                <w:p w14:paraId="3480D578">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混凝土输送泵</w:t>
                  </w:r>
                </w:p>
              </w:tc>
              <w:tc>
                <w:tcPr>
                  <w:tcW w:w="1361" w:type="dxa"/>
                  <w:vAlign w:val="center"/>
                </w:tcPr>
                <w:p w14:paraId="31350800">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90～100</w:t>
                  </w:r>
                </w:p>
              </w:tc>
              <w:tc>
                <w:tcPr>
                  <w:tcW w:w="1409" w:type="dxa"/>
                  <w:vMerge w:val="continue"/>
                  <w:vAlign w:val="center"/>
                </w:tcPr>
                <w:p w14:paraId="25EE058E">
                  <w:pPr>
                    <w:spacing w:line="360" w:lineRule="auto"/>
                    <w:ind w:firstLine="420" w:firstLineChars="200"/>
                    <w:jc w:val="center"/>
                    <w:rPr>
                      <w:rFonts w:hint="default" w:ascii="Times New Roman" w:hAnsi="Times New Roman" w:cs="Times New Roman"/>
                      <w:color w:val="auto"/>
                      <w:sz w:val="21"/>
                      <w:szCs w:val="21"/>
                    </w:rPr>
                  </w:pPr>
                </w:p>
              </w:tc>
              <w:tc>
                <w:tcPr>
                  <w:tcW w:w="2049" w:type="dxa"/>
                  <w:vAlign w:val="center"/>
                </w:tcPr>
                <w:p w14:paraId="4B63BE42">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角向磨光机</w:t>
                  </w:r>
                </w:p>
              </w:tc>
              <w:tc>
                <w:tcPr>
                  <w:tcW w:w="1647" w:type="dxa"/>
                  <w:tcBorders>
                    <w:right w:val="nil"/>
                  </w:tcBorders>
                  <w:vAlign w:val="center"/>
                </w:tcPr>
                <w:p w14:paraId="4111F61A">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100～115</w:t>
                  </w:r>
                </w:p>
              </w:tc>
            </w:tr>
            <w:tr w14:paraId="6695F67D">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70" w:hRule="atLeast"/>
                <w:jc w:val="center"/>
              </w:trPr>
              <w:tc>
                <w:tcPr>
                  <w:tcW w:w="1571" w:type="dxa"/>
                  <w:vMerge w:val="continue"/>
                  <w:tcBorders>
                    <w:left w:val="nil"/>
                  </w:tcBorders>
                  <w:vAlign w:val="center"/>
                </w:tcPr>
                <w:p w14:paraId="04C4CACF">
                  <w:pPr>
                    <w:spacing w:line="360" w:lineRule="auto"/>
                    <w:ind w:firstLine="420" w:firstLineChars="200"/>
                    <w:jc w:val="center"/>
                    <w:rPr>
                      <w:rFonts w:hint="default" w:ascii="Times New Roman" w:hAnsi="Times New Roman" w:cs="Times New Roman"/>
                      <w:color w:val="auto"/>
                      <w:sz w:val="21"/>
                      <w:szCs w:val="21"/>
                    </w:rPr>
                  </w:pPr>
                </w:p>
              </w:tc>
              <w:tc>
                <w:tcPr>
                  <w:tcW w:w="1601" w:type="dxa"/>
                  <w:vAlign w:val="center"/>
                </w:tcPr>
                <w:p w14:paraId="3242AD72">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振捣器</w:t>
                  </w:r>
                </w:p>
              </w:tc>
              <w:tc>
                <w:tcPr>
                  <w:tcW w:w="1361" w:type="dxa"/>
                  <w:vAlign w:val="center"/>
                </w:tcPr>
                <w:p w14:paraId="4A861F16">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100～105</w:t>
                  </w:r>
                </w:p>
              </w:tc>
              <w:tc>
                <w:tcPr>
                  <w:tcW w:w="1409" w:type="dxa"/>
                  <w:vMerge w:val="continue"/>
                  <w:vAlign w:val="center"/>
                </w:tcPr>
                <w:p w14:paraId="2BEDA4CC">
                  <w:pPr>
                    <w:spacing w:line="360" w:lineRule="auto"/>
                    <w:ind w:firstLine="420" w:firstLineChars="200"/>
                    <w:jc w:val="center"/>
                    <w:rPr>
                      <w:rFonts w:hint="default" w:ascii="Times New Roman" w:hAnsi="Times New Roman" w:cs="Times New Roman"/>
                      <w:color w:val="auto"/>
                      <w:sz w:val="21"/>
                      <w:szCs w:val="21"/>
                    </w:rPr>
                  </w:pPr>
                </w:p>
              </w:tc>
              <w:tc>
                <w:tcPr>
                  <w:tcW w:w="2049" w:type="dxa"/>
                  <w:vAlign w:val="center"/>
                </w:tcPr>
                <w:p w14:paraId="3CD8C1C3">
                  <w:pPr>
                    <w:spacing w:line="360" w:lineRule="auto"/>
                    <w:ind w:firstLine="420" w:firstLineChars="200"/>
                    <w:jc w:val="center"/>
                    <w:rPr>
                      <w:rFonts w:hint="default" w:ascii="Times New Roman" w:hAnsi="Times New Roman" w:cs="Times New Roman"/>
                      <w:color w:val="auto"/>
                      <w:sz w:val="21"/>
                      <w:szCs w:val="21"/>
                    </w:rPr>
                  </w:pPr>
                </w:p>
              </w:tc>
              <w:tc>
                <w:tcPr>
                  <w:tcW w:w="1647" w:type="dxa"/>
                  <w:tcBorders>
                    <w:right w:val="nil"/>
                  </w:tcBorders>
                  <w:vAlign w:val="center"/>
                </w:tcPr>
                <w:p w14:paraId="5DA56738">
                  <w:pPr>
                    <w:spacing w:line="360" w:lineRule="auto"/>
                    <w:ind w:firstLine="420" w:firstLineChars="200"/>
                    <w:jc w:val="center"/>
                    <w:rPr>
                      <w:rFonts w:hint="default" w:ascii="Times New Roman" w:hAnsi="Times New Roman" w:cs="Times New Roman"/>
                      <w:color w:val="auto"/>
                      <w:sz w:val="21"/>
                      <w:szCs w:val="21"/>
                    </w:rPr>
                  </w:pPr>
                </w:p>
              </w:tc>
            </w:tr>
            <w:tr w14:paraId="2D99CEE6">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09" w:hRule="atLeast"/>
                <w:jc w:val="center"/>
              </w:trPr>
              <w:tc>
                <w:tcPr>
                  <w:tcW w:w="1571" w:type="dxa"/>
                  <w:vMerge w:val="continue"/>
                  <w:tcBorders>
                    <w:left w:val="nil"/>
                  </w:tcBorders>
                  <w:vAlign w:val="center"/>
                </w:tcPr>
                <w:p w14:paraId="0640648D">
                  <w:pPr>
                    <w:spacing w:line="360" w:lineRule="auto"/>
                    <w:ind w:firstLine="420" w:firstLineChars="200"/>
                    <w:jc w:val="center"/>
                    <w:rPr>
                      <w:rFonts w:hint="default" w:ascii="Times New Roman" w:hAnsi="Times New Roman" w:cs="Times New Roman"/>
                      <w:color w:val="auto"/>
                      <w:sz w:val="21"/>
                      <w:szCs w:val="21"/>
                    </w:rPr>
                  </w:pPr>
                </w:p>
              </w:tc>
              <w:tc>
                <w:tcPr>
                  <w:tcW w:w="1601" w:type="dxa"/>
                  <w:vAlign w:val="center"/>
                </w:tcPr>
                <w:p w14:paraId="1FBDC2E9">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电焊机</w:t>
                  </w:r>
                </w:p>
              </w:tc>
              <w:tc>
                <w:tcPr>
                  <w:tcW w:w="1361" w:type="dxa"/>
                  <w:vAlign w:val="center"/>
                </w:tcPr>
                <w:p w14:paraId="1A9CEF8D">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90～95</w:t>
                  </w:r>
                </w:p>
              </w:tc>
              <w:tc>
                <w:tcPr>
                  <w:tcW w:w="1409" w:type="dxa"/>
                  <w:vMerge w:val="continue"/>
                  <w:vAlign w:val="center"/>
                </w:tcPr>
                <w:p w14:paraId="08EDA444">
                  <w:pPr>
                    <w:spacing w:line="360" w:lineRule="auto"/>
                    <w:ind w:firstLine="420" w:firstLineChars="200"/>
                    <w:jc w:val="center"/>
                    <w:rPr>
                      <w:rFonts w:hint="default" w:ascii="Times New Roman" w:hAnsi="Times New Roman" w:cs="Times New Roman"/>
                      <w:color w:val="auto"/>
                      <w:sz w:val="21"/>
                      <w:szCs w:val="21"/>
                    </w:rPr>
                  </w:pPr>
                </w:p>
              </w:tc>
              <w:tc>
                <w:tcPr>
                  <w:tcW w:w="2049" w:type="dxa"/>
                  <w:vAlign w:val="center"/>
                </w:tcPr>
                <w:p w14:paraId="613D9FA9">
                  <w:pPr>
                    <w:spacing w:line="360" w:lineRule="auto"/>
                    <w:ind w:firstLine="420" w:firstLineChars="200"/>
                    <w:jc w:val="center"/>
                    <w:rPr>
                      <w:rFonts w:hint="default" w:ascii="Times New Roman" w:hAnsi="Times New Roman" w:cs="Times New Roman"/>
                      <w:color w:val="auto"/>
                      <w:sz w:val="21"/>
                      <w:szCs w:val="21"/>
                    </w:rPr>
                  </w:pPr>
                </w:p>
              </w:tc>
              <w:tc>
                <w:tcPr>
                  <w:tcW w:w="1647" w:type="dxa"/>
                  <w:tcBorders>
                    <w:right w:val="nil"/>
                  </w:tcBorders>
                  <w:vAlign w:val="center"/>
                </w:tcPr>
                <w:p w14:paraId="79483372">
                  <w:pPr>
                    <w:spacing w:line="360" w:lineRule="auto"/>
                    <w:ind w:firstLine="420" w:firstLineChars="200"/>
                    <w:jc w:val="center"/>
                    <w:rPr>
                      <w:rFonts w:hint="default" w:ascii="Times New Roman" w:hAnsi="Times New Roman" w:cs="Times New Roman"/>
                      <w:color w:val="auto"/>
                      <w:sz w:val="21"/>
                      <w:szCs w:val="21"/>
                    </w:rPr>
                  </w:pPr>
                </w:p>
              </w:tc>
            </w:tr>
            <w:tr w14:paraId="59457E7F">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299" w:hRule="atLeast"/>
                <w:jc w:val="center"/>
              </w:trPr>
              <w:tc>
                <w:tcPr>
                  <w:tcW w:w="1571" w:type="dxa"/>
                  <w:vMerge w:val="continue"/>
                  <w:tcBorders>
                    <w:left w:val="nil"/>
                  </w:tcBorders>
                  <w:vAlign w:val="center"/>
                </w:tcPr>
                <w:p w14:paraId="2B73165D">
                  <w:pPr>
                    <w:spacing w:line="360" w:lineRule="auto"/>
                    <w:ind w:firstLine="420" w:firstLineChars="200"/>
                    <w:jc w:val="center"/>
                    <w:rPr>
                      <w:rFonts w:hint="default" w:ascii="Times New Roman" w:hAnsi="Times New Roman" w:cs="Times New Roman"/>
                      <w:color w:val="auto"/>
                      <w:sz w:val="21"/>
                      <w:szCs w:val="21"/>
                    </w:rPr>
                  </w:pPr>
                </w:p>
              </w:tc>
              <w:tc>
                <w:tcPr>
                  <w:tcW w:w="1601" w:type="dxa"/>
                  <w:vAlign w:val="center"/>
                </w:tcPr>
                <w:p w14:paraId="7B1C570C">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空压机</w:t>
                  </w:r>
                </w:p>
              </w:tc>
              <w:tc>
                <w:tcPr>
                  <w:tcW w:w="1361" w:type="dxa"/>
                  <w:vAlign w:val="center"/>
                </w:tcPr>
                <w:p w14:paraId="13990502">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75～85</w:t>
                  </w:r>
                </w:p>
              </w:tc>
              <w:tc>
                <w:tcPr>
                  <w:tcW w:w="1409" w:type="dxa"/>
                  <w:vMerge w:val="continue"/>
                  <w:vAlign w:val="center"/>
                </w:tcPr>
                <w:p w14:paraId="49B01D87">
                  <w:pPr>
                    <w:spacing w:line="360" w:lineRule="auto"/>
                    <w:ind w:firstLine="420" w:firstLineChars="200"/>
                    <w:jc w:val="center"/>
                    <w:rPr>
                      <w:rFonts w:hint="default" w:ascii="Times New Roman" w:hAnsi="Times New Roman" w:cs="Times New Roman"/>
                      <w:color w:val="auto"/>
                      <w:sz w:val="21"/>
                      <w:szCs w:val="21"/>
                    </w:rPr>
                  </w:pPr>
                </w:p>
              </w:tc>
              <w:tc>
                <w:tcPr>
                  <w:tcW w:w="2049" w:type="dxa"/>
                  <w:vAlign w:val="center"/>
                </w:tcPr>
                <w:p w14:paraId="0DA5E674">
                  <w:pPr>
                    <w:spacing w:line="360" w:lineRule="auto"/>
                    <w:ind w:firstLine="420" w:firstLineChars="200"/>
                    <w:jc w:val="center"/>
                    <w:rPr>
                      <w:rFonts w:hint="default" w:ascii="Times New Roman" w:hAnsi="Times New Roman" w:cs="Times New Roman"/>
                      <w:color w:val="auto"/>
                      <w:sz w:val="21"/>
                      <w:szCs w:val="21"/>
                    </w:rPr>
                  </w:pPr>
                </w:p>
              </w:tc>
              <w:tc>
                <w:tcPr>
                  <w:tcW w:w="1647" w:type="dxa"/>
                  <w:tcBorders>
                    <w:right w:val="nil"/>
                  </w:tcBorders>
                  <w:vAlign w:val="center"/>
                </w:tcPr>
                <w:p w14:paraId="6B9C5580">
                  <w:pPr>
                    <w:spacing w:line="360" w:lineRule="auto"/>
                    <w:ind w:firstLine="420" w:firstLineChars="200"/>
                    <w:jc w:val="center"/>
                    <w:rPr>
                      <w:rFonts w:hint="default" w:ascii="Times New Roman" w:hAnsi="Times New Roman" w:cs="Times New Roman"/>
                      <w:color w:val="auto"/>
                      <w:sz w:val="21"/>
                      <w:szCs w:val="21"/>
                    </w:rPr>
                  </w:pPr>
                </w:p>
              </w:tc>
            </w:tr>
            <w:tr w14:paraId="63A93C2B">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143" w:hRule="atLeast"/>
                <w:jc w:val="center"/>
              </w:trPr>
              <w:tc>
                <w:tcPr>
                  <w:tcW w:w="1571" w:type="dxa"/>
                  <w:vMerge w:val="continue"/>
                  <w:tcBorders>
                    <w:left w:val="nil"/>
                    <w:bottom w:val="double" w:color="auto" w:sz="4" w:space="0"/>
                  </w:tcBorders>
                  <w:vAlign w:val="center"/>
                </w:tcPr>
                <w:p w14:paraId="6691516E">
                  <w:pPr>
                    <w:spacing w:line="360" w:lineRule="auto"/>
                    <w:ind w:firstLine="420" w:firstLineChars="200"/>
                    <w:jc w:val="center"/>
                    <w:rPr>
                      <w:rFonts w:hint="default" w:ascii="Times New Roman" w:hAnsi="Times New Roman" w:cs="Times New Roman"/>
                      <w:color w:val="auto"/>
                      <w:sz w:val="21"/>
                      <w:szCs w:val="21"/>
                    </w:rPr>
                  </w:pPr>
                </w:p>
              </w:tc>
              <w:tc>
                <w:tcPr>
                  <w:tcW w:w="1601" w:type="dxa"/>
                  <w:tcBorders>
                    <w:bottom w:val="double" w:color="auto" w:sz="4" w:space="0"/>
                  </w:tcBorders>
                  <w:vAlign w:val="center"/>
                </w:tcPr>
                <w:p w14:paraId="798D34F4">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电锯</w:t>
                  </w:r>
                </w:p>
              </w:tc>
              <w:tc>
                <w:tcPr>
                  <w:tcW w:w="1361" w:type="dxa"/>
                  <w:tcBorders>
                    <w:bottom w:val="double" w:color="auto" w:sz="4" w:space="0"/>
                  </w:tcBorders>
                  <w:vAlign w:val="center"/>
                </w:tcPr>
                <w:p w14:paraId="060F0907">
                  <w:pPr>
                    <w:spacing w:line="360"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100～105</w:t>
                  </w:r>
                </w:p>
              </w:tc>
              <w:tc>
                <w:tcPr>
                  <w:tcW w:w="1409" w:type="dxa"/>
                  <w:vMerge w:val="continue"/>
                  <w:tcBorders>
                    <w:bottom w:val="double" w:color="auto" w:sz="4" w:space="0"/>
                  </w:tcBorders>
                  <w:vAlign w:val="center"/>
                </w:tcPr>
                <w:p w14:paraId="3F20A400">
                  <w:pPr>
                    <w:spacing w:line="360" w:lineRule="auto"/>
                    <w:ind w:firstLine="420" w:firstLineChars="200"/>
                    <w:jc w:val="center"/>
                    <w:rPr>
                      <w:rFonts w:hint="default" w:ascii="Times New Roman" w:hAnsi="Times New Roman" w:cs="Times New Roman"/>
                      <w:color w:val="auto"/>
                      <w:sz w:val="21"/>
                      <w:szCs w:val="21"/>
                    </w:rPr>
                  </w:pPr>
                </w:p>
              </w:tc>
              <w:tc>
                <w:tcPr>
                  <w:tcW w:w="2049" w:type="dxa"/>
                  <w:tcBorders>
                    <w:bottom w:val="double" w:color="auto" w:sz="4" w:space="0"/>
                  </w:tcBorders>
                  <w:vAlign w:val="center"/>
                </w:tcPr>
                <w:p w14:paraId="0939160F">
                  <w:pPr>
                    <w:spacing w:line="360" w:lineRule="auto"/>
                    <w:ind w:firstLine="420" w:firstLineChars="200"/>
                    <w:jc w:val="center"/>
                    <w:rPr>
                      <w:rFonts w:hint="default" w:ascii="Times New Roman" w:hAnsi="Times New Roman" w:cs="Times New Roman"/>
                      <w:color w:val="auto"/>
                      <w:sz w:val="21"/>
                      <w:szCs w:val="21"/>
                    </w:rPr>
                  </w:pPr>
                </w:p>
              </w:tc>
              <w:tc>
                <w:tcPr>
                  <w:tcW w:w="1647" w:type="dxa"/>
                  <w:tcBorders>
                    <w:bottom w:val="double" w:color="auto" w:sz="4" w:space="0"/>
                    <w:right w:val="nil"/>
                  </w:tcBorders>
                  <w:vAlign w:val="center"/>
                </w:tcPr>
                <w:p w14:paraId="56D35E9F">
                  <w:pPr>
                    <w:spacing w:line="360" w:lineRule="auto"/>
                    <w:ind w:firstLine="420" w:firstLineChars="200"/>
                    <w:jc w:val="center"/>
                    <w:rPr>
                      <w:rFonts w:hint="default" w:ascii="Times New Roman" w:hAnsi="Times New Roman" w:cs="Times New Roman"/>
                      <w:color w:val="auto"/>
                      <w:sz w:val="21"/>
                      <w:szCs w:val="21"/>
                    </w:rPr>
                  </w:pPr>
                </w:p>
              </w:tc>
            </w:tr>
          </w:tbl>
          <w:p w14:paraId="4F6FF004">
            <w:pPr>
              <w:spacing w:line="360" w:lineRule="auto"/>
              <w:ind w:firstLine="480" w:firstLineChars="200"/>
              <w:rPr>
                <w:rFonts w:hint="default" w:ascii="Times New Roman" w:hAnsi="Times New Roman" w:cs="Times New Roman"/>
                <w:color w:val="auto"/>
                <w:sz w:val="24"/>
                <w:szCs w:val="24"/>
              </w:rPr>
            </w:pPr>
          </w:p>
          <w:p w14:paraId="3CC78768">
            <w:pPr>
              <w:spacing w:line="360" w:lineRule="auto"/>
              <w:ind w:firstLine="482" w:firstLineChars="200"/>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表</w:t>
            </w:r>
            <w:r>
              <w:rPr>
                <w:rFonts w:hint="default" w:ascii="Times New Roman" w:hAnsi="Times New Roman" w:cs="Times New Roman"/>
                <w:b/>
                <w:bCs/>
                <w:color w:val="auto"/>
                <w:sz w:val="24"/>
                <w:szCs w:val="24"/>
                <w:lang w:val="en-US" w:eastAsia="zh-CN"/>
              </w:rPr>
              <w:t>5</w:t>
            </w:r>
            <w:r>
              <w:rPr>
                <w:rFonts w:hint="default" w:ascii="Times New Roman" w:hAnsi="Times New Roman" w:cs="Times New Roman"/>
                <w:b/>
                <w:bCs/>
                <w:color w:val="auto"/>
                <w:sz w:val="24"/>
                <w:szCs w:val="24"/>
              </w:rPr>
              <w:t>-2     施工期交通运输车辆噪声</w:t>
            </w:r>
          </w:p>
          <w:tbl>
            <w:tblPr>
              <w:tblStyle w:val="23"/>
              <w:tblW w:w="9638" w:type="dxa"/>
              <w:jc w:val="center"/>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1779"/>
              <w:gridCol w:w="3310"/>
              <w:gridCol w:w="2483"/>
              <w:gridCol w:w="2066"/>
            </w:tblGrid>
            <w:tr w14:paraId="36A3B3C5">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30" w:hRule="atLeast"/>
                <w:jc w:val="center"/>
              </w:trPr>
              <w:tc>
                <w:tcPr>
                  <w:tcW w:w="1779" w:type="dxa"/>
                  <w:tcBorders>
                    <w:top w:val="double" w:color="auto" w:sz="4" w:space="0"/>
                    <w:left w:val="nil"/>
                    <w:bottom w:val="single" w:color="auto" w:sz="4" w:space="0"/>
                  </w:tcBorders>
                  <w:vAlign w:val="center"/>
                </w:tcPr>
                <w:p w14:paraId="2EECD049">
                  <w:pPr>
                    <w:spacing w:line="360" w:lineRule="auto"/>
                    <w:jc w:val="center"/>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施工阶段</w:t>
                  </w:r>
                </w:p>
              </w:tc>
              <w:tc>
                <w:tcPr>
                  <w:tcW w:w="3310" w:type="dxa"/>
                  <w:tcBorders>
                    <w:top w:val="double" w:color="auto" w:sz="4" w:space="0"/>
                    <w:bottom w:val="single" w:color="auto" w:sz="4" w:space="0"/>
                  </w:tcBorders>
                  <w:vAlign w:val="center"/>
                </w:tcPr>
                <w:p w14:paraId="686FABCF">
                  <w:pPr>
                    <w:spacing w:line="360" w:lineRule="auto"/>
                    <w:jc w:val="center"/>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运输内容</w:t>
                  </w:r>
                </w:p>
              </w:tc>
              <w:tc>
                <w:tcPr>
                  <w:tcW w:w="2483" w:type="dxa"/>
                  <w:tcBorders>
                    <w:top w:val="double" w:color="auto" w:sz="4" w:space="0"/>
                    <w:bottom w:val="single" w:color="auto" w:sz="4" w:space="0"/>
                  </w:tcBorders>
                  <w:vAlign w:val="center"/>
                </w:tcPr>
                <w:p w14:paraId="5D329EC0">
                  <w:pPr>
                    <w:spacing w:line="360" w:lineRule="auto"/>
                    <w:jc w:val="center"/>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车辆类型</w:t>
                  </w:r>
                </w:p>
              </w:tc>
              <w:tc>
                <w:tcPr>
                  <w:tcW w:w="2066" w:type="dxa"/>
                  <w:tcBorders>
                    <w:top w:val="double" w:color="auto" w:sz="4" w:space="0"/>
                    <w:bottom w:val="single" w:color="auto" w:sz="4" w:space="0"/>
                    <w:right w:val="nil"/>
                  </w:tcBorders>
                  <w:vAlign w:val="center"/>
                </w:tcPr>
                <w:p w14:paraId="34645026">
                  <w:pPr>
                    <w:spacing w:line="360" w:lineRule="auto"/>
                    <w:jc w:val="center"/>
                    <w:rPr>
                      <w:rFonts w:hint="default" w:ascii="Times New Roman" w:hAnsi="Times New Roman" w:cs="Times New Roman"/>
                      <w:b/>
                      <w:bCs/>
                      <w:color w:val="auto"/>
                      <w:sz w:val="21"/>
                      <w:szCs w:val="21"/>
                    </w:rPr>
                  </w:pPr>
                  <w:r>
                    <w:rPr>
                      <w:rFonts w:hint="default" w:ascii="Times New Roman" w:hAnsi="Times New Roman" w:cs="Times New Roman"/>
                      <w:b/>
                      <w:bCs/>
                      <w:color w:val="auto"/>
                      <w:sz w:val="21"/>
                      <w:szCs w:val="21"/>
                    </w:rPr>
                    <w:t>声源强度[dB(A)]</w:t>
                  </w:r>
                </w:p>
              </w:tc>
            </w:tr>
            <w:tr w14:paraId="1FEF343F">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00" w:hRule="atLeast"/>
                <w:jc w:val="center"/>
              </w:trPr>
              <w:tc>
                <w:tcPr>
                  <w:tcW w:w="1779" w:type="dxa"/>
                  <w:tcBorders>
                    <w:top w:val="single" w:color="auto" w:sz="4" w:space="0"/>
                    <w:left w:val="nil"/>
                  </w:tcBorders>
                  <w:vAlign w:val="center"/>
                </w:tcPr>
                <w:p w14:paraId="68A1AAC0">
                  <w:pPr>
                    <w:spacing w:line="360" w:lineRule="auto"/>
                    <w:jc w:val="center"/>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土石方阶段</w:t>
                  </w:r>
                </w:p>
              </w:tc>
              <w:tc>
                <w:tcPr>
                  <w:tcW w:w="3310" w:type="dxa"/>
                  <w:tcBorders>
                    <w:top w:val="single" w:color="auto" w:sz="4" w:space="0"/>
                  </w:tcBorders>
                  <w:vAlign w:val="center"/>
                </w:tcPr>
                <w:p w14:paraId="655CFA18">
                  <w:pPr>
                    <w:spacing w:line="360" w:lineRule="auto"/>
                    <w:jc w:val="center"/>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弃土外运</w:t>
                  </w:r>
                </w:p>
              </w:tc>
              <w:tc>
                <w:tcPr>
                  <w:tcW w:w="2483" w:type="dxa"/>
                  <w:tcBorders>
                    <w:top w:val="single" w:color="auto" w:sz="4" w:space="0"/>
                  </w:tcBorders>
                  <w:vAlign w:val="center"/>
                </w:tcPr>
                <w:p w14:paraId="254E4CF4">
                  <w:pPr>
                    <w:spacing w:line="360" w:lineRule="auto"/>
                    <w:jc w:val="center"/>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大型载重车</w:t>
                  </w:r>
                </w:p>
              </w:tc>
              <w:tc>
                <w:tcPr>
                  <w:tcW w:w="2066" w:type="dxa"/>
                  <w:tcBorders>
                    <w:top w:val="single" w:color="auto" w:sz="4" w:space="0"/>
                    <w:right w:val="nil"/>
                  </w:tcBorders>
                  <w:vAlign w:val="center"/>
                </w:tcPr>
                <w:p w14:paraId="4FEDCDBA">
                  <w:pPr>
                    <w:spacing w:line="360" w:lineRule="auto"/>
                    <w:jc w:val="center"/>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84～89</w:t>
                  </w:r>
                </w:p>
              </w:tc>
            </w:tr>
            <w:tr w14:paraId="079B6D2F">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779" w:type="dxa"/>
                  <w:tcBorders>
                    <w:left w:val="nil"/>
                  </w:tcBorders>
                  <w:vAlign w:val="center"/>
                </w:tcPr>
                <w:p w14:paraId="0757A325">
                  <w:pPr>
                    <w:spacing w:line="360" w:lineRule="auto"/>
                    <w:jc w:val="center"/>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底板及结构阶段</w:t>
                  </w:r>
                </w:p>
              </w:tc>
              <w:tc>
                <w:tcPr>
                  <w:tcW w:w="3310" w:type="dxa"/>
                  <w:vAlign w:val="center"/>
                </w:tcPr>
                <w:p w14:paraId="7359FE33">
                  <w:pPr>
                    <w:spacing w:line="360" w:lineRule="auto"/>
                    <w:jc w:val="center"/>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钢筋、商品混凝土、墙体材料等</w:t>
                  </w:r>
                </w:p>
              </w:tc>
              <w:tc>
                <w:tcPr>
                  <w:tcW w:w="2483" w:type="dxa"/>
                  <w:vAlign w:val="center"/>
                </w:tcPr>
                <w:p w14:paraId="0A3A5A7D">
                  <w:pPr>
                    <w:spacing w:line="360" w:lineRule="auto"/>
                    <w:jc w:val="center"/>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混凝土罐车、载重车</w:t>
                  </w:r>
                </w:p>
              </w:tc>
              <w:tc>
                <w:tcPr>
                  <w:tcW w:w="2066" w:type="dxa"/>
                  <w:tcBorders>
                    <w:right w:val="nil"/>
                  </w:tcBorders>
                  <w:vAlign w:val="center"/>
                </w:tcPr>
                <w:p w14:paraId="734FBAEC">
                  <w:pPr>
                    <w:spacing w:line="360" w:lineRule="auto"/>
                    <w:jc w:val="center"/>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80～85</w:t>
                  </w:r>
                </w:p>
              </w:tc>
            </w:tr>
            <w:tr w14:paraId="1EDEF4B3">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779" w:type="dxa"/>
                  <w:tcBorders>
                    <w:left w:val="nil"/>
                    <w:bottom w:val="double" w:color="auto" w:sz="4" w:space="0"/>
                  </w:tcBorders>
                  <w:vAlign w:val="center"/>
                </w:tcPr>
                <w:p w14:paraId="22B92C90">
                  <w:pPr>
                    <w:spacing w:line="360" w:lineRule="auto"/>
                    <w:jc w:val="center"/>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装修阶段</w:t>
                  </w:r>
                </w:p>
              </w:tc>
              <w:tc>
                <w:tcPr>
                  <w:tcW w:w="3310" w:type="dxa"/>
                  <w:tcBorders>
                    <w:bottom w:val="double" w:color="auto" w:sz="4" w:space="0"/>
                  </w:tcBorders>
                  <w:vAlign w:val="center"/>
                </w:tcPr>
                <w:p w14:paraId="6F346926">
                  <w:pPr>
                    <w:spacing w:line="360" w:lineRule="auto"/>
                    <w:jc w:val="center"/>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各种装修材料及必备设备</w:t>
                  </w:r>
                </w:p>
              </w:tc>
              <w:tc>
                <w:tcPr>
                  <w:tcW w:w="2483" w:type="dxa"/>
                  <w:tcBorders>
                    <w:bottom w:val="double" w:color="auto" w:sz="4" w:space="0"/>
                  </w:tcBorders>
                  <w:vAlign w:val="center"/>
                </w:tcPr>
                <w:p w14:paraId="554398DD">
                  <w:pPr>
                    <w:spacing w:line="360" w:lineRule="auto"/>
                    <w:jc w:val="center"/>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轻型载重卡车</w:t>
                  </w:r>
                </w:p>
              </w:tc>
              <w:tc>
                <w:tcPr>
                  <w:tcW w:w="2066" w:type="dxa"/>
                  <w:tcBorders>
                    <w:bottom w:val="double" w:color="auto" w:sz="4" w:space="0"/>
                    <w:right w:val="nil"/>
                  </w:tcBorders>
                  <w:vAlign w:val="center"/>
                </w:tcPr>
                <w:p w14:paraId="56EAE016">
                  <w:pPr>
                    <w:spacing w:line="360" w:lineRule="auto"/>
                    <w:jc w:val="center"/>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75～80</w:t>
                  </w:r>
                </w:p>
              </w:tc>
            </w:tr>
          </w:tbl>
          <w:p w14:paraId="0FF27A94">
            <w:pPr>
              <w:spacing w:line="360" w:lineRule="auto"/>
              <w:ind w:firstLine="480" w:firstLineChars="200"/>
              <w:rPr>
                <w:rFonts w:hint="default" w:ascii="Times New Roman" w:hAnsi="Times New Roman" w:cs="Times New Roman"/>
                <w:color w:val="auto"/>
                <w:sz w:val="24"/>
                <w:szCs w:val="24"/>
              </w:rPr>
            </w:pPr>
          </w:p>
          <w:p w14:paraId="75BCAE6C">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根据现场踏勘，本项目周边200m范围内无学校、医院、集中居住区等敏感度分布。为避免项目施工期对周边企业正常生产、生活带来不利影响，建设单位及施工单位应遵守有关法规和《建筑施工场界环境噪声排放标准》（GB12523-2011）中相关规定，在施工期间采取以下噪声控制措施：</w:t>
            </w:r>
          </w:p>
          <w:p w14:paraId="539AA1F8">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a.选用低噪设备，并采取有效的降噪声措施，如对强噪声设备采取隔声、隔振或消声措施，降低噪声源强10-20dB。</w:t>
            </w:r>
          </w:p>
          <w:p w14:paraId="3AE04471">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b.优化施工总平面图，结合周边环境敏感点分布情况，合理安排施工机械安放位置，将主要高噪声的作业点置于项目场地东部区域，以充分利用施工场地的距离衰减缓解噪声污染。</w:t>
            </w:r>
          </w:p>
          <w:p w14:paraId="3EC49A84">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c.合理安排施工工序，尽量缩短施工周期。</w:t>
            </w:r>
          </w:p>
          <w:p w14:paraId="5573BD04">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d.合理安排施工时间。禁止午间（12：00 至 14：00）、夜间（22：00 至次日06：00）施工，减小噪声对项目周边及车辆运输沿线的影响。建筑施工因特殊情况（工艺要求必须连续作业的强噪声施工），确需夜间及午间作业的，施工单位向当地环保、城管部门提出申请，并予以公告。</w:t>
            </w:r>
          </w:p>
          <w:p w14:paraId="7309811F">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e.文明施工。装卸、搬运钢管、模板等严禁抛掷，木工房使用前应完全封闭，钢制模板在使用、拆卸、装卸等过程中，尽可能地轻拿轻放，以免模板相互碰撞产生噪声。</w:t>
            </w:r>
          </w:p>
          <w:p w14:paraId="0D70CC0B">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f.项目四周施工场界均修建2.5～3m高的围墙,同时日常注意对施工设备的维修、保养、使各种施工机械保持良好的运行状态，减少非正常情况下的强噪声排放。</w:t>
            </w:r>
          </w:p>
          <w:p w14:paraId="48EA7ADF">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g.尽量压缩施工区</w:t>
            </w:r>
            <w:r>
              <w:rPr>
                <w:rFonts w:hint="default" w:ascii="Times New Roman" w:hAnsi="Times New Roman" w:cs="Times New Roman"/>
                <w:color w:val="auto"/>
                <w:sz w:val="24"/>
                <w:szCs w:val="24"/>
                <w:lang w:eastAsia="zh-CN"/>
              </w:rPr>
              <w:t>货车</w:t>
            </w:r>
            <w:r>
              <w:rPr>
                <w:rFonts w:hint="default" w:ascii="Times New Roman" w:hAnsi="Times New Roman" w:cs="Times New Roman"/>
                <w:color w:val="auto"/>
                <w:sz w:val="24"/>
                <w:szCs w:val="24"/>
              </w:rPr>
              <w:t>数量和行车密度，控制</w:t>
            </w:r>
            <w:r>
              <w:rPr>
                <w:rFonts w:hint="default" w:ascii="Times New Roman" w:hAnsi="Times New Roman" w:cs="Times New Roman"/>
                <w:color w:val="auto"/>
                <w:sz w:val="24"/>
                <w:szCs w:val="24"/>
                <w:lang w:eastAsia="zh-CN"/>
              </w:rPr>
              <w:t>货车</w:t>
            </w:r>
            <w:r>
              <w:rPr>
                <w:rFonts w:hint="default" w:ascii="Times New Roman" w:hAnsi="Times New Roman" w:cs="Times New Roman"/>
                <w:color w:val="auto"/>
                <w:sz w:val="24"/>
                <w:szCs w:val="24"/>
              </w:rPr>
              <w:t>鸣笛；合理安排原材料及建渣等运输路线，避免经过场镇内的学校、医院和集中住宅区等环境敏感点。</w:t>
            </w:r>
          </w:p>
          <w:p w14:paraId="5640DB15">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评价认为，通过落实上述噪声防治措施后，项目施工期间的场界噪声可满足《建筑施工场界环境噪声排放标准》(GB12523-2011)标准的要求，实现达标排放且不扰民。</w:t>
            </w:r>
          </w:p>
          <w:p w14:paraId="4469A60F">
            <w:pPr>
              <w:spacing w:line="360" w:lineRule="auto"/>
              <w:ind w:firstLine="482" w:firstLineChars="200"/>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4、固体废弃物</w:t>
            </w:r>
          </w:p>
          <w:p w14:paraId="1F5A8A50">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根据现场踏勘，本项目为净地开发。项目场平工程已基本完成。根据建设单位介绍，由于场地较平整，挖出的土方不大，全部回填和用于绿化整地，做到了土方挖填平衡，施工中无弃土外运。</w:t>
            </w:r>
          </w:p>
          <w:p w14:paraId="08CD155B">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施工生产的废料首先应考虑废料的回收利用，一般情况下建筑材料废弃物有废弃钢材、木材等，其损耗量约占使用量的5～8%，且大多可回收，不会出现丢弃现象；对钢筋、钢板、木材等下角料可分类回收，交废物收购站处理；对建筑垃圾，如混凝土废料、含砖、砂的杂土应集中堆放，定时清运，送当地管理部门指定的建筑废渣专用堆放场，以免影响施工和环境卫生。</w:t>
            </w:r>
          </w:p>
          <w:p w14:paraId="6D336E0D">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施工期施工人员约50人，生活垃圾按 0.5kg/人·d 计，产生量约为25kg/d。</w:t>
            </w:r>
          </w:p>
          <w:p w14:paraId="21E61301">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施工人员产生的生活垃圾应集中收集后交由环卫部门处理，而不可就地填埋，以避免对周围环境空气和水环境质量构成潜在的不利影响。</w:t>
            </w:r>
          </w:p>
          <w:p w14:paraId="66AB004D">
            <w:pPr>
              <w:spacing w:line="360" w:lineRule="auto"/>
              <w:ind w:firstLine="482" w:firstLineChars="200"/>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5、生态影响</w:t>
            </w:r>
          </w:p>
          <w:p w14:paraId="5FB40F18">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对于整个工程区域而言，场地开挖、回填等施工作业活动将使土地被侵占， 地表裸露，从而使项目周边局部生态结构发生一定变化，裸露的地面被雨水冲刷后将造成水土流失，进而降低土壤的肥力，影响局部水文条件和陆生生态系统的稳定性。施工过程中产生的水土流失，可能导致附近水体的沉积物淤积和河水混浊。开挖土方、建筑材料和建渣施工红线内临时堆存、施工扬尘飘散等均会对城市景观产生一定影响。</w:t>
            </w:r>
          </w:p>
          <w:p w14:paraId="5DD77E20">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为此，评价要求建设单位应加强建设过程中的文明施工管理，禁止野蛮施工， 施工场地四周修建围护结构，施工采用硬化路面，合理安排施工进度，以最高效率保证最优的工程质量，缩短施工时间段；加强施工现场废弃物收集、处置，及时回填开挖土方，做好施工现场的防尘和水土保持措施，减轻施工活动对区域环境的影响程度。并做好施工现场生活垃圾、施工废弃物（如废弃包装物等）收集工作，禁止焚烧和随意丢弃，统一收集后交由环卫部门处理；加强城市干道绿地、植被保护工作，减小其破坏影响范围；对建筑工地及周边道路洒漏的渣土及时进行湿法清扫，项目建设完成后，施工单位应在三十日内将建筑垃圾全部清除，并报经市容环境卫生行政管理部门验收。</w:t>
            </w:r>
          </w:p>
          <w:p w14:paraId="4B158096">
            <w:pPr>
              <w:spacing w:line="360" w:lineRule="auto"/>
              <w:ind w:firstLine="482" w:firstLineChars="200"/>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6、其他施工期污染防治措施</w:t>
            </w:r>
          </w:p>
          <w:p w14:paraId="066FF8B1">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①根据《中华人民共和国环境噪声污染防治法》第二十九条的规定，施工单位必须在工程开工十五日以前向环保部门申报登记</w:t>
            </w:r>
          </w:p>
          <w:p w14:paraId="36525D3D">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②加强管理，减少露天堆场，减少扬尘污染。运输砂石、建渣、散装物料、建筑垃圾等的车辆必须用帆布严密覆盖，覆盖率要达到100%，严禁在装运过程中沿途抛、洒、滴、漏，土堆、料堆要有遮盖或喷洒覆盖剂、防止工地内尘土飞 扬，物料、渣土外逸，以及废弃物、杂物飘散。</w:t>
            </w:r>
          </w:p>
          <w:p w14:paraId="021A1154">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③施工队必须十分重视文物保护，一旦在挖土石方时发现文物，必须立即停止施工作业，报告文物管理部门，同时保护好现场，经妥善处理后方可续继施工。</w:t>
            </w:r>
          </w:p>
          <w:p w14:paraId="39AED145">
            <w:pPr>
              <w:pStyle w:val="46"/>
              <w:ind w:left="0" w:leftChars="0" w:firstLine="0" w:firstLineChars="0"/>
              <w:rPr>
                <w:rFonts w:hint="default" w:ascii="Times New Roman" w:hAnsi="Times New Roman" w:eastAsia="黑体" w:cs="Times New Roman"/>
                <w:color w:val="auto"/>
                <w:sz w:val="28"/>
                <w:szCs w:val="28"/>
              </w:rPr>
            </w:pPr>
            <w:r>
              <w:rPr>
                <w:rFonts w:hint="default" w:ascii="Times New Roman" w:hAnsi="Times New Roman" w:eastAsia="黑体" w:cs="Times New Roman"/>
                <w:color w:val="auto"/>
                <w:sz w:val="28"/>
                <w:szCs w:val="28"/>
              </w:rPr>
              <w:t>二、营运期工程分析</w:t>
            </w:r>
          </w:p>
          <w:p w14:paraId="79DC7A00">
            <w:pPr>
              <w:spacing w:line="360" w:lineRule="auto"/>
              <w:rPr>
                <w:rFonts w:hint="default" w:ascii="Times New Roman" w:hAnsi="Times New Roman" w:eastAsia="黑体" w:cs="Times New Roman"/>
                <w:color w:val="auto"/>
                <w:sz w:val="24"/>
              </w:rPr>
            </w:pPr>
            <w:r>
              <w:rPr>
                <w:rFonts w:hint="default" w:ascii="Times New Roman" w:hAnsi="Times New Roman" w:eastAsia="黑体" w:cs="Times New Roman"/>
                <w:color w:val="auto"/>
                <w:sz w:val="24"/>
              </w:rPr>
              <w:t>（一）营运期工艺流程</w:t>
            </w:r>
          </w:p>
          <w:p w14:paraId="44B8391F">
            <w:pPr>
              <w:spacing w:line="360" w:lineRule="auto"/>
              <w:ind w:firstLine="480"/>
              <w:rPr>
                <w:rFonts w:hint="eastAsia" w:cs="Times New Roman"/>
                <w:color w:val="auto"/>
                <w:sz w:val="24"/>
                <w:szCs w:val="24"/>
                <w:lang w:val="en-US" w:eastAsia="zh-CN"/>
              </w:rPr>
            </w:pPr>
            <w:r>
              <w:rPr>
                <w:rFonts w:hint="default" w:ascii="Times New Roman" w:hAnsi="Times New Roman" w:cs="Times New Roman"/>
                <w:color w:val="auto"/>
                <w:sz w:val="24"/>
                <w:szCs w:val="24"/>
              </w:rPr>
              <w:t>本项目</w:t>
            </w:r>
            <w:r>
              <w:rPr>
                <w:rFonts w:hint="eastAsia" w:cs="Times New Roman"/>
                <w:color w:val="auto"/>
                <w:sz w:val="24"/>
                <w:szCs w:val="24"/>
                <w:lang w:val="en-US" w:eastAsia="zh-CN"/>
              </w:rPr>
              <w:t>为</w:t>
            </w:r>
            <w:r>
              <w:rPr>
                <w:rFonts w:hint="default" w:ascii="Times New Roman" w:hAnsi="Times New Roman" w:cs="Times New Roman"/>
                <w:color w:val="auto"/>
                <w:sz w:val="24"/>
                <w:szCs w:val="24"/>
                <w:lang w:val="en-US" w:eastAsia="zh-CN"/>
              </w:rPr>
              <w:t>汽车进排气系统生产项目</w:t>
            </w:r>
            <w:r>
              <w:rPr>
                <w:rFonts w:hint="eastAsia" w:cs="Times New Roman"/>
                <w:color w:val="auto"/>
                <w:sz w:val="24"/>
                <w:szCs w:val="24"/>
                <w:lang w:val="en-US" w:eastAsia="zh-CN"/>
              </w:rPr>
              <w:t>，主要生产空滤器、进气道、尿素罐、SCR以及相关进排气系统辅助用件。</w:t>
            </w:r>
          </w:p>
          <w:p w14:paraId="7BC28096">
            <w:pPr>
              <w:pStyle w:val="8"/>
              <w:adjustRightInd w:val="0"/>
              <w:snapToGrid w:val="0"/>
              <w:spacing w:line="520" w:lineRule="exact"/>
              <w:ind w:left="0" w:leftChars="0" w:firstLine="482" w:firstLineChars="200"/>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lang w:val="en-US" w:eastAsia="zh-CN"/>
              </w:rPr>
              <w:t>1、</w:t>
            </w:r>
            <w:r>
              <w:rPr>
                <w:rFonts w:hint="eastAsia" w:cs="Times New Roman"/>
                <w:b/>
                <w:bCs/>
                <w:color w:val="auto"/>
                <w:sz w:val="24"/>
                <w:szCs w:val="24"/>
                <w:lang w:val="en-US" w:eastAsia="zh-CN"/>
              </w:rPr>
              <w:t>项目注塑件生产工艺</w:t>
            </w:r>
          </w:p>
          <w:p w14:paraId="5378A2AD">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注塑成型工艺是指将熔</w:t>
            </w:r>
            <w:r>
              <w:rPr>
                <w:rFonts w:hint="default" w:ascii="Times New Roman" w:hAnsi="Times New Roman" w:cs="Times New Roman"/>
                <w:color w:val="auto"/>
                <w:sz w:val="24"/>
                <w:szCs w:val="24"/>
                <w:lang w:eastAsia="zh-CN"/>
              </w:rPr>
              <w:t>化</w:t>
            </w:r>
            <w:r>
              <w:rPr>
                <w:rFonts w:hint="default" w:ascii="Times New Roman" w:hAnsi="Times New Roman" w:cs="Times New Roman"/>
                <w:color w:val="auto"/>
                <w:sz w:val="24"/>
                <w:szCs w:val="24"/>
              </w:rPr>
              <w:t>的原料通过加压、注入、冷却、脱离等操作</w:t>
            </w:r>
            <w:r>
              <w:rPr>
                <w:rFonts w:hint="default" w:ascii="Times New Roman" w:hAnsi="Times New Roman" w:cs="Times New Roman"/>
                <w:color w:val="auto"/>
                <w:sz w:val="24"/>
                <w:szCs w:val="24"/>
                <w:lang w:eastAsia="zh-CN"/>
              </w:rPr>
              <w:t>形成</w:t>
            </w:r>
            <w:r>
              <w:rPr>
                <w:rFonts w:hint="default" w:ascii="Times New Roman" w:hAnsi="Times New Roman" w:cs="Times New Roman"/>
                <w:color w:val="auto"/>
                <w:sz w:val="24"/>
                <w:szCs w:val="24"/>
              </w:rPr>
              <w:t xml:space="preserve">一定形状的半成品件的工艺过程。 </w:t>
            </w:r>
          </w:p>
          <w:p w14:paraId="30BD7949">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eastAsia" w:cs="Times New Roman"/>
                <w:color w:val="auto"/>
                <w:sz w:val="24"/>
                <w:szCs w:val="24"/>
                <w:lang w:val="en-US" w:eastAsia="zh-CN"/>
              </w:rPr>
              <w:t>此工艺</w:t>
            </w:r>
            <w:r>
              <w:rPr>
                <w:rFonts w:hint="default" w:ascii="Times New Roman" w:hAnsi="Times New Roman" w:cs="Times New Roman"/>
                <w:color w:val="auto"/>
                <w:sz w:val="24"/>
                <w:szCs w:val="24"/>
              </w:rPr>
              <w:t>主要</w:t>
            </w:r>
            <w:r>
              <w:rPr>
                <w:rFonts w:hint="eastAsia" w:cs="Times New Roman"/>
                <w:color w:val="auto"/>
                <w:sz w:val="24"/>
                <w:szCs w:val="24"/>
                <w:lang w:val="en-US" w:eastAsia="zh-CN"/>
              </w:rPr>
              <w:t>生产</w:t>
            </w:r>
            <w:r>
              <w:rPr>
                <w:rFonts w:hint="default" w:ascii="Times New Roman" w:hAnsi="Times New Roman" w:cs="Times New Roman"/>
                <w:color w:val="auto"/>
                <w:sz w:val="24"/>
                <w:szCs w:val="24"/>
              </w:rPr>
              <w:t>滤清器塑料壳体、上下端盖、旋流罩、百叶窗等</w:t>
            </w:r>
            <w:r>
              <w:rPr>
                <w:rFonts w:hint="default" w:ascii="Times New Roman" w:hAnsi="Times New Roman" w:cs="Times New Roman"/>
                <w:color w:val="auto"/>
                <w:sz w:val="24"/>
                <w:szCs w:val="24"/>
                <w:lang w:eastAsia="zh-CN"/>
              </w:rPr>
              <w:t>产品</w:t>
            </w:r>
            <w:r>
              <w:rPr>
                <w:rFonts w:hint="default" w:ascii="Times New Roman" w:hAnsi="Times New Roman" w:cs="Times New Roman"/>
                <w:color w:val="auto"/>
                <w:sz w:val="24"/>
                <w:szCs w:val="24"/>
              </w:rPr>
              <w:t>，流程如下：</w:t>
            </w:r>
          </w:p>
          <w:p w14:paraId="2890F3E1">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sz w:val="24"/>
              </w:rPr>
              <mc:AlternateContent>
                <mc:Choice Requires="wps">
                  <w:drawing>
                    <wp:anchor distT="0" distB="0" distL="114300" distR="114300" simplePos="0" relativeHeight="251824128" behindDoc="0" locked="0" layoutInCell="1" allowOverlap="1">
                      <wp:simplePos x="0" y="0"/>
                      <wp:positionH relativeFrom="column">
                        <wp:posOffset>1775460</wp:posOffset>
                      </wp:positionH>
                      <wp:positionV relativeFrom="paragraph">
                        <wp:posOffset>86995</wp:posOffset>
                      </wp:positionV>
                      <wp:extent cx="952500" cy="333375"/>
                      <wp:effectExtent l="0" t="0" r="0" b="0"/>
                      <wp:wrapNone/>
                      <wp:docPr id="189" name="矩形 189"/>
                      <wp:cNvGraphicFramePr/>
                      <a:graphic xmlns:a="http://schemas.openxmlformats.org/drawingml/2006/main">
                        <a:graphicData uri="http://schemas.microsoft.com/office/word/2010/wordprocessingShape">
                          <wps:wsp>
                            <wps:cNvSpPr/>
                            <wps:spPr>
                              <a:xfrm>
                                <a:off x="2339975" y="6310630"/>
                                <a:ext cx="952500" cy="3333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6D5775E">
                                  <w:pPr>
                                    <w:jc w:val="center"/>
                                    <w:rPr>
                                      <w:rFonts w:hint="eastAsia" w:eastAsia="宋体"/>
                                      <w:color w:val="auto"/>
                                      <w:lang w:val="en-US" w:eastAsia="zh-CN"/>
                                    </w:rPr>
                                  </w:pPr>
                                  <w:r>
                                    <w:rPr>
                                      <w:rFonts w:hint="eastAsia"/>
                                      <w:color w:val="auto"/>
                                      <w:lang w:val="en-US" w:eastAsia="zh-CN"/>
                                    </w:rPr>
                                    <w:t>聚丙烯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39.8pt;margin-top:6.85pt;height:26.25pt;width:75pt;z-index:251824128;v-text-anchor:middle;mso-width-relative:page;mso-height-relative:page;" filled="f" stroked="f" coordsize="21600,21600" o:gfxdata="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OOQo1nXAAAACQEAAA8AAAAAAAAAAQAgAAAAIgAAAGRycy9kb3ducmV2Lnht&#10;bFBLAQIUABQAAAAIAIdO4kD+LTWabAIAALwEAAAOAAAAAAAAAAEAIAAAACYBAABkcnMvZTJvRG9j&#10;LnhtbFBLBQYAAAAABgAGAFkBAAAEBgAAAAA=&#10;">
                      <v:fill on="f" focussize="0,0"/>
                      <v:stroke on="f" weight="1pt" miterlimit="8" joinstyle="miter"/>
                      <v:imagedata o:title=""/>
                      <o:lock v:ext="edit" aspectratio="f"/>
                      <v:textbox>
                        <w:txbxContent>
                          <w:p w14:paraId="06D5775E">
                            <w:pPr>
                              <w:jc w:val="center"/>
                              <w:rPr>
                                <w:rFonts w:hint="eastAsia" w:eastAsia="宋体"/>
                                <w:color w:val="auto"/>
                                <w:lang w:val="en-US" w:eastAsia="zh-CN"/>
                              </w:rPr>
                            </w:pPr>
                            <w:r>
                              <w:rPr>
                                <w:rFonts w:hint="eastAsia"/>
                                <w:color w:val="auto"/>
                                <w:lang w:val="en-US" w:eastAsia="zh-CN"/>
                              </w:rPr>
                              <w:t>聚丙烯</w:t>
                            </w:r>
                          </w:p>
                        </w:txbxContent>
                      </v:textbox>
                    </v:rect>
                  </w:pict>
                </mc:Fallback>
              </mc:AlternateContent>
            </w:r>
            <w:r>
              <w:rPr>
                <w:sz w:val="24"/>
              </w:rPr>
              <mc:AlternateContent>
                <mc:Choice Requires="wps">
                  <w:drawing>
                    <wp:anchor distT="0" distB="0" distL="114300" distR="114300" simplePos="0" relativeHeight="251727872" behindDoc="0" locked="0" layoutInCell="1" allowOverlap="1">
                      <wp:simplePos x="0" y="0"/>
                      <wp:positionH relativeFrom="column">
                        <wp:posOffset>2677795</wp:posOffset>
                      </wp:positionH>
                      <wp:positionV relativeFrom="paragraph">
                        <wp:posOffset>75565</wp:posOffset>
                      </wp:positionV>
                      <wp:extent cx="952500" cy="333375"/>
                      <wp:effectExtent l="0" t="0" r="0" b="0"/>
                      <wp:wrapNone/>
                      <wp:docPr id="191" name="矩形 191"/>
                      <wp:cNvGraphicFramePr/>
                      <a:graphic xmlns:a="http://schemas.openxmlformats.org/drawingml/2006/main">
                        <a:graphicData uri="http://schemas.microsoft.com/office/word/2010/wordprocessingShape">
                          <wps:wsp>
                            <wps:cNvSpPr/>
                            <wps:spPr>
                              <a:xfrm>
                                <a:off x="0" y="0"/>
                                <a:ext cx="952500" cy="3333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665DE73">
                                  <w:pPr>
                                    <w:jc w:val="center"/>
                                    <w:rPr>
                                      <w:rFonts w:hint="eastAsia" w:eastAsia="宋体"/>
                                      <w:color w:val="auto"/>
                                      <w:lang w:val="en-US" w:eastAsia="zh-CN"/>
                                    </w:rPr>
                                  </w:pPr>
                                  <w:r>
                                    <w:rPr>
                                      <w:rFonts w:hint="eastAsia"/>
                                      <w:color w:val="auto"/>
                                      <w:lang w:val="en-US" w:eastAsia="zh-CN"/>
                                    </w:rPr>
                                    <w:t>水蒸气</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10.85pt;margin-top:5.95pt;height:26.25pt;width:75pt;z-index:251727872;v-text-anchor:middle;mso-width-relative:page;mso-height-relative:page;" filled="f" stroked="f" coordsize="21600,21600" o:gfxdata="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B&#10;j13H1wAAAAkBAAAPAAAAAAAAAAEAIAAAACIAAABkcnMvZG93bnJldi54bWxQSwECFAAUAAAACACH&#10;TuJAjZSl714CAACwBAAADgAAAAAAAAABACAAAAAmAQAAZHJzL2Uyb0RvYy54bWxQSwUGAAAAAAYA&#10;BgBZAQAA9gUAAAAA&#10;">
                      <v:fill on="f" focussize="0,0"/>
                      <v:stroke on="f" weight="1pt" miterlimit="8" joinstyle="miter"/>
                      <v:imagedata o:title=""/>
                      <o:lock v:ext="edit" aspectratio="f"/>
                      <v:textbox>
                        <w:txbxContent>
                          <w:p w14:paraId="3665DE73">
                            <w:pPr>
                              <w:jc w:val="center"/>
                              <w:rPr>
                                <w:rFonts w:hint="eastAsia" w:eastAsia="宋体"/>
                                <w:color w:val="auto"/>
                                <w:lang w:val="en-US" w:eastAsia="zh-CN"/>
                              </w:rPr>
                            </w:pPr>
                            <w:r>
                              <w:rPr>
                                <w:rFonts w:hint="eastAsia"/>
                                <w:color w:val="auto"/>
                                <w:lang w:val="en-US" w:eastAsia="zh-CN"/>
                              </w:rPr>
                              <w:t>水蒸气</w:t>
                            </w:r>
                          </w:p>
                        </w:txbxContent>
                      </v:textbox>
                    </v:rect>
                  </w:pict>
                </mc:Fallback>
              </mc:AlternateContent>
            </w:r>
            <w:r>
              <w:rPr>
                <w:sz w:val="24"/>
              </w:rPr>
              <mc:AlternateContent>
                <mc:Choice Requires="wps">
                  <w:drawing>
                    <wp:anchor distT="0" distB="0" distL="114300" distR="114300" simplePos="0" relativeHeight="251823104" behindDoc="0" locked="0" layoutInCell="1" allowOverlap="1">
                      <wp:simplePos x="0" y="0"/>
                      <wp:positionH relativeFrom="column">
                        <wp:posOffset>2240280</wp:posOffset>
                      </wp:positionH>
                      <wp:positionV relativeFrom="paragraph">
                        <wp:posOffset>454025</wp:posOffset>
                      </wp:positionV>
                      <wp:extent cx="11430" cy="267335"/>
                      <wp:effectExtent l="45720" t="0" r="57150" b="18415"/>
                      <wp:wrapNone/>
                      <wp:docPr id="188" name="直接箭头连接符 188"/>
                      <wp:cNvGraphicFramePr/>
                      <a:graphic xmlns:a="http://schemas.openxmlformats.org/drawingml/2006/main">
                        <a:graphicData uri="http://schemas.microsoft.com/office/word/2010/wordprocessingShape">
                          <wps:wsp>
                            <wps:cNvCnPr/>
                            <wps:spPr>
                              <a:xfrm flipH="1">
                                <a:off x="2837180" y="6656070"/>
                                <a:ext cx="11430" cy="267335"/>
                              </a:xfrm>
                              <a:prstGeom prst="straightConnector1">
                                <a:avLst/>
                              </a:prstGeom>
                              <a:ln>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76.4pt;margin-top:35.75pt;height:21.05pt;width:0.9pt;z-index:251823104;mso-width-relative:page;mso-height-relative:page;" filled="f" stroked="t" coordsize="21600,21600" o:gfxdata="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8b7hd&#10;2QAAAAoBAAAPAAAAAAAAAAEAIAAAACIAAABkcnMvZG93bnJldi54bWxQSwECFAAUAAAACACHTuJA&#10;0woPpSACAAD7AwAADgAAAAAAAAABACAAAAAoAQAAZHJzL2Uyb0RvYy54bWxQSwUGAAAAAAYABgBZ&#10;AQAAugUAAAAA&#10;">
                      <v:fill on="f" focussize="0,0"/>
                      <v:stroke weight="0.5pt" color="#5B9BD5 [3204]" miterlimit="8" joinstyle="miter" endarrow="open"/>
                      <v:imagedata o:title=""/>
                      <o:lock v:ext="edit" aspectratio="f"/>
                    </v:shape>
                  </w:pict>
                </mc:Fallback>
              </mc:AlternateContent>
            </w:r>
          </w:p>
          <w:p w14:paraId="0740BB66">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sz w:val="24"/>
              </w:rPr>
              <mc:AlternateContent>
                <mc:Choice Requires="wps">
                  <w:drawing>
                    <wp:anchor distT="0" distB="0" distL="114300" distR="114300" simplePos="0" relativeHeight="251825152" behindDoc="0" locked="0" layoutInCell="1" allowOverlap="1">
                      <wp:simplePos x="0" y="0"/>
                      <wp:positionH relativeFrom="column">
                        <wp:posOffset>3155950</wp:posOffset>
                      </wp:positionH>
                      <wp:positionV relativeFrom="paragraph">
                        <wp:posOffset>69850</wp:posOffset>
                      </wp:positionV>
                      <wp:extent cx="635" cy="370840"/>
                      <wp:effectExtent l="48895" t="0" r="64770" b="10160"/>
                      <wp:wrapNone/>
                      <wp:docPr id="190" name="直接箭头连接符 190"/>
                      <wp:cNvGraphicFramePr/>
                      <a:graphic xmlns:a="http://schemas.openxmlformats.org/drawingml/2006/main">
                        <a:graphicData uri="http://schemas.microsoft.com/office/word/2010/wordprocessingShape">
                          <wps:wsp>
                            <wps:cNvCnPr>
                              <a:stCxn id="9" idx="0"/>
                            </wps:cNvCnPr>
                            <wps:spPr>
                              <a:xfrm flipV="1">
                                <a:off x="3768090" y="6703695"/>
                                <a:ext cx="635" cy="370840"/>
                              </a:xfrm>
                              <a:prstGeom prst="straightConnector1">
                                <a:avLst/>
                              </a:prstGeom>
                              <a:ln>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248.5pt;margin-top:5.5pt;height:29.2pt;width:0.05pt;z-index:251825152;mso-width-relative:page;mso-height-relative:page;" filled="f" stroked="t" coordsize="21600,21600" o:gfxdata="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znXkHXAAAACQEAAA8AAAAAAAAAAQAgAAAAIgAAAGRycy9kb3ducmV2LnhtbFBLAQIU&#10;ABQAAAAIAIdO4kB3bhWpLQIAAB8EAAAOAAAAAAAAAAEAIAAAACYBAABkcnMvZTJvRG9jLnhtbFBL&#10;BQYAAAAABgAGAFkBAADFBQAAAAA=&#10;">
                      <v:fill on="f" focussize="0,0"/>
                      <v:stroke weight="0.5pt" color="#5B9BD5 [3204]" miterlimit="8" joinstyle="miter" endarrow="open"/>
                      <v:imagedata o:title=""/>
                      <o:lock v:ext="edit" aspectratio="f"/>
                    </v:shape>
                  </w:pict>
                </mc:Fallback>
              </mc:AlternateContent>
            </w:r>
          </w:p>
          <w:p w14:paraId="45187F61">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mc:AlternateContent>
                <mc:Choice Requires="wps">
                  <w:drawing>
                    <wp:anchor distT="0" distB="0" distL="114300" distR="114300" simplePos="0" relativeHeight="251738112" behindDoc="0" locked="0" layoutInCell="1" allowOverlap="1">
                      <wp:simplePos x="0" y="0"/>
                      <wp:positionH relativeFrom="column">
                        <wp:posOffset>3810635</wp:posOffset>
                      </wp:positionH>
                      <wp:positionV relativeFrom="paragraph">
                        <wp:posOffset>111760</wp:posOffset>
                      </wp:positionV>
                      <wp:extent cx="782320" cy="381635"/>
                      <wp:effectExtent l="4445" t="4445" r="13335" b="13970"/>
                      <wp:wrapNone/>
                      <wp:docPr id="21" name="圆角矩形 21"/>
                      <wp:cNvGraphicFramePr/>
                      <a:graphic xmlns:a="http://schemas.openxmlformats.org/drawingml/2006/main">
                        <a:graphicData uri="http://schemas.microsoft.com/office/word/2010/wordprocessingShape">
                          <wps:wsp>
                            <wps:cNvSpPr/>
                            <wps:spPr>
                              <a:xfrm>
                                <a:off x="0" y="0"/>
                                <a:ext cx="78232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7D83F7CB">
                                  <w:pPr>
                                    <w:jc w:val="center"/>
                                  </w:pPr>
                                  <w:r>
                                    <w:rPr>
                                      <w:rFonts w:hint="eastAsia"/>
                                    </w:rPr>
                                    <w:t>注塑成型</w:t>
                                  </w:r>
                                </w:p>
                              </w:txbxContent>
                            </wps:txbx>
                            <wps:bodyPr upright="1"/>
                          </wps:wsp>
                        </a:graphicData>
                      </a:graphic>
                    </wp:anchor>
                  </w:drawing>
                </mc:Choice>
                <mc:Fallback>
                  <w:pict>
                    <v:roundrect id="_x0000_s1026" o:spid="_x0000_s1026" o:spt="2" style="position:absolute;left:0pt;margin-left:300.05pt;margin-top:8.8pt;height:30.05pt;width:61.6pt;z-index:251738112;mso-width-relative:page;mso-height-relative:page;" fillcolor="#FFFFFF" filled="t" stroked="t" coordsize="21600,21600" arcsize="0.166666666666667" o:gfxdata="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NU5qb1wAAAAkBAAAPAAAAAAAAAAEAIAAAACIAAABkcnMvZG93bnJldi54bWxQSwECFAAUAAAA&#10;CACHTuJAbEXuzCgCAABXBAAADgAAAAAAAAABACAAAAAmAQAAZHJzL2Uyb0RvYy54bWxQSwUGAAAA&#10;AAYABgBZAQAAwAUAAAAA&#10;">
                      <v:fill on="t" focussize="0,0"/>
                      <v:stroke color="#ED7D31" joinstyle="round"/>
                      <v:imagedata o:title=""/>
                      <o:lock v:ext="edit" aspectratio="f"/>
                      <v:textbox>
                        <w:txbxContent>
                          <w:p w14:paraId="7D83F7CB">
                            <w:pPr>
                              <w:jc w:val="center"/>
                            </w:pPr>
                            <w:r>
                              <w:rPr>
                                <w:rFonts w:hint="eastAsia"/>
                              </w:rPr>
                              <w:t>注塑成型</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40160" behindDoc="0" locked="0" layoutInCell="1" allowOverlap="1">
                      <wp:simplePos x="0" y="0"/>
                      <wp:positionH relativeFrom="column">
                        <wp:posOffset>600075</wp:posOffset>
                      </wp:positionH>
                      <wp:positionV relativeFrom="paragraph">
                        <wp:posOffset>107315</wp:posOffset>
                      </wp:positionV>
                      <wp:extent cx="941705" cy="381635"/>
                      <wp:effectExtent l="4445" t="4445" r="6350" b="13970"/>
                      <wp:wrapNone/>
                      <wp:docPr id="16" name="圆角矩形 16"/>
                      <wp:cNvGraphicFramePr/>
                      <a:graphic xmlns:a="http://schemas.openxmlformats.org/drawingml/2006/main">
                        <a:graphicData uri="http://schemas.microsoft.com/office/word/2010/wordprocessingShape">
                          <wps:wsp>
                            <wps:cNvSpPr/>
                            <wps:spPr>
                              <a:xfrm>
                                <a:off x="0" y="0"/>
                                <a:ext cx="941705"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4306B7DD">
                                  <w:pPr>
                                    <w:jc w:val="center"/>
                                  </w:pPr>
                                  <w:r>
                                    <w:rPr>
                                      <w:rFonts w:hint="eastAsia"/>
                                      <w:lang w:eastAsia="zh-CN"/>
                                    </w:rPr>
                                    <w:t>原材料检验</w:t>
                                  </w:r>
                                </w:p>
                              </w:txbxContent>
                            </wps:txbx>
                            <wps:bodyPr upright="1"/>
                          </wps:wsp>
                        </a:graphicData>
                      </a:graphic>
                    </wp:anchor>
                  </w:drawing>
                </mc:Choice>
                <mc:Fallback>
                  <w:pict>
                    <v:roundrect id="_x0000_s1026" o:spid="_x0000_s1026" o:spt="2" style="position:absolute;left:0pt;margin-left:47.25pt;margin-top:8.45pt;height:30.05pt;width:74.15pt;z-index:251740160;mso-width-relative:page;mso-height-relative:page;" fillcolor="#FFFFFF" filled="t" stroked="t" coordsize="21600,21600" arcsize="0.166666666666667" o:gfxdata="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HgpZ2NgAAAAIAQAADwAAAAAAAAABACAAAAAiAAAAZHJzL2Rvd25yZXYueG1sUEsBAhQAFAAAAAgA&#10;h07iQEvzoxolAgAAVwQAAA4AAAAAAAAAAQAgAAAAJwEAAGRycy9lMm9Eb2MueG1sUEsFBgAAAAAG&#10;AAYAWQEAAL4FAAAAAA==&#10;">
                      <v:fill on="t" focussize="0,0"/>
                      <v:stroke color="#ED7D31" joinstyle="round"/>
                      <v:imagedata o:title=""/>
                      <o:lock v:ext="edit" aspectratio="f"/>
                      <v:textbox>
                        <w:txbxContent>
                          <w:p w14:paraId="4306B7DD">
                            <w:pPr>
                              <w:jc w:val="center"/>
                            </w:pPr>
                            <w:r>
                              <w:rPr>
                                <w:rFonts w:hint="eastAsia"/>
                                <w:lang w:eastAsia="zh-CN"/>
                              </w:rPr>
                              <w:t>原材料检验</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52448" behindDoc="0" locked="0" layoutInCell="1" allowOverlap="1">
                      <wp:simplePos x="0" y="0"/>
                      <wp:positionH relativeFrom="column">
                        <wp:posOffset>1948815</wp:posOffset>
                      </wp:positionH>
                      <wp:positionV relativeFrom="paragraph">
                        <wp:posOffset>130810</wp:posOffset>
                      </wp:positionV>
                      <wp:extent cx="551815" cy="381635"/>
                      <wp:effectExtent l="4445" t="4445" r="15240" b="13970"/>
                      <wp:wrapNone/>
                      <wp:docPr id="13" name="圆角矩形 13"/>
                      <wp:cNvGraphicFramePr/>
                      <a:graphic xmlns:a="http://schemas.openxmlformats.org/drawingml/2006/main">
                        <a:graphicData uri="http://schemas.microsoft.com/office/word/2010/wordprocessingShape">
                          <wps:wsp>
                            <wps:cNvSpPr/>
                            <wps:spPr>
                              <a:xfrm>
                                <a:off x="0" y="0"/>
                                <a:ext cx="551815" cy="381635"/>
                              </a:xfrm>
                              <a:prstGeom prst="roundRect">
                                <a:avLst>
                                  <a:gd name="adj" fmla="val 16667"/>
                                </a:avLst>
                              </a:prstGeom>
                              <a:solidFill>
                                <a:srgbClr val="FFFFFF"/>
                              </a:solidFill>
                              <a:ln w="9525" cap="flat" cmpd="sng">
                                <a:solidFill>
                                  <a:schemeClr val="accent2"/>
                                </a:solidFill>
                                <a:prstDash val="solid"/>
                                <a:headEnd type="none" w="med" len="med"/>
                                <a:tailEnd type="none" w="med" len="med"/>
                              </a:ln>
                            </wps:spPr>
                            <wps:txbx>
                              <w:txbxContent>
                                <w:p w14:paraId="191EF3D8">
                                  <w:pPr>
                                    <w:jc w:val="center"/>
                                    <w:rPr>
                                      <w:rFonts w:hint="eastAsia" w:eastAsiaTheme="minorEastAsia"/>
                                      <w:lang w:eastAsia="zh-CN"/>
                                    </w:rPr>
                                  </w:pPr>
                                  <w:r>
                                    <w:rPr>
                                      <w:rFonts w:hint="eastAsia"/>
                                      <w:lang w:eastAsia="zh-CN"/>
                                    </w:rPr>
                                    <w:t>上料</w:t>
                                  </w:r>
                                </w:p>
                              </w:txbxContent>
                            </wps:txbx>
                            <wps:bodyPr upright="1"/>
                          </wps:wsp>
                        </a:graphicData>
                      </a:graphic>
                    </wp:anchor>
                  </w:drawing>
                </mc:Choice>
                <mc:Fallback>
                  <w:pict>
                    <v:roundrect id="_x0000_s1026" o:spid="_x0000_s1026" o:spt="2" style="position:absolute;left:0pt;margin-left:153.45pt;margin-top:10.3pt;height:30.05pt;width:43.45pt;z-index:251752448;mso-width-relative:page;mso-height-relative:page;" fillcolor="#FFFFFF" filled="t" stroked="t" coordsize="21600,21600" arcsize="0.166666666666667" o:gfxdata="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pNIaJtgAAAAJAQAADwAAAAAAAAABACAAAAAiAAAAZHJzL2Rvd25yZXYueG1sUEsBAhQAFAAAAAgA&#10;h07iQJr5opklAgAAVwQAAA4AAAAAAAAAAQAgAAAAJwEAAGRycy9lMm9Eb2MueG1sUEsFBgAAAAAG&#10;AAYAWQEAAL4FAAAAAA==&#10;">
                      <v:fill on="t" focussize="0,0"/>
                      <v:stroke color="#ED7D31 [3205]" joinstyle="round"/>
                      <v:imagedata o:title=""/>
                      <o:lock v:ext="edit" aspectratio="f"/>
                      <v:textbox>
                        <w:txbxContent>
                          <w:p w14:paraId="191EF3D8">
                            <w:pPr>
                              <w:jc w:val="center"/>
                              <w:rPr>
                                <w:rFonts w:hint="eastAsia" w:eastAsiaTheme="minorEastAsia"/>
                                <w:lang w:eastAsia="zh-CN"/>
                              </w:rPr>
                            </w:pPr>
                            <w:r>
                              <w:rPr>
                                <w:rFonts w:hint="eastAsia"/>
                                <w:lang w:eastAsia="zh-CN"/>
                              </w:rPr>
                              <w:t>上料</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53472" behindDoc="1" locked="0" layoutInCell="1" allowOverlap="1">
                      <wp:simplePos x="0" y="0"/>
                      <wp:positionH relativeFrom="column">
                        <wp:posOffset>1588135</wp:posOffset>
                      </wp:positionH>
                      <wp:positionV relativeFrom="paragraph">
                        <wp:posOffset>292735</wp:posOffset>
                      </wp:positionV>
                      <wp:extent cx="384810" cy="0"/>
                      <wp:effectExtent l="0" t="48895" r="15240" b="65405"/>
                      <wp:wrapNone/>
                      <wp:docPr id="18" name="直接箭头连接符 18"/>
                      <wp:cNvGraphicFramePr/>
                      <a:graphic xmlns:a="http://schemas.openxmlformats.org/drawingml/2006/main">
                        <a:graphicData uri="http://schemas.microsoft.com/office/word/2010/wordprocessingShape">
                          <wps:wsp>
                            <wps:cNvCnPr/>
                            <wps:spPr>
                              <a:xfrm>
                                <a:off x="2147570" y="8065770"/>
                                <a:ext cx="384810" cy="0"/>
                              </a:xfrm>
                              <a:prstGeom prst="straightConnector1">
                                <a:avLst/>
                              </a:prstGeom>
                              <a:noFill/>
                              <a:ln w="6350" cap="flat" cmpd="sng" algn="ctr">
                                <a:solidFill>
                                  <a:srgbClr val="5B9BD5"/>
                                </a:solidFill>
                                <a:prstDash val="solid"/>
                                <a:miter lim="800000"/>
                                <a:tailEnd type="arrow"/>
                              </a:ln>
                              <a:effectLst/>
                            </wps:spPr>
                            <wps:bodyPr/>
                          </wps:wsp>
                        </a:graphicData>
                      </a:graphic>
                    </wp:anchor>
                  </w:drawing>
                </mc:Choice>
                <mc:Fallback>
                  <w:pict>
                    <v:shape id="_x0000_s1026" o:spid="_x0000_s1026" o:spt="32" type="#_x0000_t32" style="position:absolute;left:0pt;margin-left:125.05pt;margin-top:23.05pt;height:0pt;width:30.3pt;z-index:-251563008;mso-width-relative:page;mso-height-relative:page;" filled="f" stroked="t" coordsize="21600,21600" o:gfxdata="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DAa9CnVAAAACQEAAA8A&#10;AAAAAAAAAQAgAAAAIgAAAGRycy9kb3ducmV2LnhtbFBLAQIUABQAAAAIAIdO4kBp37GEGgIAAPkD&#10;AAAOAAAAAAAAAAEAIAAAACQBAABkcnMvZTJvRG9jLnhtbFBLBQYAAAAABgAGAFkBAACwBQAAAAA=&#10;">
                      <v:fill on="f" focussize="0,0"/>
                      <v:stroke weight="0.5pt" color="#5B9BD5" miterlimit="8" joinstyle="miter"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41184" behindDoc="1" locked="0" layoutInCell="1" allowOverlap="1">
                      <wp:simplePos x="0" y="0"/>
                      <wp:positionH relativeFrom="column">
                        <wp:posOffset>2507615</wp:posOffset>
                      </wp:positionH>
                      <wp:positionV relativeFrom="paragraph">
                        <wp:posOffset>306070</wp:posOffset>
                      </wp:positionV>
                      <wp:extent cx="384810" cy="0"/>
                      <wp:effectExtent l="0" t="48895" r="15240" b="65405"/>
                      <wp:wrapNone/>
                      <wp:docPr id="8" name="直接箭头连接符 8"/>
                      <wp:cNvGraphicFramePr/>
                      <a:graphic xmlns:a="http://schemas.openxmlformats.org/drawingml/2006/main">
                        <a:graphicData uri="http://schemas.microsoft.com/office/word/2010/wordprocessingShape">
                          <wps:wsp>
                            <wps:cNvCnPr/>
                            <wps:spPr>
                              <a:xfrm>
                                <a:off x="2147570" y="8065770"/>
                                <a:ext cx="384810" cy="0"/>
                              </a:xfrm>
                              <a:prstGeom prst="straightConnector1">
                                <a:avLst/>
                              </a:prstGeom>
                              <a:noFill/>
                              <a:ln w="6350" cap="flat" cmpd="sng" algn="ctr">
                                <a:solidFill>
                                  <a:srgbClr val="5B9BD5"/>
                                </a:solidFill>
                                <a:prstDash val="solid"/>
                                <a:miter lim="800000"/>
                                <a:tailEnd type="arrow"/>
                              </a:ln>
                              <a:effectLst/>
                            </wps:spPr>
                            <wps:bodyPr/>
                          </wps:wsp>
                        </a:graphicData>
                      </a:graphic>
                    </wp:anchor>
                  </w:drawing>
                </mc:Choice>
                <mc:Fallback>
                  <w:pict>
                    <v:shape id="_x0000_s1026" o:spid="_x0000_s1026" o:spt="32" type="#_x0000_t32" style="position:absolute;left:0pt;margin-left:197.45pt;margin-top:24.1pt;height:0pt;width:30.3pt;z-index:-251575296;mso-width-relative:page;mso-height-relative:page;" filled="f" stroked="t" coordsize="21600,21600" o:gfxdata="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GxWk8vXAAAACQEAAA8A&#10;AAAAAAAAAQAgAAAAIgAAAGRycy9kb3ducmV2LnhtbFBLAQIUABQAAAAIAIdO4kASrRxxGAIAAPcD&#10;AAAOAAAAAAAAAAEAIAAAACYBAABkcnMvZTJvRG9jLnhtbFBLBQYAAAAABgAGAFkBAACwBQAAAAA=&#10;">
                      <v:fill on="f" focussize="0,0"/>
                      <v:stroke weight="0.5pt" color="#5B9BD5" miterlimit="8" joinstyle="miter"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42208" behindDoc="0" locked="0" layoutInCell="1" allowOverlap="1">
                      <wp:simplePos x="0" y="0"/>
                      <wp:positionH relativeFrom="column">
                        <wp:posOffset>2879725</wp:posOffset>
                      </wp:positionH>
                      <wp:positionV relativeFrom="paragraph">
                        <wp:posOffset>110490</wp:posOffset>
                      </wp:positionV>
                      <wp:extent cx="551815" cy="381635"/>
                      <wp:effectExtent l="4445" t="4445" r="15240" b="13970"/>
                      <wp:wrapNone/>
                      <wp:docPr id="9" name="圆角矩形 9"/>
                      <wp:cNvGraphicFramePr/>
                      <a:graphic xmlns:a="http://schemas.openxmlformats.org/drawingml/2006/main">
                        <a:graphicData uri="http://schemas.microsoft.com/office/word/2010/wordprocessingShape">
                          <wps:wsp>
                            <wps:cNvSpPr/>
                            <wps:spPr>
                              <a:xfrm>
                                <a:off x="0" y="0"/>
                                <a:ext cx="551815"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48B4D8CB">
                                  <w:pPr>
                                    <w:jc w:val="center"/>
                                  </w:pPr>
                                  <w:r>
                                    <w:rPr>
                                      <w:rFonts w:hint="eastAsia"/>
                                    </w:rPr>
                                    <w:t>烘干</w:t>
                                  </w:r>
                                </w:p>
                              </w:txbxContent>
                            </wps:txbx>
                            <wps:bodyPr upright="1"/>
                          </wps:wsp>
                        </a:graphicData>
                      </a:graphic>
                    </wp:anchor>
                  </w:drawing>
                </mc:Choice>
                <mc:Fallback>
                  <w:pict>
                    <v:roundrect id="_x0000_s1026" o:spid="_x0000_s1026" o:spt="2" style="position:absolute;left:0pt;margin-left:226.75pt;margin-top:8.7pt;height:30.05pt;width:43.45pt;z-index:251742208;mso-width-relative:page;mso-height-relative:page;" fillcolor="#FFFFFF" filled="t" stroked="t" coordsize="21600,21600" arcsize="0.166666666666667" o:gfxdata="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DbX&#10;EjnXAAAACQEAAA8AAAAAAAAAAQAgAAAAIgAAAGRycy9kb3ducmV2LnhtbFBLAQIUABQAAAAIAIdO&#10;4kCBsik5JAIAAFUEAAAOAAAAAAAAAAEAIAAAACYBAABkcnMvZTJvRG9jLnhtbFBLBQYAAAAABgAG&#10;AFkBAAC8BQAAAAA=&#10;">
                      <v:fill on="t" focussize="0,0"/>
                      <v:stroke color="#ED7D31" joinstyle="round"/>
                      <v:imagedata o:title=""/>
                      <o:lock v:ext="edit" aspectratio="f"/>
                      <v:textbox>
                        <w:txbxContent>
                          <w:p w14:paraId="48B4D8CB">
                            <w:pPr>
                              <w:jc w:val="center"/>
                            </w:pPr>
                            <w:r>
                              <w:rPr>
                                <w:rFonts w:hint="eastAsia"/>
                              </w:rPr>
                              <w:t>烘干</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44256" behindDoc="1" locked="0" layoutInCell="1" allowOverlap="1">
                      <wp:simplePos x="0" y="0"/>
                      <wp:positionH relativeFrom="column">
                        <wp:posOffset>4616450</wp:posOffset>
                      </wp:positionH>
                      <wp:positionV relativeFrom="paragraph">
                        <wp:posOffset>252095</wp:posOffset>
                      </wp:positionV>
                      <wp:extent cx="384810" cy="0"/>
                      <wp:effectExtent l="0" t="48895" r="15240" b="65405"/>
                      <wp:wrapNone/>
                      <wp:docPr id="23" name="直接箭头连接符 23"/>
                      <wp:cNvGraphicFramePr/>
                      <a:graphic xmlns:a="http://schemas.openxmlformats.org/drawingml/2006/main">
                        <a:graphicData uri="http://schemas.microsoft.com/office/word/2010/wordprocessingShape">
                          <wps:wsp>
                            <wps:cNvCnPr/>
                            <wps:spPr>
                              <a:xfrm>
                                <a:off x="2147570" y="8065770"/>
                                <a:ext cx="384810" cy="0"/>
                              </a:xfrm>
                              <a:prstGeom prst="straightConnector1">
                                <a:avLst/>
                              </a:prstGeom>
                              <a:noFill/>
                              <a:ln w="6350" cap="flat" cmpd="sng" algn="ctr">
                                <a:solidFill>
                                  <a:srgbClr val="5B9BD5"/>
                                </a:solidFill>
                                <a:prstDash val="solid"/>
                                <a:miter lim="800000"/>
                                <a:tailEnd type="arrow"/>
                              </a:ln>
                              <a:effectLst/>
                            </wps:spPr>
                            <wps:bodyPr/>
                          </wps:wsp>
                        </a:graphicData>
                      </a:graphic>
                    </wp:anchor>
                  </w:drawing>
                </mc:Choice>
                <mc:Fallback>
                  <w:pict>
                    <v:shape id="_x0000_s1026" o:spid="_x0000_s1026" o:spt="32" type="#_x0000_t32" style="position:absolute;left:0pt;margin-left:363.5pt;margin-top:19.85pt;height:0pt;width:30.3pt;z-index:-251572224;mso-width-relative:page;mso-height-relative:page;" filled="f" stroked="t" coordsize="21600,21600" o:gfxdata="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k1hIhdcAAAAJAQAA&#10;DwAAAAAAAAABACAAAAAiAAAAZHJzL2Rvd25yZXYueG1sUEsBAhQAFAAAAAgAh07iQF4YSCwaAgAA&#10;+QMAAA4AAAAAAAAAAQAgAAAAJgEAAGRycy9lMm9Eb2MueG1sUEsFBgAAAAAGAAYAWQEAALIFAAAA&#10;AA==&#10;">
                      <v:fill on="f" focussize="0,0"/>
                      <v:stroke weight="0.5pt" color="#5B9BD5" miterlimit="8" joinstyle="miter"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39136" behindDoc="0" locked="0" layoutInCell="1" allowOverlap="1">
                      <wp:simplePos x="0" y="0"/>
                      <wp:positionH relativeFrom="column">
                        <wp:posOffset>5034280</wp:posOffset>
                      </wp:positionH>
                      <wp:positionV relativeFrom="paragraph">
                        <wp:posOffset>92710</wp:posOffset>
                      </wp:positionV>
                      <wp:extent cx="864235" cy="381635"/>
                      <wp:effectExtent l="4445" t="4445" r="7620" b="13970"/>
                      <wp:wrapNone/>
                      <wp:docPr id="14" name="圆角矩形 14"/>
                      <wp:cNvGraphicFramePr/>
                      <a:graphic xmlns:a="http://schemas.openxmlformats.org/drawingml/2006/main">
                        <a:graphicData uri="http://schemas.microsoft.com/office/word/2010/wordprocessingShape">
                          <wps:wsp>
                            <wps:cNvSpPr/>
                            <wps:spPr>
                              <a:xfrm>
                                <a:off x="0" y="0"/>
                                <a:ext cx="864235"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7D484959">
                                  <w:pPr>
                                    <w:jc w:val="center"/>
                                    <w:rPr>
                                      <w:rFonts w:hint="eastAsia" w:eastAsiaTheme="minorEastAsia"/>
                                      <w:lang w:eastAsia="zh-CN"/>
                                    </w:rPr>
                                  </w:pPr>
                                  <w:r>
                                    <w:rPr>
                                      <w:rFonts w:hint="eastAsia"/>
                                    </w:rPr>
                                    <w:t>检验</w:t>
                                  </w:r>
                                  <w:r>
                                    <w:rPr>
                                      <w:rFonts w:hint="eastAsia"/>
                                      <w:lang w:eastAsia="zh-CN"/>
                                    </w:rPr>
                                    <w:t>入库</w:t>
                                  </w:r>
                                </w:p>
                              </w:txbxContent>
                            </wps:txbx>
                            <wps:bodyPr upright="1"/>
                          </wps:wsp>
                        </a:graphicData>
                      </a:graphic>
                    </wp:anchor>
                  </w:drawing>
                </mc:Choice>
                <mc:Fallback>
                  <w:pict>
                    <v:roundrect id="_x0000_s1026" o:spid="_x0000_s1026" o:spt="2" style="position:absolute;left:0pt;margin-left:396.4pt;margin-top:7.3pt;height:30.05pt;width:68.05pt;z-index:251739136;mso-width-relative:page;mso-height-relative:page;" fillcolor="#FFFFFF" filled="t" stroked="t" coordsize="21600,21600" arcsize="0.166666666666667" o:gfxdata="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X&#10;kdat1wAAAAkBAAAPAAAAAAAAAAEAIAAAACIAAABkcnMvZG93bnJldi54bWxQSwECFAAUAAAACACH&#10;TuJAnruTjSUCAABXBAAADgAAAAAAAAABACAAAAAmAQAAZHJzL2Uyb0RvYy54bWxQSwUGAAAAAAYA&#10;BgBZAQAAvQUAAAAA&#10;">
                      <v:fill on="t" focussize="0,0"/>
                      <v:stroke color="#ED7D31" joinstyle="round"/>
                      <v:imagedata o:title=""/>
                      <o:lock v:ext="edit" aspectratio="f"/>
                      <v:textbox>
                        <w:txbxContent>
                          <w:p w14:paraId="7D484959">
                            <w:pPr>
                              <w:jc w:val="center"/>
                              <w:rPr>
                                <w:rFonts w:hint="eastAsia" w:eastAsiaTheme="minorEastAsia"/>
                                <w:lang w:eastAsia="zh-CN"/>
                              </w:rPr>
                            </w:pPr>
                            <w:r>
                              <w:rPr>
                                <w:rFonts w:hint="eastAsia"/>
                              </w:rPr>
                              <w:t>检验</w:t>
                            </w:r>
                            <w:r>
                              <w:rPr>
                                <w:rFonts w:hint="eastAsia"/>
                                <w:lang w:eastAsia="zh-CN"/>
                              </w:rPr>
                              <w:t>入库</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43232" behindDoc="1" locked="0" layoutInCell="1" allowOverlap="1">
                      <wp:simplePos x="0" y="0"/>
                      <wp:positionH relativeFrom="column">
                        <wp:posOffset>3418840</wp:posOffset>
                      </wp:positionH>
                      <wp:positionV relativeFrom="paragraph">
                        <wp:posOffset>257175</wp:posOffset>
                      </wp:positionV>
                      <wp:extent cx="384810" cy="0"/>
                      <wp:effectExtent l="0" t="48895" r="15240" b="65405"/>
                      <wp:wrapNone/>
                      <wp:docPr id="6" name="直接箭头连接符 6"/>
                      <wp:cNvGraphicFramePr/>
                      <a:graphic xmlns:a="http://schemas.openxmlformats.org/drawingml/2006/main">
                        <a:graphicData uri="http://schemas.microsoft.com/office/word/2010/wordprocessingShape">
                          <wps:wsp>
                            <wps:cNvCnPr/>
                            <wps:spPr>
                              <a:xfrm>
                                <a:off x="2147570" y="8065770"/>
                                <a:ext cx="384810" cy="0"/>
                              </a:xfrm>
                              <a:prstGeom prst="straightConnector1">
                                <a:avLst/>
                              </a:prstGeom>
                              <a:noFill/>
                              <a:ln w="6350" cap="flat" cmpd="sng" algn="ctr">
                                <a:solidFill>
                                  <a:srgbClr val="5B9BD5"/>
                                </a:solidFill>
                                <a:prstDash val="solid"/>
                                <a:miter lim="800000"/>
                                <a:tailEnd type="arrow"/>
                              </a:ln>
                              <a:effectLst/>
                            </wps:spPr>
                            <wps:bodyPr/>
                          </wps:wsp>
                        </a:graphicData>
                      </a:graphic>
                    </wp:anchor>
                  </w:drawing>
                </mc:Choice>
                <mc:Fallback>
                  <w:pict>
                    <v:shape id="_x0000_s1026" o:spid="_x0000_s1026" o:spt="32" type="#_x0000_t32" style="position:absolute;left:0pt;margin-left:269.2pt;margin-top:20.25pt;height:0pt;width:30.3pt;z-index:-251573248;mso-width-relative:page;mso-height-relative:page;" filled="f" stroked="t" coordsize="21600,21600" o:gfxdata="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rZHIsdYAAAAJAQAADwAA&#10;AAAAAAABACAAAAAiAAAAZHJzL2Rvd25yZXYueG1sUEsBAhQAFAAAAAgAh07iQOCMsnYYAgAA9wMA&#10;AA4AAAAAAAAAAQAgAAAAJQEAAGRycy9lMm9Eb2MueG1sUEsFBgAAAAAGAAYAWQEAAK8FAAAAAA==&#10;">
                      <v:fill on="f" focussize="0,0"/>
                      <v:stroke weight="0.5pt" color="#5B9BD5" miterlimit="8" joinstyle="miter" endarrow="open"/>
                      <v:imagedata o:title=""/>
                      <o:lock v:ext="edit" aspectratio="f"/>
                    </v:shape>
                  </w:pict>
                </mc:Fallback>
              </mc:AlternateContent>
            </w:r>
          </w:p>
          <w:p w14:paraId="6F86369B">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sz w:val="24"/>
              </w:rPr>
              <mc:AlternateContent>
                <mc:Choice Requires="wps">
                  <w:drawing>
                    <wp:anchor distT="0" distB="0" distL="114300" distR="114300" simplePos="0" relativeHeight="251725824" behindDoc="0" locked="0" layoutInCell="1" allowOverlap="1">
                      <wp:simplePos x="0" y="0"/>
                      <wp:positionH relativeFrom="column">
                        <wp:posOffset>5404485</wp:posOffset>
                      </wp:positionH>
                      <wp:positionV relativeFrom="paragraph">
                        <wp:posOffset>171450</wp:posOffset>
                      </wp:positionV>
                      <wp:extent cx="2540" cy="423545"/>
                      <wp:effectExtent l="46990" t="0" r="64770" b="14605"/>
                      <wp:wrapNone/>
                      <wp:docPr id="180" name="直接箭头连接符 180"/>
                      <wp:cNvGraphicFramePr/>
                      <a:graphic xmlns:a="http://schemas.openxmlformats.org/drawingml/2006/main">
                        <a:graphicData uri="http://schemas.microsoft.com/office/word/2010/wordprocessingShape">
                          <wps:wsp>
                            <wps:cNvCnPr/>
                            <wps:spPr>
                              <a:xfrm>
                                <a:off x="0" y="0"/>
                                <a:ext cx="2540" cy="423545"/>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425.55pt;margin-top:13.5pt;height:33.35pt;width:0.2pt;z-index:251725824;mso-width-relative:page;mso-height-relative:page;" filled="f" stroked="t" coordsize="21600,21600" o:gfxdata="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MdpoK2AAAAAkBAAAPAAAAAAAAAAEAIAAA&#10;ACIAAABkcnMvZG93bnJldi54bWxQSwECFAAUAAAACACHTuJAp2yOxgwCAADjAwAADgAAAAAAAAAB&#10;ACAAAAAnAQAAZHJzL2Uyb0RvYy54bWxQSwUGAAAAAAYABgBZAQAApQUAAAAA&#10;">
                      <v:fill on="f" focussize="0,0"/>
                      <v:stroke weight="0.5pt" color="#5B9BD5 [3204]" miterlimit="8" joinstyle="miter" dashstyle="dash" endarrow="open"/>
                      <v:imagedata o:title=""/>
                      <o:lock v:ext="edit" aspectratio="f"/>
                    </v:shape>
                  </w:pict>
                </mc:Fallback>
              </mc:AlternateContent>
            </w:r>
            <w:r>
              <w:rPr>
                <w:sz w:val="24"/>
              </w:rPr>
              <mc:AlternateContent>
                <mc:Choice Requires="wps">
                  <w:drawing>
                    <wp:anchor distT="0" distB="0" distL="114300" distR="114300" simplePos="0" relativeHeight="251811840" behindDoc="0" locked="0" layoutInCell="1" allowOverlap="1">
                      <wp:simplePos x="0" y="0"/>
                      <wp:positionH relativeFrom="column">
                        <wp:posOffset>4192905</wp:posOffset>
                      </wp:positionH>
                      <wp:positionV relativeFrom="paragraph">
                        <wp:posOffset>157480</wp:posOffset>
                      </wp:positionV>
                      <wp:extent cx="11430" cy="437515"/>
                      <wp:effectExtent l="46990" t="0" r="55880" b="635"/>
                      <wp:wrapNone/>
                      <wp:docPr id="178" name="直接箭头连接符 178"/>
                      <wp:cNvGraphicFramePr/>
                      <a:graphic xmlns:a="http://schemas.openxmlformats.org/drawingml/2006/main">
                        <a:graphicData uri="http://schemas.microsoft.com/office/word/2010/wordprocessingShape">
                          <wps:wsp>
                            <wps:cNvCnPr/>
                            <wps:spPr>
                              <a:xfrm flipH="1">
                                <a:off x="3863975" y="4690110"/>
                                <a:ext cx="11430" cy="437515"/>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330.15pt;margin-top:12.4pt;height:34.45pt;width:0.9pt;z-index:251811840;mso-width-relative:page;mso-height-relative:page;" filled="f" stroked="t" coordsize="21600,21600" o:gfxdata="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93yW&#10;ddgAAAAJAQAADwAAAAAAAAABACAAAAAiAAAAZHJzL2Rvd25yZXYueG1sUEsBAhQAFAAAAAgAh07i&#10;QG7cVmMiAgAA+gMAAA4AAAAAAAAAAQAgAAAAJwEAAGRycy9lMm9Eb2MueG1sUEsFBgAAAAAGAAYA&#10;WQEAALsFAAAAAA==&#10;">
                      <v:fill on="f" focussize="0,0"/>
                      <v:stroke weight="0.5pt" color="#5B9BD5 [3204]" miterlimit="8" joinstyle="miter" dashstyle="dash" endarrow="open"/>
                      <v:imagedata o:title=""/>
                      <o:lock v:ext="edit" aspectratio="f"/>
                    </v:shape>
                  </w:pict>
                </mc:Fallback>
              </mc:AlternateContent>
            </w:r>
            <w:r>
              <w:rPr>
                <w:sz w:val="24"/>
              </w:rPr>
              <mc:AlternateContent>
                <mc:Choice Requires="wps">
                  <w:drawing>
                    <wp:anchor distT="0" distB="0" distL="114300" distR="114300" simplePos="0" relativeHeight="251802624" behindDoc="0" locked="0" layoutInCell="1" allowOverlap="1">
                      <wp:simplePos x="0" y="0"/>
                      <wp:positionH relativeFrom="column">
                        <wp:posOffset>3154045</wp:posOffset>
                      </wp:positionH>
                      <wp:positionV relativeFrom="paragraph">
                        <wp:posOffset>147320</wp:posOffset>
                      </wp:positionV>
                      <wp:extent cx="2540" cy="462915"/>
                      <wp:effectExtent l="46990" t="0" r="64770" b="13335"/>
                      <wp:wrapNone/>
                      <wp:docPr id="192" name="直接箭头连接符 192"/>
                      <wp:cNvGraphicFramePr/>
                      <a:graphic xmlns:a="http://schemas.openxmlformats.org/drawingml/2006/main">
                        <a:graphicData uri="http://schemas.microsoft.com/office/word/2010/wordprocessingShape">
                          <wps:wsp>
                            <wps:cNvCnPr>
                              <a:endCxn id="193" idx="0"/>
                            </wps:cNvCnPr>
                            <wps:spPr>
                              <a:xfrm>
                                <a:off x="0" y="0"/>
                                <a:ext cx="2540" cy="462915"/>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48.35pt;margin-top:11.6pt;height:36.45pt;width:0.2pt;z-index:251802624;mso-width-relative:page;mso-height-relative:page;" filled="f" stroked="t" coordsize="21600,21600" o:gfxdata="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T4QDuNgAAAAJ&#10;AQAADwAAAAAAAAABACAAAAAiAAAAZHJzL2Rvd25yZXYueG1sUEsBAhQAFAAAAAgAh07iQBfmvlYc&#10;AgAADAQAAA4AAAAAAAAAAQAgAAAAJwEAAGRycy9lMm9Eb2MueG1sUEsFBgAAAAAGAAYAWQEAALUF&#10;AAAAAA==&#10;">
                      <v:fill on="f" focussize="0,0"/>
                      <v:stroke weight="0.5pt" color="#5B9BD5 [3204]" miterlimit="8" joinstyle="miter" dashstyle="dash" endarrow="open"/>
                      <v:imagedata o:title=""/>
                      <o:lock v:ext="edit" aspectratio="f"/>
                    </v:shape>
                  </w:pict>
                </mc:Fallback>
              </mc:AlternateContent>
            </w:r>
            <w:r>
              <w:rPr>
                <w:sz w:val="24"/>
              </w:rPr>
              <mc:AlternateContent>
                <mc:Choice Requires="wps">
                  <w:drawing>
                    <wp:anchor distT="0" distB="0" distL="114300" distR="114300" simplePos="0" relativeHeight="251796480" behindDoc="0" locked="0" layoutInCell="1" allowOverlap="1">
                      <wp:simplePos x="0" y="0"/>
                      <wp:positionH relativeFrom="column">
                        <wp:posOffset>5479415</wp:posOffset>
                      </wp:positionH>
                      <wp:positionV relativeFrom="paragraph">
                        <wp:posOffset>281305</wp:posOffset>
                      </wp:positionV>
                      <wp:extent cx="867410" cy="273685"/>
                      <wp:effectExtent l="0" t="0" r="8890" b="12065"/>
                      <wp:wrapNone/>
                      <wp:docPr id="182" name="矩形 182"/>
                      <wp:cNvGraphicFramePr/>
                      <a:graphic xmlns:a="http://schemas.openxmlformats.org/drawingml/2006/main">
                        <a:graphicData uri="http://schemas.microsoft.com/office/word/2010/wordprocessingShape">
                          <wps:wsp>
                            <wps:cNvSpPr/>
                            <wps:spPr>
                              <a:xfrm>
                                <a:off x="6138545" y="4594860"/>
                                <a:ext cx="867410" cy="27368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4EAEFC00">
                                  <w:pPr>
                                    <w:jc w:val="both"/>
                                    <w:rPr>
                                      <w:rFonts w:hint="eastAsia" w:eastAsia="宋体"/>
                                      <w:lang w:val="en-US" w:eastAsia="zh-CN"/>
                                    </w:rPr>
                                  </w:pPr>
                                  <w:r>
                                    <w:rPr>
                                      <w:rFonts w:hint="eastAsia"/>
                                      <w:lang w:val="en-US" w:eastAsia="zh-CN"/>
                                    </w:rPr>
                                    <w:t>不合格产品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31.45pt;margin-top:22.15pt;height:21.55pt;width:68.3pt;z-index:251796480;v-text-anchor:middle;mso-width-relative:page;mso-height-relative:page;" fillcolor="#FFFFFF [3201]" filled="t" stroked="f" coordsize="21600,21600" o:gfxdata="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OXQOjjaAAAACQEAAA8AAAAAAAAAAQAg&#10;AAAAIgAAAGRycy9kb3ducmV2LnhtbFBLAQIUABQAAAAIAIdO4kDnuxGnfgIAAOUEAAAOAAAAAAAA&#10;AAEAIAAAACkBAABkcnMvZTJvRG9jLnhtbFBLBQYAAAAABgAGAFkBAAAZBgAAAAA=&#10;">
                      <v:fill on="t" focussize="0,0"/>
                      <v:stroke on="f" weight="1pt" miterlimit="8" joinstyle="miter"/>
                      <v:imagedata o:title=""/>
                      <o:lock v:ext="edit" aspectratio="f"/>
                      <v:textbox>
                        <w:txbxContent>
                          <w:p w14:paraId="4EAEFC00">
                            <w:pPr>
                              <w:jc w:val="both"/>
                              <w:rPr>
                                <w:rFonts w:hint="eastAsia" w:eastAsia="宋体"/>
                                <w:lang w:val="en-US" w:eastAsia="zh-CN"/>
                              </w:rPr>
                            </w:pPr>
                            <w:r>
                              <w:rPr>
                                <w:rFonts w:hint="eastAsia"/>
                                <w:lang w:val="en-US" w:eastAsia="zh-CN"/>
                              </w:rPr>
                              <w:t>不合格产品</w:t>
                            </w:r>
                          </w:p>
                        </w:txbxContent>
                      </v:textbox>
                    </v:rect>
                  </w:pict>
                </mc:Fallback>
              </mc:AlternateContent>
            </w:r>
          </w:p>
          <w:p w14:paraId="7D2C7010">
            <w:pPr>
              <w:pStyle w:val="8"/>
              <w:adjustRightInd w:val="0"/>
              <w:snapToGrid w:val="0"/>
              <w:spacing w:line="520" w:lineRule="exact"/>
              <w:ind w:left="0" w:leftChars="0" w:firstLine="480" w:firstLineChars="200"/>
              <w:jc w:val="center"/>
              <w:rPr>
                <w:rFonts w:hint="default" w:ascii="Times New Roman" w:hAnsi="Times New Roman" w:cs="Times New Roman"/>
                <w:b/>
                <w:bCs/>
                <w:color w:val="auto"/>
                <w:sz w:val="24"/>
                <w:szCs w:val="24"/>
              </w:rPr>
            </w:pPr>
            <w:r>
              <w:rPr>
                <w:sz w:val="24"/>
              </w:rPr>
              <mc:AlternateContent>
                <mc:Choice Requires="wps">
                  <w:drawing>
                    <wp:anchor distT="0" distB="0" distL="114300" distR="114300" simplePos="0" relativeHeight="251795456" behindDoc="0" locked="0" layoutInCell="1" allowOverlap="1">
                      <wp:simplePos x="0" y="0"/>
                      <wp:positionH relativeFrom="column">
                        <wp:posOffset>4939030</wp:posOffset>
                      </wp:positionH>
                      <wp:positionV relativeFrom="paragraph">
                        <wp:posOffset>292735</wp:posOffset>
                      </wp:positionV>
                      <wp:extent cx="1049020" cy="297815"/>
                      <wp:effectExtent l="6350" t="6350" r="11430" b="19685"/>
                      <wp:wrapNone/>
                      <wp:docPr id="181" name="矩形 181"/>
                      <wp:cNvGraphicFramePr/>
                      <a:graphic xmlns:a="http://schemas.openxmlformats.org/drawingml/2006/main">
                        <a:graphicData uri="http://schemas.microsoft.com/office/word/2010/wordprocessingShape">
                          <wps:wsp>
                            <wps:cNvSpPr/>
                            <wps:spPr>
                              <a:xfrm>
                                <a:off x="0" y="0"/>
                                <a:ext cx="1049020" cy="29781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14:paraId="686078FD">
                                  <w:pPr>
                                    <w:jc w:val="center"/>
                                    <w:rPr>
                                      <w:rFonts w:hint="eastAsia" w:eastAsia="宋体"/>
                                      <w:lang w:val="en-US" w:eastAsia="zh-CN"/>
                                    </w:rPr>
                                  </w:pPr>
                                  <w:r>
                                    <w:rPr>
                                      <w:rFonts w:hint="eastAsia"/>
                                      <w:lang w:val="en-US" w:eastAsia="zh-CN"/>
                                    </w:rPr>
                                    <w:t>固废</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88.9pt;margin-top:23.05pt;height:23.45pt;width:82.6pt;z-index:251795456;v-text-anchor:middle;mso-width-relative:page;mso-height-relative:page;" fillcolor="#FFFFFF [3201]" filled="t" stroked="t" coordsize="21600,21600" o:gfxdata="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D+FPqY2AAAAAkBAAAPAAAAAAAAAAEAIAAAACIAAABkcnMvZG93&#10;bnJldi54bWxQSwECFAAUAAAACACHTuJAe6mcPnICAAADBQAADgAAAAAAAAABACAAAAAnAQAAZHJz&#10;L2Uyb0RvYy54bWxQSwUGAAAAAAYABgBZAQAACwYAAAAA&#10;">
                      <v:fill on="t" focussize="0,0"/>
                      <v:stroke weight="1pt" color="#FFFFFF [3212]" miterlimit="8" joinstyle="miter"/>
                      <v:imagedata o:title=""/>
                      <o:lock v:ext="edit" aspectratio="f"/>
                      <v:textbox>
                        <w:txbxContent>
                          <w:p w14:paraId="686078FD">
                            <w:pPr>
                              <w:jc w:val="center"/>
                              <w:rPr>
                                <w:rFonts w:hint="eastAsia" w:eastAsia="宋体"/>
                                <w:lang w:val="en-US" w:eastAsia="zh-CN"/>
                              </w:rPr>
                            </w:pPr>
                            <w:r>
                              <w:rPr>
                                <w:rFonts w:hint="eastAsia"/>
                                <w:lang w:val="en-US" w:eastAsia="zh-CN"/>
                              </w:rPr>
                              <w:t>固废</w:t>
                            </w:r>
                          </w:p>
                        </w:txbxContent>
                      </v:textbox>
                    </v:rect>
                  </w:pict>
                </mc:Fallback>
              </mc:AlternateContent>
            </w:r>
            <w:r>
              <w:rPr>
                <w:sz w:val="24"/>
              </w:rPr>
              <mc:AlternateContent>
                <mc:Choice Requires="wps">
                  <w:drawing>
                    <wp:anchor distT="0" distB="0" distL="114300" distR="114300" simplePos="0" relativeHeight="251808768" behindDoc="0" locked="0" layoutInCell="1" allowOverlap="1">
                      <wp:simplePos x="0" y="0"/>
                      <wp:positionH relativeFrom="column">
                        <wp:posOffset>2900045</wp:posOffset>
                      </wp:positionH>
                      <wp:positionV relativeFrom="paragraph">
                        <wp:posOffset>280035</wp:posOffset>
                      </wp:positionV>
                      <wp:extent cx="513080" cy="297815"/>
                      <wp:effectExtent l="6350" t="6350" r="13970" b="19685"/>
                      <wp:wrapNone/>
                      <wp:docPr id="193" name="矩形 193"/>
                      <wp:cNvGraphicFramePr/>
                      <a:graphic xmlns:a="http://schemas.openxmlformats.org/drawingml/2006/main">
                        <a:graphicData uri="http://schemas.microsoft.com/office/word/2010/wordprocessingShape">
                          <wps:wsp>
                            <wps:cNvSpPr/>
                            <wps:spPr>
                              <a:xfrm>
                                <a:off x="0" y="0"/>
                                <a:ext cx="513080" cy="29781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14:paraId="0E3B00B6">
                                  <w:pPr>
                                    <w:jc w:val="center"/>
                                    <w:rPr>
                                      <w:rFonts w:hint="eastAsia" w:eastAsia="宋体"/>
                                      <w:lang w:val="en-US" w:eastAsia="zh-CN"/>
                                    </w:rPr>
                                  </w:pPr>
                                  <w:r>
                                    <w:rPr>
                                      <w:rFonts w:hint="eastAsia"/>
                                      <w:lang w:val="en-US" w:eastAsia="zh-CN"/>
                                    </w:rPr>
                                    <w:t>噪声</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28.35pt;margin-top:22.05pt;height:23.45pt;width:40.4pt;z-index:251808768;v-text-anchor:middle;mso-width-relative:page;mso-height-relative:page;" fillcolor="#FFFFFF [3201]" filled="t" stroked="t" coordsize="21600,21600" o:gfxdata="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BbO0oB2QAAAAkBAAAPAAAAAAAAAAEAIAAAACIAAABkcnMv&#10;ZG93bnJldi54bWxQSwECFAAUAAAACACHTuJAaAene3QCAAACBQAADgAAAAAAAAABACAAAAAoAQAA&#10;ZHJzL2Uyb0RvYy54bWxQSwUGAAAAAAYABgBZAQAADgYAAAAA&#10;">
                      <v:fill on="t" focussize="0,0"/>
                      <v:stroke weight="1pt" color="#FFFFFF [3212]" miterlimit="8" joinstyle="miter"/>
                      <v:imagedata o:title=""/>
                      <o:lock v:ext="edit" aspectratio="f"/>
                      <v:textbox>
                        <w:txbxContent>
                          <w:p w14:paraId="0E3B00B6">
                            <w:pPr>
                              <w:jc w:val="center"/>
                              <w:rPr>
                                <w:rFonts w:hint="eastAsia" w:eastAsia="宋体"/>
                                <w:lang w:val="en-US" w:eastAsia="zh-CN"/>
                              </w:rPr>
                            </w:pPr>
                            <w:r>
                              <w:rPr>
                                <w:rFonts w:hint="eastAsia"/>
                                <w:lang w:val="en-US" w:eastAsia="zh-CN"/>
                              </w:rPr>
                              <w:t>噪声</w:t>
                            </w:r>
                          </w:p>
                        </w:txbxContent>
                      </v:textbox>
                    </v:rect>
                  </w:pict>
                </mc:Fallback>
              </mc:AlternateContent>
            </w:r>
            <w:r>
              <w:rPr>
                <w:sz w:val="24"/>
              </w:rPr>
              <mc:AlternateContent>
                <mc:Choice Requires="wps">
                  <w:drawing>
                    <wp:anchor distT="0" distB="0" distL="114300" distR="114300" simplePos="0" relativeHeight="251812864" behindDoc="0" locked="0" layoutInCell="1" allowOverlap="1">
                      <wp:simplePos x="0" y="0"/>
                      <wp:positionH relativeFrom="column">
                        <wp:posOffset>3538220</wp:posOffset>
                      </wp:positionH>
                      <wp:positionV relativeFrom="paragraph">
                        <wp:posOffset>260985</wp:posOffset>
                      </wp:positionV>
                      <wp:extent cx="1570990" cy="333375"/>
                      <wp:effectExtent l="6350" t="6350" r="22860" b="22225"/>
                      <wp:wrapNone/>
                      <wp:docPr id="179" name="矩形 179"/>
                      <wp:cNvGraphicFramePr/>
                      <a:graphic xmlns:a="http://schemas.openxmlformats.org/drawingml/2006/main">
                        <a:graphicData uri="http://schemas.microsoft.com/office/word/2010/wordprocessingShape">
                          <wps:wsp>
                            <wps:cNvSpPr/>
                            <wps:spPr>
                              <a:xfrm>
                                <a:off x="3304540" y="4951730"/>
                                <a:ext cx="1570990" cy="33337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14:paraId="3F583F36">
                                  <w:pPr>
                                    <w:jc w:val="both"/>
                                    <w:rPr>
                                      <w:rFonts w:hint="eastAsia" w:eastAsia="宋体"/>
                                      <w:lang w:val="en-US" w:eastAsia="zh-CN"/>
                                    </w:rPr>
                                  </w:pPr>
                                  <w:r>
                                    <w:rPr>
                                      <w:rFonts w:hint="eastAsia"/>
                                      <w:lang w:val="en-US" w:eastAsia="zh-CN"/>
                                    </w:rPr>
                                    <w:t>有机废气、噪声、固废</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78.6pt;margin-top:20.55pt;height:26.25pt;width:123.7pt;z-index:251812864;v-text-anchor:middle;mso-width-relative:page;mso-height-relative:page;" fillcolor="#FFFFFF [3201]" filled="t" stroked="t" coordsize="21600,21600" o:gfxdata="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Bs1LEdkAAAAJAQAADwAAAAAAAAABACAA&#10;AAAiAAAAZHJzL2Rvd25yZXYueG1sUEsBAhQAFAAAAAgAh07iQDax6OR+AgAADwUAAA4AAAAAAAAA&#10;AQAgAAAAKAEAAGRycy9lMm9Eb2MueG1sUEsFBgAAAAAGAAYAWQEAABgGAAAAAA==&#10;">
                      <v:fill on="t" focussize="0,0"/>
                      <v:stroke weight="1pt" color="#FFFFFF [3212]" miterlimit="8" joinstyle="miter"/>
                      <v:imagedata o:title=""/>
                      <o:lock v:ext="edit" aspectratio="f"/>
                      <v:textbox>
                        <w:txbxContent>
                          <w:p w14:paraId="3F583F36">
                            <w:pPr>
                              <w:jc w:val="both"/>
                              <w:rPr>
                                <w:rFonts w:hint="eastAsia" w:eastAsia="宋体"/>
                                <w:lang w:val="en-US" w:eastAsia="zh-CN"/>
                              </w:rPr>
                            </w:pPr>
                            <w:r>
                              <w:rPr>
                                <w:rFonts w:hint="eastAsia"/>
                                <w:lang w:val="en-US" w:eastAsia="zh-CN"/>
                              </w:rPr>
                              <w:t>有机废气、噪声、固废</w:t>
                            </w:r>
                          </w:p>
                        </w:txbxContent>
                      </v:textbox>
                    </v:rect>
                  </w:pict>
                </mc:Fallback>
              </mc:AlternateContent>
            </w:r>
          </w:p>
          <w:p w14:paraId="28DD15F4">
            <w:pPr>
              <w:pStyle w:val="8"/>
              <w:adjustRightInd w:val="0"/>
              <w:snapToGrid w:val="0"/>
              <w:spacing w:line="520" w:lineRule="exact"/>
              <w:ind w:left="0" w:leftChars="0" w:firstLine="482" w:firstLineChars="200"/>
              <w:jc w:val="center"/>
              <w:rPr>
                <w:rFonts w:hint="default" w:ascii="Times New Roman" w:hAnsi="Times New Roman" w:cs="Times New Roman"/>
                <w:b/>
                <w:bCs/>
                <w:color w:val="auto"/>
                <w:sz w:val="24"/>
                <w:szCs w:val="24"/>
              </w:rPr>
            </w:pPr>
          </w:p>
          <w:p w14:paraId="00B4D37E">
            <w:pPr>
              <w:pStyle w:val="8"/>
              <w:adjustRightInd w:val="0"/>
              <w:snapToGrid w:val="0"/>
              <w:spacing w:line="520" w:lineRule="exact"/>
              <w:ind w:left="0" w:leftChars="0" w:firstLine="482" w:firstLineChars="200"/>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图5-</w:t>
            </w:r>
            <w:r>
              <w:rPr>
                <w:rFonts w:hint="eastAsia" w:cs="Times New Roman"/>
                <w:b/>
                <w:bCs/>
                <w:color w:val="auto"/>
                <w:sz w:val="24"/>
                <w:szCs w:val="24"/>
                <w:lang w:val="en-US" w:eastAsia="zh-CN"/>
              </w:rPr>
              <w:t>3</w:t>
            </w:r>
            <w:r>
              <w:rPr>
                <w:rFonts w:hint="default" w:ascii="Times New Roman" w:hAnsi="Times New Roman" w:cs="Times New Roman"/>
                <w:b/>
                <w:bCs/>
                <w:color w:val="auto"/>
                <w:sz w:val="24"/>
                <w:szCs w:val="24"/>
              </w:rPr>
              <w:t xml:space="preserve">  注塑件工艺流程图及</w:t>
            </w:r>
            <w:r>
              <w:rPr>
                <w:rFonts w:hint="eastAsia" w:cs="Times New Roman"/>
                <w:b/>
                <w:bCs/>
                <w:color w:val="auto"/>
                <w:sz w:val="24"/>
                <w:szCs w:val="24"/>
                <w:lang w:val="en-US" w:eastAsia="zh-CN"/>
              </w:rPr>
              <w:t>产</w:t>
            </w:r>
            <w:r>
              <w:rPr>
                <w:rFonts w:hint="default" w:ascii="Times New Roman" w:hAnsi="Times New Roman" w:cs="Times New Roman"/>
                <w:b/>
                <w:bCs/>
                <w:color w:val="auto"/>
                <w:sz w:val="24"/>
                <w:szCs w:val="24"/>
              </w:rPr>
              <w:t>污节点</w:t>
            </w:r>
          </w:p>
          <w:p w14:paraId="559C38CA">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原材料检验</w:t>
            </w:r>
            <w:r>
              <w:rPr>
                <w:rFonts w:hint="default" w:ascii="Times New Roman" w:hAnsi="Times New Roman" w:cs="Times New Roman"/>
                <w:color w:val="auto"/>
                <w:sz w:val="24"/>
                <w:szCs w:val="24"/>
              </w:rPr>
              <w:t>：根据原材料的性能标准对原材料进行检验</w:t>
            </w:r>
            <w:r>
              <w:rPr>
                <w:rFonts w:hint="default" w:ascii="Times New Roman" w:hAnsi="Times New Roman" w:cs="Times New Roman"/>
                <w:color w:val="auto"/>
                <w:sz w:val="24"/>
                <w:szCs w:val="24"/>
                <w:lang w:eastAsia="zh-CN"/>
              </w:rPr>
              <w:t>，检验合格转生产。</w:t>
            </w:r>
          </w:p>
          <w:p w14:paraId="385F0CC7">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eastAsia="zh-CN"/>
              </w:rPr>
              <w:t>上料：把</w:t>
            </w:r>
            <w:r>
              <w:rPr>
                <w:rFonts w:hint="default" w:ascii="Times New Roman" w:hAnsi="Times New Roman" w:cs="Times New Roman"/>
                <w:color w:val="auto"/>
                <w:sz w:val="24"/>
                <w:szCs w:val="24"/>
              </w:rPr>
              <w:t>合格</w:t>
            </w:r>
            <w:r>
              <w:rPr>
                <w:rFonts w:hint="default" w:ascii="Times New Roman" w:hAnsi="Times New Roman" w:cs="Times New Roman"/>
                <w:color w:val="auto"/>
                <w:sz w:val="24"/>
                <w:szCs w:val="24"/>
                <w:lang w:eastAsia="zh-CN"/>
              </w:rPr>
              <w:t>的</w:t>
            </w:r>
            <w:r>
              <w:rPr>
                <w:rFonts w:hint="default" w:ascii="Times New Roman" w:hAnsi="Times New Roman" w:cs="Times New Roman"/>
                <w:color w:val="auto"/>
                <w:sz w:val="24"/>
                <w:szCs w:val="24"/>
              </w:rPr>
              <w:t>原材料放入自动上料系统。</w:t>
            </w:r>
          </w:p>
          <w:p w14:paraId="1B9CFC8B">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烘干：根据</w:t>
            </w:r>
            <w:r>
              <w:rPr>
                <w:rFonts w:hint="default" w:ascii="Times New Roman" w:hAnsi="Times New Roman" w:cs="Times New Roman"/>
                <w:color w:val="auto"/>
                <w:sz w:val="24"/>
                <w:szCs w:val="24"/>
                <w:lang w:eastAsia="zh-CN"/>
              </w:rPr>
              <w:t>原材</w:t>
            </w:r>
            <w:r>
              <w:rPr>
                <w:rFonts w:hint="default" w:ascii="Times New Roman" w:hAnsi="Times New Roman" w:cs="Times New Roman"/>
                <w:color w:val="auto"/>
                <w:sz w:val="24"/>
                <w:szCs w:val="24"/>
              </w:rPr>
              <w:t>料湿度的不同设置相应的时间和温度对原料进行烘干。</w:t>
            </w:r>
          </w:p>
          <w:p w14:paraId="605D7AF7">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注塑成型：安装好模具，</w:t>
            </w:r>
            <w:r>
              <w:rPr>
                <w:rFonts w:hint="default" w:ascii="Times New Roman" w:hAnsi="Times New Roman" w:cs="Times New Roman"/>
                <w:color w:val="auto"/>
                <w:sz w:val="24"/>
                <w:szCs w:val="24"/>
                <w:lang w:eastAsia="zh-CN"/>
              </w:rPr>
              <w:t>进行</w:t>
            </w:r>
            <w:r>
              <w:rPr>
                <w:rFonts w:hint="default" w:ascii="Times New Roman" w:hAnsi="Times New Roman" w:cs="Times New Roman"/>
                <w:color w:val="auto"/>
                <w:sz w:val="24"/>
                <w:szCs w:val="24"/>
              </w:rPr>
              <w:t>加热升温</w:t>
            </w:r>
            <w:r>
              <w:rPr>
                <w:rFonts w:hint="default" w:ascii="Times New Roman" w:hAnsi="Times New Roman" w:cs="Times New Roman"/>
                <w:color w:val="auto"/>
                <w:sz w:val="24"/>
                <w:szCs w:val="24"/>
                <w:lang w:eastAsia="zh-CN"/>
              </w:rPr>
              <w:t>，</w:t>
            </w:r>
            <w:r>
              <w:rPr>
                <w:rFonts w:hint="default" w:ascii="Times New Roman" w:hAnsi="Times New Roman" w:cs="Times New Roman"/>
                <w:color w:val="auto"/>
                <w:sz w:val="24"/>
                <w:szCs w:val="24"/>
              </w:rPr>
              <w:t>设置温度、压力、速度、成型压力等参数，将熔</w:t>
            </w:r>
            <w:r>
              <w:rPr>
                <w:rFonts w:hint="default" w:ascii="Times New Roman" w:hAnsi="Times New Roman" w:cs="Times New Roman"/>
                <w:color w:val="auto"/>
                <w:sz w:val="24"/>
                <w:szCs w:val="24"/>
                <w:lang w:eastAsia="zh-CN"/>
              </w:rPr>
              <w:t>化的</w:t>
            </w:r>
            <w:r>
              <w:rPr>
                <w:rFonts w:hint="default" w:ascii="Times New Roman" w:hAnsi="Times New Roman" w:cs="Times New Roman"/>
                <w:color w:val="auto"/>
                <w:sz w:val="24"/>
                <w:szCs w:val="24"/>
              </w:rPr>
              <w:t>塑料注入模具中，冷却</w:t>
            </w:r>
            <w:r>
              <w:rPr>
                <w:rFonts w:hint="default" w:ascii="Times New Roman" w:hAnsi="Times New Roman" w:cs="Times New Roman"/>
                <w:color w:val="auto"/>
                <w:sz w:val="24"/>
                <w:szCs w:val="24"/>
                <w:lang w:eastAsia="zh-CN"/>
              </w:rPr>
              <w:t>成型</w:t>
            </w:r>
            <w:r>
              <w:rPr>
                <w:rFonts w:hint="default" w:ascii="Times New Roman" w:hAnsi="Times New Roman" w:cs="Times New Roman"/>
                <w:color w:val="auto"/>
                <w:sz w:val="24"/>
                <w:szCs w:val="24"/>
              </w:rPr>
              <w:t>后取出产品，去除飞边毛刺。</w:t>
            </w:r>
          </w:p>
          <w:p w14:paraId="54717649">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检验：操作员对产品外观、重量</w:t>
            </w:r>
            <w:r>
              <w:rPr>
                <w:rFonts w:hint="default" w:ascii="Times New Roman" w:hAnsi="Times New Roman" w:cs="Times New Roman"/>
                <w:color w:val="auto"/>
                <w:sz w:val="24"/>
                <w:szCs w:val="24"/>
                <w:lang w:eastAsia="zh-CN"/>
              </w:rPr>
              <w:t>等</w:t>
            </w:r>
            <w:r>
              <w:rPr>
                <w:rFonts w:hint="default" w:ascii="Times New Roman" w:hAnsi="Times New Roman" w:cs="Times New Roman"/>
                <w:color w:val="auto"/>
                <w:sz w:val="24"/>
                <w:szCs w:val="24"/>
              </w:rPr>
              <w:t>进行自检，检</w:t>
            </w:r>
            <w:r>
              <w:rPr>
                <w:rFonts w:hint="default" w:ascii="Times New Roman" w:hAnsi="Times New Roman" w:cs="Times New Roman"/>
                <w:color w:val="auto"/>
                <w:sz w:val="24"/>
                <w:szCs w:val="24"/>
                <w:lang w:eastAsia="zh-CN"/>
              </w:rPr>
              <w:t>验</w:t>
            </w:r>
            <w:r>
              <w:rPr>
                <w:rFonts w:hint="default" w:ascii="Times New Roman" w:hAnsi="Times New Roman" w:cs="Times New Roman"/>
                <w:color w:val="auto"/>
                <w:sz w:val="24"/>
                <w:szCs w:val="24"/>
              </w:rPr>
              <w:t>员</w:t>
            </w:r>
            <w:r>
              <w:rPr>
                <w:rFonts w:hint="default" w:ascii="Times New Roman" w:hAnsi="Times New Roman" w:cs="Times New Roman"/>
                <w:color w:val="auto"/>
                <w:sz w:val="24"/>
                <w:szCs w:val="24"/>
                <w:lang w:eastAsia="zh-CN"/>
              </w:rPr>
              <w:t>依据检验指导书</w:t>
            </w:r>
            <w:r>
              <w:rPr>
                <w:rFonts w:hint="default" w:ascii="Times New Roman" w:hAnsi="Times New Roman" w:cs="Times New Roman"/>
                <w:color w:val="auto"/>
                <w:sz w:val="24"/>
                <w:szCs w:val="24"/>
              </w:rPr>
              <w:t>对外观、重量</w:t>
            </w:r>
            <w:r>
              <w:rPr>
                <w:rFonts w:hint="default" w:ascii="Times New Roman" w:hAnsi="Times New Roman" w:cs="Times New Roman"/>
                <w:color w:val="auto"/>
                <w:sz w:val="24"/>
                <w:szCs w:val="24"/>
                <w:lang w:eastAsia="zh-CN"/>
              </w:rPr>
              <w:t>、</w:t>
            </w:r>
            <w:r>
              <w:rPr>
                <w:rFonts w:hint="default" w:ascii="Times New Roman" w:hAnsi="Times New Roman" w:cs="Times New Roman"/>
                <w:color w:val="auto"/>
                <w:sz w:val="24"/>
                <w:szCs w:val="24"/>
              </w:rPr>
              <w:t>尺寸等进行抽检，检验合格后</w:t>
            </w:r>
            <w:r>
              <w:rPr>
                <w:rFonts w:hint="default" w:ascii="Times New Roman" w:hAnsi="Times New Roman" w:cs="Times New Roman"/>
                <w:color w:val="auto"/>
                <w:sz w:val="24"/>
                <w:szCs w:val="24"/>
                <w:lang w:eastAsia="zh-CN"/>
              </w:rPr>
              <w:t>转</w:t>
            </w:r>
            <w:r>
              <w:rPr>
                <w:rFonts w:hint="default" w:ascii="Times New Roman" w:hAnsi="Times New Roman" w:cs="Times New Roman"/>
                <w:color w:val="auto"/>
                <w:sz w:val="24"/>
                <w:szCs w:val="24"/>
              </w:rPr>
              <w:t>入半成品库。</w:t>
            </w:r>
          </w:p>
          <w:p w14:paraId="288515CE">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本环节主要原料</w:t>
            </w:r>
            <w:r>
              <w:rPr>
                <w:rFonts w:hint="eastAsia" w:cs="Times New Roman"/>
                <w:color w:val="auto"/>
                <w:sz w:val="24"/>
                <w:szCs w:val="24"/>
                <w:lang w:val="en-US" w:eastAsia="zh-CN"/>
              </w:rPr>
              <w:t>为</w:t>
            </w:r>
            <w:r>
              <w:rPr>
                <w:rFonts w:hint="default" w:ascii="Times New Roman" w:hAnsi="Times New Roman" w:cs="Times New Roman"/>
                <w:color w:val="auto"/>
                <w:sz w:val="24"/>
                <w:szCs w:val="24"/>
              </w:rPr>
              <w:t>聚丙烯：为无毒、无臭、无味的乳白色高结晶的聚合物，密度小，是最轻的通用塑料。吸水性小，电绝缘性能优良</w:t>
            </w:r>
            <w:r>
              <w:rPr>
                <w:rFonts w:hint="eastAsia" w:cs="Times New Roman"/>
                <w:color w:val="auto"/>
                <w:sz w:val="24"/>
                <w:szCs w:val="24"/>
                <w:lang w:eastAsia="zh-CN"/>
              </w:rPr>
              <w:t>，</w:t>
            </w:r>
            <w:r>
              <w:rPr>
                <w:rFonts w:hint="default" w:ascii="Times New Roman" w:hAnsi="Times New Roman" w:cs="Times New Roman"/>
                <w:color w:val="auto"/>
                <w:sz w:val="24"/>
                <w:szCs w:val="24"/>
              </w:rPr>
              <w:t>熔点高达167℃。耐热、耐腐蚀。耐低温冲击性差，较易老化，但可分别通过改性予以克服。</w:t>
            </w:r>
          </w:p>
          <w:p w14:paraId="355D71D1">
            <w:pPr>
              <w:pStyle w:val="8"/>
              <w:adjustRightInd w:val="0"/>
              <w:snapToGrid w:val="0"/>
              <w:spacing w:line="520" w:lineRule="exact"/>
              <w:ind w:left="0" w:leftChars="0" w:firstLine="482" w:firstLineChars="200"/>
              <w:rPr>
                <w:rFonts w:hint="eastAsia" w:ascii="Times New Roman" w:hAnsi="Times New Roman" w:eastAsia="宋体" w:cs="Times New Roman"/>
                <w:b/>
                <w:bCs/>
                <w:color w:val="FF0000"/>
                <w:sz w:val="24"/>
                <w:szCs w:val="24"/>
                <w:lang w:val="en-US" w:eastAsia="zh-CN"/>
              </w:rPr>
            </w:pPr>
            <w:r>
              <w:rPr>
                <w:rFonts w:hint="default" w:ascii="Times New Roman" w:hAnsi="Times New Roman" w:cs="Times New Roman"/>
                <w:b/>
                <w:bCs/>
                <w:color w:val="auto"/>
                <w:sz w:val="24"/>
                <w:szCs w:val="24"/>
                <w:lang w:val="en-US" w:eastAsia="zh-CN"/>
              </w:rPr>
              <w:t>2、</w:t>
            </w:r>
            <w:r>
              <w:rPr>
                <w:rFonts w:hint="eastAsia" w:cs="Times New Roman"/>
                <w:b/>
                <w:bCs/>
                <w:color w:val="auto"/>
                <w:sz w:val="24"/>
                <w:szCs w:val="24"/>
                <w:lang w:val="en-US" w:eastAsia="zh-CN"/>
              </w:rPr>
              <w:t>项目吹塑件生产工艺流程</w:t>
            </w:r>
          </w:p>
          <w:p w14:paraId="023CEFEA">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吹塑</w:t>
            </w:r>
            <w:r>
              <w:rPr>
                <w:rFonts w:hint="default" w:ascii="Times New Roman" w:hAnsi="Times New Roman" w:cs="Times New Roman"/>
                <w:color w:val="auto"/>
                <w:sz w:val="24"/>
                <w:szCs w:val="24"/>
                <w:lang w:eastAsia="zh-CN"/>
              </w:rPr>
              <w:t>工艺</w:t>
            </w:r>
            <w:r>
              <w:rPr>
                <w:rFonts w:hint="default" w:ascii="Times New Roman" w:hAnsi="Times New Roman" w:cs="Times New Roman"/>
                <w:color w:val="auto"/>
                <w:sz w:val="24"/>
                <w:szCs w:val="24"/>
              </w:rPr>
              <w:t>主要是利用中空吹塑的挤出法进行生产。</w:t>
            </w:r>
          </w:p>
          <w:p w14:paraId="30451F35">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中空吹塑是指将从挤出机挤出尚处于软化状态的管状热塑性塑料坯料放入成型模内，然后通入压缩空气，利用空气的压力使坯料沿模腔变形，从而吹制成颈口短小的中空制品。 </w:t>
            </w:r>
          </w:p>
          <w:p w14:paraId="0FC59AF4">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sz w:val="24"/>
              </w:rPr>
              <mc:AlternateContent>
                <mc:Choice Requires="wps">
                  <w:drawing>
                    <wp:anchor distT="0" distB="0" distL="114300" distR="114300" simplePos="0" relativeHeight="251821056" behindDoc="0" locked="0" layoutInCell="1" allowOverlap="1">
                      <wp:simplePos x="0" y="0"/>
                      <wp:positionH relativeFrom="column">
                        <wp:posOffset>1534160</wp:posOffset>
                      </wp:positionH>
                      <wp:positionV relativeFrom="paragraph">
                        <wp:posOffset>625475</wp:posOffset>
                      </wp:positionV>
                      <wp:extent cx="952500" cy="333375"/>
                      <wp:effectExtent l="0" t="0" r="0" b="0"/>
                      <wp:wrapNone/>
                      <wp:docPr id="200" name="矩形 200"/>
                      <wp:cNvGraphicFramePr/>
                      <a:graphic xmlns:a="http://schemas.openxmlformats.org/drawingml/2006/main">
                        <a:graphicData uri="http://schemas.microsoft.com/office/word/2010/wordprocessingShape">
                          <wps:wsp>
                            <wps:cNvSpPr/>
                            <wps:spPr>
                              <a:xfrm>
                                <a:off x="0" y="0"/>
                                <a:ext cx="952500" cy="3333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072D60C">
                                  <w:pPr>
                                    <w:jc w:val="center"/>
                                    <w:rPr>
                                      <w:rFonts w:hint="eastAsia" w:eastAsia="宋体"/>
                                      <w:color w:val="auto"/>
                                      <w:lang w:val="en-US" w:eastAsia="zh-CN"/>
                                    </w:rPr>
                                  </w:pPr>
                                  <w:r>
                                    <w:rPr>
                                      <w:rFonts w:hint="eastAsia"/>
                                      <w:color w:val="auto"/>
                                      <w:lang w:val="en-US" w:eastAsia="zh-CN"/>
                                    </w:rPr>
                                    <w:t>聚乙烯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0.8pt;margin-top:49.25pt;height:26.25pt;width:75pt;z-index:251821056;v-text-anchor:middle;mso-width-relative:page;mso-height-relative:page;" filled="f" stroked="f" coordsize="21600,21600" o:gfxdata="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F&#10;PzGg2AAAAAoBAAAPAAAAAAAAAAEAIAAAACIAAABkcnMvZG93bnJldi54bWxQSwECFAAUAAAACACH&#10;TuJAKdBsp10CAACwBAAADgAAAAAAAAABACAAAAAnAQAAZHJzL2Uyb0RvYy54bWxQSwUGAAAAAAYA&#10;BgBZAQAA9gUAAAAA&#10;">
                      <v:fill on="f" focussize="0,0"/>
                      <v:stroke on="f" weight="1pt" miterlimit="8" joinstyle="miter"/>
                      <v:imagedata o:title=""/>
                      <o:lock v:ext="edit" aspectratio="f"/>
                      <v:textbox>
                        <w:txbxContent>
                          <w:p w14:paraId="3072D60C">
                            <w:pPr>
                              <w:jc w:val="center"/>
                              <w:rPr>
                                <w:rFonts w:hint="eastAsia" w:eastAsia="宋体"/>
                                <w:color w:val="auto"/>
                                <w:lang w:val="en-US" w:eastAsia="zh-CN"/>
                              </w:rPr>
                            </w:pPr>
                            <w:r>
                              <w:rPr>
                                <w:rFonts w:hint="eastAsia"/>
                                <w:color w:val="auto"/>
                                <w:lang w:val="en-US" w:eastAsia="zh-CN"/>
                              </w:rPr>
                              <w:t>聚乙烯</w:t>
                            </w:r>
                          </w:p>
                        </w:txbxContent>
                      </v:textbox>
                    </v:rect>
                  </w:pict>
                </mc:Fallback>
              </mc:AlternateContent>
            </w:r>
            <w:r>
              <w:rPr>
                <w:rFonts w:hint="default" w:ascii="Times New Roman" w:hAnsi="Times New Roman" w:cs="Times New Roman"/>
                <w:color w:val="auto"/>
                <w:sz w:val="24"/>
                <w:szCs w:val="24"/>
                <w:lang w:val="en-US" w:eastAsia="zh-CN"/>
              </w:rPr>
              <w:t>此工艺</w:t>
            </w:r>
            <w:r>
              <w:rPr>
                <w:rFonts w:hint="default" w:ascii="Times New Roman" w:hAnsi="Times New Roman" w:cs="Times New Roman"/>
                <w:color w:val="auto"/>
                <w:sz w:val="24"/>
                <w:szCs w:val="24"/>
              </w:rPr>
              <w:t>主要</w:t>
            </w:r>
            <w:r>
              <w:rPr>
                <w:rFonts w:hint="eastAsia" w:cs="Times New Roman"/>
                <w:color w:val="auto"/>
                <w:sz w:val="24"/>
                <w:szCs w:val="24"/>
                <w:lang w:val="en-US" w:eastAsia="zh-CN"/>
              </w:rPr>
              <w:t>生产</w:t>
            </w:r>
            <w:r>
              <w:rPr>
                <w:rFonts w:hint="default" w:ascii="Times New Roman" w:hAnsi="Times New Roman" w:cs="Times New Roman"/>
                <w:color w:val="auto"/>
                <w:sz w:val="24"/>
                <w:szCs w:val="24"/>
              </w:rPr>
              <w:t>滤清器所需进气道主体、进气弯管、底座等产品进行</w:t>
            </w:r>
            <w:r>
              <w:rPr>
                <w:rFonts w:hint="default" w:ascii="Times New Roman" w:hAnsi="Times New Roman" w:cs="Times New Roman"/>
                <w:color w:val="auto"/>
                <w:sz w:val="24"/>
                <w:szCs w:val="24"/>
                <w:lang w:eastAsia="zh-CN"/>
              </w:rPr>
              <w:t>吹</w:t>
            </w:r>
            <w:r>
              <w:rPr>
                <w:rFonts w:hint="default" w:ascii="Times New Roman" w:hAnsi="Times New Roman" w:cs="Times New Roman"/>
                <w:color w:val="auto"/>
                <w:sz w:val="24"/>
                <w:szCs w:val="24"/>
              </w:rPr>
              <w:t>塑加工，主要流程如下：</w:t>
            </w:r>
          </w:p>
          <w:p w14:paraId="38D8D09E">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sz w:val="24"/>
              </w:rPr>
              <mc:AlternateContent>
                <mc:Choice Requires="wps">
                  <w:drawing>
                    <wp:anchor distT="0" distB="0" distL="114300" distR="114300" simplePos="0" relativeHeight="251822080" behindDoc="0" locked="0" layoutInCell="1" allowOverlap="1">
                      <wp:simplePos x="0" y="0"/>
                      <wp:positionH relativeFrom="column">
                        <wp:posOffset>1998980</wp:posOffset>
                      </wp:positionH>
                      <wp:positionV relativeFrom="paragraph">
                        <wp:posOffset>298450</wp:posOffset>
                      </wp:positionV>
                      <wp:extent cx="11430" cy="346710"/>
                      <wp:effectExtent l="46355" t="0" r="56515" b="15240"/>
                      <wp:wrapNone/>
                      <wp:docPr id="201" name="直接箭头连接符 201"/>
                      <wp:cNvGraphicFramePr/>
                      <a:graphic xmlns:a="http://schemas.openxmlformats.org/drawingml/2006/main">
                        <a:graphicData uri="http://schemas.microsoft.com/office/word/2010/wordprocessingShape">
                          <wps:wsp>
                            <wps:cNvCnPr>
                              <a:stCxn id="200" idx="2"/>
                              <a:endCxn id="29" idx="0"/>
                            </wps:cNvCnPr>
                            <wps:spPr>
                              <a:xfrm flipH="1">
                                <a:off x="2598420" y="4987290"/>
                                <a:ext cx="11430" cy="346710"/>
                              </a:xfrm>
                              <a:prstGeom prst="straightConnector1">
                                <a:avLst/>
                              </a:prstGeom>
                              <a:ln>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57.4pt;margin-top:23.5pt;height:27.3pt;width:0.9pt;z-index:251822080;mso-width-relative:page;mso-height-relative:page;" filled="f" stroked="t" coordsize="21600,21600" o:gfxdata="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G2NmTzYAAAACgEAAA8AAAAAAAAAAQAgAAAAIgAAAGRycy9kb3du&#10;cmV2LnhtbFBLAQIUABQAAAAIAIdO4kArUYOaOAIAAD4EAAAOAAAAAAAAAAEAIAAAACcBAABkcnMv&#10;ZTJvRG9jLnhtbFBLBQYAAAAABgAGAFkBAADRBQAAAAA=&#10;">
                      <v:fill on="f" focussize="0,0"/>
                      <v:stroke weight="0.5pt" color="#5B9BD5 [3204]" miterlimit="8" joinstyle="miter" endarrow="open"/>
                      <v:imagedata o:title=""/>
                      <o:lock v:ext="edit" aspectratio="f"/>
                    </v:shape>
                  </w:pict>
                </mc:Fallback>
              </mc:AlternateContent>
            </w:r>
          </w:p>
          <w:p w14:paraId="043FB87D">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mc:AlternateContent>
                <mc:Choice Requires="wps">
                  <w:drawing>
                    <wp:anchor distT="0" distB="0" distL="114300" distR="114300" simplePos="0" relativeHeight="251751424" behindDoc="0" locked="0" layoutInCell="1" allowOverlap="1">
                      <wp:simplePos x="0" y="0"/>
                      <wp:positionH relativeFrom="column">
                        <wp:posOffset>5102225</wp:posOffset>
                      </wp:positionH>
                      <wp:positionV relativeFrom="paragraph">
                        <wp:posOffset>319405</wp:posOffset>
                      </wp:positionV>
                      <wp:extent cx="1028700" cy="381635"/>
                      <wp:effectExtent l="4445" t="4445" r="14605" b="13970"/>
                      <wp:wrapNone/>
                      <wp:docPr id="20" name="圆角矩形 20"/>
                      <wp:cNvGraphicFramePr/>
                      <a:graphic xmlns:a="http://schemas.openxmlformats.org/drawingml/2006/main">
                        <a:graphicData uri="http://schemas.microsoft.com/office/word/2010/wordprocessingShape">
                          <wps:wsp>
                            <wps:cNvSpPr/>
                            <wps:spPr>
                              <a:xfrm>
                                <a:off x="0" y="0"/>
                                <a:ext cx="1028700" cy="381635"/>
                              </a:xfrm>
                              <a:prstGeom prst="roundRect">
                                <a:avLst>
                                  <a:gd name="adj" fmla="val 16667"/>
                                </a:avLst>
                              </a:prstGeom>
                              <a:solidFill>
                                <a:srgbClr val="FFFFFF"/>
                              </a:solidFill>
                              <a:ln w="9525" cap="flat" cmpd="sng">
                                <a:solidFill>
                                  <a:schemeClr val="accent2"/>
                                </a:solidFill>
                                <a:prstDash val="solid"/>
                                <a:headEnd type="none" w="med" len="med"/>
                                <a:tailEnd type="none" w="med" len="med"/>
                              </a:ln>
                            </wps:spPr>
                            <wps:txbx>
                              <w:txbxContent>
                                <w:p w14:paraId="6FE2BF03">
                                  <w:pPr>
                                    <w:jc w:val="center"/>
                                    <w:rPr>
                                      <w:rFonts w:hint="eastAsia" w:eastAsia="宋体"/>
                                      <w:lang w:val="en-US" w:eastAsia="zh-CN"/>
                                    </w:rPr>
                                  </w:pPr>
                                  <w:r>
                                    <w:rPr>
                                      <w:rFonts w:hint="eastAsia"/>
                                    </w:rPr>
                                    <w:t>检验</w:t>
                                  </w:r>
                                  <w:r>
                                    <w:rPr>
                                      <w:rFonts w:hint="eastAsia"/>
                                      <w:lang w:val="en-US" w:eastAsia="zh-CN"/>
                                    </w:rPr>
                                    <w:t>入库</w:t>
                                  </w:r>
                                </w:p>
                              </w:txbxContent>
                            </wps:txbx>
                            <wps:bodyPr upright="1"/>
                          </wps:wsp>
                        </a:graphicData>
                      </a:graphic>
                    </wp:anchor>
                  </w:drawing>
                </mc:Choice>
                <mc:Fallback>
                  <w:pict>
                    <v:roundrect id="_x0000_s1026" o:spid="_x0000_s1026" o:spt="2" style="position:absolute;left:0pt;margin-left:401.75pt;margin-top:25.15pt;height:30.05pt;width:81pt;z-index:251751424;mso-width-relative:page;mso-height-relative:page;" fillcolor="#FFFFFF" filled="t" stroked="t" coordsize="21600,21600" arcsize="0.166666666666667" o:gfxdata="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DTdpYTYAAAACgEAAA8AAAAAAAAAAQAgAAAAIgAAAGRycy9kb3ducmV2LnhtbFBLAQIUABQAAAAI&#10;AIdO4kAsEXZbJgIAAFgEAAAOAAAAAAAAAAEAIAAAACcBAABkcnMvZTJvRG9jLnhtbFBLBQYAAAAA&#10;BgAGAFkBAAC/BQAAAAA=&#10;">
                      <v:fill on="t" focussize="0,0"/>
                      <v:stroke color="#ED7D31 [3205]" joinstyle="round"/>
                      <v:imagedata o:title=""/>
                      <o:lock v:ext="edit" aspectratio="f"/>
                      <v:textbox>
                        <w:txbxContent>
                          <w:p w14:paraId="6FE2BF03">
                            <w:pPr>
                              <w:jc w:val="center"/>
                              <w:rPr>
                                <w:rFonts w:hint="eastAsia" w:eastAsia="宋体"/>
                                <w:lang w:val="en-US" w:eastAsia="zh-CN"/>
                              </w:rPr>
                            </w:pPr>
                            <w:r>
                              <w:rPr>
                                <w:rFonts w:hint="eastAsia"/>
                              </w:rPr>
                              <w:t>检验</w:t>
                            </w:r>
                            <w:r>
                              <w:rPr>
                                <w:rFonts w:hint="eastAsia"/>
                                <w:lang w:val="en-US" w:eastAsia="zh-CN"/>
                              </w:rPr>
                              <w:t>入库</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45280" behindDoc="0" locked="0" layoutInCell="1" allowOverlap="1">
                      <wp:simplePos x="0" y="0"/>
                      <wp:positionH relativeFrom="column">
                        <wp:posOffset>1717040</wp:posOffset>
                      </wp:positionH>
                      <wp:positionV relativeFrom="paragraph">
                        <wp:posOffset>314960</wp:posOffset>
                      </wp:positionV>
                      <wp:extent cx="563880" cy="381635"/>
                      <wp:effectExtent l="4445" t="4445" r="22225" b="13970"/>
                      <wp:wrapNone/>
                      <wp:docPr id="29" name="圆角矩形 29"/>
                      <wp:cNvGraphicFramePr/>
                      <a:graphic xmlns:a="http://schemas.openxmlformats.org/drawingml/2006/main">
                        <a:graphicData uri="http://schemas.microsoft.com/office/word/2010/wordprocessingShape">
                          <wps:wsp>
                            <wps:cNvSpPr/>
                            <wps:spPr>
                              <a:xfrm>
                                <a:off x="0" y="0"/>
                                <a:ext cx="56388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7EA3AD3A">
                                  <w:pPr>
                                    <w:jc w:val="center"/>
                                    <w:rPr>
                                      <w:rFonts w:hint="eastAsia" w:eastAsiaTheme="minorEastAsia"/>
                                      <w:lang w:eastAsia="zh-CN"/>
                                    </w:rPr>
                                  </w:pPr>
                                  <w:r>
                                    <w:rPr>
                                      <w:rFonts w:hint="eastAsia"/>
                                      <w:lang w:eastAsia="zh-CN"/>
                                    </w:rPr>
                                    <w:t>上料</w:t>
                                  </w:r>
                                </w:p>
                              </w:txbxContent>
                            </wps:txbx>
                            <wps:bodyPr upright="1"/>
                          </wps:wsp>
                        </a:graphicData>
                      </a:graphic>
                    </wp:anchor>
                  </w:drawing>
                </mc:Choice>
                <mc:Fallback>
                  <w:pict>
                    <v:roundrect id="_x0000_s1026" o:spid="_x0000_s1026" o:spt="2" style="position:absolute;left:0pt;margin-left:135.2pt;margin-top:24.8pt;height:30.05pt;width:44.4pt;z-index:251745280;mso-width-relative:page;mso-height-relative:page;" fillcolor="#FFFFFF" filled="t" stroked="t" coordsize="21600,21600" arcsize="0.166666666666667" o:gfxdata="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ClfOi2QAAAAoBAAAPAAAAAAAAAAEAIAAAACIAAABkcnMvZG93bnJldi54bWxQSwECFAAUAAAA&#10;CACHTuJAKbv9HSYCAABXBAAADgAAAAAAAAABACAAAAAoAQAAZHJzL2Uyb0RvYy54bWxQSwUGAAAA&#10;AAYABgBZAQAAwAUAAAAA&#10;">
                      <v:fill on="t" focussize="0,0"/>
                      <v:stroke color="#ED7D31" joinstyle="round"/>
                      <v:imagedata o:title=""/>
                      <o:lock v:ext="edit" aspectratio="f"/>
                      <v:textbox>
                        <w:txbxContent>
                          <w:p w14:paraId="7EA3AD3A">
                            <w:pPr>
                              <w:jc w:val="center"/>
                              <w:rPr>
                                <w:rFonts w:hint="eastAsia" w:eastAsiaTheme="minorEastAsia"/>
                                <w:lang w:eastAsia="zh-CN"/>
                              </w:rPr>
                            </w:pPr>
                            <w:r>
                              <w:rPr>
                                <w:rFonts w:hint="eastAsia"/>
                                <w:lang w:eastAsia="zh-CN"/>
                              </w:rPr>
                              <w:t>上料</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46304" behindDoc="0" locked="0" layoutInCell="1" allowOverlap="1">
                      <wp:simplePos x="0" y="0"/>
                      <wp:positionH relativeFrom="column">
                        <wp:posOffset>322580</wp:posOffset>
                      </wp:positionH>
                      <wp:positionV relativeFrom="paragraph">
                        <wp:posOffset>315595</wp:posOffset>
                      </wp:positionV>
                      <wp:extent cx="902970" cy="381635"/>
                      <wp:effectExtent l="4445" t="4445" r="6985" b="13970"/>
                      <wp:wrapNone/>
                      <wp:docPr id="31" name="圆角矩形 31"/>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20B434E8">
                                  <w:pPr>
                                    <w:jc w:val="center"/>
                                    <w:rPr>
                                      <w:rFonts w:hint="eastAsia" w:eastAsiaTheme="minorEastAsia"/>
                                      <w:lang w:eastAsia="zh-CN"/>
                                    </w:rPr>
                                  </w:pPr>
                                  <w:r>
                                    <w:rPr>
                                      <w:rFonts w:hint="eastAsia"/>
                                      <w:lang w:eastAsia="zh-CN"/>
                                    </w:rPr>
                                    <w:t>原材料检验</w:t>
                                  </w:r>
                                </w:p>
                              </w:txbxContent>
                            </wps:txbx>
                            <wps:bodyPr upright="1"/>
                          </wps:wsp>
                        </a:graphicData>
                      </a:graphic>
                    </wp:anchor>
                  </w:drawing>
                </mc:Choice>
                <mc:Fallback>
                  <w:pict>
                    <v:roundrect id="_x0000_s1026" o:spid="_x0000_s1026" o:spt="2" style="position:absolute;left:0pt;margin-left:25.4pt;margin-top:24.85pt;height:30.05pt;width:71.1pt;z-index:251746304;mso-width-relative:page;mso-height-relative:page;" fillcolor="#FFFFFF" filled="t" stroked="t" coordsize="21600,21600" arcsize="0.166666666666667" o:gfxdata="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28kQd2AAAAAkBAAAPAAAAAAAAAAEAIAAAACIAAABkcnMvZG93bnJldi54bWxQSwECFAAUAAAA&#10;CACHTuJAODdRXCcCAABXBAAADgAAAAAAAAABACAAAAAnAQAAZHJzL2Uyb0RvYy54bWxQSwUGAAAA&#10;AAYABgBZAQAAwAUAAAAA&#10;">
                      <v:fill on="t" focussize="0,0"/>
                      <v:stroke color="#ED7D31" joinstyle="round"/>
                      <v:imagedata o:title=""/>
                      <o:lock v:ext="edit" aspectratio="f"/>
                      <v:textbox>
                        <w:txbxContent>
                          <w:p w14:paraId="20B434E8">
                            <w:pPr>
                              <w:jc w:val="center"/>
                              <w:rPr>
                                <w:rFonts w:hint="eastAsia" w:eastAsiaTheme="minorEastAsia"/>
                                <w:lang w:eastAsia="zh-CN"/>
                              </w:rPr>
                            </w:pPr>
                            <w:r>
                              <w:rPr>
                                <w:rFonts w:hint="eastAsia"/>
                                <w:lang w:eastAsia="zh-CN"/>
                              </w:rPr>
                              <w:t>原材料检验</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54496" behindDoc="0" locked="0" layoutInCell="1" allowOverlap="1">
                      <wp:simplePos x="0" y="0"/>
                      <wp:positionH relativeFrom="column">
                        <wp:posOffset>2831465</wp:posOffset>
                      </wp:positionH>
                      <wp:positionV relativeFrom="paragraph">
                        <wp:posOffset>311785</wp:posOffset>
                      </wp:positionV>
                      <wp:extent cx="563880" cy="381635"/>
                      <wp:effectExtent l="4445" t="4445" r="22225" b="13970"/>
                      <wp:wrapNone/>
                      <wp:docPr id="28" name="圆角矩形 28"/>
                      <wp:cNvGraphicFramePr/>
                      <a:graphic xmlns:a="http://schemas.openxmlformats.org/drawingml/2006/main">
                        <a:graphicData uri="http://schemas.microsoft.com/office/word/2010/wordprocessingShape">
                          <wps:wsp>
                            <wps:cNvSpPr/>
                            <wps:spPr>
                              <a:xfrm>
                                <a:off x="0" y="0"/>
                                <a:ext cx="563880" cy="381635"/>
                              </a:xfrm>
                              <a:prstGeom prst="roundRect">
                                <a:avLst>
                                  <a:gd name="adj" fmla="val 16667"/>
                                </a:avLst>
                              </a:prstGeom>
                              <a:solidFill>
                                <a:srgbClr val="FFFFFF"/>
                              </a:solidFill>
                              <a:ln w="9525" cap="flat" cmpd="sng">
                                <a:solidFill>
                                  <a:schemeClr val="accent2"/>
                                </a:solidFill>
                                <a:prstDash val="solid"/>
                                <a:headEnd type="none" w="med" len="med"/>
                                <a:tailEnd type="none" w="med" len="med"/>
                              </a:ln>
                            </wps:spPr>
                            <wps:txbx>
                              <w:txbxContent>
                                <w:p w14:paraId="5C5CC951">
                                  <w:pPr>
                                    <w:jc w:val="center"/>
                                    <w:rPr>
                                      <w:rFonts w:hint="eastAsia" w:eastAsiaTheme="minorEastAsia"/>
                                      <w:lang w:eastAsia="zh-CN"/>
                                    </w:rPr>
                                  </w:pPr>
                                  <w:r>
                                    <w:rPr>
                                      <w:rFonts w:hint="eastAsia"/>
                                      <w:lang w:eastAsia="zh-CN"/>
                                    </w:rPr>
                                    <w:t>烘干</w:t>
                                  </w:r>
                                </w:p>
                              </w:txbxContent>
                            </wps:txbx>
                            <wps:bodyPr upright="1"/>
                          </wps:wsp>
                        </a:graphicData>
                      </a:graphic>
                    </wp:anchor>
                  </w:drawing>
                </mc:Choice>
                <mc:Fallback>
                  <w:pict>
                    <v:roundrect id="_x0000_s1026" o:spid="_x0000_s1026" o:spt="2" style="position:absolute;left:0pt;margin-left:222.95pt;margin-top:24.55pt;height:30.05pt;width:44.4pt;z-index:251754496;mso-width-relative:page;mso-height-relative:page;" fillcolor="#FFFFFF" filled="t" stroked="t" coordsize="21600,21600" arcsize="0.166666666666667" o:gfxdata="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G5ohKvZAAAACgEAAA8AAAAAAAAAAQAgAAAAIgAAAGRycy9kb3ducmV2LnhtbFBLAQIUABQAAAAI&#10;AIdO4kDhAw4eJQIAAFcEAAAOAAAAAAAAAAEAIAAAACgBAABkcnMvZTJvRG9jLnhtbFBLBQYAAAAA&#10;BgAGAFkBAAC/BQAAAAA=&#10;">
                      <v:fill on="t" focussize="0,0"/>
                      <v:stroke color="#ED7D31 [3205]" joinstyle="round"/>
                      <v:imagedata o:title=""/>
                      <o:lock v:ext="edit" aspectratio="f"/>
                      <v:textbox>
                        <w:txbxContent>
                          <w:p w14:paraId="5C5CC951">
                            <w:pPr>
                              <w:jc w:val="center"/>
                              <w:rPr>
                                <w:rFonts w:hint="eastAsia" w:eastAsiaTheme="minorEastAsia"/>
                                <w:lang w:eastAsia="zh-CN"/>
                              </w:rPr>
                            </w:pPr>
                            <w:r>
                              <w:rPr>
                                <w:rFonts w:hint="eastAsia"/>
                                <w:lang w:eastAsia="zh-CN"/>
                              </w:rPr>
                              <w:t>烘干</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50400" behindDoc="0" locked="0" layoutInCell="1" allowOverlap="1">
                      <wp:simplePos x="0" y="0"/>
                      <wp:positionH relativeFrom="column">
                        <wp:posOffset>3914775</wp:posOffset>
                      </wp:positionH>
                      <wp:positionV relativeFrom="paragraph">
                        <wp:posOffset>314960</wp:posOffset>
                      </wp:positionV>
                      <wp:extent cx="788035" cy="381635"/>
                      <wp:effectExtent l="4445" t="4445" r="7620" b="13970"/>
                      <wp:wrapNone/>
                      <wp:docPr id="12" name="圆角矩形 12"/>
                      <wp:cNvGraphicFramePr/>
                      <a:graphic xmlns:a="http://schemas.openxmlformats.org/drawingml/2006/main">
                        <a:graphicData uri="http://schemas.microsoft.com/office/word/2010/wordprocessingShape">
                          <wps:wsp>
                            <wps:cNvSpPr/>
                            <wps:spPr>
                              <a:xfrm>
                                <a:off x="0" y="0"/>
                                <a:ext cx="788035"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3B88C7C1">
                                  <w:pPr>
                                    <w:jc w:val="center"/>
                                  </w:pPr>
                                  <w:r>
                                    <w:rPr>
                                      <w:rFonts w:hint="eastAsia"/>
                                    </w:rPr>
                                    <w:t>吹塑成型</w:t>
                                  </w:r>
                                </w:p>
                              </w:txbxContent>
                            </wps:txbx>
                            <wps:bodyPr upright="1"/>
                          </wps:wsp>
                        </a:graphicData>
                      </a:graphic>
                    </wp:anchor>
                  </w:drawing>
                </mc:Choice>
                <mc:Fallback>
                  <w:pict>
                    <v:roundrect id="_x0000_s1026" o:spid="_x0000_s1026" o:spt="2" style="position:absolute;left:0pt;margin-left:308.25pt;margin-top:24.8pt;height:30.05pt;width:62.05pt;z-index:251750400;mso-width-relative:page;mso-height-relative:page;" fillcolor="#FFFFFF" filled="t" stroked="t" coordsize="21600,21600" arcsize="0.166666666666667" o:gfxdata="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tMTyTNkAAAAKAQAADwAAAAAAAAABACAAAAAiAAAAZHJzL2Rvd25yZXYueG1sUEsBAhQAFAAAAAgA&#10;h07iQJwlr78kAgAAVwQAAA4AAAAAAAAAAQAgAAAAKAEAAGRycy9lMm9Eb2MueG1sUEsFBgAAAAAG&#10;AAYAWQEAAL4FAAAAAA==&#10;">
                      <v:fill on="t" focussize="0,0"/>
                      <v:stroke color="#ED7D31" joinstyle="round"/>
                      <v:imagedata o:title=""/>
                      <o:lock v:ext="edit" aspectratio="f"/>
                      <v:textbox>
                        <w:txbxContent>
                          <w:p w14:paraId="3B88C7C1">
                            <w:pPr>
                              <w:jc w:val="center"/>
                            </w:pPr>
                            <w:r>
                              <w:rPr>
                                <w:rFonts w:hint="eastAsia"/>
                              </w:rPr>
                              <w:t>吹塑成型</w:t>
                            </w:r>
                          </w:p>
                        </w:txbxContent>
                      </v:textbox>
                    </v:roundrect>
                  </w:pict>
                </mc:Fallback>
              </mc:AlternateContent>
            </w:r>
          </w:p>
          <w:p w14:paraId="47C6237E">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sz w:val="24"/>
              </w:rPr>
              <mc:AlternateContent>
                <mc:Choice Requires="wps">
                  <w:drawing>
                    <wp:anchor distT="0" distB="0" distL="114300" distR="114300" simplePos="0" relativeHeight="251669504" behindDoc="0" locked="0" layoutInCell="1" allowOverlap="1">
                      <wp:simplePos x="0" y="0"/>
                      <wp:positionH relativeFrom="column">
                        <wp:posOffset>4702810</wp:posOffset>
                      </wp:positionH>
                      <wp:positionV relativeFrom="paragraph">
                        <wp:posOffset>175895</wp:posOffset>
                      </wp:positionV>
                      <wp:extent cx="399415" cy="4445"/>
                      <wp:effectExtent l="0" t="45720" r="635" b="64135"/>
                      <wp:wrapNone/>
                      <wp:docPr id="223" name="直接箭头连接符 223"/>
                      <wp:cNvGraphicFramePr/>
                      <a:graphic xmlns:a="http://schemas.openxmlformats.org/drawingml/2006/main">
                        <a:graphicData uri="http://schemas.microsoft.com/office/word/2010/wordprocessingShape">
                          <wps:wsp>
                            <wps:cNvCnPr>
                              <a:stCxn id="12" idx="3"/>
                              <a:endCxn id="20" idx="1"/>
                            </wps:cNvCnPr>
                            <wps:spPr>
                              <a:xfrm>
                                <a:off x="5314950" y="6185535"/>
                                <a:ext cx="399415" cy="444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370.3pt;margin-top:13.85pt;height:0.35pt;width:31.45pt;z-index:251669504;mso-width-relative:page;mso-height-relative:page;" filled="f" stroked="t" coordsize="21600,21600" o:gfxdata="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JP4sFTXAAAACQEAAA8AAAAAAAAAAQAgAAAAIgAAAGRycy9kb3ducmV2&#10;LnhtbFBLAQIUABQAAAAIAIdO4kBlRqlqNgIAADIEAAAOAAAAAAAAAAEAIAAAACYBAABkcnMvZTJv&#10;RG9jLnhtbFBLBQYAAAAABgAGAFkBAADOBQAAAAA=&#10;">
                      <v:fill on="f" focussize="0,0"/>
                      <v:stroke weight="0.5pt" color="#5B9BD5 [3204]" miterlimit="8" joinstyle="miter"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47328" behindDoc="1" locked="0" layoutInCell="1" allowOverlap="1">
                      <wp:simplePos x="0" y="0"/>
                      <wp:positionH relativeFrom="column">
                        <wp:posOffset>1225550</wp:posOffset>
                      </wp:positionH>
                      <wp:positionV relativeFrom="paragraph">
                        <wp:posOffset>175895</wp:posOffset>
                      </wp:positionV>
                      <wp:extent cx="491490" cy="635"/>
                      <wp:effectExtent l="0" t="48895" r="3810" b="64770"/>
                      <wp:wrapNone/>
                      <wp:docPr id="119" name="直接箭头连接符 119"/>
                      <wp:cNvGraphicFramePr/>
                      <a:graphic xmlns:a="http://schemas.openxmlformats.org/drawingml/2006/main">
                        <a:graphicData uri="http://schemas.microsoft.com/office/word/2010/wordprocessingShape">
                          <wps:wsp>
                            <wps:cNvCnPr>
                              <a:stCxn id="31" idx="3"/>
                              <a:endCxn id="29" idx="1"/>
                            </wps:cNvCnPr>
                            <wps:spPr>
                              <a:xfrm flipV="1">
                                <a:off x="2147570" y="8065770"/>
                                <a:ext cx="491490" cy="635"/>
                              </a:xfrm>
                              <a:prstGeom prst="straightConnector1">
                                <a:avLst/>
                              </a:prstGeom>
                              <a:noFill/>
                              <a:ln w="6350" cap="flat" cmpd="sng" algn="ctr">
                                <a:solidFill>
                                  <a:srgbClr val="5B9BD5"/>
                                </a:solidFill>
                                <a:prstDash val="solid"/>
                                <a:miter lim="800000"/>
                                <a:tailEnd type="arrow"/>
                              </a:ln>
                              <a:effectLst/>
                            </wps:spPr>
                            <wps:bodyPr/>
                          </wps:wsp>
                        </a:graphicData>
                      </a:graphic>
                    </wp:anchor>
                  </w:drawing>
                </mc:Choice>
                <mc:Fallback>
                  <w:pict>
                    <v:shape id="_x0000_s1026" o:spid="_x0000_s1026" o:spt="32" type="#_x0000_t32" style="position:absolute;left:0pt;flip:y;margin-left:96.5pt;margin-top:13.85pt;height:0.05pt;width:38.7pt;z-index:-251569152;mso-width-relative:page;mso-height-relative:page;" filled="f" stroked="t" coordsize="21600,21600" o:gfxdata="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DGshBG2AAAAAkBAAAPAAAAAAAAAAEAIAAAACIAAABkcnMv&#10;ZG93bnJldi54bWxQSwECFAAUAAAACACHTuJAHx44LjwCAABJBAAADgAAAAAAAAABACAAAAAnAQAA&#10;ZHJzL2Uyb0RvYy54bWxQSwUGAAAAAAYABgBZAQAA1QUAAAAA&#10;">
                      <v:fill on="f" focussize="0,0"/>
                      <v:stroke weight="0.5pt" color="#5B9BD5" miterlimit="8" joinstyle="miter"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48352" behindDoc="1" locked="0" layoutInCell="1" allowOverlap="1">
                      <wp:simplePos x="0" y="0"/>
                      <wp:positionH relativeFrom="column">
                        <wp:posOffset>2280920</wp:posOffset>
                      </wp:positionH>
                      <wp:positionV relativeFrom="paragraph">
                        <wp:posOffset>172720</wp:posOffset>
                      </wp:positionV>
                      <wp:extent cx="550545" cy="3175"/>
                      <wp:effectExtent l="0" t="48895" r="1905" b="62230"/>
                      <wp:wrapNone/>
                      <wp:docPr id="116" name="直接箭头连接符 116"/>
                      <wp:cNvGraphicFramePr/>
                      <a:graphic xmlns:a="http://schemas.openxmlformats.org/drawingml/2006/main">
                        <a:graphicData uri="http://schemas.microsoft.com/office/word/2010/wordprocessingShape">
                          <wps:wsp>
                            <wps:cNvCnPr>
                              <a:stCxn id="29" idx="3"/>
                              <a:endCxn id="28" idx="1"/>
                            </wps:cNvCnPr>
                            <wps:spPr>
                              <a:xfrm flipV="1">
                                <a:off x="2147570" y="8065770"/>
                                <a:ext cx="550545" cy="3175"/>
                              </a:xfrm>
                              <a:prstGeom prst="straightConnector1">
                                <a:avLst/>
                              </a:prstGeom>
                              <a:noFill/>
                              <a:ln w="6350" cap="flat" cmpd="sng" algn="ctr">
                                <a:solidFill>
                                  <a:srgbClr val="5B9BD5"/>
                                </a:solidFill>
                                <a:prstDash val="solid"/>
                                <a:miter lim="800000"/>
                                <a:tailEnd type="arrow"/>
                              </a:ln>
                              <a:effectLst/>
                            </wps:spPr>
                            <wps:bodyPr/>
                          </wps:wsp>
                        </a:graphicData>
                      </a:graphic>
                    </wp:anchor>
                  </w:drawing>
                </mc:Choice>
                <mc:Fallback>
                  <w:pict>
                    <v:shape id="_x0000_s1026" o:spid="_x0000_s1026" o:spt="32" type="#_x0000_t32" style="position:absolute;left:0pt;flip:y;margin-left:179.6pt;margin-top:13.6pt;height:0.25pt;width:43.35pt;z-index:-251568128;mso-width-relative:page;mso-height-relative:page;" filled="f" stroked="t" coordsize="21600,21600" o:gfxdata="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1v8oJNgAAAAJAQAADwAAAAAAAAABACAAAAAiAAAA&#10;ZHJzL2Rvd25yZXYueG1sUEsBAhQAFAAAAAgAh07iQDaMIvRAAgAASgQAAA4AAAAAAAAAAQAgAAAA&#10;JwEAAGRycy9lMm9Eb2MueG1sUEsFBgAAAAAGAAYAWQEAANkFAAAAAA==&#10;">
                      <v:fill on="f" focussize="0,0"/>
                      <v:stroke weight="0.5pt" color="#5B9BD5" miterlimit="8" joinstyle="miter"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55520" behindDoc="1" locked="0" layoutInCell="1" allowOverlap="1">
                      <wp:simplePos x="0" y="0"/>
                      <wp:positionH relativeFrom="column">
                        <wp:posOffset>4702810</wp:posOffset>
                      </wp:positionH>
                      <wp:positionV relativeFrom="paragraph">
                        <wp:posOffset>175895</wp:posOffset>
                      </wp:positionV>
                      <wp:extent cx="399415" cy="4445"/>
                      <wp:effectExtent l="0" t="45720" r="635" b="64135"/>
                      <wp:wrapNone/>
                      <wp:docPr id="10" name="直接箭头连接符 10"/>
                      <wp:cNvGraphicFramePr/>
                      <a:graphic xmlns:a="http://schemas.openxmlformats.org/drawingml/2006/main">
                        <a:graphicData uri="http://schemas.microsoft.com/office/word/2010/wordprocessingShape">
                          <wps:wsp>
                            <wps:cNvCnPr>
                              <a:stCxn id="12" idx="3"/>
                              <a:endCxn id="20" idx="1"/>
                            </wps:cNvCnPr>
                            <wps:spPr>
                              <a:xfrm>
                                <a:off x="2147570" y="8065770"/>
                                <a:ext cx="399415" cy="4445"/>
                              </a:xfrm>
                              <a:prstGeom prst="straightConnector1">
                                <a:avLst/>
                              </a:prstGeom>
                              <a:noFill/>
                              <a:ln w="6350" cap="flat" cmpd="sng" algn="ctr">
                                <a:solidFill>
                                  <a:srgbClr val="5B9BD5"/>
                                </a:solidFill>
                                <a:prstDash val="solid"/>
                                <a:miter lim="800000"/>
                                <a:tailEnd type="arrow"/>
                              </a:ln>
                              <a:effectLst/>
                            </wps:spPr>
                            <wps:bodyPr/>
                          </wps:wsp>
                        </a:graphicData>
                      </a:graphic>
                    </wp:anchor>
                  </w:drawing>
                </mc:Choice>
                <mc:Fallback>
                  <w:pict>
                    <v:shape id="_x0000_s1026" o:spid="_x0000_s1026" o:spt="32" type="#_x0000_t32" style="position:absolute;left:0pt;margin-left:370.3pt;margin-top:13.85pt;height:0.35pt;width:31.45pt;z-index:-251560960;mso-width-relative:page;mso-height-relative:page;" filled="f" stroked="t" coordsize="21600,21600" o:gfxdata="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JP4sFTXAAAACQEAAA8AAAAAAAAAAQAgAAAAIgAAAGRycy9kb3ducmV2&#10;LnhtbFBLAQIUABQAAAAIAIdO4kAFTIOmNgIAAD4EAAAOAAAAAAAAAAEAIAAAACYBAABkcnMvZTJv&#10;RG9jLnhtbFBLBQYAAAAABgAGAFkBAADOBQAAAAA=&#10;">
                      <v:fill on="f" focussize="0,0"/>
                      <v:stroke weight="0.5pt" color="#5B9BD5" miterlimit="8" joinstyle="miter"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49376" behindDoc="1" locked="0" layoutInCell="1" allowOverlap="1">
                      <wp:simplePos x="0" y="0"/>
                      <wp:positionH relativeFrom="column">
                        <wp:posOffset>3395345</wp:posOffset>
                      </wp:positionH>
                      <wp:positionV relativeFrom="paragraph">
                        <wp:posOffset>172720</wp:posOffset>
                      </wp:positionV>
                      <wp:extent cx="519430" cy="3175"/>
                      <wp:effectExtent l="0" t="46355" r="13970" b="64770"/>
                      <wp:wrapNone/>
                      <wp:docPr id="19" name="直接箭头连接符 19"/>
                      <wp:cNvGraphicFramePr/>
                      <a:graphic xmlns:a="http://schemas.openxmlformats.org/drawingml/2006/main">
                        <a:graphicData uri="http://schemas.microsoft.com/office/word/2010/wordprocessingShape">
                          <wps:wsp>
                            <wps:cNvCnPr>
                              <a:stCxn id="28" idx="3"/>
                              <a:endCxn id="12" idx="1"/>
                            </wps:cNvCnPr>
                            <wps:spPr>
                              <a:xfrm>
                                <a:off x="2147570" y="8065770"/>
                                <a:ext cx="519430" cy="3175"/>
                              </a:xfrm>
                              <a:prstGeom prst="straightConnector1">
                                <a:avLst/>
                              </a:prstGeom>
                              <a:noFill/>
                              <a:ln w="6350" cap="flat" cmpd="sng" algn="ctr">
                                <a:solidFill>
                                  <a:srgbClr val="5B9BD5"/>
                                </a:solidFill>
                                <a:prstDash val="solid"/>
                                <a:miter lim="800000"/>
                                <a:tailEnd type="arrow"/>
                              </a:ln>
                              <a:effectLst/>
                            </wps:spPr>
                            <wps:bodyPr/>
                          </wps:wsp>
                        </a:graphicData>
                      </a:graphic>
                    </wp:anchor>
                  </w:drawing>
                </mc:Choice>
                <mc:Fallback>
                  <w:pict>
                    <v:shape id="_x0000_s1026" o:spid="_x0000_s1026" o:spt="32" type="#_x0000_t32" style="position:absolute;left:0pt;margin-left:267.35pt;margin-top:13.6pt;height:0.25pt;width:40.9pt;z-index:-251567104;mso-width-relative:page;mso-height-relative:page;" filled="f" stroked="t" coordsize="21600,21600" o:gfxdata="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IZHFEzWAAAACQEAAA8AAAAAAAAAAQAgAAAAIgAAAGRycy9kb3ducmV2&#10;LnhtbFBLAQIUABQAAAAIAIdO4kCOddirNwIAAD4EAAAOAAAAAAAAAAEAIAAAACUBAABkcnMvZTJv&#10;RG9jLnhtbFBLBQYAAAAABgAGAFkBAADOBQAAAAA=&#10;">
                      <v:fill on="f" focussize="0,0"/>
                      <v:stroke weight="0.5pt" color="#5B9BD5" miterlimit="8" joinstyle="miter" endarrow="open"/>
                      <v:imagedata o:title=""/>
                      <o:lock v:ext="edit" aspectratio="f"/>
                    </v:shape>
                  </w:pict>
                </mc:Fallback>
              </mc:AlternateContent>
            </w:r>
          </w:p>
          <w:p w14:paraId="1CBCEC1C">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eastAsia="zh-CN"/>
              </w:rPr>
            </w:pPr>
            <w:r>
              <w:rPr>
                <w:sz w:val="24"/>
              </w:rPr>
              <mc:AlternateContent>
                <mc:Choice Requires="wps">
                  <w:drawing>
                    <wp:anchor distT="0" distB="0" distL="114300" distR="114300" simplePos="0" relativeHeight="251711488" behindDoc="0" locked="0" layoutInCell="1" allowOverlap="1">
                      <wp:simplePos x="0" y="0"/>
                      <wp:positionH relativeFrom="column">
                        <wp:posOffset>5616575</wp:posOffset>
                      </wp:positionH>
                      <wp:positionV relativeFrom="paragraph">
                        <wp:posOffset>40640</wp:posOffset>
                      </wp:positionV>
                      <wp:extent cx="6350" cy="377825"/>
                      <wp:effectExtent l="44450" t="0" r="63500" b="3175"/>
                      <wp:wrapNone/>
                      <wp:docPr id="196" name="直接箭头连接符 196"/>
                      <wp:cNvGraphicFramePr/>
                      <a:graphic xmlns:a="http://schemas.openxmlformats.org/drawingml/2006/main">
                        <a:graphicData uri="http://schemas.microsoft.com/office/word/2010/wordprocessingShape">
                          <wps:wsp>
                            <wps:cNvCnPr>
                              <a:stCxn id="20" idx="2"/>
                              <a:endCxn id="197" idx="0"/>
                            </wps:cNvCnPr>
                            <wps:spPr>
                              <a:xfrm>
                                <a:off x="0" y="0"/>
                                <a:ext cx="6350" cy="377825"/>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442.25pt;margin-top:3.2pt;height:29.75pt;width:0.5pt;z-index:251711488;mso-width-relative:page;mso-height-relative:page;" filled="f" stroked="t" coordsize="21600,21600" o:gfxdata="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NMV&#10;XYTXAAAACAEAAA8AAAAAAAAAAQAgAAAAIgAAAGRycy9kb3ducmV2LnhtbFBLAQIUABQAAAAIAIdO&#10;4kDzQ2tjJAIAACYEAAAOAAAAAAAAAAEAIAAAACYBAABkcnMvZTJvRG9jLnhtbFBLBQYAAAAABgAG&#10;AFkBAAC8BQAAAAA=&#10;">
                      <v:fill on="f" focussize="0,0"/>
                      <v:stroke weight="0.5pt" color="#5B9BD5 [3204]" miterlimit="8" joinstyle="miter" dashstyle="dash" endarrow="open"/>
                      <v:imagedata o:title=""/>
                      <o:lock v:ext="edit" aspectratio="f"/>
                    </v:shape>
                  </w:pict>
                </mc:Fallback>
              </mc:AlternateContent>
            </w:r>
            <w:r>
              <w:rPr>
                <w:sz w:val="24"/>
              </w:rPr>
              <mc:AlternateContent>
                <mc:Choice Requires="wps">
                  <w:drawing>
                    <wp:anchor distT="0" distB="0" distL="114300" distR="114300" simplePos="0" relativeHeight="251732992" behindDoc="0" locked="0" layoutInCell="1" allowOverlap="1">
                      <wp:simplePos x="0" y="0"/>
                      <wp:positionH relativeFrom="column">
                        <wp:posOffset>4309110</wp:posOffset>
                      </wp:positionH>
                      <wp:positionV relativeFrom="paragraph">
                        <wp:posOffset>59690</wp:posOffset>
                      </wp:positionV>
                      <wp:extent cx="11430" cy="344170"/>
                      <wp:effectExtent l="40640" t="0" r="62230" b="17780"/>
                      <wp:wrapNone/>
                      <wp:docPr id="198" name="直接箭头连接符 198"/>
                      <wp:cNvGraphicFramePr/>
                      <a:graphic xmlns:a="http://schemas.openxmlformats.org/drawingml/2006/main">
                        <a:graphicData uri="http://schemas.microsoft.com/office/word/2010/wordprocessingShape">
                          <wps:wsp>
                            <wps:cNvCnPr>
                              <a:endCxn id="195" idx="0"/>
                            </wps:cNvCnPr>
                            <wps:spPr>
                              <a:xfrm>
                                <a:off x="4921250" y="5385435"/>
                                <a:ext cx="11430" cy="344170"/>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339.3pt;margin-top:4.7pt;height:27.1pt;width:0.9pt;z-index:251732992;mso-width-relative:page;mso-height-relative:page;" filled="f" stroked="t" coordsize="21600,21600" o:gfxdata="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FSoh8vXAAAACAEAAA8AAAAAAAAAAQAgAAAAIgAAAGRycy9kb3ducmV2LnhtbFBLAQIU&#10;ABQAAAAIAIdO4kB1r2GYLQIAABkEAAAOAAAAAAAAAAEAIAAAACYBAABkcnMvZTJvRG9jLnhtbFBL&#10;BQYAAAAABgAGAFkBAADFBQAAAAA=&#10;">
                      <v:fill on="f" focussize="0,0"/>
                      <v:stroke weight="0.5pt" color="#5B9BD5 [3204]" miterlimit="8" joinstyle="miter" dashstyle="dash" endarrow="open"/>
                      <v:imagedata o:title=""/>
                      <o:lock v:ext="edit" aspectratio="f"/>
                    </v:shape>
                  </w:pict>
                </mc:Fallback>
              </mc:AlternateContent>
            </w:r>
            <w:r>
              <w:rPr>
                <w:sz w:val="24"/>
              </w:rPr>
              <mc:AlternateContent>
                <mc:Choice Requires="wps">
                  <w:drawing>
                    <wp:anchor distT="0" distB="0" distL="114300" distR="114300" simplePos="0" relativeHeight="251734016" behindDoc="0" locked="0" layoutInCell="1" allowOverlap="1">
                      <wp:simplePos x="0" y="0"/>
                      <wp:positionH relativeFrom="column">
                        <wp:posOffset>3113405</wp:posOffset>
                      </wp:positionH>
                      <wp:positionV relativeFrom="paragraph">
                        <wp:posOffset>33020</wp:posOffset>
                      </wp:positionV>
                      <wp:extent cx="4445" cy="389255"/>
                      <wp:effectExtent l="45720" t="0" r="64135" b="10795"/>
                      <wp:wrapNone/>
                      <wp:docPr id="199" name="直接箭头连接符 199"/>
                      <wp:cNvGraphicFramePr/>
                      <a:graphic xmlns:a="http://schemas.openxmlformats.org/drawingml/2006/main">
                        <a:graphicData uri="http://schemas.microsoft.com/office/word/2010/wordprocessingShape">
                          <wps:wsp>
                            <wps:cNvCnPr>
                              <a:stCxn id="28" idx="2"/>
                              <a:endCxn id="194" idx="0"/>
                            </wps:cNvCnPr>
                            <wps:spPr>
                              <a:xfrm>
                                <a:off x="3725545" y="5382260"/>
                                <a:ext cx="4445" cy="389255"/>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45.15pt;margin-top:2.6pt;height:30.65pt;width:0.35pt;z-index:251734016;mso-width-relative:page;mso-height-relative:page;" filled="f" stroked="t" coordsize="21600,21600" o:gfxdata="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B8OotXYAAAACAEAAA8AAAAAAAAAAQAgAAAAIgAAAGRycy9kb3ducmV2&#10;LnhtbFBLAQIUABQAAAAIAIdO4kDieSxMNQIAADIEAAAOAAAAAAAAAAEAIAAAACcBAABkcnMvZTJv&#10;RG9jLnhtbFBLBQYAAAAABgAGAFkBAADOBQAAAAA=&#10;">
                      <v:fill on="f" focussize="0,0"/>
                      <v:stroke weight="0.5pt" color="#5B9BD5 [3204]" miterlimit="8" joinstyle="miter" dashstyle="dash" endarrow="open"/>
                      <v:imagedata o:title=""/>
                      <o:lock v:ext="edit" aspectratio="f"/>
                    </v:shape>
                  </w:pict>
                </mc:Fallback>
              </mc:AlternateContent>
            </w:r>
          </w:p>
          <w:p w14:paraId="55A4E6F7">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eastAsia="zh-CN"/>
              </w:rPr>
            </w:pPr>
            <w:r>
              <w:rPr>
                <w:sz w:val="24"/>
              </w:rPr>
              <mc:AlternateContent>
                <mc:Choice Requires="wps">
                  <w:drawing>
                    <wp:anchor distT="0" distB="0" distL="114300" distR="114300" simplePos="0" relativeHeight="251731968" behindDoc="0" locked="0" layoutInCell="1" allowOverlap="1">
                      <wp:simplePos x="0" y="0"/>
                      <wp:positionH relativeFrom="column">
                        <wp:posOffset>5181600</wp:posOffset>
                      </wp:positionH>
                      <wp:positionV relativeFrom="paragraph">
                        <wp:posOffset>88265</wp:posOffset>
                      </wp:positionV>
                      <wp:extent cx="882015" cy="285115"/>
                      <wp:effectExtent l="6350" t="6350" r="6985" b="13335"/>
                      <wp:wrapNone/>
                      <wp:docPr id="197" name="矩形 197"/>
                      <wp:cNvGraphicFramePr/>
                      <a:graphic xmlns:a="http://schemas.openxmlformats.org/drawingml/2006/main">
                        <a:graphicData uri="http://schemas.microsoft.com/office/word/2010/wordprocessingShape">
                          <wps:wsp>
                            <wps:cNvSpPr/>
                            <wps:spPr>
                              <a:xfrm>
                                <a:off x="0" y="0"/>
                                <a:ext cx="882015" cy="28511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14:paraId="095259D1">
                                  <w:pPr>
                                    <w:jc w:val="center"/>
                                    <w:rPr>
                                      <w:rFonts w:hint="eastAsia" w:eastAsia="宋体"/>
                                      <w:lang w:val="en-US" w:eastAsia="zh-CN"/>
                                    </w:rPr>
                                  </w:pPr>
                                  <w:r>
                                    <w:rPr>
                                      <w:rFonts w:hint="eastAsia"/>
                                      <w:lang w:val="en-US" w:eastAsia="zh-CN"/>
                                    </w:rPr>
                                    <w:t>不合格产品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08pt;margin-top:6.95pt;height:22.45pt;width:69.45pt;z-index:251731968;v-text-anchor:middle;mso-width-relative:page;mso-height-relative:page;" fillcolor="#FFFFFF [3201]" filled="t" stroked="t" coordsize="21600,21600" o:gfxdata="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LNbT93YAAAACQEAAA8AAAAAAAAAAQAgAAAAIgAAAGRycy9kb3du&#10;cmV2LnhtbFBLAQIUABQAAAAIAIdO4kCdj8SLcQIAAAIFAAAOAAAAAAAAAAEAIAAAACcBAABkcnMv&#10;ZTJvRG9jLnhtbFBLBQYAAAAABgAGAFkBAAAKBgAAAAA=&#10;">
                      <v:fill on="t" focussize="0,0"/>
                      <v:stroke weight="1pt" color="#FFFFFF [3212]" miterlimit="8" joinstyle="miter"/>
                      <v:imagedata o:title=""/>
                      <o:lock v:ext="edit" aspectratio="f"/>
                      <v:textbox>
                        <w:txbxContent>
                          <w:p w14:paraId="095259D1">
                            <w:pPr>
                              <w:jc w:val="center"/>
                              <w:rPr>
                                <w:rFonts w:hint="eastAsia" w:eastAsia="宋体"/>
                                <w:lang w:val="en-US" w:eastAsia="zh-CN"/>
                              </w:rPr>
                            </w:pPr>
                            <w:r>
                              <w:rPr>
                                <w:rFonts w:hint="eastAsia"/>
                                <w:lang w:val="en-US" w:eastAsia="zh-CN"/>
                              </w:rPr>
                              <w:t>不合格产品</w:t>
                            </w:r>
                          </w:p>
                        </w:txbxContent>
                      </v:textbox>
                    </v:rect>
                  </w:pict>
                </mc:Fallback>
              </mc:AlternateContent>
            </w:r>
            <w:r>
              <w:rPr>
                <w:sz w:val="24"/>
              </w:rPr>
              <mc:AlternateContent>
                <mc:Choice Requires="wps">
                  <w:drawing>
                    <wp:anchor distT="0" distB="0" distL="114300" distR="114300" simplePos="0" relativeHeight="251709440" behindDoc="0" locked="0" layoutInCell="1" allowOverlap="1">
                      <wp:simplePos x="0" y="0"/>
                      <wp:positionH relativeFrom="column">
                        <wp:posOffset>2861310</wp:posOffset>
                      </wp:positionH>
                      <wp:positionV relativeFrom="paragraph">
                        <wp:posOffset>92075</wp:posOffset>
                      </wp:positionV>
                      <wp:extent cx="513080" cy="297815"/>
                      <wp:effectExtent l="6350" t="6350" r="13970" b="19685"/>
                      <wp:wrapNone/>
                      <wp:docPr id="194" name="矩形 194"/>
                      <wp:cNvGraphicFramePr/>
                      <a:graphic xmlns:a="http://schemas.openxmlformats.org/drawingml/2006/main">
                        <a:graphicData uri="http://schemas.microsoft.com/office/word/2010/wordprocessingShape">
                          <wps:wsp>
                            <wps:cNvSpPr/>
                            <wps:spPr>
                              <a:xfrm>
                                <a:off x="0" y="0"/>
                                <a:ext cx="513080" cy="29781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14:paraId="56109DD7">
                                  <w:pPr>
                                    <w:jc w:val="center"/>
                                    <w:rPr>
                                      <w:rFonts w:hint="eastAsia" w:eastAsia="宋体"/>
                                      <w:lang w:val="en-US" w:eastAsia="zh-CN"/>
                                    </w:rPr>
                                  </w:pPr>
                                  <w:r>
                                    <w:rPr>
                                      <w:rFonts w:hint="eastAsia"/>
                                      <w:lang w:val="en-US" w:eastAsia="zh-CN"/>
                                    </w:rPr>
                                    <w:t>噪声</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25.3pt;margin-top:7.25pt;height:23.45pt;width:40.4pt;z-index:251709440;v-text-anchor:middle;mso-width-relative:page;mso-height-relative:page;" fillcolor="#FFFFFF [3201]" filled="t" stroked="t" coordsize="21600,21600" o:gfxdata="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DuMdF01wAAAAkBAAAPAAAAAAAAAAEAIAAAACIAAABkcnMvZG93&#10;bnJldi54bWxQSwECFAAUAAAACACHTuJAqB39BXMCAAACBQAADgAAAAAAAAABACAAAAAmAQAAZHJz&#10;L2Uyb0RvYy54bWxQSwUGAAAAAAYABgBZAQAACwYAAAAA&#10;">
                      <v:fill on="t" focussize="0,0"/>
                      <v:stroke weight="1pt" color="#FFFFFF [3212]" miterlimit="8" joinstyle="miter"/>
                      <v:imagedata o:title=""/>
                      <o:lock v:ext="edit" aspectratio="f"/>
                      <v:textbox>
                        <w:txbxContent>
                          <w:p w14:paraId="56109DD7">
                            <w:pPr>
                              <w:jc w:val="center"/>
                              <w:rPr>
                                <w:rFonts w:hint="eastAsia" w:eastAsia="宋体"/>
                                <w:lang w:val="en-US" w:eastAsia="zh-CN"/>
                              </w:rPr>
                            </w:pPr>
                            <w:r>
                              <w:rPr>
                                <w:rFonts w:hint="eastAsia"/>
                                <w:lang w:val="en-US" w:eastAsia="zh-CN"/>
                              </w:rPr>
                              <w:t>噪声</w:t>
                            </w:r>
                          </w:p>
                        </w:txbxContent>
                      </v:textbox>
                    </v:rect>
                  </w:pict>
                </mc:Fallback>
              </mc:AlternateContent>
            </w:r>
            <w:r>
              <w:rPr>
                <w:sz w:val="24"/>
              </w:rPr>
              <mc:AlternateContent>
                <mc:Choice Requires="wps">
                  <w:drawing>
                    <wp:anchor distT="0" distB="0" distL="114300" distR="114300" simplePos="0" relativeHeight="251728896" behindDoc="0" locked="0" layoutInCell="1" allowOverlap="1">
                      <wp:simplePos x="0" y="0"/>
                      <wp:positionH relativeFrom="column">
                        <wp:posOffset>3535045</wp:posOffset>
                      </wp:positionH>
                      <wp:positionV relativeFrom="paragraph">
                        <wp:posOffset>73660</wp:posOffset>
                      </wp:positionV>
                      <wp:extent cx="1570990" cy="333375"/>
                      <wp:effectExtent l="6350" t="6350" r="22860" b="22225"/>
                      <wp:wrapNone/>
                      <wp:docPr id="195" name="矩形 195"/>
                      <wp:cNvGraphicFramePr/>
                      <a:graphic xmlns:a="http://schemas.openxmlformats.org/drawingml/2006/main">
                        <a:graphicData uri="http://schemas.microsoft.com/office/word/2010/wordprocessingShape">
                          <wps:wsp>
                            <wps:cNvSpPr/>
                            <wps:spPr>
                              <a:xfrm>
                                <a:off x="0" y="0"/>
                                <a:ext cx="1570990" cy="33337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txbx>
                              <w:txbxContent>
                                <w:p w14:paraId="03D31194">
                                  <w:pPr>
                                    <w:jc w:val="both"/>
                                    <w:rPr>
                                      <w:rFonts w:hint="eastAsia" w:eastAsia="宋体"/>
                                      <w:lang w:val="en-US" w:eastAsia="zh-CN"/>
                                    </w:rPr>
                                  </w:pPr>
                                  <w:r>
                                    <w:rPr>
                                      <w:rFonts w:hint="eastAsia"/>
                                      <w:lang w:val="en-US" w:eastAsia="zh-CN"/>
                                    </w:rPr>
                                    <w:t>有机废气、噪声、固废</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78.35pt;margin-top:5.8pt;height:26.25pt;width:123.7pt;z-index:251728896;v-text-anchor:middle;mso-width-relative:page;mso-height-relative:page;" fillcolor="#FFFFFF [3201]" filled="t" stroked="t" coordsize="21600,21600" o:gfxdata="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AQ+2eP1wAAAAkBAAAPAAAAAAAAAAEAIAAAACIAAABkcnMvZG93&#10;bnJldi54bWxQSwECFAAUAAAACACHTuJAOCoiHnMCAAADBQAADgAAAAAAAAABACAAAAAmAQAAZHJz&#10;L2Uyb0RvYy54bWxQSwUGAAAAAAYABgBZAQAACwYAAAAA&#10;">
                      <v:fill on="t" focussize="0,0"/>
                      <v:stroke weight="1pt" color="#FFFFFF [3212]" miterlimit="8" joinstyle="miter"/>
                      <v:imagedata o:title=""/>
                      <o:lock v:ext="edit" aspectratio="f"/>
                      <v:textbox>
                        <w:txbxContent>
                          <w:p w14:paraId="03D31194">
                            <w:pPr>
                              <w:jc w:val="both"/>
                              <w:rPr>
                                <w:rFonts w:hint="eastAsia" w:eastAsia="宋体"/>
                                <w:lang w:val="en-US" w:eastAsia="zh-CN"/>
                              </w:rPr>
                            </w:pPr>
                            <w:r>
                              <w:rPr>
                                <w:rFonts w:hint="eastAsia"/>
                                <w:lang w:val="en-US" w:eastAsia="zh-CN"/>
                              </w:rPr>
                              <w:t>有机废气、噪声、固废</w:t>
                            </w:r>
                          </w:p>
                        </w:txbxContent>
                      </v:textbox>
                    </v:rect>
                  </w:pict>
                </mc:Fallback>
              </mc:AlternateContent>
            </w:r>
          </w:p>
          <w:p w14:paraId="4247D835">
            <w:pPr>
              <w:pStyle w:val="8"/>
              <w:adjustRightInd w:val="0"/>
              <w:snapToGrid w:val="0"/>
              <w:spacing w:line="520" w:lineRule="exact"/>
              <w:ind w:left="0" w:leftChars="0" w:firstLine="0" w:firstLineChars="0"/>
              <w:jc w:val="center"/>
              <w:rPr>
                <w:rFonts w:hint="default" w:ascii="Times New Roman" w:hAnsi="Times New Roman" w:cs="Times New Roman"/>
                <w:b/>
                <w:bCs/>
                <w:color w:val="auto"/>
                <w:sz w:val="24"/>
                <w:szCs w:val="24"/>
                <w:lang w:eastAsia="zh-CN"/>
              </w:rPr>
            </w:pPr>
            <w:r>
              <w:rPr>
                <w:rFonts w:hint="default" w:ascii="Times New Roman" w:hAnsi="Times New Roman" w:cs="Times New Roman"/>
                <w:b/>
                <w:bCs/>
                <w:color w:val="auto"/>
                <w:sz w:val="24"/>
                <w:szCs w:val="24"/>
                <w:lang w:eastAsia="zh-CN"/>
              </w:rPr>
              <w:t>图5-</w:t>
            </w:r>
            <w:r>
              <w:rPr>
                <w:rFonts w:hint="eastAsia" w:cs="Times New Roman"/>
                <w:b/>
                <w:bCs/>
                <w:color w:val="auto"/>
                <w:sz w:val="24"/>
                <w:szCs w:val="24"/>
                <w:lang w:val="en-US" w:eastAsia="zh-CN"/>
              </w:rPr>
              <w:t>4</w:t>
            </w:r>
            <w:r>
              <w:rPr>
                <w:rFonts w:hint="default" w:ascii="Times New Roman" w:hAnsi="Times New Roman" w:cs="Times New Roman"/>
                <w:b/>
                <w:bCs/>
                <w:color w:val="auto"/>
                <w:sz w:val="24"/>
                <w:szCs w:val="24"/>
                <w:lang w:eastAsia="zh-CN"/>
              </w:rPr>
              <w:t xml:space="preserve">  </w:t>
            </w:r>
            <w:r>
              <w:rPr>
                <w:rFonts w:hint="default" w:ascii="Times New Roman" w:hAnsi="Times New Roman" w:cs="Times New Roman"/>
                <w:b/>
                <w:bCs/>
                <w:color w:val="auto"/>
                <w:sz w:val="24"/>
                <w:szCs w:val="24"/>
                <w:lang w:val="en-US" w:eastAsia="zh-CN"/>
              </w:rPr>
              <w:t>吹塑件</w:t>
            </w:r>
            <w:r>
              <w:rPr>
                <w:rFonts w:hint="default" w:ascii="Times New Roman" w:hAnsi="Times New Roman" w:cs="Times New Roman"/>
                <w:b/>
                <w:bCs/>
                <w:color w:val="auto"/>
                <w:sz w:val="24"/>
                <w:szCs w:val="24"/>
                <w:lang w:eastAsia="zh-CN"/>
              </w:rPr>
              <w:t>工艺流程图及</w:t>
            </w:r>
            <w:r>
              <w:rPr>
                <w:rFonts w:hint="default" w:ascii="Times New Roman" w:hAnsi="Times New Roman" w:cs="Times New Roman"/>
                <w:b/>
                <w:bCs/>
                <w:color w:val="auto"/>
                <w:sz w:val="24"/>
                <w:szCs w:val="24"/>
                <w:lang w:val="en-US" w:eastAsia="zh-CN"/>
              </w:rPr>
              <w:t>产</w:t>
            </w:r>
            <w:r>
              <w:rPr>
                <w:rFonts w:hint="default" w:ascii="Times New Roman" w:hAnsi="Times New Roman" w:cs="Times New Roman"/>
                <w:b/>
                <w:bCs/>
                <w:color w:val="auto"/>
                <w:sz w:val="24"/>
                <w:szCs w:val="24"/>
                <w:lang w:eastAsia="zh-CN"/>
              </w:rPr>
              <w:t>污节点</w:t>
            </w:r>
          </w:p>
          <w:p w14:paraId="63CE0BAF">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原材料检验</w:t>
            </w:r>
            <w:r>
              <w:rPr>
                <w:rFonts w:hint="default" w:ascii="Times New Roman" w:hAnsi="Times New Roman" w:cs="Times New Roman"/>
                <w:color w:val="auto"/>
                <w:sz w:val="24"/>
                <w:szCs w:val="24"/>
              </w:rPr>
              <w:t>：根据原材料的性能标准对原材料进行检验</w:t>
            </w:r>
            <w:r>
              <w:rPr>
                <w:rFonts w:hint="default" w:ascii="Times New Roman" w:hAnsi="Times New Roman" w:cs="Times New Roman"/>
                <w:color w:val="auto"/>
                <w:sz w:val="24"/>
                <w:szCs w:val="24"/>
                <w:lang w:eastAsia="zh-CN"/>
              </w:rPr>
              <w:t>，</w:t>
            </w:r>
            <w:r>
              <w:rPr>
                <w:rFonts w:hint="default" w:ascii="Times New Roman" w:hAnsi="Times New Roman" w:cs="Times New Roman"/>
                <w:color w:val="auto"/>
                <w:sz w:val="24"/>
                <w:szCs w:val="24"/>
              </w:rPr>
              <w:t>检验合格</w:t>
            </w:r>
            <w:r>
              <w:rPr>
                <w:rFonts w:hint="default" w:ascii="Times New Roman" w:hAnsi="Times New Roman" w:cs="Times New Roman"/>
                <w:color w:val="auto"/>
                <w:sz w:val="24"/>
                <w:szCs w:val="24"/>
                <w:lang w:eastAsia="zh-CN"/>
              </w:rPr>
              <w:t>转生产。</w:t>
            </w:r>
          </w:p>
          <w:p w14:paraId="76E6E900">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eastAsia="zh-CN"/>
              </w:rPr>
              <w:t>上料：把合格的</w:t>
            </w:r>
            <w:r>
              <w:rPr>
                <w:rFonts w:hint="default" w:ascii="Times New Roman" w:hAnsi="Times New Roman" w:cs="Times New Roman"/>
                <w:color w:val="auto"/>
                <w:sz w:val="24"/>
                <w:szCs w:val="24"/>
              </w:rPr>
              <w:t>原材料放入自动上料系统。</w:t>
            </w:r>
          </w:p>
          <w:p w14:paraId="4757E7D9">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烘干：根据</w:t>
            </w:r>
            <w:r>
              <w:rPr>
                <w:rFonts w:hint="default" w:ascii="Times New Roman" w:hAnsi="Times New Roman" w:cs="Times New Roman"/>
                <w:color w:val="auto"/>
                <w:sz w:val="24"/>
                <w:szCs w:val="24"/>
                <w:lang w:eastAsia="zh-CN"/>
              </w:rPr>
              <w:t>原材料</w:t>
            </w:r>
            <w:r>
              <w:rPr>
                <w:rFonts w:hint="default" w:ascii="Times New Roman" w:hAnsi="Times New Roman" w:cs="Times New Roman"/>
                <w:color w:val="auto"/>
                <w:sz w:val="24"/>
                <w:szCs w:val="24"/>
              </w:rPr>
              <w:t>的不同设置相应的时间和温度对原料进行烘干。</w:t>
            </w:r>
          </w:p>
          <w:p w14:paraId="57F901EB">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吹塑成型：安装好模具，加热升温</w:t>
            </w:r>
            <w:r>
              <w:rPr>
                <w:rFonts w:hint="default" w:ascii="Times New Roman" w:hAnsi="Times New Roman" w:cs="Times New Roman"/>
                <w:color w:val="auto"/>
                <w:sz w:val="24"/>
                <w:szCs w:val="24"/>
                <w:lang w:eastAsia="zh-CN"/>
              </w:rPr>
              <w:t>；</w:t>
            </w:r>
            <w:r>
              <w:rPr>
                <w:rFonts w:hint="default" w:ascii="Times New Roman" w:hAnsi="Times New Roman" w:cs="Times New Roman"/>
                <w:color w:val="auto"/>
                <w:sz w:val="24"/>
                <w:szCs w:val="24"/>
              </w:rPr>
              <w:t>设置温度、压力、时间、吹出长度等参数，将熔</w:t>
            </w:r>
            <w:r>
              <w:rPr>
                <w:rFonts w:hint="default" w:ascii="Times New Roman" w:hAnsi="Times New Roman" w:cs="Times New Roman"/>
                <w:color w:val="auto"/>
                <w:sz w:val="24"/>
                <w:szCs w:val="24"/>
                <w:lang w:eastAsia="zh-CN"/>
              </w:rPr>
              <w:t>化的</w:t>
            </w:r>
            <w:r>
              <w:rPr>
                <w:rFonts w:hint="default" w:ascii="Times New Roman" w:hAnsi="Times New Roman" w:cs="Times New Roman"/>
                <w:color w:val="auto"/>
                <w:sz w:val="24"/>
                <w:szCs w:val="24"/>
              </w:rPr>
              <w:t>塑料从模头挤入</w:t>
            </w:r>
            <w:r>
              <w:rPr>
                <w:rFonts w:hint="default" w:ascii="Times New Roman" w:hAnsi="Times New Roman" w:cs="Times New Roman"/>
                <w:color w:val="auto"/>
                <w:sz w:val="24"/>
                <w:szCs w:val="24"/>
                <w:lang w:eastAsia="zh-CN"/>
              </w:rPr>
              <w:t>，通过压缩空气吹压成型</w:t>
            </w:r>
            <w:r>
              <w:rPr>
                <w:rFonts w:hint="default" w:ascii="Times New Roman" w:hAnsi="Times New Roman" w:cs="Times New Roman"/>
                <w:color w:val="auto"/>
                <w:sz w:val="24"/>
                <w:szCs w:val="24"/>
              </w:rPr>
              <w:t>，冷却后取出产品，去除飞边毛刺。</w:t>
            </w:r>
          </w:p>
          <w:p w14:paraId="45238F4D">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检验：操作员对产品外观、重量等进行自检，检</w:t>
            </w:r>
            <w:r>
              <w:rPr>
                <w:rFonts w:hint="default" w:ascii="Times New Roman" w:hAnsi="Times New Roman" w:cs="Times New Roman"/>
                <w:color w:val="auto"/>
                <w:sz w:val="24"/>
                <w:szCs w:val="24"/>
                <w:lang w:eastAsia="zh-CN"/>
              </w:rPr>
              <w:t>验</w:t>
            </w:r>
            <w:r>
              <w:rPr>
                <w:rFonts w:hint="default" w:ascii="Times New Roman" w:hAnsi="Times New Roman" w:cs="Times New Roman"/>
                <w:color w:val="auto"/>
                <w:sz w:val="24"/>
                <w:szCs w:val="24"/>
              </w:rPr>
              <w:t>员</w:t>
            </w:r>
            <w:r>
              <w:rPr>
                <w:rFonts w:hint="default" w:ascii="Times New Roman" w:hAnsi="Times New Roman" w:cs="Times New Roman"/>
                <w:color w:val="auto"/>
                <w:sz w:val="24"/>
                <w:szCs w:val="24"/>
                <w:lang w:eastAsia="zh-CN"/>
              </w:rPr>
              <w:t>依据检验指导书</w:t>
            </w:r>
            <w:r>
              <w:rPr>
                <w:rFonts w:hint="default" w:ascii="Times New Roman" w:hAnsi="Times New Roman" w:cs="Times New Roman"/>
                <w:color w:val="auto"/>
                <w:sz w:val="24"/>
                <w:szCs w:val="24"/>
              </w:rPr>
              <w:t>对外观、重量</w:t>
            </w:r>
            <w:r>
              <w:rPr>
                <w:rFonts w:hint="default" w:ascii="Times New Roman" w:hAnsi="Times New Roman" w:cs="Times New Roman"/>
                <w:color w:val="auto"/>
                <w:sz w:val="24"/>
                <w:szCs w:val="24"/>
                <w:lang w:eastAsia="zh-CN"/>
              </w:rPr>
              <w:t>、</w:t>
            </w:r>
            <w:r>
              <w:rPr>
                <w:rFonts w:hint="default" w:ascii="Times New Roman" w:hAnsi="Times New Roman" w:cs="Times New Roman"/>
                <w:color w:val="auto"/>
                <w:sz w:val="24"/>
                <w:szCs w:val="24"/>
              </w:rPr>
              <w:t>尺寸等进行抽检，检验合格后入库。</w:t>
            </w:r>
          </w:p>
          <w:p w14:paraId="0140EDDC">
            <w:pPr>
              <w:pStyle w:val="8"/>
              <w:adjustRightInd w:val="0"/>
              <w:snapToGrid w:val="0"/>
              <w:spacing w:line="520" w:lineRule="exact"/>
              <w:ind w:left="0" w:leftChars="0" w:firstLine="482" w:firstLineChars="200"/>
              <w:rPr>
                <w:rFonts w:hint="default" w:ascii="Times New Roman" w:hAnsi="Times New Roman" w:cs="Times New Roman"/>
                <w:b/>
                <w:bCs/>
                <w:color w:val="auto"/>
                <w:sz w:val="24"/>
                <w:szCs w:val="24"/>
                <w:lang w:val="en-US" w:eastAsia="zh-CN"/>
              </w:rPr>
            </w:pPr>
            <w:r>
              <w:rPr>
                <w:rFonts w:hint="default" w:ascii="Times New Roman" w:hAnsi="Times New Roman" w:cs="Times New Roman"/>
                <w:b/>
                <w:bCs/>
                <w:color w:val="auto"/>
                <w:sz w:val="24"/>
                <w:szCs w:val="24"/>
                <w:lang w:val="en-US" w:eastAsia="zh-CN"/>
              </w:rPr>
              <w:t>3、</w:t>
            </w:r>
            <w:r>
              <w:rPr>
                <w:rFonts w:hint="eastAsia" w:cs="Times New Roman"/>
                <w:b/>
                <w:bCs/>
                <w:color w:val="auto"/>
                <w:sz w:val="24"/>
                <w:szCs w:val="24"/>
                <w:lang w:val="en-US" w:eastAsia="zh-CN"/>
              </w:rPr>
              <w:t>滤芯生产工艺</w:t>
            </w:r>
          </w:p>
          <w:p w14:paraId="0DAC1AC4">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63360" behindDoc="0" locked="0" layoutInCell="1" allowOverlap="1">
                      <wp:simplePos x="0" y="0"/>
                      <wp:positionH relativeFrom="column">
                        <wp:posOffset>5454650</wp:posOffset>
                      </wp:positionH>
                      <wp:positionV relativeFrom="paragraph">
                        <wp:posOffset>588010</wp:posOffset>
                      </wp:positionV>
                      <wp:extent cx="821055" cy="1024890"/>
                      <wp:effectExtent l="0" t="0" r="0" b="0"/>
                      <wp:wrapNone/>
                      <wp:docPr id="211" name="矩形 211"/>
                      <wp:cNvGraphicFramePr/>
                      <a:graphic xmlns:a="http://schemas.openxmlformats.org/drawingml/2006/main">
                        <a:graphicData uri="http://schemas.microsoft.com/office/word/2010/wordprocessingShape">
                          <wps:wsp>
                            <wps:cNvSpPr/>
                            <wps:spPr>
                              <a:xfrm>
                                <a:off x="6459855" y="1701800"/>
                                <a:ext cx="821055" cy="102489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95B589">
                                  <w:pPr>
                                    <w:jc w:val="center"/>
                                    <w:rPr>
                                      <w:rFonts w:hint="eastAsia"/>
                                      <w:color w:val="auto"/>
                                      <w:lang w:val="en-US" w:eastAsia="zh-CN"/>
                                    </w:rPr>
                                  </w:pPr>
                                  <w:r>
                                    <w:rPr>
                                      <w:rFonts w:hint="eastAsia"/>
                                      <w:color w:val="auto"/>
                                      <w:lang w:val="en-US" w:eastAsia="zh-CN"/>
                                    </w:rPr>
                                    <w:t>噪声</w:t>
                                  </w:r>
                                </w:p>
                                <w:p w14:paraId="17D856FC">
                                  <w:pPr>
                                    <w:jc w:val="center"/>
                                    <w:rPr>
                                      <w:rFonts w:hint="eastAsia"/>
                                      <w:color w:val="auto"/>
                                      <w:lang w:val="en-US" w:eastAsia="zh-CN"/>
                                    </w:rPr>
                                  </w:pPr>
                                  <w:r>
                                    <w:rPr>
                                      <w:rFonts w:hint="eastAsia"/>
                                      <w:color w:val="auto"/>
                                      <w:lang w:val="en-US" w:eastAsia="zh-CN"/>
                                    </w:rPr>
                                    <w:t>废边角料</w:t>
                                  </w:r>
                                </w:p>
                                <w:p w14:paraId="416EBE3E">
                                  <w:pPr>
                                    <w:jc w:val="center"/>
                                    <w:rPr>
                                      <w:rFonts w:hint="eastAsia" w:eastAsia="宋体"/>
                                      <w:color w:val="auto"/>
                                      <w:lang w:val="en-US" w:eastAsia="zh-CN"/>
                                    </w:rPr>
                                  </w:pPr>
                                  <w:r>
                                    <w:rPr>
                                      <w:rFonts w:hint="eastAsia"/>
                                      <w:color w:val="auto"/>
                                      <w:lang w:val="en-US" w:eastAsia="zh-CN"/>
                                    </w:rPr>
                                    <w:t>有机废气焊接烟尘</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29.5pt;margin-top:46.3pt;height:80.7pt;width:64.65pt;z-index:251663360;v-text-anchor:middle;mso-width-relative:page;mso-height-relative:page;" filled="f" stroked="f" coordsize="21600,21600" o:gfxdata="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AohFYQ2QAAAAoBAAAPAAAAAAAAAAEAIAAAACIAAABkcnMvZG93bnJldi54&#10;bWxQSwECFAAUAAAACACHTuJAwfvGNWsCAAC9BAAADgAAAAAAAAABACAAAAAoAQAAZHJzL2Uyb0Rv&#10;Yy54bWxQSwUGAAAAAAYABgBZAQAABQYAAAAA&#10;">
                      <v:fill on="f" focussize="0,0"/>
                      <v:stroke on="f" weight="1pt" miterlimit="8" joinstyle="miter"/>
                      <v:imagedata o:title=""/>
                      <o:lock v:ext="edit" aspectratio="f"/>
                      <v:textbox>
                        <w:txbxContent>
                          <w:p w14:paraId="5A95B589">
                            <w:pPr>
                              <w:jc w:val="center"/>
                              <w:rPr>
                                <w:rFonts w:hint="eastAsia"/>
                                <w:color w:val="auto"/>
                                <w:lang w:val="en-US" w:eastAsia="zh-CN"/>
                              </w:rPr>
                            </w:pPr>
                            <w:r>
                              <w:rPr>
                                <w:rFonts w:hint="eastAsia"/>
                                <w:color w:val="auto"/>
                                <w:lang w:val="en-US" w:eastAsia="zh-CN"/>
                              </w:rPr>
                              <w:t>噪声</w:t>
                            </w:r>
                          </w:p>
                          <w:p w14:paraId="17D856FC">
                            <w:pPr>
                              <w:jc w:val="center"/>
                              <w:rPr>
                                <w:rFonts w:hint="eastAsia"/>
                                <w:color w:val="auto"/>
                                <w:lang w:val="en-US" w:eastAsia="zh-CN"/>
                              </w:rPr>
                            </w:pPr>
                            <w:r>
                              <w:rPr>
                                <w:rFonts w:hint="eastAsia"/>
                                <w:color w:val="auto"/>
                                <w:lang w:val="en-US" w:eastAsia="zh-CN"/>
                              </w:rPr>
                              <w:t>废边角料</w:t>
                            </w:r>
                          </w:p>
                          <w:p w14:paraId="416EBE3E">
                            <w:pPr>
                              <w:jc w:val="center"/>
                              <w:rPr>
                                <w:rFonts w:hint="eastAsia" w:eastAsia="宋体"/>
                                <w:color w:val="auto"/>
                                <w:lang w:val="en-US" w:eastAsia="zh-CN"/>
                              </w:rPr>
                            </w:pPr>
                            <w:r>
                              <w:rPr>
                                <w:rFonts w:hint="eastAsia"/>
                                <w:color w:val="auto"/>
                                <w:lang w:val="en-US" w:eastAsia="zh-CN"/>
                              </w:rPr>
                              <w:t>有机废气焊接烟尘</w:t>
                            </w:r>
                          </w:p>
                        </w:txbxContent>
                      </v:textbox>
                    </v:rect>
                  </w:pict>
                </mc:Fallback>
              </mc:AlternateContent>
            </w:r>
            <w:r>
              <w:rPr>
                <w:rFonts w:hint="default" w:ascii="Times New Roman" w:hAnsi="Times New Roman" w:cs="Times New Roman"/>
                <w:color w:val="auto"/>
                <w:sz w:val="24"/>
                <w:szCs w:val="24"/>
                <w:lang w:val="en-US" w:eastAsia="zh-CN"/>
              </w:rPr>
              <w:t>注胶工艺主要是将滤芯折纸和焊网组装成滤芯半成品，利用PU胶快速成型的特点，对滤芯上下端盖进行注胶，使其快速定型、固化、制成滤芯成品。</w:t>
            </w:r>
          </w:p>
          <w:p w14:paraId="575F3DA5">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p>
          <w:p w14:paraId="7CADDF59">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mc:AlternateContent>
                <mc:Choice Requires="wps">
                  <w:drawing>
                    <wp:anchor distT="0" distB="0" distL="114300" distR="114300" simplePos="0" relativeHeight="251774976" behindDoc="0" locked="0" layoutInCell="1" allowOverlap="1">
                      <wp:simplePos x="0" y="0"/>
                      <wp:positionH relativeFrom="column">
                        <wp:posOffset>3138170</wp:posOffset>
                      </wp:positionH>
                      <wp:positionV relativeFrom="paragraph">
                        <wp:posOffset>22860</wp:posOffset>
                      </wp:positionV>
                      <wp:extent cx="1858645" cy="800100"/>
                      <wp:effectExtent l="0" t="4445" r="65405" b="14605"/>
                      <wp:wrapNone/>
                      <wp:docPr id="117" name="肘形连接符 117"/>
                      <wp:cNvGraphicFramePr/>
                      <a:graphic xmlns:a="http://schemas.openxmlformats.org/drawingml/2006/main">
                        <a:graphicData uri="http://schemas.microsoft.com/office/word/2010/wordprocessingShape">
                          <wps:wsp>
                            <wps:cNvCnPr>
                              <a:stCxn id="93" idx="3"/>
                              <a:endCxn id="115" idx="0"/>
                            </wps:cNvCnPr>
                            <wps:spPr>
                              <a:xfrm>
                                <a:off x="0" y="0"/>
                                <a:ext cx="1858645" cy="800100"/>
                              </a:xfrm>
                              <a:prstGeom prst="bentConnector2">
                                <a:avLst/>
                              </a:prstGeom>
                              <a:ln w="9525" cap="flat" cmpd="sng">
                                <a:solidFill>
                                  <a:srgbClr val="5B9BD5"/>
                                </a:solidFill>
                                <a:prstDash val="solid"/>
                                <a:miter/>
                                <a:headEnd type="none" w="med" len="med"/>
                                <a:tailEnd type="arrow" w="med" len="med"/>
                              </a:ln>
                            </wps:spPr>
                            <wps:bodyPr/>
                          </wps:wsp>
                        </a:graphicData>
                      </a:graphic>
                    </wp:anchor>
                  </w:drawing>
                </mc:Choice>
                <mc:Fallback>
                  <w:pict>
                    <v:shape id="_x0000_s1026" o:spid="_x0000_s1026" o:spt="33" type="#_x0000_t33" style="position:absolute;left:0pt;margin-left:247.1pt;margin-top:1.8pt;height:63pt;width:146.35pt;z-index:251774976;mso-width-relative:page;mso-height-relative:page;" filled="f" stroked="t" coordsize="21600,21600" o:gfxdata="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BrMBZTZAAAACQEAAA8AAAAAAAAAAQAgAAAAIgAAAGRycy9kb3ducmV2LnhtbFBLAQIUABQA&#10;AAAIAIdO4kAPKmjaKAIAADkEAAAOAAAAAAAAAAEAIAAAACgBAABkcnMvZTJvRG9jLnhtbFBLBQYA&#10;AAAABgAGAFkBAADCBQAAAAA=&#10;">
                      <v:fill on="f" focussize="0,0"/>
                      <v:stroke color="#5B9BD5" joinstyle="miter"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57568" behindDoc="0" locked="0" layoutInCell="1" allowOverlap="1">
                      <wp:simplePos x="0" y="0"/>
                      <wp:positionH relativeFrom="column">
                        <wp:posOffset>2680335</wp:posOffset>
                      </wp:positionH>
                      <wp:positionV relativeFrom="paragraph">
                        <wp:posOffset>213360</wp:posOffset>
                      </wp:positionV>
                      <wp:extent cx="6350" cy="310515"/>
                      <wp:effectExtent l="47625" t="0" r="60325" b="13335"/>
                      <wp:wrapNone/>
                      <wp:docPr id="100" name="直接箭头连接符 100"/>
                      <wp:cNvGraphicFramePr/>
                      <a:graphic xmlns:a="http://schemas.openxmlformats.org/drawingml/2006/main">
                        <a:graphicData uri="http://schemas.microsoft.com/office/word/2010/wordprocessingShape">
                          <wps:wsp>
                            <wps:cNvCnPr>
                              <a:stCxn id="93" idx="2"/>
                            </wps:cNvCnPr>
                            <wps:spPr>
                              <a:xfrm flipH="1">
                                <a:off x="0" y="0"/>
                                <a:ext cx="6350" cy="310515"/>
                              </a:xfrm>
                              <a:prstGeom prst="straightConnector1">
                                <a:avLst/>
                              </a:prstGeom>
                              <a:ln w="9525" cap="flat" cmpd="sng">
                                <a:solidFill>
                                  <a:srgbClr val="5B9BD5"/>
                                </a:solidFill>
                                <a:prstDash val="solid"/>
                                <a:headEnd type="none" w="med" len="med"/>
                                <a:tailEnd type="arrow" w="med" len="med"/>
                              </a:ln>
                            </wps:spPr>
                            <wps:bodyPr/>
                          </wps:wsp>
                        </a:graphicData>
                      </a:graphic>
                    </wp:anchor>
                  </w:drawing>
                </mc:Choice>
                <mc:Fallback>
                  <w:pict>
                    <v:shape id="_x0000_s1026" o:spid="_x0000_s1026" o:spt="32" type="#_x0000_t32" style="position:absolute;left:0pt;flip:x;margin-left:211.05pt;margin-top:16.8pt;height:24.45pt;width:0.5pt;z-index:251757568;mso-width-relative:page;mso-height-relative:page;" filled="f" stroked="t" coordsize="21600,21600" o:gfxdata="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LgVtS&#10;2AAAAAkBAAAPAAAAAAAAAAEAIAAAACIAAABkcnMvZG93bnJldi54bWxQSwECFAAUAAAACACHTuJA&#10;67AMlyECAAAkBAAADgAAAAAAAAABACAAAAAnAQAAZHJzL2Uyb0RvYy54bWxQSwUGAAAAAAYABgBZ&#10;AQAAugUAAAAA&#10;">
                      <v:fill on="f" focussize="0,0"/>
                      <v:stroke color="#5B9BD5" joinstyle="round"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56544" behindDoc="0" locked="0" layoutInCell="1" allowOverlap="1">
                      <wp:simplePos x="0" y="0"/>
                      <wp:positionH relativeFrom="column">
                        <wp:posOffset>2235200</wp:posOffset>
                      </wp:positionH>
                      <wp:positionV relativeFrom="paragraph">
                        <wp:posOffset>-168275</wp:posOffset>
                      </wp:positionV>
                      <wp:extent cx="902970" cy="381635"/>
                      <wp:effectExtent l="4445" t="4445" r="6985" b="13970"/>
                      <wp:wrapNone/>
                      <wp:docPr id="93" name="圆角矩形 93"/>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3FE59BD4">
                                  <w:pPr>
                                    <w:jc w:val="center"/>
                                    <w:rPr>
                                      <w:rFonts w:hint="eastAsia" w:eastAsiaTheme="minorEastAsia"/>
                                      <w:lang w:eastAsia="zh-CN"/>
                                    </w:rPr>
                                  </w:pPr>
                                  <w:r>
                                    <w:rPr>
                                      <w:rFonts w:hint="eastAsia"/>
                                      <w:lang w:eastAsia="zh-CN"/>
                                    </w:rPr>
                                    <w:t>原材料检验</w:t>
                                  </w:r>
                                </w:p>
                              </w:txbxContent>
                            </wps:txbx>
                            <wps:bodyPr upright="1"/>
                          </wps:wsp>
                        </a:graphicData>
                      </a:graphic>
                    </wp:anchor>
                  </w:drawing>
                </mc:Choice>
                <mc:Fallback>
                  <w:pict>
                    <v:roundrect id="_x0000_s1026" o:spid="_x0000_s1026" o:spt="2" style="position:absolute;left:0pt;margin-left:176pt;margin-top:-13.25pt;height:30.05pt;width:71.1pt;z-index:251756544;mso-width-relative:page;mso-height-relative:page;" fillcolor="#FFFFFF" filled="t" stroked="t" coordsize="21600,21600" arcsize="0.166666666666667" o:gfxdata="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ZNfuo2gAAAAoBAAAPAAAAAAAAAAEAIAAAACIAAABkcnMvZG93bnJldi54bWxQSwECFAAUAAAA&#10;CACHTuJAy+593SUCAABXBAAADgAAAAAAAAABACAAAAApAQAAZHJzL2Uyb0RvYy54bWxQSwUGAAAA&#10;AAYABgBZAQAAwAUAAAAA&#10;">
                      <v:fill on="t" focussize="0,0"/>
                      <v:stroke color="#ED7D31" joinstyle="round"/>
                      <v:imagedata o:title=""/>
                      <o:lock v:ext="edit" aspectratio="f"/>
                      <v:textbox>
                        <w:txbxContent>
                          <w:p w14:paraId="3FE59BD4">
                            <w:pPr>
                              <w:jc w:val="center"/>
                              <w:rPr>
                                <w:rFonts w:hint="eastAsia" w:eastAsiaTheme="minorEastAsia"/>
                                <w:lang w:eastAsia="zh-CN"/>
                              </w:rPr>
                            </w:pPr>
                            <w:r>
                              <w:rPr>
                                <w:rFonts w:hint="eastAsia"/>
                                <w:lang w:eastAsia="zh-CN"/>
                              </w:rPr>
                              <w:t>原材料检验</w:t>
                            </w:r>
                          </w:p>
                        </w:txbxContent>
                      </v:textbox>
                    </v:roundrect>
                  </w:pict>
                </mc:Fallback>
              </mc:AlternateContent>
            </w:r>
          </w:p>
          <w:p w14:paraId="07B89EAD">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833344" behindDoc="0" locked="0" layoutInCell="1" allowOverlap="1">
                      <wp:simplePos x="0" y="0"/>
                      <wp:positionH relativeFrom="column">
                        <wp:posOffset>4417695</wp:posOffset>
                      </wp:positionH>
                      <wp:positionV relativeFrom="paragraph">
                        <wp:posOffset>325120</wp:posOffset>
                      </wp:positionV>
                      <wp:extent cx="127635" cy="358775"/>
                      <wp:effectExtent l="4445" t="1905" r="20320" b="1270"/>
                      <wp:wrapNone/>
                      <wp:docPr id="136" name="直接箭头连接符 136"/>
                      <wp:cNvGraphicFramePr/>
                      <a:graphic xmlns:a="http://schemas.openxmlformats.org/drawingml/2006/main">
                        <a:graphicData uri="http://schemas.microsoft.com/office/word/2010/wordprocessingShape">
                          <wps:wsp>
                            <wps:cNvCnPr>
                              <a:stCxn id="135" idx="2"/>
                              <a:endCxn id="115" idx="1"/>
                            </wps:cNvCnPr>
                            <wps:spPr>
                              <a:xfrm>
                                <a:off x="5029835" y="2372360"/>
                                <a:ext cx="127635" cy="3587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347.85pt;margin-top:25.6pt;height:28.25pt;width:10.05pt;z-index:251833344;mso-width-relative:page;mso-height-relative:page;" filled="f" stroked="t" coordsize="21600,21600" o:gfxdata="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NmWGNcAAAAKAQAADwAAAAAAAAABACAAAAAiAAAAZHJzL2Rvd25yZXYueG1s&#10;UEsBAhQAFAAAAAgAh07iQHPXvpEyAgAANgQAAA4AAAAAAAAAAQAgAAAAJgEAAGRycy9lMm9Eb2Mu&#10;eG1sUEsFBgAAAAAGAAYAWQEAAMoFAAAAAA==&#10;">
                      <v:fill on="f" focussize="0,0"/>
                      <v:stroke weight="0.5pt" color="#5B9BD5 [3204]"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832320" behindDoc="0" locked="0" layoutInCell="1" allowOverlap="1">
                      <wp:simplePos x="0" y="0"/>
                      <wp:positionH relativeFrom="column">
                        <wp:posOffset>4090035</wp:posOffset>
                      </wp:positionH>
                      <wp:positionV relativeFrom="paragraph">
                        <wp:posOffset>15875</wp:posOffset>
                      </wp:positionV>
                      <wp:extent cx="655320" cy="309245"/>
                      <wp:effectExtent l="0" t="0" r="11430" b="14605"/>
                      <wp:wrapNone/>
                      <wp:docPr id="135" name="圆角矩形 135"/>
                      <wp:cNvGraphicFramePr/>
                      <a:graphic xmlns:a="http://schemas.openxmlformats.org/drawingml/2006/main">
                        <a:graphicData uri="http://schemas.microsoft.com/office/word/2010/wordprocessingShape">
                          <wps:wsp>
                            <wps:cNvSpPr/>
                            <wps:spPr>
                              <a:xfrm>
                                <a:off x="4761865" y="2063115"/>
                                <a:ext cx="655320" cy="309245"/>
                              </a:xfrm>
                              <a:prstGeom prst="roundRect">
                                <a:avLst/>
                              </a:prstGeom>
                              <a:ln>
                                <a:noFill/>
                              </a:ln>
                            </wps:spPr>
                            <wps:style>
                              <a:lnRef idx="2">
                                <a:schemeClr val="accent2"/>
                              </a:lnRef>
                              <a:fillRef idx="1">
                                <a:schemeClr val="lt1"/>
                              </a:fillRef>
                              <a:effectRef idx="0">
                                <a:schemeClr val="accent2"/>
                              </a:effectRef>
                              <a:fontRef idx="minor">
                                <a:schemeClr val="dk1"/>
                              </a:fontRef>
                            </wps:style>
                            <wps:txbx>
                              <w:txbxContent>
                                <w:p w14:paraId="24F92C72">
                                  <w:pPr>
                                    <w:jc w:val="both"/>
                                    <w:rPr>
                                      <w:rFonts w:hint="eastAsia" w:eastAsia="宋体"/>
                                      <w:lang w:val="en-US" w:eastAsia="zh-CN"/>
                                    </w:rPr>
                                  </w:pPr>
                                  <w:r>
                                    <w:rPr>
                                      <w:rFonts w:hint="eastAsia"/>
                                      <w:lang w:val="en-US" w:eastAsia="zh-CN"/>
                                    </w:rPr>
                                    <w:t>热熔胶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322.05pt;margin-top:1.25pt;height:24.35pt;width:51.6pt;z-index:251832320;v-text-anchor:middle;mso-width-relative:page;mso-height-relative:page;" fillcolor="#FFFFFF [3201]" filled="t" stroked="f" coordsize="21600,21600" arcsize="0.166666666666667" o:gfxdata="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">
                      <v:fill on="t" focussize="0,0"/>
                      <v:stroke on="f" weight="1pt" miterlimit="8" joinstyle="miter"/>
                      <v:imagedata o:title=""/>
                      <o:lock v:ext="edit" aspectratio="f"/>
                      <v:textbox>
                        <w:txbxContent>
                          <w:p w14:paraId="24F92C72">
                            <w:pPr>
                              <w:jc w:val="both"/>
                              <w:rPr>
                                <w:rFonts w:hint="eastAsia" w:eastAsia="宋体"/>
                                <w:lang w:val="en-US" w:eastAsia="zh-CN"/>
                              </w:rPr>
                            </w:pPr>
                            <w:r>
                              <w:rPr>
                                <w:rFonts w:hint="eastAsia"/>
                                <w:lang w:val="en-US" w:eastAsia="zh-CN"/>
                              </w:rPr>
                              <w:t>热熔胶</w:t>
                            </w:r>
                          </w:p>
                        </w:txbxContent>
                      </v:textbox>
                    </v:roundrect>
                  </w:pict>
                </mc:Fallback>
              </mc:AlternateContent>
            </w:r>
            <w:r>
              <w:rPr>
                <w:sz w:val="24"/>
              </w:rPr>
              <mc:AlternateContent>
                <mc:Choice Requires="wps">
                  <w:drawing>
                    <wp:anchor distT="0" distB="0" distL="114300" distR="114300" simplePos="0" relativeHeight="251664384" behindDoc="0" locked="0" layoutInCell="1" allowOverlap="1">
                      <wp:simplePos x="0" y="0"/>
                      <wp:positionH relativeFrom="column">
                        <wp:posOffset>5448300</wp:posOffset>
                      </wp:positionH>
                      <wp:positionV relativeFrom="paragraph">
                        <wp:posOffset>292100</wp:posOffset>
                      </wp:positionV>
                      <wp:extent cx="417195" cy="391795"/>
                      <wp:effectExtent l="0" t="0" r="59055" b="8255"/>
                      <wp:wrapNone/>
                      <wp:docPr id="213" name="肘形连接符 213"/>
                      <wp:cNvGraphicFramePr/>
                      <a:graphic xmlns:a="http://schemas.openxmlformats.org/drawingml/2006/main">
                        <a:graphicData uri="http://schemas.microsoft.com/office/word/2010/wordprocessingShape">
                          <wps:wsp>
                            <wps:cNvCnPr>
                              <a:stCxn id="115" idx="3"/>
                              <a:endCxn id="211" idx="2"/>
                            </wps:cNvCnPr>
                            <wps:spPr>
                              <a:xfrm flipV="1">
                                <a:off x="6060440" y="1678940"/>
                                <a:ext cx="417195" cy="391795"/>
                              </a:xfrm>
                              <a:prstGeom prst="bentConnector2">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3" type="#_x0000_t33" style="position:absolute;left:0pt;flip:y;margin-left:429pt;margin-top:23pt;height:30.85pt;width:32.85pt;z-index:251664384;mso-width-relative:page;mso-height-relative:page;" filled="f" stroked="t" coordsize="21600,21600" o:gfxdata="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vRVr59sAAAAKAQAADwAAAAAAAAABACAAAAAiAAAAZHJzL2Rv&#10;d25yZXYueG1sUEsBAhQAFAAAAAgAh07iQOPhYeg3AgAANQQAAA4AAAAAAAAAAQAgAAAAKgEAAGRy&#10;cy9lMm9Eb2MueG1sUEsFBgAAAAAGAAYAWQEAANMFAAAAAA==&#10;">
                      <v:fill on="f" focussize="0,0"/>
                      <v:stroke weight="0.5pt" color="#5B9BD5 [3204]" miterlimit="8" joinstyle="miter" dashstyle="dash"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60640" behindDoc="0" locked="0" layoutInCell="1" allowOverlap="1">
                      <wp:simplePos x="0" y="0"/>
                      <wp:positionH relativeFrom="column">
                        <wp:posOffset>3787775</wp:posOffset>
                      </wp:positionH>
                      <wp:positionV relativeFrom="paragraph">
                        <wp:posOffset>188595</wp:posOffset>
                      </wp:positionV>
                      <wp:extent cx="12065" cy="307975"/>
                      <wp:effectExtent l="45720" t="0" r="56515" b="15875"/>
                      <wp:wrapNone/>
                      <wp:docPr id="104" name="直接连接符 104"/>
                      <wp:cNvGraphicFramePr/>
                      <a:graphic xmlns:a="http://schemas.openxmlformats.org/drawingml/2006/main">
                        <a:graphicData uri="http://schemas.microsoft.com/office/word/2010/wordprocessingShape">
                          <wps:wsp>
                            <wps:cNvCnPr>
                              <a:endCxn id="95" idx="0"/>
                            </wps:cNvCnPr>
                            <wps:spPr>
                              <a:xfrm flipH="1">
                                <a:off x="0" y="0"/>
                                <a:ext cx="12065" cy="307975"/>
                              </a:xfrm>
                              <a:prstGeom prst="line">
                                <a:avLst/>
                              </a:prstGeom>
                              <a:ln w="9525" cap="flat" cmpd="sng">
                                <a:solidFill>
                                  <a:schemeClr val="accent1"/>
                                </a:solidFill>
                                <a:prstDash val="solid"/>
                                <a:headEnd type="none" w="med" len="med"/>
                                <a:tailEnd type="arrow" w="med" len="med"/>
                              </a:ln>
                            </wps:spPr>
                            <wps:bodyPr upright="1"/>
                          </wps:wsp>
                        </a:graphicData>
                      </a:graphic>
                    </wp:anchor>
                  </w:drawing>
                </mc:Choice>
                <mc:Fallback>
                  <w:pict>
                    <v:line id="_x0000_s1026" o:spid="_x0000_s1026" o:spt="20" style="position:absolute;left:0pt;flip:x;margin-left:298.25pt;margin-top:14.85pt;height:24.25pt;width:0.95pt;z-index:251760640;mso-width-relative:page;mso-height-relative:page;" filled="f" stroked="t" coordsize="21600,21600" o:gfxdata="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SNV8+tsAAAAJ&#10;AQAADwAAAAAAAAABACAAAAAiAAAAZHJzL2Rvd25yZXYueG1sUEsBAhQAFAAAAAgAh07iQMM9FPkZ&#10;AgAAHgQAAA4AAAAAAAAAAQAgAAAAKgEAAGRycy9lMm9Eb2MueG1sUEsFBgAAAAAGAAYAWQEAALUF&#10;AAAAAA==&#10;">
                      <v:fill on="f" focussize="0,0"/>
                      <v:stroke color="#5B9BD5 [3204]" joinstyle="round" endarrow="open"/>
                      <v:imagedata o:title=""/>
                      <o:lock v:ext="edit" aspectratio="f"/>
                    </v:lin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59616" behindDoc="0" locked="0" layoutInCell="1" allowOverlap="1">
                      <wp:simplePos x="0" y="0"/>
                      <wp:positionH relativeFrom="column">
                        <wp:posOffset>1521460</wp:posOffset>
                      </wp:positionH>
                      <wp:positionV relativeFrom="paragraph">
                        <wp:posOffset>210820</wp:posOffset>
                      </wp:positionV>
                      <wp:extent cx="6985" cy="302895"/>
                      <wp:effectExtent l="46990" t="0" r="60325" b="1905"/>
                      <wp:wrapNone/>
                      <wp:docPr id="101" name="直接连接符 101"/>
                      <wp:cNvGraphicFramePr/>
                      <a:graphic xmlns:a="http://schemas.openxmlformats.org/drawingml/2006/main">
                        <a:graphicData uri="http://schemas.microsoft.com/office/word/2010/wordprocessingShape">
                          <wps:wsp>
                            <wps:cNvCnPr>
                              <a:endCxn id="105" idx="0"/>
                            </wps:cNvCnPr>
                            <wps:spPr>
                              <a:xfrm flipH="1">
                                <a:off x="0" y="0"/>
                                <a:ext cx="6985" cy="302895"/>
                              </a:xfrm>
                              <a:prstGeom prst="line">
                                <a:avLst/>
                              </a:prstGeom>
                              <a:ln w="9525" cap="flat" cmpd="sng">
                                <a:solidFill>
                                  <a:srgbClr val="5B9BD5"/>
                                </a:solidFill>
                                <a:prstDash val="solid"/>
                                <a:headEnd type="none" w="med" len="med"/>
                                <a:tailEnd type="arrow" w="med" len="med"/>
                              </a:ln>
                            </wps:spPr>
                            <wps:bodyPr upright="1"/>
                          </wps:wsp>
                        </a:graphicData>
                      </a:graphic>
                    </wp:anchor>
                  </w:drawing>
                </mc:Choice>
                <mc:Fallback>
                  <w:pict>
                    <v:line id="_x0000_s1026" o:spid="_x0000_s1026" o:spt="20" style="position:absolute;left:0pt;flip:x;margin-left:119.8pt;margin-top:16.6pt;height:23.85pt;width:0.55pt;z-index:251759616;mso-width-relative:page;mso-height-relative:page;" filled="f" stroked="t" coordsize="21600,21600" o:gfxdata="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B87Mv62gAAAAkBAAAP&#10;AAAAAAAAAAEAIAAAACIAAABkcnMvZG93bnJldi54bWxQSwECFAAUAAAACACHTuJAHCov3RYCAAAe&#10;BAAADgAAAAAAAAABACAAAAApAQAAZHJzL2Uyb0RvYy54bWxQSwUGAAAAAAYABgBZAQAAsQUAAAAA&#10;">
                      <v:fill on="f" focussize="0,0"/>
                      <v:stroke color="#5B9BD5" joinstyle="round" endarrow="open"/>
                      <v:imagedata o:title=""/>
                      <o:lock v:ext="edit" aspectratio="f"/>
                    </v:lin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58592" behindDoc="0" locked="0" layoutInCell="1" allowOverlap="1">
                      <wp:simplePos x="0" y="0"/>
                      <wp:positionH relativeFrom="column">
                        <wp:posOffset>1528445</wp:posOffset>
                      </wp:positionH>
                      <wp:positionV relativeFrom="paragraph">
                        <wp:posOffset>197485</wp:posOffset>
                      </wp:positionV>
                      <wp:extent cx="2257425" cy="12700"/>
                      <wp:effectExtent l="0" t="0" r="0" b="0"/>
                      <wp:wrapNone/>
                      <wp:docPr id="94" name="直接连接符 94"/>
                      <wp:cNvGraphicFramePr/>
                      <a:graphic xmlns:a="http://schemas.openxmlformats.org/drawingml/2006/main">
                        <a:graphicData uri="http://schemas.microsoft.com/office/word/2010/wordprocessingShape">
                          <wps:wsp>
                            <wps:cNvCnPr/>
                            <wps:spPr>
                              <a:xfrm flipV="1">
                                <a:off x="0" y="0"/>
                                <a:ext cx="2257425" cy="12700"/>
                              </a:xfrm>
                              <a:prstGeom prst="line">
                                <a:avLst/>
                              </a:prstGeom>
                              <a:ln w="9525" cap="flat" cmpd="sng">
                                <a:solidFill>
                                  <a:srgbClr val="5B9BD5"/>
                                </a:solidFill>
                                <a:prstDash val="solid"/>
                                <a:headEnd type="none" w="med" len="med"/>
                                <a:tailEnd type="none" w="med" len="med"/>
                              </a:ln>
                            </wps:spPr>
                            <wps:bodyPr upright="1"/>
                          </wps:wsp>
                        </a:graphicData>
                      </a:graphic>
                    </wp:anchor>
                  </w:drawing>
                </mc:Choice>
                <mc:Fallback>
                  <w:pict>
                    <v:line id="_x0000_s1026" o:spid="_x0000_s1026" o:spt="20" style="position:absolute;left:0pt;flip:y;margin-left:120.35pt;margin-top:15.55pt;height:1pt;width:177.75pt;z-index:251758592;mso-width-relative:page;mso-height-relative:page;" filled="f" stroked="t" coordsize="21600,21600" o:gfxdata="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CMHQi9kAAAAJAQAADwAAAAAAAAABACAAAAAiAAAA&#10;ZHJzL2Rvd25yZXYueG1sUEsBAhQAFAAAAAgAh07iQKg7g6sGAgAA9AMAAA4AAAAAAAAAAQAgAAAA&#10;KAEAAGRycy9lMm9Eb2MueG1sUEsFBgAAAAAGAAYAWQEAAKAFAAAAAA==&#10;">
                      <v:fill on="f" focussize="0,0"/>
                      <v:stroke color="#5B9BD5" joinstyle="round"/>
                      <v:imagedata o:title=""/>
                      <o:lock v:ext="edit" aspectratio="f"/>
                    </v:line>
                  </w:pict>
                </mc:Fallback>
              </mc:AlternateContent>
            </w:r>
          </w:p>
          <w:p w14:paraId="34DF0B94">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mc:AlternateContent>
                <mc:Choice Requires="wps">
                  <w:drawing>
                    <wp:anchor distT="0" distB="0" distL="114300" distR="114300" simplePos="0" relativeHeight="251776000" behindDoc="0" locked="0" layoutInCell="1" allowOverlap="1">
                      <wp:simplePos x="0" y="0"/>
                      <wp:positionH relativeFrom="column">
                        <wp:posOffset>4545330</wp:posOffset>
                      </wp:positionH>
                      <wp:positionV relativeFrom="paragraph">
                        <wp:posOffset>162560</wp:posOffset>
                      </wp:positionV>
                      <wp:extent cx="902970" cy="381635"/>
                      <wp:effectExtent l="4445" t="4445" r="6985" b="13970"/>
                      <wp:wrapNone/>
                      <wp:docPr id="115" name="圆角矩形 115"/>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0FCFD011">
                                  <w:pPr>
                                    <w:jc w:val="center"/>
                                    <w:rPr>
                                      <w:rFonts w:hint="eastAsia" w:eastAsiaTheme="minorEastAsia"/>
                                      <w:lang w:val="en-US" w:eastAsia="zh-CN"/>
                                    </w:rPr>
                                  </w:pPr>
                                  <w:r>
                                    <w:rPr>
                                      <w:rFonts w:hint="eastAsia"/>
                                      <w:lang w:eastAsia="zh-CN"/>
                                    </w:rPr>
                                    <w:t>折纸</w:t>
                                  </w:r>
                                  <w:r>
                                    <w:rPr>
                                      <w:rFonts w:hint="eastAsia"/>
                                      <w:lang w:val="en-US" w:eastAsia="zh-CN"/>
                                    </w:rPr>
                                    <w:t>/焊网</w:t>
                                  </w:r>
                                </w:p>
                              </w:txbxContent>
                            </wps:txbx>
                            <wps:bodyPr upright="1"/>
                          </wps:wsp>
                        </a:graphicData>
                      </a:graphic>
                    </wp:anchor>
                  </w:drawing>
                </mc:Choice>
                <mc:Fallback>
                  <w:pict>
                    <v:roundrect id="_x0000_s1026" o:spid="_x0000_s1026" o:spt="2" style="position:absolute;left:0pt;margin-left:357.9pt;margin-top:12.8pt;height:30.05pt;width:71.1pt;z-index:251776000;mso-width-relative:page;mso-height-relative:page;" fillcolor="#FFFFFF" filled="t" stroked="t" coordsize="21600,21600" arcsize="0.166666666666667" o:gfxdata="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hRAav9kAAAAJAQAADwAAAAAAAAABACAAAAAiAAAAZHJzL2Rvd25yZXYueG1sUEsBAhQAFAAA&#10;AAgAh07iQOWdeaknAgAAWQQAAA4AAAAAAAAAAQAgAAAAKAEAAGRycy9lMm9Eb2MueG1sUEsFBgAA&#10;AAAGAAYAWQEAAMEFAAAAAA==&#10;">
                      <v:fill on="t" focussize="0,0"/>
                      <v:stroke color="#ED7D31" joinstyle="round"/>
                      <v:imagedata o:title=""/>
                      <o:lock v:ext="edit" aspectratio="f"/>
                      <v:textbox>
                        <w:txbxContent>
                          <w:p w14:paraId="0FCFD011">
                            <w:pPr>
                              <w:jc w:val="center"/>
                              <w:rPr>
                                <w:rFonts w:hint="eastAsia" w:eastAsiaTheme="minorEastAsia"/>
                                <w:lang w:val="en-US" w:eastAsia="zh-CN"/>
                              </w:rPr>
                            </w:pPr>
                            <w:r>
                              <w:rPr>
                                <w:rFonts w:hint="eastAsia"/>
                                <w:lang w:eastAsia="zh-CN"/>
                              </w:rPr>
                              <w:t>折纸</w:t>
                            </w:r>
                            <w:r>
                              <w:rPr>
                                <w:rFonts w:hint="eastAsia"/>
                                <w:lang w:val="en-US" w:eastAsia="zh-CN"/>
                              </w:rPr>
                              <w:t>/焊网</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61664" behindDoc="0" locked="0" layoutInCell="1" allowOverlap="1">
                      <wp:simplePos x="0" y="0"/>
                      <wp:positionH relativeFrom="column">
                        <wp:posOffset>1069975</wp:posOffset>
                      </wp:positionH>
                      <wp:positionV relativeFrom="paragraph">
                        <wp:posOffset>183515</wp:posOffset>
                      </wp:positionV>
                      <wp:extent cx="902970" cy="381635"/>
                      <wp:effectExtent l="4445" t="4445" r="6985" b="13970"/>
                      <wp:wrapNone/>
                      <wp:docPr id="105" name="圆角矩形 105"/>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4CB55654">
                                  <w:pPr>
                                    <w:jc w:val="center"/>
                                    <w:rPr>
                                      <w:rFonts w:hint="eastAsia" w:eastAsiaTheme="minorEastAsia"/>
                                      <w:lang w:eastAsia="zh-CN"/>
                                    </w:rPr>
                                  </w:pPr>
                                  <w:r>
                                    <w:rPr>
                                      <w:rFonts w:hint="eastAsia"/>
                                      <w:lang w:val="en-US" w:eastAsia="zh-CN"/>
                                    </w:rPr>
                                    <w:t>A</w:t>
                                  </w:r>
                                  <w:r>
                                    <w:rPr>
                                      <w:rFonts w:hint="eastAsia"/>
                                      <w:lang w:eastAsia="zh-CN"/>
                                    </w:rPr>
                                    <w:t>料</w:t>
                                  </w:r>
                                </w:p>
                              </w:txbxContent>
                            </wps:txbx>
                            <wps:bodyPr upright="1"/>
                          </wps:wsp>
                        </a:graphicData>
                      </a:graphic>
                    </wp:anchor>
                  </w:drawing>
                </mc:Choice>
                <mc:Fallback>
                  <w:pict>
                    <v:roundrect id="_x0000_s1026" o:spid="_x0000_s1026" o:spt="2" style="position:absolute;left:0pt;margin-left:84.25pt;margin-top:14.45pt;height:30.05pt;width:71.1pt;z-index:251761664;mso-width-relative:page;mso-height-relative:page;" fillcolor="#FFFFFF" filled="t" stroked="t" coordsize="21600,21600" arcsize="0.166666666666667" o:gfxdata="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eGK2Q2AAAAAkBAAAPAAAAAAAAAAEAIAAAACIAAABkcnMvZG93bnJldi54bWxQSwECFAAUAAAA&#10;CACHTuJAaL9noycCAABZBAAADgAAAAAAAAABACAAAAAnAQAAZHJzL2Uyb0RvYy54bWxQSwUGAAAA&#10;AAYABgBZAQAAwAUAAAAA&#10;">
                      <v:fill on="t" focussize="0,0"/>
                      <v:stroke color="#ED7D31" joinstyle="round"/>
                      <v:imagedata o:title=""/>
                      <o:lock v:ext="edit" aspectratio="f"/>
                      <v:textbox>
                        <w:txbxContent>
                          <w:p w14:paraId="4CB55654">
                            <w:pPr>
                              <w:jc w:val="center"/>
                              <w:rPr>
                                <w:rFonts w:hint="eastAsia" w:eastAsiaTheme="minorEastAsia"/>
                                <w:lang w:eastAsia="zh-CN"/>
                              </w:rPr>
                            </w:pPr>
                            <w:r>
                              <w:rPr>
                                <w:rFonts w:hint="eastAsia"/>
                                <w:lang w:val="en-US" w:eastAsia="zh-CN"/>
                              </w:rPr>
                              <w:t>A</w:t>
                            </w:r>
                            <w:r>
                              <w:rPr>
                                <w:rFonts w:hint="eastAsia"/>
                                <w:lang w:eastAsia="zh-CN"/>
                              </w:rPr>
                              <w:t>料</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62688" behindDoc="0" locked="0" layoutInCell="1" allowOverlap="1">
                      <wp:simplePos x="0" y="0"/>
                      <wp:positionH relativeFrom="column">
                        <wp:posOffset>3336290</wp:posOffset>
                      </wp:positionH>
                      <wp:positionV relativeFrom="paragraph">
                        <wp:posOffset>166370</wp:posOffset>
                      </wp:positionV>
                      <wp:extent cx="902970" cy="381635"/>
                      <wp:effectExtent l="4445" t="4445" r="6985" b="13970"/>
                      <wp:wrapNone/>
                      <wp:docPr id="95" name="圆角矩形 95"/>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6F9D65BC">
                                  <w:pPr>
                                    <w:jc w:val="center"/>
                                    <w:rPr>
                                      <w:rFonts w:hint="eastAsia" w:eastAsiaTheme="minorEastAsia"/>
                                      <w:lang w:eastAsia="zh-CN"/>
                                    </w:rPr>
                                  </w:pPr>
                                  <w:r>
                                    <w:rPr>
                                      <w:rFonts w:hint="eastAsia"/>
                                      <w:lang w:val="en-US" w:eastAsia="zh-CN"/>
                                    </w:rPr>
                                    <w:t>B</w:t>
                                  </w:r>
                                  <w:r>
                                    <w:rPr>
                                      <w:rFonts w:hint="eastAsia"/>
                                      <w:lang w:eastAsia="zh-CN"/>
                                    </w:rPr>
                                    <w:t>料</w:t>
                                  </w:r>
                                </w:p>
                              </w:txbxContent>
                            </wps:txbx>
                            <wps:bodyPr upright="1"/>
                          </wps:wsp>
                        </a:graphicData>
                      </a:graphic>
                    </wp:anchor>
                  </w:drawing>
                </mc:Choice>
                <mc:Fallback>
                  <w:pict>
                    <v:roundrect id="_x0000_s1026" o:spid="_x0000_s1026" o:spt="2" style="position:absolute;left:0pt;margin-left:262.7pt;margin-top:13.1pt;height:30.05pt;width:71.1pt;z-index:251762688;mso-width-relative:page;mso-height-relative:page;" fillcolor="#FFFFFF" filled="t" stroked="t" coordsize="21600,21600" arcsize="0.166666666666667" o:gfxdata="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3QEUrZAAAACQEAAA8AAAAAAAAAAQAgAAAAIgAAAGRycy9kb3ducmV2LnhtbFBLAQIUABQAAAAI&#10;AIdO4kB7fFTVJQIAAFcEAAAOAAAAAAAAAAEAIAAAACgBAABkcnMvZTJvRG9jLnhtbFBLBQYAAAAA&#10;BgAGAFkBAAC/BQAAAAA=&#10;">
                      <v:fill on="t" focussize="0,0"/>
                      <v:stroke color="#ED7D31" joinstyle="round"/>
                      <v:imagedata o:title=""/>
                      <o:lock v:ext="edit" aspectratio="f"/>
                      <v:textbox>
                        <w:txbxContent>
                          <w:p w14:paraId="6F9D65BC">
                            <w:pPr>
                              <w:jc w:val="center"/>
                              <w:rPr>
                                <w:rFonts w:hint="eastAsia" w:eastAsiaTheme="minorEastAsia"/>
                                <w:lang w:eastAsia="zh-CN"/>
                              </w:rPr>
                            </w:pPr>
                            <w:r>
                              <w:rPr>
                                <w:rFonts w:hint="eastAsia"/>
                                <w:lang w:val="en-US" w:eastAsia="zh-CN"/>
                              </w:rPr>
                              <w:t>B</w:t>
                            </w:r>
                            <w:r>
                              <w:rPr>
                                <w:rFonts w:hint="eastAsia"/>
                                <w:lang w:eastAsia="zh-CN"/>
                              </w:rPr>
                              <w:t>料</w:t>
                            </w:r>
                          </w:p>
                        </w:txbxContent>
                      </v:textbox>
                    </v:roundrect>
                  </w:pict>
                </mc:Fallback>
              </mc:AlternateContent>
            </w:r>
          </w:p>
          <w:p w14:paraId="070BACEA">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60288" behindDoc="0" locked="0" layoutInCell="1" allowOverlap="1">
                      <wp:simplePos x="0" y="0"/>
                      <wp:positionH relativeFrom="column">
                        <wp:posOffset>1069975</wp:posOffset>
                      </wp:positionH>
                      <wp:positionV relativeFrom="paragraph">
                        <wp:posOffset>43815</wp:posOffset>
                      </wp:positionV>
                      <wp:extent cx="1113790" cy="2743835"/>
                      <wp:effectExtent l="349885" t="4445" r="0" b="13970"/>
                      <wp:wrapNone/>
                      <wp:docPr id="208" name="肘形连接符 208"/>
                      <wp:cNvGraphicFramePr/>
                      <a:graphic xmlns:a="http://schemas.openxmlformats.org/drawingml/2006/main">
                        <a:graphicData uri="http://schemas.microsoft.com/office/word/2010/wordprocessingShape">
                          <wps:wsp>
                            <wps:cNvCnPr>
                              <a:stCxn id="105" idx="1"/>
                              <a:endCxn id="111" idx="1"/>
                            </wps:cNvCnPr>
                            <wps:spPr>
                              <a:xfrm rot="10800000" flipH="1" flipV="1">
                                <a:off x="1682115" y="2091055"/>
                                <a:ext cx="1113790" cy="2743835"/>
                              </a:xfrm>
                              <a:prstGeom prst="bentConnector3">
                                <a:avLst>
                                  <a:gd name="adj1" fmla="val -31014"/>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4" type="#_x0000_t34" style="position:absolute;left:0pt;flip:x y;margin-left:84.25pt;margin-top:3.45pt;height:216.05pt;width:87.7pt;rotation:11796480f;z-index:251660288;mso-width-relative:page;mso-height-relative:page;" filled="f" stroked="t" coordsize="21600,21600" o:gfxdata="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xg1XT1gAAAAkBAAAPAAAAAAAAAAEA&#10;IAAAACIAAABkcnMvZG93bnJldi54bWxQSwECFAAUAAAACACHTuJAXAtKckoCAABlBAAADgAAAAAA&#10;AAABACAAAAAlAQAAZHJzL2Uyb0RvYy54bWxQSwUGAAAAAAYABgBZAQAA4QUAAAAA&#10;" adj="-6699">
                      <v:fill on="f" focussize="0,0"/>
                      <v:stroke weight="0.5pt" color="#5B9BD5 [3204]" miterlimit="8" joinstyle="miter" dashstyle="dash"/>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65760" behindDoc="0" locked="0" layoutInCell="1" allowOverlap="1">
                      <wp:simplePos x="0" y="0"/>
                      <wp:positionH relativeFrom="column">
                        <wp:posOffset>3215005</wp:posOffset>
                      </wp:positionH>
                      <wp:positionV relativeFrom="paragraph">
                        <wp:posOffset>161925</wp:posOffset>
                      </wp:positionV>
                      <wp:extent cx="516890" cy="628015"/>
                      <wp:effectExtent l="0" t="0" r="19685" b="54610"/>
                      <wp:wrapNone/>
                      <wp:docPr id="97" name="肘形连接符 97"/>
                      <wp:cNvGraphicFramePr/>
                      <a:graphic xmlns:a="http://schemas.openxmlformats.org/drawingml/2006/main">
                        <a:graphicData uri="http://schemas.microsoft.com/office/word/2010/wordprocessingShape">
                          <wps:wsp>
                            <wps:cNvCnPr>
                              <a:stCxn id="95" idx="2"/>
                              <a:endCxn id="109" idx="3"/>
                            </wps:cNvCnPr>
                            <wps:spPr>
                              <a:xfrm rot="5400000">
                                <a:off x="0" y="0"/>
                                <a:ext cx="516890" cy="628015"/>
                              </a:xfrm>
                              <a:prstGeom prst="bentConnector2">
                                <a:avLst/>
                              </a:prstGeom>
                              <a:ln w="9525" cap="flat" cmpd="sng">
                                <a:solidFill>
                                  <a:srgbClr val="5B9BD5"/>
                                </a:solidFill>
                                <a:prstDash val="solid"/>
                                <a:miter/>
                                <a:headEnd type="none" w="med" len="med"/>
                                <a:tailEnd type="arrow" w="med" len="med"/>
                              </a:ln>
                            </wps:spPr>
                            <wps:bodyPr/>
                          </wps:wsp>
                        </a:graphicData>
                      </a:graphic>
                    </wp:anchor>
                  </w:drawing>
                </mc:Choice>
                <mc:Fallback>
                  <w:pict>
                    <v:shape id="_x0000_s1026" o:spid="_x0000_s1026" o:spt="33" type="#_x0000_t33" style="position:absolute;left:0pt;margin-left:253.15pt;margin-top:12.75pt;height:49.45pt;width:40.7pt;rotation:5898240f;z-index:251765760;mso-width-relative:page;mso-height-relative:page;" filled="f" stroked="t" coordsize="21600,21600" o:gfxdata="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HYBG4toAAAAKAQAADwAAAAAAAAABACAAAAAiAAAAZHJzL2Rvd25yZXYueG1s&#10;UEsBAhQAFAAAAAgAh07iQHgbfgcvAgAARAQAAA4AAAAAAAAAAQAgAAAAKQEAAGRycy9lMm9Eb2Mu&#10;eG1sUEsFBgAAAAAGAAYAWQEAAMoFAAAAAA==&#10;">
                      <v:fill on="f" focussize="0,0"/>
                      <v:stroke color="#5B9BD5" joinstyle="miter"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64736" behindDoc="0" locked="0" layoutInCell="1" allowOverlap="1">
                      <wp:simplePos x="0" y="0"/>
                      <wp:positionH relativeFrom="column">
                        <wp:posOffset>1501775</wp:posOffset>
                      </wp:positionH>
                      <wp:positionV relativeFrom="paragraph">
                        <wp:posOffset>249555</wp:posOffset>
                      </wp:positionV>
                      <wp:extent cx="755015" cy="485140"/>
                      <wp:effectExtent l="0" t="4445" r="6985" b="62865"/>
                      <wp:wrapNone/>
                      <wp:docPr id="113" name="肘形连接符 113"/>
                      <wp:cNvGraphicFramePr/>
                      <a:graphic xmlns:a="http://schemas.openxmlformats.org/drawingml/2006/main">
                        <a:graphicData uri="http://schemas.microsoft.com/office/word/2010/wordprocessingShape">
                          <wps:wsp>
                            <wps:cNvCnPr>
                              <a:endCxn id="109" idx="1"/>
                            </wps:cNvCnPr>
                            <wps:spPr>
                              <a:xfrm>
                                <a:off x="0" y="0"/>
                                <a:ext cx="755015" cy="485140"/>
                              </a:xfrm>
                              <a:prstGeom prst="bentConnector3">
                                <a:avLst>
                                  <a:gd name="adj1" fmla="val 1093"/>
                                </a:avLst>
                              </a:prstGeom>
                              <a:ln w="9525" cap="flat" cmpd="sng">
                                <a:solidFill>
                                  <a:srgbClr val="5B9BD5"/>
                                </a:solidFill>
                                <a:prstDash val="solid"/>
                                <a:miter/>
                                <a:headEnd type="none" w="med" len="med"/>
                                <a:tailEnd type="arrow" w="med" len="med"/>
                              </a:ln>
                            </wps:spPr>
                            <wps:bodyPr/>
                          </wps:wsp>
                        </a:graphicData>
                      </a:graphic>
                    </wp:anchor>
                  </w:drawing>
                </mc:Choice>
                <mc:Fallback>
                  <w:pict>
                    <v:shape id="_x0000_s1026" o:spid="_x0000_s1026" o:spt="34" type="#_x0000_t34" style="position:absolute;left:0pt;margin-left:118.25pt;margin-top:19.65pt;height:38.2pt;width:59.45pt;z-index:251764736;mso-width-relative:page;mso-height-relative:page;" filled="f" stroked="t" coordsize="21600,21600" o:gfxdata="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ba2m99kAAAAKAQAADwAAAAAAAAABACAAAAAiAAAAZHJzL2Rvd25yZXYu&#10;eG1sUEsBAhQAFAAAAAgAh07iQMuwCyMzAgAASgQAAA4AAAAAAAAAAQAgAAAAKAEAAGRycy9lMm9E&#10;b2MueG1sUEsFBgAAAAAGAAYAWQEAAM0FAAAAAA==&#10;" adj="236">
                      <v:fill on="f" focussize="0,0"/>
                      <v:stroke color="#5B9BD5" joinstyle="miter"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78048" behindDoc="0" locked="0" layoutInCell="1" allowOverlap="1">
                      <wp:simplePos x="0" y="0"/>
                      <wp:positionH relativeFrom="column">
                        <wp:posOffset>4986020</wp:posOffset>
                      </wp:positionH>
                      <wp:positionV relativeFrom="paragraph">
                        <wp:posOffset>151130</wp:posOffset>
                      </wp:positionV>
                      <wp:extent cx="635" cy="404495"/>
                      <wp:effectExtent l="48895" t="0" r="64770" b="14605"/>
                      <wp:wrapNone/>
                      <wp:docPr id="106" name="直接连接符 106"/>
                      <wp:cNvGraphicFramePr/>
                      <a:graphic xmlns:a="http://schemas.openxmlformats.org/drawingml/2006/main">
                        <a:graphicData uri="http://schemas.microsoft.com/office/word/2010/wordprocessingShape">
                          <wps:wsp>
                            <wps:cNvCnPr/>
                            <wps:spPr>
                              <a:xfrm>
                                <a:off x="0" y="0"/>
                                <a:ext cx="635" cy="404495"/>
                              </a:xfrm>
                              <a:prstGeom prst="line">
                                <a:avLst/>
                              </a:prstGeom>
                              <a:ln w="9525" cap="flat" cmpd="sng">
                                <a:solidFill>
                                  <a:srgbClr val="5B9BD5"/>
                                </a:solidFill>
                                <a:prstDash val="solid"/>
                                <a:headEnd type="none" w="med" len="med"/>
                                <a:tailEnd type="arrow" w="med" len="med"/>
                              </a:ln>
                            </wps:spPr>
                            <wps:bodyPr upright="1"/>
                          </wps:wsp>
                        </a:graphicData>
                      </a:graphic>
                    </wp:anchor>
                  </w:drawing>
                </mc:Choice>
                <mc:Fallback>
                  <w:pict>
                    <v:line id="_x0000_s1026" o:spid="_x0000_s1026" o:spt="20" style="position:absolute;left:0pt;margin-left:392.6pt;margin-top:11.9pt;height:31.85pt;width:0.05pt;z-index:251778048;mso-width-relative:page;mso-height-relative:page;" filled="f" stroked="t" coordsize="21600,21600" o:gfxdata="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AqmKarWAAAACQEAAA8AAAAAAAAAAQAgAAAAIgAAAGRycy9kb3du&#10;cmV2LnhtbFBLAQIUABQAAAAIAIdO4kD/P4W+AQIAAOoDAAAOAAAAAAAAAAEAIAAAACUBAABkcnMv&#10;ZTJvRG9jLnhtbFBLBQYAAAAABgAGAFkBAACYBQAAAAA=&#10;">
                      <v:fill on="f" focussize="0,0"/>
                      <v:stroke color="#5B9BD5" joinstyle="round" endarrow="open"/>
                      <v:imagedata o:title=""/>
                      <o:lock v:ext="edit" aspectratio="f"/>
                    </v:line>
                  </w:pict>
                </mc:Fallback>
              </mc:AlternateContent>
            </w:r>
          </w:p>
          <w:p w14:paraId="05349720">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834368" behindDoc="0" locked="0" layoutInCell="1" allowOverlap="1">
                      <wp:simplePos x="0" y="0"/>
                      <wp:positionH relativeFrom="column">
                        <wp:posOffset>6007100</wp:posOffset>
                      </wp:positionH>
                      <wp:positionV relativeFrom="paragraph">
                        <wp:posOffset>42545</wp:posOffset>
                      </wp:positionV>
                      <wp:extent cx="321310" cy="690880"/>
                      <wp:effectExtent l="0" t="0" r="2540" b="13970"/>
                      <wp:wrapNone/>
                      <wp:docPr id="138" name="圆角矩形 138"/>
                      <wp:cNvGraphicFramePr/>
                      <a:graphic xmlns:a="http://schemas.openxmlformats.org/drawingml/2006/main">
                        <a:graphicData uri="http://schemas.microsoft.com/office/word/2010/wordprocessingShape">
                          <wps:wsp>
                            <wps:cNvSpPr/>
                            <wps:spPr>
                              <a:xfrm>
                                <a:off x="6619240" y="2991485"/>
                                <a:ext cx="321310" cy="690880"/>
                              </a:xfrm>
                              <a:prstGeom prst="roundRect">
                                <a:avLst/>
                              </a:prstGeom>
                              <a:ln>
                                <a:noFill/>
                              </a:ln>
                            </wps:spPr>
                            <wps:style>
                              <a:lnRef idx="2">
                                <a:schemeClr val="accent2"/>
                              </a:lnRef>
                              <a:fillRef idx="1">
                                <a:schemeClr val="lt1"/>
                              </a:fillRef>
                              <a:effectRef idx="0">
                                <a:schemeClr val="accent2"/>
                              </a:effectRef>
                              <a:fontRef idx="minor">
                                <a:schemeClr val="dk1"/>
                              </a:fontRef>
                            </wps:style>
                            <wps:txbx>
                              <w:txbxContent>
                                <w:p w14:paraId="57BE6019">
                                  <w:pPr>
                                    <w:jc w:val="center"/>
                                    <w:rPr>
                                      <w:rFonts w:hint="eastAsia" w:eastAsia="宋体"/>
                                      <w:lang w:val="en-US" w:eastAsia="zh-CN"/>
                                    </w:rPr>
                                  </w:pPr>
                                  <w:r>
                                    <w:rPr>
                                      <w:rFonts w:hint="eastAsia"/>
                                      <w:lang w:val="en-US" w:eastAsia="zh-CN"/>
                                    </w:rPr>
                                    <w:t>噪声</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473pt;margin-top:3.35pt;height:54.4pt;width:25.3pt;z-index:251834368;v-text-anchor:middle;mso-width-relative:page;mso-height-relative:page;" fillcolor="#FFFFFF [3201]" filled="t" stroked="f" coordsize="21600,21600" arcsize="0.166666666666667" o:gfxdata="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D67yHrXAAAA&#10;CQEAAA8AAAAAAAAAAQAgAAAAIgAAAGRycy9kb3ducmV2LnhtbFBLAQIUABQAAAAIAIdO4kCSoRCY&#10;kAIAAPAEAAAOAAAAAAAAAAEAIAAAACYBAABkcnMvZTJvRG9jLnhtbFBLBQYAAAAABgAGAFkBAAAo&#10;BgAAAAA=&#10;">
                      <v:fill on="t" focussize="0,0"/>
                      <v:stroke on="f" weight="1pt" miterlimit="8" joinstyle="miter"/>
                      <v:imagedata o:title=""/>
                      <o:lock v:ext="edit" aspectratio="f"/>
                      <v:textbox>
                        <w:txbxContent>
                          <w:p w14:paraId="57BE6019">
                            <w:pPr>
                              <w:jc w:val="center"/>
                              <w:rPr>
                                <w:rFonts w:hint="eastAsia" w:eastAsia="宋体"/>
                                <w:lang w:val="en-US" w:eastAsia="zh-CN"/>
                              </w:rPr>
                            </w:pPr>
                            <w:r>
                              <w:rPr>
                                <w:rFonts w:hint="eastAsia"/>
                                <w:lang w:val="en-US" w:eastAsia="zh-CN"/>
                              </w:rPr>
                              <w:t>噪声</w:t>
                            </w:r>
                          </w:p>
                        </w:txbxContent>
                      </v:textbox>
                    </v:roundrect>
                  </w:pict>
                </mc:Fallback>
              </mc:AlternateContent>
            </w:r>
            <w:r>
              <w:rPr>
                <w:sz w:val="24"/>
              </w:rPr>
              <mc:AlternateContent>
                <mc:Choice Requires="wps">
                  <w:drawing>
                    <wp:anchor distT="0" distB="0" distL="114300" distR="114300" simplePos="0" relativeHeight="251662336" behindDoc="0" locked="0" layoutInCell="1" allowOverlap="1">
                      <wp:simplePos x="0" y="0"/>
                      <wp:positionH relativeFrom="column">
                        <wp:posOffset>13970</wp:posOffset>
                      </wp:positionH>
                      <wp:positionV relativeFrom="paragraph">
                        <wp:posOffset>38100</wp:posOffset>
                      </wp:positionV>
                      <wp:extent cx="428625" cy="2142490"/>
                      <wp:effectExtent l="0" t="0" r="0" b="0"/>
                      <wp:wrapNone/>
                      <wp:docPr id="210" name="圆角矩形 210"/>
                      <wp:cNvGraphicFramePr/>
                      <a:graphic xmlns:a="http://schemas.openxmlformats.org/drawingml/2006/main">
                        <a:graphicData uri="http://schemas.microsoft.com/office/word/2010/wordprocessingShape">
                          <wps:wsp>
                            <wps:cNvSpPr/>
                            <wps:spPr>
                              <a:xfrm>
                                <a:off x="614045" y="2999105"/>
                                <a:ext cx="428625" cy="2142490"/>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0A23CBA">
                                  <w:pPr>
                                    <w:jc w:val="center"/>
                                    <w:rPr>
                                      <w:rFonts w:hint="eastAsia"/>
                                      <w:color w:val="auto"/>
                                      <w:lang w:val="en-US" w:eastAsia="zh-CN"/>
                                    </w:rPr>
                                  </w:pPr>
                                  <w:r>
                                    <w:rPr>
                                      <w:rFonts w:hint="eastAsia"/>
                                      <w:color w:val="auto"/>
                                      <w:lang w:val="en-US" w:eastAsia="zh-CN"/>
                                    </w:rPr>
                                    <w:t>有机废气</w:t>
                                  </w:r>
                                </w:p>
                                <w:p w14:paraId="057128A4">
                                  <w:pPr>
                                    <w:jc w:val="center"/>
                                    <w:rPr>
                                      <w:rFonts w:hint="eastAsia"/>
                                      <w:color w:val="auto"/>
                                      <w:lang w:val="en-US" w:eastAsia="zh-CN"/>
                                    </w:rPr>
                                  </w:pPr>
                                  <w:r>
                                    <w:rPr>
                                      <w:rFonts w:hint="eastAsia"/>
                                      <w:color w:val="auto"/>
                                      <w:lang w:val="en-US" w:eastAsia="zh-CN"/>
                                    </w:rPr>
                                    <w:t xml:space="preserve"> 噪声</w:t>
                                  </w:r>
                                </w:p>
                                <w:p w14:paraId="34A07706">
                                  <w:pPr>
                                    <w:pStyle w:val="2"/>
                                    <w:rPr>
                                      <w:rFonts w:hint="eastAsia"/>
                                      <w:lang w:val="en-US" w:eastAsia="zh-CN"/>
                                    </w:rPr>
                                  </w:pPr>
                                </w:p>
                                <w:p w14:paraId="3009A16B">
                                  <w:pPr>
                                    <w:pStyle w:val="2"/>
                                    <w:rPr>
                                      <w:rFonts w:hint="eastAsia" w:ascii="Times New Roman" w:hAnsi="Times New Roman" w:eastAsia="宋体" w:cs="Times New Roman"/>
                                      <w:color w:val="auto"/>
                                      <w:kern w:val="2"/>
                                      <w:sz w:val="21"/>
                                      <w:szCs w:val="22"/>
                                      <w:lang w:val="en-US" w:eastAsia="zh-CN" w:bidi="ar-SA"/>
                                    </w:rPr>
                                  </w:pPr>
                                  <w:r>
                                    <w:rPr>
                                      <w:rFonts w:hint="eastAsia" w:ascii="Times New Roman" w:hAnsi="Times New Roman" w:eastAsia="宋体" w:cs="Times New Roman"/>
                                      <w:color w:val="auto"/>
                                      <w:kern w:val="2"/>
                                      <w:sz w:val="21"/>
                                      <w:szCs w:val="22"/>
                                      <w:lang w:val="en-US" w:eastAsia="zh-CN" w:bidi="ar-SA"/>
                                    </w:rPr>
                                    <w:t>固废</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pt;margin-top:3pt;height:168.7pt;width:33.75pt;z-index:251662336;v-text-anchor:middle;mso-width-relative:page;mso-height-relative:page;" filled="f" stroked="f" coordsize="21600,21600" arcsize="0.166666666666667" o:gfxdata="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Kw7L0fVAAAABgEAAA8AAAAAAAAAAQAgAAAAIgAA&#10;AGRycy9kb3ducmV2LnhtbFBLAQIUABQAAAAIAIdO4kC2iiPgfQIAAMcEAAAOAAAAAAAAAAEAIAAA&#10;ACQBAABkcnMvZTJvRG9jLnhtbFBLBQYAAAAABgAGAFkBAAATBgAAAAA=&#10;">
                      <v:fill on="f" focussize="0,0"/>
                      <v:stroke on="f" weight="1pt" miterlimit="8" joinstyle="miter"/>
                      <v:imagedata o:title=""/>
                      <o:lock v:ext="edit" aspectratio="f"/>
                      <v:textbox>
                        <w:txbxContent>
                          <w:p w14:paraId="30A23CBA">
                            <w:pPr>
                              <w:jc w:val="center"/>
                              <w:rPr>
                                <w:rFonts w:hint="eastAsia"/>
                                <w:color w:val="auto"/>
                                <w:lang w:val="en-US" w:eastAsia="zh-CN"/>
                              </w:rPr>
                            </w:pPr>
                            <w:r>
                              <w:rPr>
                                <w:rFonts w:hint="eastAsia"/>
                                <w:color w:val="auto"/>
                                <w:lang w:val="en-US" w:eastAsia="zh-CN"/>
                              </w:rPr>
                              <w:t>有机废气</w:t>
                            </w:r>
                          </w:p>
                          <w:p w14:paraId="057128A4">
                            <w:pPr>
                              <w:jc w:val="center"/>
                              <w:rPr>
                                <w:rFonts w:hint="eastAsia"/>
                                <w:color w:val="auto"/>
                                <w:lang w:val="en-US" w:eastAsia="zh-CN"/>
                              </w:rPr>
                            </w:pPr>
                            <w:r>
                              <w:rPr>
                                <w:rFonts w:hint="eastAsia"/>
                                <w:color w:val="auto"/>
                                <w:lang w:val="en-US" w:eastAsia="zh-CN"/>
                              </w:rPr>
                              <w:t xml:space="preserve"> 噪声</w:t>
                            </w:r>
                          </w:p>
                          <w:p w14:paraId="34A07706">
                            <w:pPr>
                              <w:pStyle w:val="2"/>
                              <w:rPr>
                                <w:rFonts w:hint="eastAsia"/>
                                <w:lang w:val="en-US" w:eastAsia="zh-CN"/>
                              </w:rPr>
                            </w:pPr>
                          </w:p>
                          <w:p w14:paraId="3009A16B">
                            <w:pPr>
                              <w:pStyle w:val="2"/>
                              <w:rPr>
                                <w:rFonts w:hint="eastAsia" w:ascii="Times New Roman" w:hAnsi="Times New Roman" w:eastAsia="宋体" w:cs="Times New Roman"/>
                                <w:color w:val="auto"/>
                                <w:kern w:val="2"/>
                                <w:sz w:val="21"/>
                                <w:szCs w:val="22"/>
                                <w:lang w:val="en-US" w:eastAsia="zh-CN" w:bidi="ar-SA"/>
                              </w:rPr>
                            </w:pPr>
                            <w:r>
                              <w:rPr>
                                <w:rFonts w:hint="eastAsia" w:ascii="Times New Roman" w:hAnsi="Times New Roman" w:eastAsia="宋体" w:cs="Times New Roman"/>
                                <w:color w:val="auto"/>
                                <w:kern w:val="2"/>
                                <w:sz w:val="21"/>
                                <w:szCs w:val="22"/>
                                <w:lang w:val="en-US" w:eastAsia="zh-CN" w:bidi="ar-SA"/>
                              </w:rPr>
                              <w:t>固废</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77024" behindDoc="0" locked="0" layoutInCell="1" allowOverlap="1">
                      <wp:simplePos x="0" y="0"/>
                      <wp:positionH relativeFrom="column">
                        <wp:posOffset>4450080</wp:posOffset>
                      </wp:positionH>
                      <wp:positionV relativeFrom="paragraph">
                        <wp:posOffset>200660</wp:posOffset>
                      </wp:positionV>
                      <wp:extent cx="1098550" cy="381635"/>
                      <wp:effectExtent l="4445" t="4445" r="20955" b="13970"/>
                      <wp:wrapNone/>
                      <wp:docPr id="102" name="圆角矩形 102"/>
                      <wp:cNvGraphicFramePr/>
                      <a:graphic xmlns:a="http://schemas.openxmlformats.org/drawingml/2006/main">
                        <a:graphicData uri="http://schemas.microsoft.com/office/word/2010/wordprocessingShape">
                          <wps:wsp>
                            <wps:cNvSpPr/>
                            <wps:spPr>
                              <a:xfrm>
                                <a:off x="0" y="0"/>
                                <a:ext cx="109855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3FF41209">
                                  <w:pPr>
                                    <w:jc w:val="center"/>
                                    <w:rPr>
                                      <w:rFonts w:hint="eastAsia" w:eastAsiaTheme="minorEastAsia"/>
                                      <w:lang w:eastAsia="zh-CN"/>
                                    </w:rPr>
                                  </w:pPr>
                                  <w:r>
                                    <w:rPr>
                                      <w:rFonts w:hint="eastAsia"/>
                                      <w:lang w:eastAsia="zh-CN"/>
                                    </w:rPr>
                                    <w:t>折纸焊网组装</w:t>
                                  </w:r>
                                </w:p>
                              </w:txbxContent>
                            </wps:txbx>
                            <wps:bodyPr upright="1"/>
                          </wps:wsp>
                        </a:graphicData>
                      </a:graphic>
                    </wp:anchor>
                  </w:drawing>
                </mc:Choice>
                <mc:Fallback>
                  <w:pict>
                    <v:roundrect id="_x0000_s1026" o:spid="_x0000_s1026" o:spt="2" style="position:absolute;left:0pt;margin-left:350.4pt;margin-top:15.8pt;height:30.05pt;width:86.5pt;z-index:251777024;mso-width-relative:page;mso-height-relative:page;" fillcolor="#FFFFFF" filled="t" stroked="t" coordsize="21600,21600" arcsize="0.166666666666667" o:gfxdata="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PkCeudgAAAAJAQAADwAAAAAAAAABACAAAAAiAAAAZHJzL2Rvd25yZXYueG1sUEsBAhQAFAAA&#10;AAgAh07iQBCd0ZkoAgAAWgQAAA4AAAAAAAAAAQAgAAAAJwEAAGRycy9lMm9Eb2MueG1sUEsFBgAA&#10;AAAGAAYAWQEAAMEFAAAAAA==&#10;">
                      <v:fill on="t" focussize="0,0"/>
                      <v:stroke color="#ED7D31" joinstyle="round"/>
                      <v:imagedata o:title=""/>
                      <o:lock v:ext="edit" aspectratio="f"/>
                      <v:textbox>
                        <w:txbxContent>
                          <w:p w14:paraId="3FF41209">
                            <w:pPr>
                              <w:jc w:val="center"/>
                              <w:rPr>
                                <w:rFonts w:hint="eastAsia" w:eastAsiaTheme="minorEastAsia"/>
                                <w:lang w:eastAsia="zh-CN"/>
                              </w:rPr>
                            </w:pPr>
                            <w:r>
                              <w:rPr>
                                <w:rFonts w:hint="eastAsia"/>
                                <w:lang w:eastAsia="zh-CN"/>
                              </w:rPr>
                              <w:t>折纸焊网组装</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63712" behindDoc="0" locked="0" layoutInCell="1" allowOverlap="1">
                      <wp:simplePos x="0" y="0"/>
                      <wp:positionH relativeFrom="column">
                        <wp:posOffset>2256790</wp:posOffset>
                      </wp:positionH>
                      <wp:positionV relativeFrom="paragraph">
                        <wp:posOffset>213360</wp:posOffset>
                      </wp:positionV>
                      <wp:extent cx="902970" cy="381635"/>
                      <wp:effectExtent l="4445" t="4445" r="6985" b="13970"/>
                      <wp:wrapNone/>
                      <wp:docPr id="109" name="圆角矩形 109"/>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73BD0D51">
                                  <w:pPr>
                                    <w:jc w:val="center"/>
                                    <w:rPr>
                                      <w:rFonts w:hint="eastAsia" w:eastAsiaTheme="minorEastAsia"/>
                                      <w:lang w:val="en-US" w:eastAsia="zh-CN"/>
                                    </w:rPr>
                                  </w:pPr>
                                  <w:r>
                                    <w:rPr>
                                      <w:rFonts w:hint="eastAsia"/>
                                      <w:lang w:val="en-US" w:eastAsia="zh-CN"/>
                                    </w:rPr>
                                    <w:t>加注搅拌</w:t>
                                  </w:r>
                                </w:p>
                              </w:txbxContent>
                            </wps:txbx>
                            <wps:bodyPr upright="1"/>
                          </wps:wsp>
                        </a:graphicData>
                      </a:graphic>
                    </wp:anchor>
                  </w:drawing>
                </mc:Choice>
                <mc:Fallback>
                  <w:pict>
                    <v:roundrect id="_x0000_s1026" o:spid="_x0000_s1026" o:spt="2" style="position:absolute;left:0pt;margin-left:177.7pt;margin-top:16.8pt;height:30.05pt;width:71.1pt;z-index:251763712;mso-width-relative:page;mso-height-relative:page;" fillcolor="#FFFFFF" filled="t" stroked="t" coordsize="21600,21600" arcsize="0.166666666666667" o:gfxdata="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w5lDYNkAAAAJAQAADwAAAAAAAAABACAAAAAiAAAAZHJzL2Rvd25yZXYueG1sUEsBAhQAFAAA&#10;AAgAh07iQCBBMC0nAgAAWQQAAA4AAAAAAAAAAQAgAAAAKAEAAGRycy9lMm9Eb2MueG1sUEsFBgAA&#10;AAAGAAYAWQEAAMEFAAAAAA==&#10;">
                      <v:fill on="t" focussize="0,0"/>
                      <v:stroke color="#ED7D31" joinstyle="round"/>
                      <v:imagedata o:title=""/>
                      <o:lock v:ext="edit" aspectratio="f"/>
                      <v:textbox>
                        <w:txbxContent>
                          <w:p w14:paraId="73BD0D51">
                            <w:pPr>
                              <w:jc w:val="center"/>
                              <w:rPr>
                                <w:rFonts w:hint="eastAsia" w:eastAsiaTheme="minorEastAsia"/>
                                <w:lang w:val="en-US" w:eastAsia="zh-CN"/>
                              </w:rPr>
                            </w:pPr>
                            <w:r>
                              <w:rPr>
                                <w:rFonts w:hint="eastAsia"/>
                                <w:lang w:val="en-US" w:eastAsia="zh-CN"/>
                              </w:rPr>
                              <w:t>加注搅拌</w:t>
                            </w:r>
                          </w:p>
                        </w:txbxContent>
                      </v:textbox>
                    </v:roundrect>
                  </w:pict>
                </mc:Fallback>
              </mc:AlternateContent>
            </w:r>
          </w:p>
          <w:p w14:paraId="6428EBF3">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835392" behindDoc="0" locked="0" layoutInCell="1" allowOverlap="1">
                      <wp:simplePos x="0" y="0"/>
                      <wp:positionH relativeFrom="column">
                        <wp:posOffset>5548630</wp:posOffset>
                      </wp:positionH>
                      <wp:positionV relativeFrom="paragraph">
                        <wp:posOffset>57785</wp:posOffset>
                      </wp:positionV>
                      <wp:extent cx="458470" cy="3810"/>
                      <wp:effectExtent l="0" t="48260" r="17780" b="62230"/>
                      <wp:wrapNone/>
                      <wp:docPr id="140" name="直接箭头连接符 140"/>
                      <wp:cNvGraphicFramePr/>
                      <a:graphic xmlns:a="http://schemas.openxmlformats.org/drawingml/2006/main">
                        <a:graphicData uri="http://schemas.microsoft.com/office/word/2010/wordprocessingShape">
                          <wps:wsp>
                            <wps:cNvCnPr>
                              <a:stCxn id="102" idx="3"/>
                              <a:endCxn id="138" idx="1"/>
                            </wps:cNvCnPr>
                            <wps:spPr>
                              <a:xfrm flipV="1">
                                <a:off x="6160770" y="3429635"/>
                                <a:ext cx="458470" cy="381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436.9pt;margin-top:4.55pt;height:0.3pt;width:36.1pt;z-index:251835392;mso-width-relative:page;mso-height-relative:page;" filled="f" stroked="t" coordsize="21600,21600" o:gfxdata="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A1Gc5nXAAAABwEAAA8AAAAAAAAAAQAgAAAAIgAAAGRycy9kb3du&#10;cmV2LnhtbFBLAQIUABQAAAAIAIdO4kBefheHOQIAAD4EAAAOAAAAAAAAAAEAIAAAACYBAABkcnMv&#10;ZTJvRG9jLnhtbFBLBQYAAAAABgAGAFkBAADRBQAAAAA=&#10;">
                      <v:fill on="f" focussize="0,0"/>
                      <v:stroke weight="0.5pt" color="#5B9BD5 [3204]" miterlimit="8" joinstyle="miter"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79072" behindDoc="0" locked="0" layoutInCell="1" allowOverlap="1">
                      <wp:simplePos x="0" y="0"/>
                      <wp:positionH relativeFrom="column">
                        <wp:posOffset>4999355</wp:posOffset>
                      </wp:positionH>
                      <wp:positionV relativeFrom="paragraph">
                        <wp:posOffset>252095</wp:posOffset>
                      </wp:positionV>
                      <wp:extent cx="10160" cy="257810"/>
                      <wp:effectExtent l="42545" t="0" r="61595" b="8890"/>
                      <wp:wrapNone/>
                      <wp:docPr id="107" name="直接连接符 107"/>
                      <wp:cNvGraphicFramePr/>
                      <a:graphic xmlns:a="http://schemas.openxmlformats.org/drawingml/2006/main">
                        <a:graphicData uri="http://schemas.microsoft.com/office/word/2010/wordprocessingShape">
                          <wps:wsp>
                            <wps:cNvCnPr>
                              <a:stCxn id="102" idx="2"/>
                              <a:endCxn id="108" idx="0"/>
                            </wps:cNvCnPr>
                            <wps:spPr>
                              <a:xfrm>
                                <a:off x="0" y="0"/>
                                <a:ext cx="10160" cy="257810"/>
                              </a:xfrm>
                              <a:prstGeom prst="line">
                                <a:avLst/>
                              </a:prstGeom>
                              <a:ln w="9525" cap="flat" cmpd="sng">
                                <a:solidFill>
                                  <a:schemeClr val="accent1"/>
                                </a:solidFill>
                                <a:prstDash val="solid"/>
                                <a:headEnd type="none" w="med" len="med"/>
                                <a:tailEnd type="arrow" w="med" len="med"/>
                              </a:ln>
                            </wps:spPr>
                            <wps:bodyPr upright="1"/>
                          </wps:wsp>
                        </a:graphicData>
                      </a:graphic>
                    </wp:anchor>
                  </w:drawing>
                </mc:Choice>
                <mc:Fallback>
                  <w:pict>
                    <v:line id="_x0000_s1026" o:spid="_x0000_s1026" o:spt="20" style="position:absolute;left:0pt;margin-left:393.65pt;margin-top:19.85pt;height:20.3pt;width:0.8pt;z-index:251779072;mso-width-relative:page;mso-height-relative:page;" filled="f" stroked="t" coordsize="21600,21600" o:gfxdata="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AcjjzS1gAAAAkB&#10;AAAPAAAAAAAAAAEAIAAAACIAAABkcnMvZG93bnJldi54bWxQSwECFAAUAAAACACHTuJAGvqZxh0C&#10;AAAwBAAADgAAAAAAAAABACAAAAAlAQAAZHJzL2Uyb0RvYy54bWxQSwUGAAAAAAYABgBZAQAAtAUA&#10;AAAA&#10;">
                      <v:fill on="f" focussize="0,0"/>
                      <v:stroke color="#5B9BD5 [3204]" joinstyle="round" endarrow="open"/>
                      <v:imagedata o:title=""/>
                      <o:lock v:ext="edit" aspectratio="f"/>
                    </v:lin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66784" behindDoc="0" locked="0" layoutInCell="1" allowOverlap="1">
                      <wp:simplePos x="0" y="0"/>
                      <wp:positionH relativeFrom="column">
                        <wp:posOffset>2706370</wp:posOffset>
                      </wp:positionH>
                      <wp:positionV relativeFrom="paragraph">
                        <wp:posOffset>264795</wp:posOffset>
                      </wp:positionV>
                      <wp:extent cx="1905" cy="313690"/>
                      <wp:effectExtent l="48895" t="0" r="63500" b="10160"/>
                      <wp:wrapNone/>
                      <wp:docPr id="114" name="直接箭头连接符 114"/>
                      <wp:cNvGraphicFramePr/>
                      <a:graphic xmlns:a="http://schemas.openxmlformats.org/drawingml/2006/main">
                        <a:graphicData uri="http://schemas.microsoft.com/office/word/2010/wordprocessingShape">
                          <wps:wsp>
                            <wps:cNvCnPr>
                              <a:stCxn id="109" idx="2"/>
                              <a:endCxn id="99" idx="0"/>
                            </wps:cNvCnPr>
                            <wps:spPr>
                              <a:xfrm flipH="1">
                                <a:off x="0" y="0"/>
                                <a:ext cx="1905" cy="313690"/>
                              </a:xfrm>
                              <a:prstGeom prst="straightConnector1">
                                <a:avLst/>
                              </a:prstGeom>
                              <a:ln w="9525" cap="flat" cmpd="sng">
                                <a:solidFill>
                                  <a:srgbClr val="5B9BD5"/>
                                </a:solidFill>
                                <a:prstDash val="solid"/>
                                <a:headEnd type="none" w="med" len="med"/>
                                <a:tailEnd type="arrow" w="med" len="med"/>
                              </a:ln>
                            </wps:spPr>
                            <wps:bodyPr/>
                          </wps:wsp>
                        </a:graphicData>
                      </a:graphic>
                    </wp:anchor>
                  </w:drawing>
                </mc:Choice>
                <mc:Fallback>
                  <w:pict>
                    <v:shape id="_x0000_s1026" o:spid="_x0000_s1026" o:spt="32" type="#_x0000_t32" style="position:absolute;left:0pt;flip:x;margin-left:213.1pt;margin-top:20.85pt;height:24.7pt;width:0.15pt;z-index:251766784;mso-width-relative:page;mso-height-relative:page;" filled="f" stroked="t" coordsize="21600,21600" o:gfxdata="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AsJpKdcAAAAJAQAADwAAAAAAAAABACAAAAAiAAAAZHJzL2Rvd25yZXYueG1sUEsBAhQA&#10;FAAAAAgAh07iQNRrvg8sAgAAQAQAAA4AAAAAAAAAAQAgAAAAJgEAAGRycy9lMm9Eb2MueG1sUEsF&#10;BgAAAAAGAAYAWQEAAMQFAAAAAA==&#10;">
                      <v:fill on="f" focussize="0,0"/>
                      <v:stroke color="#5B9BD5" joinstyle="round" endarrow="open"/>
                      <v:imagedata o:title=""/>
                      <o:lock v:ext="edit" aspectratio="f"/>
                    </v:shape>
                  </w:pict>
                </mc:Fallback>
              </mc:AlternateContent>
            </w:r>
          </w:p>
          <w:p w14:paraId="316D5680">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mc:AlternateContent>
                <mc:Choice Requires="wps">
                  <w:drawing>
                    <wp:anchor distT="0" distB="0" distL="114300" distR="114300" simplePos="0" relativeHeight="251770880" behindDoc="0" locked="0" layoutInCell="1" allowOverlap="1">
                      <wp:simplePos x="0" y="0"/>
                      <wp:positionH relativeFrom="column">
                        <wp:posOffset>4466590</wp:posOffset>
                      </wp:positionH>
                      <wp:positionV relativeFrom="paragraph">
                        <wp:posOffset>179705</wp:posOffset>
                      </wp:positionV>
                      <wp:extent cx="1085850" cy="536575"/>
                      <wp:effectExtent l="4445" t="5080" r="14605" b="10795"/>
                      <wp:wrapNone/>
                      <wp:docPr id="108" name="圆角矩形 108"/>
                      <wp:cNvGraphicFramePr/>
                      <a:graphic xmlns:a="http://schemas.openxmlformats.org/drawingml/2006/main">
                        <a:graphicData uri="http://schemas.microsoft.com/office/word/2010/wordprocessingShape">
                          <wps:wsp>
                            <wps:cNvSpPr/>
                            <wps:spPr>
                              <a:xfrm>
                                <a:off x="0" y="0"/>
                                <a:ext cx="1085850" cy="53657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4ABB66BA">
                                  <w:pPr>
                                    <w:jc w:val="center"/>
                                    <w:rPr>
                                      <w:rFonts w:hint="eastAsia" w:eastAsiaTheme="minorEastAsia"/>
                                      <w:lang w:val="en-US" w:eastAsia="zh-CN"/>
                                    </w:rPr>
                                  </w:pPr>
                                  <w:r>
                                    <w:rPr>
                                      <w:rFonts w:hint="eastAsia"/>
                                      <w:lang w:eastAsia="zh-CN"/>
                                    </w:rPr>
                                    <w:t>滤纸加温</w:t>
                                  </w:r>
                                  <w:r>
                                    <w:rPr>
                                      <w:rFonts w:hint="eastAsia"/>
                                      <w:lang w:val="en-US" w:eastAsia="zh-CN"/>
                                    </w:rPr>
                                    <w:t xml:space="preserve">    50</w:t>
                                  </w:r>
                                  <w:r>
                                    <w:rPr>
                                      <w:rFonts w:hint="eastAsia" w:ascii="宋体" w:hAnsi="宋体" w:eastAsia="宋体" w:cs="宋体"/>
                                      <w:lang w:val="en-US" w:eastAsia="zh-CN"/>
                                    </w:rPr>
                                    <w:t>±10℃</w:t>
                                  </w:r>
                                </w:p>
                              </w:txbxContent>
                            </wps:txbx>
                            <wps:bodyPr upright="1"/>
                          </wps:wsp>
                        </a:graphicData>
                      </a:graphic>
                    </wp:anchor>
                  </w:drawing>
                </mc:Choice>
                <mc:Fallback>
                  <w:pict>
                    <v:roundrect id="_x0000_s1026" o:spid="_x0000_s1026" o:spt="2" style="position:absolute;left:0pt;margin-left:351.7pt;margin-top:14.15pt;height:42.25pt;width:85.5pt;z-index:251770880;mso-width-relative:page;mso-height-relative:page;" fillcolor="#FFFFFF" filled="t" stroked="t" coordsize="21600,21600" arcsize="0.166666666666667" o:gfxdata="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OlEVe2QAAAAoBAAAPAAAAAAAAAAEAIAAAACIAAABkcnMvZG93bnJldi54bWxQSwECFAAUAAAA&#10;CACHTuJADZdDVSYCAABaBAAADgAAAAAAAAABACAAAAAoAQAAZHJzL2Uyb0RvYy54bWxQSwUGAAAA&#10;AAYABgBZAQAAwAUAAAAA&#10;">
                      <v:fill on="t" focussize="0,0"/>
                      <v:stroke color="#ED7D31" joinstyle="round"/>
                      <v:imagedata o:title=""/>
                      <o:lock v:ext="edit" aspectratio="f"/>
                      <v:textbox>
                        <w:txbxContent>
                          <w:p w14:paraId="4ABB66BA">
                            <w:pPr>
                              <w:jc w:val="center"/>
                              <w:rPr>
                                <w:rFonts w:hint="eastAsia" w:eastAsiaTheme="minorEastAsia"/>
                                <w:lang w:val="en-US" w:eastAsia="zh-CN"/>
                              </w:rPr>
                            </w:pPr>
                            <w:r>
                              <w:rPr>
                                <w:rFonts w:hint="eastAsia"/>
                                <w:lang w:eastAsia="zh-CN"/>
                              </w:rPr>
                              <w:t>滤纸加温</w:t>
                            </w:r>
                            <w:r>
                              <w:rPr>
                                <w:rFonts w:hint="eastAsia"/>
                                <w:lang w:val="en-US" w:eastAsia="zh-CN"/>
                              </w:rPr>
                              <w:t xml:space="preserve">    50</w:t>
                            </w:r>
                            <w:r>
                              <w:rPr>
                                <w:rFonts w:hint="eastAsia" w:ascii="宋体" w:hAnsi="宋体" w:eastAsia="宋体" w:cs="宋体"/>
                                <w:lang w:val="en-US" w:eastAsia="zh-CN"/>
                              </w:rPr>
                              <w:t>±10℃</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67808" behindDoc="0" locked="0" layoutInCell="1" allowOverlap="1">
                      <wp:simplePos x="0" y="0"/>
                      <wp:positionH relativeFrom="column">
                        <wp:posOffset>895350</wp:posOffset>
                      </wp:positionH>
                      <wp:positionV relativeFrom="paragraph">
                        <wp:posOffset>182245</wp:posOffset>
                      </wp:positionV>
                      <wp:extent cx="1085850" cy="536575"/>
                      <wp:effectExtent l="4445" t="5080" r="14605" b="10795"/>
                      <wp:wrapNone/>
                      <wp:docPr id="118" name="圆角矩形 118"/>
                      <wp:cNvGraphicFramePr/>
                      <a:graphic xmlns:a="http://schemas.openxmlformats.org/drawingml/2006/main">
                        <a:graphicData uri="http://schemas.microsoft.com/office/word/2010/wordprocessingShape">
                          <wps:wsp>
                            <wps:cNvSpPr/>
                            <wps:spPr>
                              <a:xfrm>
                                <a:off x="0" y="0"/>
                                <a:ext cx="1085850" cy="53657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62C0B659">
                                  <w:pPr>
                                    <w:jc w:val="center"/>
                                    <w:rPr>
                                      <w:rFonts w:hint="eastAsia" w:eastAsiaTheme="minorEastAsia"/>
                                      <w:lang w:val="en-US" w:eastAsia="zh-CN"/>
                                    </w:rPr>
                                  </w:pPr>
                                  <w:r>
                                    <w:rPr>
                                      <w:rFonts w:hint="eastAsia"/>
                                      <w:lang w:eastAsia="zh-CN"/>
                                    </w:rPr>
                                    <w:t>模具加温</w:t>
                                  </w:r>
                                  <w:r>
                                    <w:rPr>
                                      <w:rFonts w:hint="eastAsia"/>
                                      <w:lang w:val="en-US" w:eastAsia="zh-CN"/>
                                    </w:rPr>
                                    <w:t xml:space="preserve">    40</w:t>
                                  </w:r>
                                  <w:r>
                                    <w:rPr>
                                      <w:rFonts w:hint="eastAsia" w:ascii="宋体" w:hAnsi="宋体" w:eastAsia="宋体" w:cs="宋体"/>
                                      <w:lang w:val="en-US" w:eastAsia="zh-CN"/>
                                    </w:rPr>
                                    <w:t>±</w:t>
                                  </w:r>
                                  <w:r>
                                    <w:rPr>
                                      <w:rFonts w:hint="eastAsia"/>
                                      <w:lang w:val="en-US" w:eastAsia="zh-CN"/>
                                    </w:rPr>
                                    <w:t>5</w:t>
                                  </w:r>
                                  <w:r>
                                    <w:rPr>
                                      <w:rFonts w:hint="eastAsia" w:ascii="宋体" w:hAnsi="宋体" w:eastAsia="宋体" w:cs="宋体"/>
                                      <w:lang w:val="en-US" w:eastAsia="zh-CN"/>
                                    </w:rPr>
                                    <w:t>℃</w:t>
                                  </w:r>
                                </w:p>
                              </w:txbxContent>
                            </wps:txbx>
                            <wps:bodyPr upright="1"/>
                          </wps:wsp>
                        </a:graphicData>
                      </a:graphic>
                    </wp:anchor>
                  </w:drawing>
                </mc:Choice>
                <mc:Fallback>
                  <w:pict>
                    <v:roundrect id="_x0000_s1026" o:spid="_x0000_s1026" o:spt="2" style="position:absolute;left:0pt;margin-left:70.5pt;margin-top:14.35pt;height:42.25pt;width:85.5pt;z-index:251767808;mso-width-relative:page;mso-height-relative:page;" fillcolor="#FFFFFF" filled="t" stroked="t" coordsize="21600,21600" arcsize="0.166666666666667" o:gfxdata="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tLu692AAAAAoBAAAPAAAAAAAAAAEAIAAAACIAAABkcnMvZG93bnJldi54bWxQSwECFAAUAAAA&#10;CACHTuJAsnZAxicCAABaBAAADgAAAAAAAAABACAAAAAnAQAAZHJzL2Uyb0RvYy54bWxQSwUGAAAA&#10;AAYABgBZAQAAwAUAAAAA&#10;">
                      <v:fill on="t" focussize="0,0"/>
                      <v:stroke color="#ED7D31" joinstyle="round"/>
                      <v:imagedata o:title=""/>
                      <o:lock v:ext="edit" aspectratio="f"/>
                      <v:textbox>
                        <w:txbxContent>
                          <w:p w14:paraId="62C0B659">
                            <w:pPr>
                              <w:jc w:val="center"/>
                              <w:rPr>
                                <w:rFonts w:hint="eastAsia" w:eastAsiaTheme="minorEastAsia"/>
                                <w:lang w:val="en-US" w:eastAsia="zh-CN"/>
                              </w:rPr>
                            </w:pPr>
                            <w:r>
                              <w:rPr>
                                <w:rFonts w:hint="eastAsia"/>
                                <w:lang w:eastAsia="zh-CN"/>
                              </w:rPr>
                              <w:t>模具加温</w:t>
                            </w:r>
                            <w:r>
                              <w:rPr>
                                <w:rFonts w:hint="eastAsia"/>
                                <w:lang w:val="en-US" w:eastAsia="zh-CN"/>
                              </w:rPr>
                              <w:t xml:space="preserve">    40</w:t>
                            </w:r>
                            <w:r>
                              <w:rPr>
                                <w:rFonts w:hint="eastAsia" w:ascii="宋体" w:hAnsi="宋体" w:eastAsia="宋体" w:cs="宋体"/>
                                <w:lang w:val="en-US" w:eastAsia="zh-CN"/>
                              </w:rPr>
                              <w:t>±</w:t>
                            </w:r>
                            <w:r>
                              <w:rPr>
                                <w:rFonts w:hint="eastAsia"/>
                                <w:lang w:val="en-US" w:eastAsia="zh-CN"/>
                              </w:rPr>
                              <w:t>5</w:t>
                            </w:r>
                            <w:r>
                              <w:rPr>
                                <w:rFonts w:hint="eastAsia" w:ascii="宋体" w:hAnsi="宋体" w:eastAsia="宋体" w:cs="宋体"/>
                                <w:lang w:val="en-US" w:eastAsia="zh-CN"/>
                              </w:rPr>
                              <w:t>℃</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68832" behindDoc="0" locked="0" layoutInCell="1" allowOverlap="1">
                      <wp:simplePos x="0" y="0"/>
                      <wp:positionH relativeFrom="column">
                        <wp:posOffset>2254885</wp:posOffset>
                      </wp:positionH>
                      <wp:positionV relativeFrom="paragraph">
                        <wp:posOffset>248285</wp:posOffset>
                      </wp:positionV>
                      <wp:extent cx="902970" cy="381635"/>
                      <wp:effectExtent l="4445" t="4445" r="6985" b="13970"/>
                      <wp:wrapNone/>
                      <wp:docPr id="99" name="圆角矩形 99"/>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6CB0D45A">
                                  <w:pPr>
                                    <w:jc w:val="center"/>
                                    <w:rPr>
                                      <w:rFonts w:hint="eastAsia" w:eastAsiaTheme="minorEastAsia"/>
                                      <w:lang w:eastAsia="zh-CN"/>
                                    </w:rPr>
                                  </w:pPr>
                                  <w:r>
                                    <w:rPr>
                                      <w:rFonts w:hint="eastAsia"/>
                                      <w:lang w:eastAsia="zh-CN"/>
                                    </w:rPr>
                                    <w:t>注胶</w:t>
                                  </w:r>
                                </w:p>
                              </w:txbxContent>
                            </wps:txbx>
                            <wps:bodyPr upright="1"/>
                          </wps:wsp>
                        </a:graphicData>
                      </a:graphic>
                    </wp:anchor>
                  </w:drawing>
                </mc:Choice>
                <mc:Fallback>
                  <w:pict>
                    <v:roundrect id="_x0000_s1026" o:spid="_x0000_s1026" o:spt="2" style="position:absolute;left:0pt;margin-left:177.55pt;margin-top:19.55pt;height:30.05pt;width:71.1pt;z-index:251768832;mso-width-relative:page;mso-height-relative:page;" fillcolor="#FFFFFF" filled="t" stroked="t" coordsize="21600,21600" arcsize="0.166666666666667" o:gfxdata="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MG7Ht7ZAAAACQEAAA8AAAAAAAAAAQAgAAAAIgAAAGRycy9kb3ducmV2LnhtbFBLAQIUABQAAAAI&#10;AIdO4kAbWQfFJQIAAFcEAAAOAAAAAAAAAAEAIAAAACgBAABkcnMvZTJvRG9jLnhtbFBLBQYAAAAA&#10;BgAGAFkBAAC/BQAAAAA=&#10;">
                      <v:fill on="t" focussize="0,0"/>
                      <v:stroke color="#ED7D31" joinstyle="round"/>
                      <v:imagedata o:title=""/>
                      <o:lock v:ext="edit" aspectratio="f"/>
                      <v:textbox>
                        <w:txbxContent>
                          <w:p w14:paraId="6CB0D45A">
                            <w:pPr>
                              <w:jc w:val="center"/>
                              <w:rPr>
                                <w:rFonts w:hint="eastAsia" w:eastAsiaTheme="minorEastAsia"/>
                                <w:lang w:eastAsia="zh-CN"/>
                              </w:rPr>
                            </w:pPr>
                            <w:r>
                              <w:rPr>
                                <w:rFonts w:hint="eastAsia"/>
                                <w:lang w:eastAsia="zh-CN"/>
                              </w:rPr>
                              <w:t>注胶</w:t>
                            </w:r>
                          </w:p>
                        </w:txbxContent>
                      </v:textbox>
                    </v:roundrect>
                  </w:pict>
                </mc:Fallback>
              </mc:AlternateContent>
            </w:r>
          </w:p>
          <w:p w14:paraId="04124D5E">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61312" behindDoc="0" locked="0" layoutInCell="1" allowOverlap="1">
                      <wp:simplePos x="0" y="0"/>
                      <wp:positionH relativeFrom="column">
                        <wp:posOffset>454025</wp:posOffset>
                      </wp:positionH>
                      <wp:positionV relativeFrom="paragraph">
                        <wp:posOffset>107315</wp:posOffset>
                      </wp:positionV>
                      <wp:extent cx="273685" cy="0"/>
                      <wp:effectExtent l="0" t="48895" r="12065" b="65405"/>
                      <wp:wrapNone/>
                      <wp:docPr id="209" name="直接箭头连接符 209"/>
                      <wp:cNvGraphicFramePr/>
                      <a:graphic xmlns:a="http://schemas.openxmlformats.org/drawingml/2006/main">
                        <a:graphicData uri="http://schemas.microsoft.com/office/word/2010/wordprocessingShape">
                          <wps:wsp>
                            <wps:cNvCnPr/>
                            <wps:spPr>
                              <a:xfrm flipH="1">
                                <a:off x="1066165" y="3475355"/>
                                <a:ext cx="273685" cy="0"/>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35.75pt;margin-top:8.45pt;height:0pt;width:21.55pt;z-index:251661312;mso-width-relative:page;mso-height-relative:page;" filled="f" stroked="t" coordsize="21600,21600" o:gfxdata="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uHLJo1QAA&#10;AAgBAAAPAAAAAAAAAAEAIAAAACIAAABkcnMvZG93bnJldi54bWxQSwECFAAUAAAACACHTuJA5s2r&#10;oiECAAD2AwAADgAAAAAAAAABACAAAAAkAQAAZHJzL2Uyb0RvYy54bWxQSwUGAAAAAAYABgBZAQAA&#10;twUAAAAA&#10;">
                      <v:fill on="f" focussize="0,0"/>
                      <v:stroke weight="0.5pt" color="#5B9BD5 [3204]" miterlimit="8" joinstyle="miter" dashstyle="dash"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72928" behindDoc="0" locked="0" layoutInCell="1" allowOverlap="1">
                      <wp:simplePos x="0" y="0"/>
                      <wp:positionH relativeFrom="column">
                        <wp:posOffset>2704465</wp:posOffset>
                      </wp:positionH>
                      <wp:positionV relativeFrom="paragraph">
                        <wp:posOffset>299720</wp:posOffset>
                      </wp:positionV>
                      <wp:extent cx="1905" cy="307975"/>
                      <wp:effectExtent l="48895" t="0" r="63500" b="15875"/>
                      <wp:wrapNone/>
                      <wp:docPr id="120" name="直接连接符 120"/>
                      <wp:cNvGraphicFramePr/>
                      <a:graphic xmlns:a="http://schemas.openxmlformats.org/drawingml/2006/main">
                        <a:graphicData uri="http://schemas.microsoft.com/office/word/2010/wordprocessingShape">
                          <wps:wsp>
                            <wps:cNvCnPr>
                              <a:stCxn id="99" idx="2"/>
                              <a:endCxn id="26" idx="0"/>
                            </wps:cNvCnPr>
                            <wps:spPr>
                              <a:xfrm flipH="1">
                                <a:off x="0" y="0"/>
                                <a:ext cx="1905" cy="307975"/>
                              </a:xfrm>
                              <a:prstGeom prst="line">
                                <a:avLst/>
                              </a:prstGeom>
                              <a:ln w="9525" cap="flat" cmpd="sng">
                                <a:solidFill>
                                  <a:srgbClr val="5B9BD5"/>
                                </a:solidFill>
                                <a:prstDash val="solid"/>
                                <a:headEnd type="none" w="med" len="med"/>
                                <a:tailEnd type="arrow" w="med" len="med"/>
                              </a:ln>
                            </wps:spPr>
                            <wps:bodyPr upright="1"/>
                          </wps:wsp>
                        </a:graphicData>
                      </a:graphic>
                    </wp:anchor>
                  </w:drawing>
                </mc:Choice>
                <mc:Fallback>
                  <w:pict>
                    <v:line id="_x0000_s1026" o:spid="_x0000_s1026" o:spt="20" style="position:absolute;left:0pt;flip:x;margin-left:212.95pt;margin-top:23.6pt;height:24.25pt;width:0.15pt;z-index:251772928;mso-width-relative:page;mso-height-relative:page;" filled="f" stroked="t" coordsize="21600,21600" o:gfxdata="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8&#10;1tTA2QAAAAkBAAAPAAAAAAAAAAEAIAAAACIAAABkcnMvZG93bnJldi54bWxQSwECFAAUAAAACACH&#10;TuJAbG6yQiMCAAA3BAAADgAAAAAAAAABACAAAAAoAQAAZHJzL2Uyb0RvYy54bWxQSwUGAAAAAAYA&#10;BgBZAQAAvQUAAAAA&#10;">
                      <v:fill on="f" focussize="0,0"/>
                      <v:stroke color="#5B9BD5" joinstyle="round" endarrow="open"/>
                      <v:imagedata o:title=""/>
                      <o:lock v:ext="edit" aspectratio="f"/>
                    </v:lin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71904" behindDoc="0" locked="0" layoutInCell="1" allowOverlap="1">
                      <wp:simplePos x="0" y="0"/>
                      <wp:positionH relativeFrom="column">
                        <wp:posOffset>3157855</wp:posOffset>
                      </wp:positionH>
                      <wp:positionV relativeFrom="paragraph">
                        <wp:posOffset>109220</wp:posOffset>
                      </wp:positionV>
                      <wp:extent cx="1308735" cy="8890"/>
                      <wp:effectExtent l="0" t="48260" r="5715" b="57150"/>
                      <wp:wrapNone/>
                      <wp:docPr id="24" name="直接连接符 24"/>
                      <wp:cNvGraphicFramePr/>
                      <a:graphic xmlns:a="http://schemas.openxmlformats.org/drawingml/2006/main">
                        <a:graphicData uri="http://schemas.microsoft.com/office/word/2010/wordprocessingShape">
                          <wps:wsp>
                            <wps:cNvCnPr>
                              <a:stCxn id="108" idx="1"/>
                              <a:endCxn id="99" idx="3"/>
                            </wps:cNvCnPr>
                            <wps:spPr>
                              <a:xfrm flipH="1" flipV="1">
                                <a:off x="0" y="0"/>
                                <a:ext cx="1308735" cy="8890"/>
                              </a:xfrm>
                              <a:prstGeom prst="line">
                                <a:avLst/>
                              </a:prstGeom>
                              <a:ln w="9525" cap="flat" cmpd="sng">
                                <a:solidFill>
                                  <a:srgbClr val="5B9BD5"/>
                                </a:solidFill>
                                <a:prstDash val="solid"/>
                                <a:headEnd type="none" w="med" len="med"/>
                                <a:tailEnd type="arrow" w="med" len="med"/>
                              </a:ln>
                            </wps:spPr>
                            <wps:bodyPr upright="1"/>
                          </wps:wsp>
                        </a:graphicData>
                      </a:graphic>
                    </wp:anchor>
                  </w:drawing>
                </mc:Choice>
                <mc:Fallback>
                  <w:pict>
                    <v:line id="_x0000_s1026" o:spid="_x0000_s1026" o:spt="20" style="position:absolute;left:0pt;flip:x y;margin-left:248.65pt;margin-top:8.6pt;height:0.7pt;width:103.05pt;z-index:251771904;mso-width-relative:page;mso-height-relative:page;" filled="f" stroked="t" coordsize="21600,21600" o:gfxdata="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uYBubaAAAACQEAAA8AAAAAAAAAAQAgAAAAIgAAAGRycy9kb3ducmV2LnhtbFBLAQIU&#10;ABQAAAAIAIdO4kCmwXV2KgIAAEEEAAAOAAAAAAAAAAEAIAAAACkBAABkcnMvZTJvRG9jLnhtbFBL&#10;BQYAAAAABgAGAFkBAADFBQAAAAA=&#10;">
                      <v:fill on="f" focussize="0,0"/>
                      <v:stroke color="#5B9BD5" joinstyle="round" endarrow="open"/>
                      <v:imagedata o:title=""/>
                      <o:lock v:ext="edit" aspectratio="f"/>
                    </v:lin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69856" behindDoc="0" locked="0" layoutInCell="1" allowOverlap="1">
                      <wp:simplePos x="0" y="0"/>
                      <wp:positionH relativeFrom="column">
                        <wp:posOffset>1981200</wp:posOffset>
                      </wp:positionH>
                      <wp:positionV relativeFrom="paragraph">
                        <wp:posOffset>109220</wp:posOffset>
                      </wp:positionV>
                      <wp:extent cx="273685" cy="11430"/>
                      <wp:effectExtent l="0" t="45720" r="12065" b="57150"/>
                      <wp:wrapNone/>
                      <wp:docPr id="110" name="直接连接符 110"/>
                      <wp:cNvGraphicFramePr/>
                      <a:graphic xmlns:a="http://schemas.openxmlformats.org/drawingml/2006/main">
                        <a:graphicData uri="http://schemas.microsoft.com/office/word/2010/wordprocessingShape">
                          <wps:wsp>
                            <wps:cNvCnPr>
                              <a:stCxn id="118" idx="3"/>
                              <a:endCxn id="99" idx="1"/>
                            </wps:cNvCnPr>
                            <wps:spPr>
                              <a:xfrm flipV="1">
                                <a:off x="0" y="0"/>
                                <a:ext cx="273685" cy="11430"/>
                              </a:xfrm>
                              <a:prstGeom prst="line">
                                <a:avLst/>
                              </a:prstGeom>
                              <a:ln w="9525" cap="flat" cmpd="sng">
                                <a:solidFill>
                                  <a:srgbClr val="5B9BD5"/>
                                </a:solidFill>
                                <a:prstDash val="solid"/>
                                <a:headEnd type="none" w="med" len="med"/>
                                <a:tailEnd type="arrow" w="med" len="med"/>
                              </a:ln>
                            </wps:spPr>
                            <wps:bodyPr upright="1"/>
                          </wps:wsp>
                        </a:graphicData>
                      </a:graphic>
                    </wp:anchor>
                  </w:drawing>
                </mc:Choice>
                <mc:Fallback>
                  <w:pict>
                    <v:line id="_x0000_s1026" o:spid="_x0000_s1026" o:spt="20" style="position:absolute;left:0pt;flip:y;margin-left:156pt;margin-top:8.6pt;height:0.9pt;width:21.55pt;z-index:251769856;mso-width-relative:page;mso-height-relative:page;" filled="f" stroked="t" coordsize="21600,21600" o:gfxdata="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FFEZdkAAAAJAQAADwAAAAAAAAABACAAAAAiAAAAZHJzL2Rvd25yZXYueG1sUEsBAhQAFAAAAAgA&#10;h07iQMPvJUkkAgAAOQQAAA4AAAAAAAAAAQAgAAAAKAEAAGRycy9lMm9Eb2MueG1sUEsFBgAAAAAG&#10;AAYAWQEAAL4FAAAAAA==&#10;">
                      <v:fill on="f" focussize="0,0"/>
                      <v:stroke color="#5B9BD5" joinstyle="round" endarrow="open"/>
                      <v:imagedata o:title=""/>
                      <o:lock v:ext="edit" aspectratio="f"/>
                    </v:line>
                  </w:pict>
                </mc:Fallback>
              </mc:AlternateContent>
            </w:r>
          </w:p>
          <w:p w14:paraId="48174DB6">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mc:AlternateContent>
                <mc:Choice Requires="wps">
                  <w:drawing>
                    <wp:anchor distT="0" distB="0" distL="114300" distR="114300" simplePos="0" relativeHeight="251773952" behindDoc="0" locked="0" layoutInCell="1" allowOverlap="1">
                      <wp:simplePos x="0" y="0"/>
                      <wp:positionH relativeFrom="column">
                        <wp:posOffset>2252980</wp:posOffset>
                      </wp:positionH>
                      <wp:positionV relativeFrom="paragraph">
                        <wp:posOffset>277495</wp:posOffset>
                      </wp:positionV>
                      <wp:extent cx="902970" cy="381635"/>
                      <wp:effectExtent l="4445" t="4445" r="6985" b="13970"/>
                      <wp:wrapNone/>
                      <wp:docPr id="26" name="圆角矩形 26"/>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48646784">
                                  <w:pPr>
                                    <w:jc w:val="center"/>
                                    <w:rPr>
                                      <w:rFonts w:hint="eastAsia" w:eastAsiaTheme="minorEastAsia"/>
                                      <w:lang w:eastAsia="zh-CN"/>
                                    </w:rPr>
                                  </w:pPr>
                                  <w:r>
                                    <w:rPr>
                                      <w:rFonts w:hint="eastAsia"/>
                                      <w:lang w:eastAsia="zh-CN"/>
                                    </w:rPr>
                                    <w:t>定型</w:t>
                                  </w:r>
                                </w:p>
                              </w:txbxContent>
                            </wps:txbx>
                            <wps:bodyPr upright="1"/>
                          </wps:wsp>
                        </a:graphicData>
                      </a:graphic>
                    </wp:anchor>
                  </w:drawing>
                </mc:Choice>
                <mc:Fallback>
                  <w:pict>
                    <v:roundrect id="_x0000_s1026" o:spid="_x0000_s1026" o:spt="2" style="position:absolute;left:0pt;margin-left:177.4pt;margin-top:21.85pt;height:30.05pt;width:71.1pt;z-index:251773952;mso-width-relative:page;mso-height-relative:page;" fillcolor="#FFFFFF" filled="t" stroked="t" coordsize="21600,21600" arcsize="0.166666666666667" o:gfxdata="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Y8JajZAAAACgEAAA8AAAAAAAAAAQAgAAAAIgAAAGRycy9kb3ducmV2LnhtbFBLAQIUABQAAAAI&#10;AIdO4kB6pDfCJQIAAFcEAAAOAAAAAAAAAAEAIAAAACgBAABkcnMvZTJvRG9jLnhtbFBLBQYAAAAA&#10;BgAGAFkBAAC/BQAAAAA=&#10;">
                      <v:fill on="t" focussize="0,0"/>
                      <v:stroke color="#ED7D31" joinstyle="round"/>
                      <v:imagedata o:title=""/>
                      <o:lock v:ext="edit" aspectratio="f"/>
                      <v:textbox>
                        <w:txbxContent>
                          <w:p w14:paraId="48646784">
                            <w:pPr>
                              <w:jc w:val="center"/>
                              <w:rPr>
                                <w:rFonts w:hint="eastAsia" w:eastAsiaTheme="minorEastAsia"/>
                                <w:lang w:eastAsia="zh-CN"/>
                              </w:rPr>
                            </w:pPr>
                            <w:r>
                              <w:rPr>
                                <w:rFonts w:hint="eastAsia"/>
                                <w:lang w:eastAsia="zh-CN"/>
                              </w:rPr>
                              <w:t>定型</w:t>
                            </w:r>
                          </w:p>
                        </w:txbxContent>
                      </v:textbox>
                    </v:roundrect>
                  </w:pict>
                </mc:Fallback>
              </mc:AlternateContent>
            </w:r>
          </w:p>
          <w:p w14:paraId="72F56D7F">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mc:AlternateContent>
                <mc:Choice Requires="wps">
                  <w:drawing>
                    <wp:anchor distT="0" distB="0" distL="114300" distR="114300" simplePos="0" relativeHeight="251780096" behindDoc="0" locked="0" layoutInCell="1" allowOverlap="1">
                      <wp:simplePos x="0" y="0"/>
                      <wp:positionH relativeFrom="column">
                        <wp:posOffset>2693670</wp:posOffset>
                      </wp:positionH>
                      <wp:positionV relativeFrom="paragraph">
                        <wp:posOffset>328930</wp:posOffset>
                      </wp:positionV>
                      <wp:extent cx="10795" cy="287020"/>
                      <wp:effectExtent l="45720" t="0" r="57785" b="17780"/>
                      <wp:wrapNone/>
                      <wp:docPr id="98" name="直接箭头连接符 98"/>
                      <wp:cNvGraphicFramePr/>
                      <a:graphic xmlns:a="http://schemas.openxmlformats.org/drawingml/2006/main">
                        <a:graphicData uri="http://schemas.microsoft.com/office/word/2010/wordprocessingShape">
                          <wps:wsp>
                            <wps:cNvCnPr>
                              <a:stCxn id="26" idx="2"/>
                              <a:endCxn id="111" idx="0"/>
                            </wps:cNvCnPr>
                            <wps:spPr>
                              <a:xfrm flipH="1">
                                <a:off x="0" y="0"/>
                                <a:ext cx="10795" cy="287020"/>
                              </a:xfrm>
                              <a:prstGeom prst="straightConnector1">
                                <a:avLst/>
                              </a:prstGeom>
                              <a:ln w="9525" cap="flat" cmpd="sng">
                                <a:solidFill>
                                  <a:srgbClr val="5B9BD5"/>
                                </a:solidFill>
                                <a:prstDash val="solid"/>
                                <a:headEnd type="none" w="med" len="med"/>
                                <a:tailEnd type="arrow" w="med" len="med"/>
                              </a:ln>
                            </wps:spPr>
                            <wps:bodyPr/>
                          </wps:wsp>
                        </a:graphicData>
                      </a:graphic>
                    </wp:anchor>
                  </w:drawing>
                </mc:Choice>
                <mc:Fallback>
                  <w:pict>
                    <v:shape id="_x0000_s1026" o:spid="_x0000_s1026" o:spt="32" type="#_x0000_t32" style="position:absolute;left:0pt;flip:x;margin-left:212.1pt;margin-top:25.9pt;height:22.6pt;width:0.85pt;z-index:251780096;mso-width-relative:page;mso-height-relative:page;" filled="f" stroked="t" coordsize="21600,21600" o:gfxdata="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BtccObZAAAACQEAAA8AAAAAAAAAAQAgAAAAIgAAAGRycy9kb3ducmV2LnhtbFBL&#10;AQIUABQAAAAIAIdO4kB5FGv1LgIAAD8EAAAOAAAAAAAAAAEAIAAAACgBAABkcnMvZTJvRG9jLnht&#10;bFBLBQYAAAAABgAGAFkBAADIBQAAAAA=&#10;">
                      <v:fill on="f" focussize="0,0"/>
                      <v:stroke color="#5B9BD5" joinstyle="round" endarrow="open"/>
                      <v:imagedata o:title=""/>
                      <o:lock v:ext="edit" aspectratio="f"/>
                    </v:shape>
                  </w:pict>
                </mc:Fallback>
              </mc:AlternateContent>
            </w:r>
          </w:p>
          <w:p w14:paraId="3324ED9E">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mc:AlternateContent>
                <mc:Choice Requires="wps">
                  <w:drawing>
                    <wp:anchor distT="0" distB="0" distL="114300" distR="114300" simplePos="0" relativeHeight="251781120" behindDoc="0" locked="0" layoutInCell="1" allowOverlap="1">
                      <wp:simplePos x="0" y="0"/>
                      <wp:positionH relativeFrom="column">
                        <wp:posOffset>2183765</wp:posOffset>
                      </wp:positionH>
                      <wp:positionV relativeFrom="paragraph">
                        <wp:posOffset>285750</wp:posOffset>
                      </wp:positionV>
                      <wp:extent cx="1019810" cy="381635"/>
                      <wp:effectExtent l="4445" t="4445" r="23495" b="13970"/>
                      <wp:wrapNone/>
                      <wp:docPr id="111" name="圆角矩形 111"/>
                      <wp:cNvGraphicFramePr/>
                      <a:graphic xmlns:a="http://schemas.openxmlformats.org/drawingml/2006/main">
                        <a:graphicData uri="http://schemas.microsoft.com/office/word/2010/wordprocessingShape">
                          <wps:wsp>
                            <wps:cNvSpPr/>
                            <wps:spPr>
                              <a:xfrm>
                                <a:off x="0" y="0"/>
                                <a:ext cx="101981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36B68BC9">
                                  <w:pPr>
                                    <w:jc w:val="center"/>
                                    <w:rPr>
                                      <w:rFonts w:hint="eastAsia" w:eastAsiaTheme="minorEastAsia"/>
                                      <w:lang w:val="en-US" w:eastAsia="zh-CN"/>
                                    </w:rPr>
                                  </w:pPr>
                                  <w:r>
                                    <w:rPr>
                                      <w:rFonts w:hint="eastAsia"/>
                                      <w:lang w:eastAsia="zh-CN"/>
                                    </w:rPr>
                                    <w:t>固化</w:t>
                                  </w:r>
                                  <w:r>
                                    <w:rPr>
                                      <w:rFonts w:hint="eastAsia"/>
                                      <w:lang w:val="en-US" w:eastAsia="zh-CN"/>
                                    </w:rPr>
                                    <w:t>60</w:t>
                                  </w:r>
                                  <w:r>
                                    <w:rPr>
                                      <w:rFonts w:hint="eastAsia" w:ascii="宋体" w:hAnsi="宋体" w:eastAsia="宋体" w:cs="宋体"/>
                                      <w:lang w:val="en-US" w:eastAsia="zh-CN"/>
                                    </w:rPr>
                                    <w:t>±</w:t>
                                  </w:r>
                                  <w:r>
                                    <w:rPr>
                                      <w:rFonts w:hint="eastAsia"/>
                                      <w:lang w:val="en-US" w:eastAsia="zh-CN"/>
                                    </w:rPr>
                                    <w:t>5</w:t>
                                  </w:r>
                                  <w:r>
                                    <w:rPr>
                                      <w:rFonts w:hint="eastAsia" w:ascii="宋体" w:hAnsi="宋体" w:eastAsia="宋体" w:cs="宋体"/>
                                      <w:lang w:val="en-US" w:eastAsia="zh-CN"/>
                                    </w:rPr>
                                    <w:t>℃</w:t>
                                  </w:r>
                                </w:p>
                              </w:txbxContent>
                            </wps:txbx>
                            <wps:bodyPr upright="1"/>
                          </wps:wsp>
                        </a:graphicData>
                      </a:graphic>
                    </wp:anchor>
                  </w:drawing>
                </mc:Choice>
                <mc:Fallback>
                  <w:pict>
                    <v:roundrect id="_x0000_s1026" o:spid="_x0000_s1026" o:spt="2" style="position:absolute;left:0pt;margin-left:171.95pt;margin-top:22.5pt;height:30.05pt;width:80.3pt;z-index:251781120;mso-width-relative:page;mso-height-relative:page;" fillcolor="#FFFFFF" filled="t" stroked="t" coordsize="21600,21600" arcsize="0.166666666666667" o:gfxdata="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zxd6b2AAAAAoBAAAPAAAAAAAAAAEAIAAAACIAAABkcnMvZG93bnJldi54bWxQSwECFAAU&#10;AAAACACHTuJAnA/rgSoCAABaBAAADgAAAAAAAAABACAAAAAnAQAAZHJzL2Uyb0RvYy54bWxQSwUG&#10;AAAAAAYABgBZAQAAwwUAAAAA&#10;">
                      <v:fill on="t" focussize="0,0"/>
                      <v:stroke color="#ED7D31" joinstyle="round"/>
                      <v:imagedata o:title=""/>
                      <o:lock v:ext="edit" aspectratio="f"/>
                      <v:textbox>
                        <w:txbxContent>
                          <w:p w14:paraId="36B68BC9">
                            <w:pPr>
                              <w:jc w:val="center"/>
                              <w:rPr>
                                <w:rFonts w:hint="eastAsia" w:eastAsiaTheme="minorEastAsia"/>
                                <w:lang w:val="en-US" w:eastAsia="zh-CN"/>
                              </w:rPr>
                            </w:pPr>
                            <w:r>
                              <w:rPr>
                                <w:rFonts w:hint="eastAsia"/>
                                <w:lang w:eastAsia="zh-CN"/>
                              </w:rPr>
                              <w:t>固化</w:t>
                            </w:r>
                            <w:r>
                              <w:rPr>
                                <w:rFonts w:hint="eastAsia"/>
                                <w:lang w:val="en-US" w:eastAsia="zh-CN"/>
                              </w:rPr>
                              <w:t>60</w:t>
                            </w:r>
                            <w:r>
                              <w:rPr>
                                <w:rFonts w:hint="eastAsia" w:ascii="宋体" w:hAnsi="宋体" w:eastAsia="宋体" w:cs="宋体"/>
                                <w:lang w:val="en-US" w:eastAsia="zh-CN"/>
                              </w:rPr>
                              <w:t>±</w:t>
                            </w:r>
                            <w:r>
                              <w:rPr>
                                <w:rFonts w:hint="eastAsia"/>
                                <w:lang w:val="en-US" w:eastAsia="zh-CN"/>
                              </w:rPr>
                              <w:t>5</w:t>
                            </w:r>
                            <w:r>
                              <w:rPr>
                                <w:rFonts w:hint="eastAsia" w:ascii="宋体" w:hAnsi="宋体" w:eastAsia="宋体" w:cs="宋体"/>
                                <w:lang w:val="en-US" w:eastAsia="zh-CN"/>
                              </w:rPr>
                              <w:t>℃</w:t>
                            </w:r>
                          </w:p>
                        </w:txbxContent>
                      </v:textbox>
                    </v:roundrect>
                  </w:pict>
                </mc:Fallback>
              </mc:AlternateContent>
            </w:r>
          </w:p>
          <w:p w14:paraId="15CC219E">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p>
          <w:p w14:paraId="04B6B4BC">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783168" behindDoc="0" locked="0" layoutInCell="1" allowOverlap="1">
                      <wp:simplePos x="0" y="0"/>
                      <wp:positionH relativeFrom="column">
                        <wp:posOffset>760730</wp:posOffset>
                      </wp:positionH>
                      <wp:positionV relativeFrom="paragraph">
                        <wp:posOffset>223520</wp:posOffset>
                      </wp:positionV>
                      <wp:extent cx="929005" cy="405130"/>
                      <wp:effectExtent l="0" t="0" r="0" b="0"/>
                      <wp:wrapNone/>
                      <wp:docPr id="218" name="矩形 218"/>
                      <wp:cNvGraphicFramePr/>
                      <a:graphic xmlns:a="http://schemas.openxmlformats.org/drawingml/2006/main">
                        <a:graphicData uri="http://schemas.microsoft.com/office/word/2010/wordprocessingShape">
                          <wps:wsp>
                            <wps:cNvSpPr/>
                            <wps:spPr>
                              <a:xfrm>
                                <a:off x="0" y="0"/>
                                <a:ext cx="929005" cy="4051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05681AD">
                                  <w:pPr>
                                    <w:jc w:val="center"/>
                                    <w:rPr>
                                      <w:rFonts w:hint="eastAsia" w:eastAsia="宋体"/>
                                      <w:color w:val="auto"/>
                                      <w:lang w:val="en-US" w:eastAsia="zh-CN"/>
                                    </w:rPr>
                                  </w:pPr>
                                  <w:r>
                                    <w:rPr>
                                      <w:rFonts w:hint="eastAsia"/>
                                      <w:color w:val="auto"/>
                                      <w:lang w:val="en-US" w:eastAsia="zh-CN"/>
                                    </w:rPr>
                                    <w:t>噪声、固废</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59.9pt;margin-top:17.6pt;height:31.9pt;width:73.15pt;z-index:251783168;v-text-anchor:middle;mso-width-relative:page;mso-height-relative:page;" filled="f" stroked="f" coordsize="21600,21600" o:gfxdata="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B8Fz9fWAAAACQEAAA8AAAAAAAAAAQAgAAAAIgAAAGRycy9kb3ducmV2LnhtbFBLAQIUABQAAAAI&#10;AIdO4kCTCR0mYQIAALAEAAAOAAAAAAAAAAEAIAAAACUBAABkcnMvZTJvRG9jLnhtbFBLBQYAAAAA&#10;BgAGAFkBAAD4BQAAAAA=&#10;">
                      <v:fill on="f" focussize="0,0"/>
                      <v:stroke on="f" weight="1pt" miterlimit="8" joinstyle="miter"/>
                      <v:imagedata o:title=""/>
                      <o:lock v:ext="edit" aspectratio="f"/>
                      <v:textbox>
                        <w:txbxContent>
                          <w:p w14:paraId="605681AD">
                            <w:pPr>
                              <w:jc w:val="center"/>
                              <w:rPr>
                                <w:rFonts w:hint="eastAsia" w:eastAsia="宋体"/>
                                <w:color w:val="auto"/>
                                <w:lang w:val="en-US" w:eastAsia="zh-CN"/>
                              </w:rPr>
                            </w:pPr>
                            <w:r>
                              <w:rPr>
                                <w:rFonts w:hint="eastAsia"/>
                                <w:color w:val="auto"/>
                                <w:lang w:val="en-US" w:eastAsia="zh-CN"/>
                              </w:rPr>
                              <w:t>噪声、固废</w:t>
                            </w:r>
                          </w:p>
                        </w:txbxContent>
                      </v:textbox>
                    </v: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93408" behindDoc="0" locked="0" layoutInCell="1" allowOverlap="1">
                      <wp:simplePos x="0" y="0"/>
                      <wp:positionH relativeFrom="column">
                        <wp:posOffset>2233295</wp:posOffset>
                      </wp:positionH>
                      <wp:positionV relativeFrom="paragraph">
                        <wp:posOffset>233045</wp:posOffset>
                      </wp:positionV>
                      <wp:extent cx="902970" cy="381635"/>
                      <wp:effectExtent l="4445" t="4445" r="6985" b="13970"/>
                      <wp:wrapNone/>
                      <wp:docPr id="112" name="圆角矩形 112"/>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1399F2B0">
                                  <w:pPr>
                                    <w:jc w:val="center"/>
                                    <w:rPr>
                                      <w:rFonts w:hint="eastAsia" w:eastAsiaTheme="minorEastAsia"/>
                                      <w:lang w:eastAsia="zh-CN"/>
                                    </w:rPr>
                                  </w:pPr>
                                  <w:r>
                                    <w:rPr>
                                      <w:rFonts w:hint="eastAsia"/>
                                      <w:lang w:eastAsia="zh-CN"/>
                                    </w:rPr>
                                    <w:t>脱模</w:t>
                                  </w:r>
                                </w:p>
                                <w:p w14:paraId="1D01C8E5">
                                  <w:pPr>
                                    <w:rPr>
                                      <w:rFonts w:hint="eastAsia"/>
                                      <w:lang w:eastAsia="zh-CN"/>
                                    </w:rPr>
                                  </w:pPr>
                                </w:p>
                              </w:txbxContent>
                            </wps:txbx>
                            <wps:bodyPr upright="1"/>
                          </wps:wsp>
                        </a:graphicData>
                      </a:graphic>
                    </wp:anchor>
                  </w:drawing>
                </mc:Choice>
                <mc:Fallback>
                  <w:pict>
                    <v:roundrect id="_x0000_s1026" o:spid="_x0000_s1026" o:spt="2" style="position:absolute;left:0pt;margin-left:175.85pt;margin-top:18.35pt;height:30.05pt;width:71.1pt;z-index:251793408;mso-width-relative:page;mso-height-relative:page;" fillcolor="#FFFFFF" filled="t" stroked="t" coordsize="21600,21600" arcsize="0.166666666666667" o:gfxdata="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Cs22+NkAAAAJAQAADwAAAAAAAAABACAAAAAiAAAAZHJzL2Rvd25yZXYueG1sUEsBAhQAFAAA&#10;AAgAh07iQE/I3vAnAgAAWQQAAA4AAAAAAAAAAQAgAAAAKAEAAGRycy9lMm9Eb2MueG1sUEsFBgAA&#10;AAAGAAYAWQEAAMEFAAAAAA==&#10;">
                      <v:fill on="t" focussize="0,0"/>
                      <v:stroke color="#ED7D31" joinstyle="round"/>
                      <v:imagedata o:title=""/>
                      <o:lock v:ext="edit" aspectratio="f"/>
                      <v:textbox>
                        <w:txbxContent>
                          <w:p w14:paraId="1399F2B0">
                            <w:pPr>
                              <w:jc w:val="center"/>
                              <w:rPr>
                                <w:rFonts w:hint="eastAsia" w:eastAsiaTheme="minorEastAsia"/>
                                <w:lang w:eastAsia="zh-CN"/>
                              </w:rPr>
                            </w:pPr>
                            <w:r>
                              <w:rPr>
                                <w:rFonts w:hint="eastAsia"/>
                                <w:lang w:eastAsia="zh-CN"/>
                              </w:rPr>
                              <w:t>脱模</w:t>
                            </w:r>
                          </w:p>
                          <w:p w14:paraId="1D01C8E5">
                            <w:pPr>
                              <w:rPr>
                                <w:rFonts w:hint="eastAsia"/>
                                <w:lang w:eastAsia="zh-CN"/>
                              </w:rPr>
                            </w:pP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92384" behindDoc="0" locked="0" layoutInCell="1" allowOverlap="1">
                      <wp:simplePos x="0" y="0"/>
                      <wp:positionH relativeFrom="column">
                        <wp:posOffset>2684780</wp:posOffset>
                      </wp:positionH>
                      <wp:positionV relativeFrom="paragraph">
                        <wp:posOffset>6985</wp:posOffset>
                      </wp:positionV>
                      <wp:extent cx="8890" cy="226060"/>
                      <wp:effectExtent l="45720" t="0" r="59690" b="2540"/>
                      <wp:wrapNone/>
                      <wp:docPr id="96" name="直接箭头连接符 96"/>
                      <wp:cNvGraphicFramePr/>
                      <a:graphic xmlns:a="http://schemas.openxmlformats.org/drawingml/2006/main">
                        <a:graphicData uri="http://schemas.microsoft.com/office/word/2010/wordprocessingShape">
                          <wps:wsp>
                            <wps:cNvCnPr>
                              <a:stCxn id="111" idx="2"/>
                              <a:endCxn id="112" idx="0"/>
                            </wps:cNvCnPr>
                            <wps:spPr>
                              <a:xfrm flipH="1">
                                <a:off x="0" y="0"/>
                                <a:ext cx="8890" cy="226060"/>
                              </a:xfrm>
                              <a:prstGeom prst="straightConnector1">
                                <a:avLst/>
                              </a:prstGeom>
                              <a:ln w="9525" cap="flat" cmpd="sng">
                                <a:solidFill>
                                  <a:srgbClr val="5B9BD5"/>
                                </a:solidFill>
                                <a:prstDash val="solid"/>
                                <a:headEnd type="none" w="med" len="med"/>
                                <a:tailEnd type="arrow" w="med" len="med"/>
                              </a:ln>
                            </wps:spPr>
                            <wps:bodyPr/>
                          </wps:wsp>
                        </a:graphicData>
                      </a:graphic>
                    </wp:anchor>
                  </w:drawing>
                </mc:Choice>
                <mc:Fallback>
                  <w:pict>
                    <v:shape id="_x0000_s1026" o:spid="_x0000_s1026" o:spt="32" type="#_x0000_t32" style="position:absolute;left:0pt;flip:x;margin-left:211.4pt;margin-top:0.55pt;height:17.8pt;width:0.7pt;z-index:251792384;mso-width-relative:page;mso-height-relative:page;" filled="f" stroked="t" coordsize="21600,21600" o:gfxdata="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9oRrLWAAAACAEAAA8AAAAAAAAAAQAgAAAAIgAAAGRycy9kb3ducmV2LnhtbFBLAQIUABQA&#10;AAAIAIdO4kCsLtXbKwIAAD8EAAAOAAAAAAAAAAEAIAAAACUBAABkcnMvZTJvRG9jLnhtbFBLBQYA&#10;AAAABgAGAFkBAADCBQAAAAA=&#10;">
                      <v:fill on="f" focussize="0,0"/>
                      <v:stroke color="#5B9BD5" joinstyle="round" endarrow="open"/>
                      <v:imagedata o:title=""/>
                      <o:lock v:ext="edit" aspectratio="f"/>
                    </v:shape>
                  </w:pict>
                </mc:Fallback>
              </mc:AlternateContent>
            </w:r>
          </w:p>
          <w:p w14:paraId="6F653423">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68480" behindDoc="0" locked="0" layoutInCell="1" allowOverlap="1">
                      <wp:simplePos x="0" y="0"/>
                      <wp:positionH relativeFrom="column">
                        <wp:posOffset>1689735</wp:posOffset>
                      </wp:positionH>
                      <wp:positionV relativeFrom="paragraph">
                        <wp:posOffset>93980</wp:posOffset>
                      </wp:positionV>
                      <wp:extent cx="543560" cy="1905"/>
                      <wp:effectExtent l="0" t="47625" r="8890" b="64770"/>
                      <wp:wrapNone/>
                      <wp:docPr id="219" name="直接箭头连接符 219"/>
                      <wp:cNvGraphicFramePr/>
                      <a:graphic xmlns:a="http://schemas.openxmlformats.org/drawingml/2006/main">
                        <a:graphicData uri="http://schemas.microsoft.com/office/word/2010/wordprocessingShape">
                          <wps:wsp>
                            <wps:cNvCnPr>
                              <a:stCxn id="112" idx="1"/>
                              <a:endCxn id="218" idx="3"/>
                            </wps:cNvCnPr>
                            <wps:spPr>
                              <a:xfrm flipH="1">
                                <a:off x="2313940" y="5443220"/>
                                <a:ext cx="543560" cy="1905"/>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33.05pt;margin-top:7.4pt;height:0.15pt;width:42.8pt;z-index:251668480;mso-width-relative:page;mso-height-relative:page;" filled="f" stroked="t" coordsize="21600,21600" o:gfxdata="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L8bTIfXAAAACQEAAA8AAAAAAAAAAQAgAAAAIgAAAGRycy9k&#10;b3ducmV2LnhtbFBLAQIUABQAAAAIAIdO4kDQpWjePAIAAD0EAAAOAAAAAAAAAAEAIAAAACYBAABk&#10;cnMvZTJvRG9jLnhtbFBLBQYAAAAABgAGAFkBAADUBQAAAAA=&#10;">
                      <v:fill on="f" focussize="0,0"/>
                      <v:stroke weight="0.5pt" color="#5B9BD5 [3204]" miterlimit="8" joinstyle="miter" dashstyle="dash"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99552" behindDoc="0" locked="0" layoutInCell="1" allowOverlap="1">
                      <wp:simplePos x="0" y="0"/>
                      <wp:positionH relativeFrom="column">
                        <wp:posOffset>2684780</wp:posOffset>
                      </wp:positionH>
                      <wp:positionV relativeFrom="paragraph">
                        <wp:posOffset>284480</wp:posOffset>
                      </wp:positionV>
                      <wp:extent cx="4445" cy="285750"/>
                      <wp:effectExtent l="46355" t="0" r="63500" b="0"/>
                      <wp:wrapNone/>
                      <wp:docPr id="141" name="直接箭头连接符 141"/>
                      <wp:cNvGraphicFramePr/>
                      <a:graphic xmlns:a="http://schemas.openxmlformats.org/drawingml/2006/main">
                        <a:graphicData uri="http://schemas.microsoft.com/office/word/2010/wordprocessingShape">
                          <wps:wsp>
                            <wps:cNvCnPr>
                              <a:stCxn id="112" idx="2"/>
                              <a:endCxn id="124" idx="0"/>
                            </wps:cNvCnPr>
                            <wps:spPr>
                              <a:xfrm>
                                <a:off x="0" y="0"/>
                                <a:ext cx="4445" cy="285750"/>
                              </a:xfrm>
                              <a:prstGeom prst="straightConnector1">
                                <a:avLst/>
                              </a:prstGeom>
                              <a:ln w="9525" cap="flat" cmpd="sng">
                                <a:solidFill>
                                  <a:srgbClr val="5B9BD5"/>
                                </a:solidFill>
                                <a:prstDash val="solid"/>
                                <a:headEnd type="none" w="med" len="med"/>
                                <a:tailEnd type="arrow" w="med" len="med"/>
                              </a:ln>
                            </wps:spPr>
                            <wps:bodyPr/>
                          </wps:wsp>
                        </a:graphicData>
                      </a:graphic>
                    </wp:anchor>
                  </w:drawing>
                </mc:Choice>
                <mc:Fallback>
                  <w:pict>
                    <v:shape id="_x0000_s1026" o:spid="_x0000_s1026" o:spt="32" type="#_x0000_t32" style="position:absolute;left:0pt;margin-left:211.4pt;margin-top:22.4pt;height:22.5pt;width:0.35pt;z-index:251799552;mso-width-relative:page;mso-height-relative:page;" filled="f" stroked="t" coordsize="21600,21600" o:gfxdata="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6KQAa9kAAAAJAQAADwAAAAAAAAABACAAAAAiAAAAZHJzL2Rvd25yZXYueG1sUEsBAhQAFAAA&#10;AAgAh07iQKcv+iknAgAANwQAAA4AAAAAAAAAAQAgAAAAKAEAAGRycy9lMm9Eb2MueG1sUEsFBgAA&#10;AAAGAAYAWQEAAMEFAAAAAA==&#10;">
                      <v:fill on="f" focussize="0,0"/>
                      <v:stroke color="#5B9BD5" joinstyle="round" endarrow="open"/>
                      <v:imagedata o:title=""/>
                      <o:lock v:ext="edit" aspectratio="f"/>
                    </v:shape>
                  </w:pict>
                </mc:Fallback>
              </mc:AlternateContent>
            </w:r>
          </w:p>
          <w:p w14:paraId="5E2F1D46">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782144" behindDoc="0" locked="0" layoutInCell="1" allowOverlap="1">
                      <wp:simplePos x="0" y="0"/>
                      <wp:positionH relativeFrom="column">
                        <wp:posOffset>4023360</wp:posOffset>
                      </wp:positionH>
                      <wp:positionV relativeFrom="paragraph">
                        <wp:posOffset>193675</wp:posOffset>
                      </wp:positionV>
                      <wp:extent cx="929005" cy="405130"/>
                      <wp:effectExtent l="0" t="0" r="0" b="0"/>
                      <wp:wrapNone/>
                      <wp:docPr id="216" name="矩形 216"/>
                      <wp:cNvGraphicFramePr/>
                      <a:graphic xmlns:a="http://schemas.openxmlformats.org/drawingml/2006/main">
                        <a:graphicData uri="http://schemas.microsoft.com/office/word/2010/wordprocessingShape">
                          <wps:wsp>
                            <wps:cNvSpPr/>
                            <wps:spPr>
                              <a:xfrm>
                                <a:off x="0" y="0"/>
                                <a:ext cx="929005" cy="4051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DD76AC6">
                                  <w:pPr>
                                    <w:jc w:val="center"/>
                                    <w:rPr>
                                      <w:rFonts w:hint="eastAsia" w:eastAsia="宋体"/>
                                      <w:color w:val="auto"/>
                                      <w:lang w:val="en-US" w:eastAsia="zh-CN"/>
                                    </w:rPr>
                                  </w:pPr>
                                  <w:r>
                                    <w:rPr>
                                      <w:rFonts w:hint="eastAsia"/>
                                      <w:color w:val="auto"/>
                                      <w:lang w:val="en-US" w:eastAsia="zh-CN"/>
                                    </w:rPr>
                                    <w:t>不合格产品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16.8pt;margin-top:15.25pt;height:31.9pt;width:73.15pt;z-index:251782144;v-text-anchor:middle;mso-width-relative:page;mso-height-relative:page;" filled="f" stroked="f" coordsize="21600,21600" o:gfxdata="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0M7t2dgAAAAJAQAADwAAAAAAAAABACAAAAAiAAAAZHJzL2Rvd25yZXYueG1sUEsBAhQAFAAA&#10;AAgAh07iQNNEccZhAgAAsAQAAA4AAAAAAAAAAQAgAAAAJwEAAGRycy9lMm9Eb2MueG1sUEsFBgAA&#10;AAAGAAYAWQEAAPoFAAAAAA==&#10;">
                      <v:fill on="f" focussize="0,0"/>
                      <v:stroke on="f" weight="1pt" miterlimit="8" joinstyle="miter"/>
                      <v:imagedata o:title=""/>
                      <o:lock v:ext="edit" aspectratio="f"/>
                      <v:textbox>
                        <w:txbxContent>
                          <w:p w14:paraId="4DD76AC6">
                            <w:pPr>
                              <w:jc w:val="center"/>
                              <w:rPr>
                                <w:rFonts w:hint="eastAsia" w:eastAsia="宋体"/>
                                <w:color w:val="auto"/>
                                <w:lang w:val="en-US" w:eastAsia="zh-CN"/>
                              </w:rPr>
                            </w:pPr>
                            <w:r>
                              <w:rPr>
                                <w:rFonts w:hint="eastAsia"/>
                                <w:color w:val="auto"/>
                                <w:lang w:val="en-US" w:eastAsia="zh-CN"/>
                              </w:rPr>
                              <w:t>不合格产品</w:t>
                            </w:r>
                          </w:p>
                        </w:txbxContent>
                      </v:textbox>
                    </v: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94432" behindDoc="0" locked="0" layoutInCell="1" allowOverlap="1">
                      <wp:simplePos x="0" y="0"/>
                      <wp:positionH relativeFrom="column">
                        <wp:posOffset>2237740</wp:posOffset>
                      </wp:positionH>
                      <wp:positionV relativeFrom="paragraph">
                        <wp:posOffset>240030</wp:posOffset>
                      </wp:positionV>
                      <wp:extent cx="902970" cy="381635"/>
                      <wp:effectExtent l="4445" t="4445" r="6985" b="13970"/>
                      <wp:wrapNone/>
                      <wp:docPr id="124" name="圆角矩形 124"/>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1BFA676B">
                                  <w:pPr>
                                    <w:jc w:val="center"/>
                                    <w:rPr>
                                      <w:rFonts w:hint="eastAsia" w:eastAsiaTheme="minorEastAsia"/>
                                      <w:lang w:eastAsia="zh-CN"/>
                                    </w:rPr>
                                  </w:pPr>
                                  <w:r>
                                    <w:rPr>
                                      <w:rFonts w:hint="eastAsia"/>
                                      <w:lang w:eastAsia="zh-CN"/>
                                    </w:rPr>
                                    <w:t>半成品检验</w:t>
                                  </w:r>
                                </w:p>
                              </w:txbxContent>
                            </wps:txbx>
                            <wps:bodyPr upright="1"/>
                          </wps:wsp>
                        </a:graphicData>
                      </a:graphic>
                    </wp:anchor>
                  </w:drawing>
                </mc:Choice>
                <mc:Fallback>
                  <w:pict>
                    <v:roundrect id="_x0000_s1026" o:spid="_x0000_s1026" o:spt="2" style="position:absolute;left:0pt;margin-left:176.2pt;margin-top:18.9pt;height:30.05pt;width:71.1pt;z-index:251794432;mso-width-relative:page;mso-height-relative:page;" fillcolor="#FFFFFF" filled="t" stroked="t" coordsize="21600,21600" arcsize="0.166666666666667" o:gfxdata="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IKY+s9kAAAAJAQAADwAAAAAAAAABACAAAAAiAAAAZHJzL2Rvd25yZXYueG1sUEsBAhQAFAAA&#10;AAgAh07iQPxQ16knAgAAWQQAAA4AAAAAAAAAAQAgAAAAKAEAAGRycy9lMm9Eb2MueG1sUEsFBgAA&#10;AAAGAAYAWQEAAMEFAAAAAA==&#10;">
                      <v:fill on="t" focussize="0,0"/>
                      <v:stroke color="#ED7D31" joinstyle="round"/>
                      <v:imagedata o:title=""/>
                      <o:lock v:ext="edit" aspectratio="f"/>
                      <v:textbox>
                        <w:txbxContent>
                          <w:p w14:paraId="1BFA676B">
                            <w:pPr>
                              <w:jc w:val="center"/>
                              <w:rPr>
                                <w:rFonts w:hint="eastAsia" w:eastAsiaTheme="minorEastAsia"/>
                                <w:lang w:eastAsia="zh-CN"/>
                              </w:rPr>
                            </w:pPr>
                            <w:r>
                              <w:rPr>
                                <w:rFonts w:hint="eastAsia"/>
                                <w:lang w:eastAsia="zh-CN"/>
                              </w:rPr>
                              <w:t>半成品检验</w:t>
                            </w:r>
                          </w:p>
                        </w:txbxContent>
                      </v:textbox>
                    </v:roundrect>
                  </w:pict>
                </mc:Fallback>
              </mc:AlternateContent>
            </w:r>
          </w:p>
          <w:p w14:paraId="243EC5CD">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67456" behindDoc="0" locked="0" layoutInCell="1" allowOverlap="1">
                      <wp:simplePos x="0" y="0"/>
                      <wp:positionH relativeFrom="column">
                        <wp:posOffset>4488180</wp:posOffset>
                      </wp:positionH>
                      <wp:positionV relativeFrom="paragraph">
                        <wp:posOffset>268605</wp:posOffset>
                      </wp:positionV>
                      <wp:extent cx="635" cy="345440"/>
                      <wp:effectExtent l="48895" t="0" r="64770" b="16510"/>
                      <wp:wrapNone/>
                      <wp:docPr id="217" name="直接箭头连接符 217"/>
                      <wp:cNvGraphicFramePr/>
                      <a:graphic xmlns:a="http://schemas.openxmlformats.org/drawingml/2006/main">
                        <a:graphicData uri="http://schemas.microsoft.com/office/word/2010/wordprocessingShape">
                          <wps:wsp>
                            <wps:cNvCnPr>
                              <a:stCxn id="126" idx="0"/>
                              <a:endCxn id="216" idx="2"/>
                            </wps:cNvCnPr>
                            <wps:spPr>
                              <a:xfrm flipH="1" flipV="1">
                                <a:off x="5100955" y="6290310"/>
                                <a:ext cx="635" cy="345440"/>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 y;margin-left:353.4pt;margin-top:21.15pt;height:27.2pt;width:0.05pt;z-index:251667456;mso-width-relative:page;mso-height-relative:page;" filled="f" stroked="t" coordsize="21600,21600" o:gfxdata="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&#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PnkyZ3XAAAACQEAAA8AAAAAAAAAAQAgAAAAIgAAAGRy&#10;cy9kb3ducmV2LnhtbFBLAQIUABQAAAAIAIdO4kCUuP8KPwIAAEYEAAAOAAAAAAAAAAEAIAAAACYB&#10;AABkcnMvZTJvRG9jLnhtbFBLBQYAAAAABgAGAFkBAADXBQAAAAA=&#10;">
                      <v:fill on="f" focussize="0,0"/>
                      <v:stroke weight="0.5pt" color="#5B9BD5 [3204]" miterlimit="8" joinstyle="miter" dashstyle="dash"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813888" behindDoc="0" locked="0" layoutInCell="1" allowOverlap="1">
                      <wp:simplePos x="0" y="0"/>
                      <wp:positionH relativeFrom="column">
                        <wp:posOffset>2689225</wp:posOffset>
                      </wp:positionH>
                      <wp:positionV relativeFrom="paragraph">
                        <wp:posOffset>291465</wp:posOffset>
                      </wp:positionV>
                      <wp:extent cx="6350" cy="325120"/>
                      <wp:effectExtent l="44450" t="0" r="63500" b="17780"/>
                      <wp:wrapNone/>
                      <wp:docPr id="123" name="直接箭头连接符 123"/>
                      <wp:cNvGraphicFramePr/>
                      <a:graphic xmlns:a="http://schemas.openxmlformats.org/drawingml/2006/main">
                        <a:graphicData uri="http://schemas.microsoft.com/office/word/2010/wordprocessingShape">
                          <wps:wsp>
                            <wps:cNvCnPr>
                              <a:stCxn id="124" idx="2"/>
                              <a:endCxn id="145" idx="0"/>
                            </wps:cNvCnPr>
                            <wps:spPr>
                              <a:xfrm>
                                <a:off x="0" y="0"/>
                                <a:ext cx="6350" cy="325120"/>
                              </a:xfrm>
                              <a:prstGeom prst="straightConnector1">
                                <a:avLst/>
                              </a:prstGeom>
                              <a:ln w="9525" cap="flat" cmpd="sng">
                                <a:solidFill>
                                  <a:srgbClr val="5B9BD5"/>
                                </a:solidFill>
                                <a:prstDash val="solid"/>
                                <a:headEnd type="none" w="med" len="med"/>
                                <a:tailEnd type="arrow" w="med" len="med"/>
                              </a:ln>
                            </wps:spPr>
                            <wps:bodyPr/>
                          </wps:wsp>
                        </a:graphicData>
                      </a:graphic>
                    </wp:anchor>
                  </w:drawing>
                </mc:Choice>
                <mc:Fallback>
                  <w:pict>
                    <v:shape id="_x0000_s1026" o:spid="_x0000_s1026" o:spt="32" type="#_x0000_t32" style="position:absolute;left:0pt;margin-left:211.75pt;margin-top:22.95pt;height:25.6pt;width:0.5pt;z-index:251813888;mso-width-relative:page;mso-height-relative:page;" filled="f" stroked="t" coordsize="21600,21600" o:gfxdata="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i9caJ2QAAAAkBAAAPAAAAAAAAAAEAIAAAACIAAABkcnMvZG93bnJldi54bWxQSwECFAAUAAAA&#10;CACHTuJA5j+ncSYCAAA3BAAADgAAAAAAAAABACAAAAAoAQAAZHJzL2Uyb0RvYy54bWxQSwUGAAAA&#10;AAYABgBZAQAAwAUAAAAA&#10;">
                      <v:fill on="f" focussize="0,0"/>
                      <v:stroke color="#5B9BD5" joinstyle="round" endarrow="open"/>
                      <v:imagedata o:title=""/>
                      <o:lock v:ext="edit" aspectratio="f"/>
                    </v:shape>
                  </w:pict>
                </mc:Fallback>
              </mc:AlternateContent>
            </w:r>
          </w:p>
          <w:p w14:paraId="7816FFB5">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65408" behindDoc="0" locked="0" layoutInCell="1" allowOverlap="1">
                      <wp:simplePos x="0" y="0"/>
                      <wp:positionH relativeFrom="column">
                        <wp:posOffset>632460</wp:posOffset>
                      </wp:positionH>
                      <wp:positionV relativeFrom="paragraph">
                        <wp:posOffset>273685</wp:posOffset>
                      </wp:positionV>
                      <wp:extent cx="929005" cy="405130"/>
                      <wp:effectExtent l="0" t="0" r="0" b="0"/>
                      <wp:wrapNone/>
                      <wp:docPr id="214" name="矩形 214"/>
                      <wp:cNvGraphicFramePr/>
                      <a:graphic xmlns:a="http://schemas.openxmlformats.org/drawingml/2006/main">
                        <a:graphicData uri="http://schemas.microsoft.com/office/word/2010/wordprocessingShape">
                          <wps:wsp>
                            <wps:cNvSpPr/>
                            <wps:spPr>
                              <a:xfrm>
                                <a:off x="1244600" y="6613525"/>
                                <a:ext cx="929005" cy="4051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BB0B6F">
                                  <w:pPr>
                                    <w:jc w:val="center"/>
                                    <w:rPr>
                                      <w:rFonts w:hint="eastAsia" w:eastAsia="宋体"/>
                                      <w:color w:val="auto"/>
                                      <w:lang w:val="en-US" w:eastAsia="zh-CN"/>
                                    </w:rPr>
                                  </w:pPr>
                                  <w:r>
                                    <w:rPr>
                                      <w:rFonts w:hint="eastAsia"/>
                                      <w:color w:val="auto"/>
                                      <w:lang w:val="en-US" w:eastAsia="zh-CN"/>
                                    </w:rPr>
                                    <w:t>有机废气</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9.8pt;margin-top:21.55pt;height:31.9pt;width:73.15pt;z-index:251665408;v-text-anchor:middle;mso-width-relative:page;mso-height-relative:page;" filled="f" stroked="f" coordsize="21600,21600" o:gfxdata="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EWEh0tcAAAAJAQAADwAAAAAAAAABACAAAAAiAAAAZHJzL2Rvd25yZXYu&#10;eG1sUEsBAhQAFAAAAAgAh07iQJl1A39uAgAAvAQAAA4AAAAAAAAAAQAgAAAAJgEAAGRycy9lMm9E&#10;b2MueG1sUEsFBgAAAAAGAAYAWQEAAAYGAAAAAA==&#10;">
                      <v:fill on="f" focussize="0,0"/>
                      <v:stroke on="f" weight="1pt" miterlimit="8" joinstyle="miter"/>
                      <v:imagedata o:title=""/>
                      <o:lock v:ext="edit" aspectratio="f"/>
                      <v:textbox>
                        <w:txbxContent>
                          <w:p w14:paraId="0EBB0B6F">
                            <w:pPr>
                              <w:jc w:val="center"/>
                              <w:rPr>
                                <w:rFonts w:hint="eastAsia" w:eastAsia="宋体"/>
                                <w:color w:val="auto"/>
                                <w:lang w:val="en-US" w:eastAsia="zh-CN"/>
                              </w:rPr>
                            </w:pPr>
                            <w:r>
                              <w:rPr>
                                <w:rFonts w:hint="eastAsia"/>
                                <w:color w:val="auto"/>
                                <w:lang w:val="en-US" w:eastAsia="zh-CN"/>
                              </w:rPr>
                              <w:t>有机废气</w:t>
                            </w:r>
                          </w:p>
                        </w:txbxContent>
                      </v:textbox>
                    </v: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13536" behindDoc="1" locked="0" layoutInCell="1" allowOverlap="1">
                      <wp:simplePos x="0" y="0"/>
                      <wp:positionH relativeFrom="column">
                        <wp:posOffset>4037330</wp:posOffset>
                      </wp:positionH>
                      <wp:positionV relativeFrom="paragraph">
                        <wp:posOffset>283845</wp:posOffset>
                      </wp:positionV>
                      <wp:extent cx="902970" cy="381635"/>
                      <wp:effectExtent l="4445" t="4445" r="6985" b="13970"/>
                      <wp:wrapNone/>
                      <wp:docPr id="126" name="圆角矩形 126"/>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5DC5934D">
                                  <w:pPr>
                                    <w:jc w:val="center"/>
                                    <w:rPr>
                                      <w:rFonts w:hint="eastAsia" w:eastAsiaTheme="minorEastAsia"/>
                                      <w:lang w:eastAsia="zh-CN"/>
                                    </w:rPr>
                                  </w:pPr>
                                  <w:r>
                                    <w:rPr>
                                      <w:rFonts w:hint="eastAsia"/>
                                      <w:lang w:eastAsia="zh-CN"/>
                                    </w:rPr>
                                    <w:t>打包入库</w:t>
                                  </w:r>
                                </w:p>
                              </w:txbxContent>
                            </wps:txbx>
                            <wps:bodyPr upright="1"/>
                          </wps:wsp>
                        </a:graphicData>
                      </a:graphic>
                    </wp:anchor>
                  </w:drawing>
                </mc:Choice>
                <mc:Fallback>
                  <w:pict>
                    <v:roundrect id="_x0000_s1026" o:spid="_x0000_s1026" o:spt="2" style="position:absolute;left:0pt;margin-left:317.9pt;margin-top:22.35pt;height:30.05pt;width:71.1pt;z-index:-251602944;mso-width-relative:page;mso-height-relative:page;" fillcolor="#FFFFFF" filled="t" stroked="t" coordsize="21600,21600" arcsize="0.166666666666667" o:gfxdata="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ZD9HudkAAAAKAQAADwAAAAAAAAABACAAAAAiAAAAZHJzL2Rvd25yZXYueG1sUEsBAhQAFAAA&#10;AAgAh07iQOAFzpQnAgAAWQQAAA4AAAAAAAAAAQAgAAAAKAEAAGRycy9lMm9Eb2MueG1sUEsFBgAA&#10;AAAGAAYAWQEAAMEFAAAAAA==&#10;">
                      <v:fill on="t" focussize="0,0"/>
                      <v:stroke color="#ED7D31" joinstyle="round"/>
                      <v:imagedata o:title=""/>
                      <o:lock v:ext="edit" aspectratio="f"/>
                      <v:textbox>
                        <w:txbxContent>
                          <w:p w14:paraId="5DC5934D">
                            <w:pPr>
                              <w:jc w:val="center"/>
                              <w:rPr>
                                <w:rFonts w:hint="eastAsia" w:eastAsiaTheme="minorEastAsia"/>
                                <w:lang w:eastAsia="zh-CN"/>
                              </w:rPr>
                            </w:pPr>
                            <w:r>
                              <w:rPr>
                                <w:rFonts w:hint="eastAsia"/>
                                <w:lang w:eastAsia="zh-CN"/>
                              </w:rPr>
                              <w:t>打包入库</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804672" behindDoc="0" locked="0" layoutInCell="1" allowOverlap="1">
                      <wp:simplePos x="0" y="0"/>
                      <wp:positionH relativeFrom="column">
                        <wp:posOffset>2244090</wp:posOffset>
                      </wp:positionH>
                      <wp:positionV relativeFrom="paragraph">
                        <wp:posOffset>286385</wp:posOffset>
                      </wp:positionV>
                      <wp:extent cx="902970" cy="381635"/>
                      <wp:effectExtent l="4445" t="4445" r="6985" b="13970"/>
                      <wp:wrapNone/>
                      <wp:docPr id="145" name="圆角矩形 145"/>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5217D53D">
                                  <w:pPr>
                                    <w:jc w:val="center"/>
                                    <w:rPr>
                                      <w:rFonts w:hint="eastAsia" w:eastAsiaTheme="minorEastAsia"/>
                                      <w:lang w:eastAsia="zh-CN"/>
                                    </w:rPr>
                                  </w:pPr>
                                  <w:r>
                                    <w:rPr>
                                      <w:rFonts w:hint="eastAsia"/>
                                      <w:lang w:val="en-US" w:eastAsia="zh-CN"/>
                                    </w:rPr>
                                    <w:t>激光打</w:t>
                                  </w:r>
                                  <w:r>
                                    <w:rPr>
                                      <w:rFonts w:hint="eastAsia"/>
                                      <w:lang w:eastAsia="zh-CN"/>
                                    </w:rPr>
                                    <w:t>码</w:t>
                                  </w:r>
                                </w:p>
                              </w:txbxContent>
                            </wps:txbx>
                            <wps:bodyPr upright="1"/>
                          </wps:wsp>
                        </a:graphicData>
                      </a:graphic>
                    </wp:anchor>
                  </w:drawing>
                </mc:Choice>
                <mc:Fallback>
                  <w:pict>
                    <v:roundrect id="_x0000_s1026" o:spid="_x0000_s1026" o:spt="2" style="position:absolute;left:0pt;margin-left:176.7pt;margin-top:22.55pt;height:30.05pt;width:71.1pt;z-index:251804672;mso-width-relative:page;mso-height-relative:page;" fillcolor="#FFFFFF" filled="t" stroked="t" coordsize="21600,21600" arcsize="0.166666666666667" o:gfxdata="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40aS5tkAAAAKAQAADwAAAAAAAAABACAAAAAiAAAAZHJzL2Rvd25yZXYueG1sUEsBAhQAFAAA&#10;AAgAh07iQFw1H4snAgAAWQQAAA4AAAAAAAAAAQAgAAAAKAEAAGRycy9lMm9Eb2MueG1sUEsFBgAA&#10;AAAGAAYAWQEAAMEFAAAAAA==&#10;">
                      <v:fill on="t" focussize="0,0"/>
                      <v:stroke color="#ED7D31" joinstyle="round"/>
                      <v:imagedata o:title=""/>
                      <o:lock v:ext="edit" aspectratio="f"/>
                      <v:textbox>
                        <w:txbxContent>
                          <w:p w14:paraId="5217D53D">
                            <w:pPr>
                              <w:jc w:val="center"/>
                              <w:rPr>
                                <w:rFonts w:hint="eastAsia" w:eastAsiaTheme="minorEastAsia"/>
                                <w:lang w:eastAsia="zh-CN"/>
                              </w:rPr>
                            </w:pPr>
                            <w:r>
                              <w:rPr>
                                <w:rFonts w:hint="eastAsia"/>
                                <w:lang w:val="en-US" w:eastAsia="zh-CN"/>
                              </w:rPr>
                              <w:t>激光打</w:t>
                            </w:r>
                            <w:r>
                              <w:rPr>
                                <w:rFonts w:hint="eastAsia"/>
                                <w:lang w:eastAsia="zh-CN"/>
                              </w:rPr>
                              <w:t>码</w:t>
                            </w:r>
                          </w:p>
                        </w:txbxContent>
                      </v:textbox>
                    </v:roundrect>
                  </w:pict>
                </mc:Fallback>
              </mc:AlternateContent>
            </w:r>
          </w:p>
          <w:p w14:paraId="007A397F">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66432" behindDoc="0" locked="0" layoutInCell="1" allowOverlap="1">
                      <wp:simplePos x="0" y="0"/>
                      <wp:positionH relativeFrom="column">
                        <wp:posOffset>1561465</wp:posOffset>
                      </wp:positionH>
                      <wp:positionV relativeFrom="paragraph">
                        <wp:posOffset>146050</wp:posOffset>
                      </wp:positionV>
                      <wp:extent cx="682625" cy="1270"/>
                      <wp:effectExtent l="0" t="48895" r="3175" b="64135"/>
                      <wp:wrapNone/>
                      <wp:docPr id="215" name="直接箭头连接符 215"/>
                      <wp:cNvGraphicFramePr/>
                      <a:graphic xmlns:a="http://schemas.openxmlformats.org/drawingml/2006/main">
                        <a:graphicData uri="http://schemas.microsoft.com/office/word/2010/wordprocessingShape">
                          <wps:wsp>
                            <wps:cNvCnPr>
                              <a:stCxn id="145" idx="1"/>
                              <a:endCxn id="214" idx="3"/>
                            </wps:cNvCnPr>
                            <wps:spPr>
                              <a:xfrm flipH="1" flipV="1">
                                <a:off x="2173605" y="6816090"/>
                                <a:ext cx="682625" cy="1270"/>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 y;margin-left:122.95pt;margin-top:11.5pt;height:0.1pt;width:53.75pt;z-index:251666432;mso-width-relative:page;mso-height-relative:page;" filled="f" stroked="t" coordsize="21600,21600" o:gfxdata="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eyHqA2AAAAAkBAAAPAAAAAAAAAAEAIAAAACIA&#10;AABkcnMvZG93bnJldi54bWxQSwECFAAUAAAACACHTuJAZSZbKUICAABHBAAADgAAAAAAAAABACAA&#10;AAAnAQAAZHJzL2Uyb0RvYy54bWxQSwUGAAAAAAYABgBZAQAA2wUAAAAA&#10;">
                      <v:fill on="f" focussize="0,0"/>
                      <v:stroke weight="0.5pt" color="#5B9BD5 [3204]" miterlimit="8" joinstyle="miter" dashstyle="dash"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14560" behindDoc="1" locked="0" layoutInCell="1" allowOverlap="1">
                      <wp:simplePos x="0" y="0"/>
                      <wp:positionH relativeFrom="column">
                        <wp:posOffset>3147060</wp:posOffset>
                      </wp:positionH>
                      <wp:positionV relativeFrom="paragraph">
                        <wp:posOffset>144780</wp:posOffset>
                      </wp:positionV>
                      <wp:extent cx="890270" cy="2540"/>
                      <wp:effectExtent l="0" t="48895" r="5080" b="62865"/>
                      <wp:wrapNone/>
                      <wp:docPr id="150" name="直接连接符 150"/>
                      <wp:cNvGraphicFramePr/>
                      <a:graphic xmlns:a="http://schemas.openxmlformats.org/drawingml/2006/main">
                        <a:graphicData uri="http://schemas.microsoft.com/office/word/2010/wordprocessingShape">
                          <wps:wsp>
                            <wps:cNvCnPr>
                              <a:stCxn id="145" idx="3"/>
                              <a:endCxn id="126" idx="1"/>
                            </wps:cNvCnPr>
                            <wps:spPr>
                              <a:xfrm flipV="1">
                                <a:off x="0" y="0"/>
                                <a:ext cx="890270" cy="2540"/>
                              </a:xfrm>
                              <a:prstGeom prst="line">
                                <a:avLst/>
                              </a:prstGeom>
                              <a:ln w="9525" cap="flat" cmpd="sng">
                                <a:solidFill>
                                  <a:srgbClr val="5B9BD5"/>
                                </a:solidFill>
                                <a:prstDash val="solid"/>
                                <a:headEnd type="none" w="med" len="med"/>
                                <a:tailEnd type="arrow" w="med" len="med"/>
                              </a:ln>
                            </wps:spPr>
                            <wps:bodyPr upright="1"/>
                          </wps:wsp>
                        </a:graphicData>
                      </a:graphic>
                    </wp:anchor>
                  </w:drawing>
                </mc:Choice>
                <mc:Fallback>
                  <w:pict>
                    <v:line id="_x0000_s1026" o:spid="_x0000_s1026" o:spt="20" style="position:absolute;left:0pt;flip:y;margin-left:247.8pt;margin-top:11.4pt;height:0.2pt;width:70.1pt;z-index:-251601920;mso-width-relative:page;mso-height-relative:page;" filled="f" stroked="t" coordsize="21600,21600" o:gfxdata="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m&#10;+kxC2QAAAAkBAAAPAAAAAAAAAAEAIAAAACIAAABkcnMvZG93bnJldi54bWxQSwECFAAUAAAACACH&#10;TuJAPGMThCMCAAA5BAAADgAAAAAAAAABACAAAAAoAQAAZHJzL2Uyb0RvYy54bWxQSwUGAAAAAAYA&#10;BgBZAQAAvQUAAAAA&#10;">
                      <v:fill on="f" focussize="0,0"/>
                      <v:stroke color="#5B9BD5" joinstyle="round" endarrow="open"/>
                      <v:imagedata o:title=""/>
                      <o:lock v:ext="edit" aspectratio="f"/>
                    </v:line>
                  </w:pict>
                </mc:Fallback>
              </mc:AlternateContent>
            </w:r>
          </w:p>
          <w:p w14:paraId="67081D2D">
            <w:pPr>
              <w:pStyle w:val="8"/>
              <w:adjustRightInd w:val="0"/>
              <w:snapToGrid w:val="0"/>
              <w:spacing w:line="520" w:lineRule="exact"/>
              <w:ind w:left="0" w:leftChars="0" w:firstLine="482" w:firstLineChars="200"/>
              <w:jc w:val="center"/>
              <w:rPr>
                <w:rFonts w:hint="default" w:ascii="Times New Roman" w:hAnsi="Times New Roman" w:cs="Times New Roman"/>
                <w:b/>
                <w:bCs/>
                <w:color w:val="auto"/>
                <w:sz w:val="24"/>
                <w:szCs w:val="24"/>
                <w:lang w:val="en-US" w:eastAsia="zh-CN"/>
              </w:rPr>
            </w:pPr>
            <w:r>
              <w:rPr>
                <w:rFonts w:hint="default" w:ascii="Times New Roman" w:hAnsi="Times New Roman" w:cs="Times New Roman"/>
                <w:b/>
                <w:bCs/>
                <w:color w:val="auto"/>
                <w:sz w:val="24"/>
                <w:szCs w:val="24"/>
                <w:lang w:val="en-US" w:eastAsia="zh-CN"/>
              </w:rPr>
              <w:t>图5-</w:t>
            </w:r>
            <w:r>
              <w:rPr>
                <w:rFonts w:hint="eastAsia" w:cs="Times New Roman"/>
                <w:b/>
                <w:bCs/>
                <w:color w:val="auto"/>
                <w:sz w:val="24"/>
                <w:szCs w:val="24"/>
                <w:lang w:val="en-US" w:eastAsia="zh-CN"/>
              </w:rPr>
              <w:t>5</w:t>
            </w:r>
            <w:r>
              <w:rPr>
                <w:rFonts w:hint="default" w:ascii="Times New Roman" w:hAnsi="Times New Roman" w:cs="Times New Roman"/>
                <w:b/>
                <w:bCs/>
                <w:color w:val="auto"/>
                <w:sz w:val="24"/>
                <w:szCs w:val="24"/>
                <w:lang w:val="en-US" w:eastAsia="zh-CN"/>
              </w:rPr>
              <w:t xml:space="preserve">  滤芯生产工艺流程图及产污节点</w:t>
            </w:r>
          </w:p>
          <w:p w14:paraId="78A19BCB">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val="en-US" w:eastAsia="zh-CN"/>
              </w:rPr>
              <w:t>原材料检验：</w:t>
            </w:r>
            <w:r>
              <w:rPr>
                <w:rFonts w:hint="default" w:ascii="Times New Roman" w:hAnsi="Times New Roman" w:cs="Times New Roman"/>
                <w:color w:val="auto"/>
                <w:sz w:val="24"/>
                <w:szCs w:val="24"/>
              </w:rPr>
              <w:t>根据原材料的性能标准对</w:t>
            </w:r>
            <w:r>
              <w:rPr>
                <w:rFonts w:hint="default" w:ascii="Times New Roman" w:hAnsi="Times New Roman" w:cs="Times New Roman"/>
                <w:color w:val="auto"/>
                <w:sz w:val="24"/>
                <w:szCs w:val="24"/>
                <w:lang w:eastAsia="zh-CN"/>
              </w:rPr>
              <w:t>滤纸、焊网、</w:t>
            </w:r>
            <w:r>
              <w:rPr>
                <w:rFonts w:hint="default" w:ascii="Times New Roman" w:hAnsi="Times New Roman" w:cs="Times New Roman"/>
                <w:color w:val="auto"/>
                <w:sz w:val="24"/>
                <w:szCs w:val="24"/>
                <w:lang w:val="en-US" w:eastAsia="zh-CN"/>
              </w:rPr>
              <w:t>A/B料</w:t>
            </w:r>
            <w:r>
              <w:rPr>
                <w:rFonts w:hint="default" w:ascii="Times New Roman" w:hAnsi="Times New Roman" w:cs="Times New Roman"/>
                <w:color w:val="auto"/>
                <w:sz w:val="24"/>
                <w:szCs w:val="24"/>
              </w:rPr>
              <w:t>进行检验</w:t>
            </w:r>
            <w:r>
              <w:rPr>
                <w:rFonts w:hint="default" w:ascii="Times New Roman" w:hAnsi="Times New Roman" w:cs="Times New Roman"/>
                <w:color w:val="auto"/>
                <w:sz w:val="24"/>
                <w:szCs w:val="24"/>
                <w:lang w:eastAsia="zh-CN"/>
              </w:rPr>
              <w:t>，</w:t>
            </w:r>
            <w:r>
              <w:rPr>
                <w:rFonts w:hint="default" w:ascii="Times New Roman" w:hAnsi="Times New Roman" w:cs="Times New Roman"/>
                <w:color w:val="auto"/>
                <w:sz w:val="24"/>
                <w:szCs w:val="24"/>
              </w:rPr>
              <w:t>检验合格</w:t>
            </w:r>
            <w:r>
              <w:rPr>
                <w:rFonts w:hint="default" w:ascii="Times New Roman" w:hAnsi="Times New Roman" w:cs="Times New Roman"/>
                <w:color w:val="auto"/>
                <w:sz w:val="24"/>
                <w:szCs w:val="24"/>
                <w:lang w:eastAsia="zh-CN"/>
              </w:rPr>
              <w:t>转生产。</w:t>
            </w:r>
          </w:p>
          <w:p w14:paraId="4169AB2B">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折纸：根据图纸要求选择滤纸型号及折纸辊，按工艺要求进行折纸。</w:t>
            </w:r>
          </w:p>
          <w:p w14:paraId="2A91A00C">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焊网：根据图纸要求选择焊网型号，按标准在显示屏上设定长度和设定数量，对焊接工艺参数进行设定后组织焊接。</w:t>
            </w:r>
          </w:p>
          <w:p w14:paraId="2349EDE8">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滤纸焊网组装：将滤纸和内外护网按工艺要求进行组装。</w:t>
            </w:r>
          </w:p>
          <w:p w14:paraId="3551BC60">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eastAsia="zh-CN"/>
              </w:rPr>
              <w:t>注胶：按工艺标准</w:t>
            </w:r>
            <w:r>
              <w:rPr>
                <w:rFonts w:hint="default" w:ascii="Times New Roman" w:hAnsi="Times New Roman" w:cs="Times New Roman"/>
                <w:color w:val="auto"/>
                <w:sz w:val="24"/>
                <w:szCs w:val="24"/>
                <w:lang w:val="en-US" w:eastAsia="zh-CN"/>
              </w:rPr>
              <w:t>40±5℃对</w:t>
            </w:r>
            <w:r>
              <w:rPr>
                <w:rFonts w:hint="default" w:ascii="Times New Roman" w:hAnsi="Times New Roman" w:cs="Times New Roman"/>
                <w:color w:val="auto"/>
                <w:sz w:val="24"/>
                <w:szCs w:val="24"/>
                <w:lang w:eastAsia="zh-CN"/>
              </w:rPr>
              <w:t>加温后的模具内注入</w:t>
            </w:r>
            <w:r>
              <w:rPr>
                <w:rFonts w:hint="default" w:ascii="Times New Roman" w:hAnsi="Times New Roman" w:cs="Times New Roman"/>
                <w:color w:val="auto"/>
                <w:sz w:val="24"/>
                <w:szCs w:val="24"/>
                <w:lang w:val="en-US" w:eastAsia="zh-CN"/>
              </w:rPr>
              <w:t>PU胶，将半成品滤芯按工艺要求先后对上下端盖进行注胶。</w:t>
            </w:r>
          </w:p>
          <w:p w14:paraId="2637FA4B">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定型：按工艺标准压紧3±1min，对注胶半成品进行定型。</w:t>
            </w:r>
          </w:p>
          <w:p w14:paraId="2ACD32CC">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固化：按工艺标准60±5℃，对滤芯半成品进行固化。</w:t>
            </w:r>
          </w:p>
          <w:p w14:paraId="724C8737">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脱模：按工艺要求对滤芯上下端盖使用脱模工装进行脱模。</w:t>
            </w:r>
          </w:p>
          <w:p w14:paraId="66CCEA97">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检验：</w:t>
            </w:r>
            <w:r>
              <w:rPr>
                <w:rFonts w:hint="default" w:ascii="Times New Roman" w:hAnsi="Times New Roman" w:cs="Times New Roman"/>
                <w:color w:val="auto"/>
                <w:sz w:val="24"/>
                <w:szCs w:val="24"/>
              </w:rPr>
              <w:t>操作员对产品外观等进行检</w:t>
            </w:r>
            <w:r>
              <w:rPr>
                <w:rFonts w:hint="default" w:ascii="Times New Roman" w:hAnsi="Times New Roman" w:cs="Times New Roman"/>
                <w:color w:val="auto"/>
                <w:sz w:val="24"/>
                <w:szCs w:val="24"/>
                <w:lang w:eastAsia="zh-CN"/>
              </w:rPr>
              <w:t>查</w:t>
            </w:r>
            <w:r>
              <w:rPr>
                <w:rFonts w:hint="default" w:ascii="Times New Roman" w:hAnsi="Times New Roman" w:cs="Times New Roman"/>
                <w:color w:val="auto"/>
                <w:sz w:val="24"/>
                <w:szCs w:val="24"/>
              </w:rPr>
              <w:t>，检</w:t>
            </w:r>
            <w:r>
              <w:rPr>
                <w:rFonts w:hint="default" w:ascii="Times New Roman" w:hAnsi="Times New Roman" w:cs="Times New Roman"/>
                <w:color w:val="auto"/>
                <w:sz w:val="24"/>
                <w:szCs w:val="24"/>
                <w:lang w:eastAsia="zh-CN"/>
              </w:rPr>
              <w:t>验</w:t>
            </w:r>
            <w:r>
              <w:rPr>
                <w:rFonts w:hint="default" w:ascii="Times New Roman" w:hAnsi="Times New Roman" w:cs="Times New Roman"/>
                <w:color w:val="auto"/>
                <w:sz w:val="24"/>
                <w:szCs w:val="24"/>
              </w:rPr>
              <w:t>员</w:t>
            </w:r>
            <w:r>
              <w:rPr>
                <w:rFonts w:hint="default" w:ascii="Times New Roman" w:hAnsi="Times New Roman" w:cs="Times New Roman"/>
                <w:color w:val="auto"/>
                <w:sz w:val="24"/>
                <w:szCs w:val="24"/>
                <w:lang w:eastAsia="zh-CN"/>
              </w:rPr>
              <w:t>依据检验指导书</w:t>
            </w:r>
            <w:r>
              <w:rPr>
                <w:rFonts w:hint="default" w:ascii="Times New Roman" w:hAnsi="Times New Roman" w:cs="Times New Roman"/>
                <w:color w:val="auto"/>
                <w:sz w:val="24"/>
                <w:szCs w:val="24"/>
              </w:rPr>
              <w:t>对外观、尺寸等进行抽检，检验合格</w:t>
            </w:r>
            <w:r>
              <w:rPr>
                <w:rFonts w:hint="default" w:ascii="Times New Roman" w:hAnsi="Times New Roman" w:cs="Times New Roman"/>
                <w:color w:val="auto"/>
                <w:sz w:val="24"/>
                <w:szCs w:val="24"/>
                <w:lang w:eastAsia="zh-CN"/>
              </w:rPr>
              <w:t>喷码</w:t>
            </w:r>
            <w:r>
              <w:rPr>
                <w:rFonts w:hint="default" w:ascii="Times New Roman" w:hAnsi="Times New Roman" w:cs="Times New Roman"/>
                <w:color w:val="auto"/>
                <w:sz w:val="24"/>
                <w:szCs w:val="24"/>
              </w:rPr>
              <w:t>。</w:t>
            </w:r>
          </w:p>
          <w:p w14:paraId="59E6C6B4">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eastAsia="zh-CN"/>
              </w:rPr>
            </w:pPr>
            <w:r>
              <w:rPr>
                <w:rFonts w:hint="eastAsia" w:cs="Times New Roman"/>
                <w:color w:val="auto"/>
                <w:sz w:val="24"/>
                <w:szCs w:val="24"/>
                <w:lang w:val="en-US" w:eastAsia="zh-CN"/>
              </w:rPr>
              <w:t>激光打码</w:t>
            </w:r>
            <w:r>
              <w:rPr>
                <w:rFonts w:hint="default" w:ascii="Times New Roman" w:hAnsi="Times New Roman" w:cs="Times New Roman"/>
                <w:color w:val="auto"/>
                <w:sz w:val="24"/>
                <w:szCs w:val="24"/>
                <w:lang w:eastAsia="zh-CN"/>
              </w:rPr>
              <w:t>：按图纸要求对滤芯底部圆周进行</w:t>
            </w:r>
            <w:r>
              <w:rPr>
                <w:rFonts w:hint="eastAsia" w:cs="Times New Roman"/>
                <w:color w:val="auto"/>
                <w:sz w:val="24"/>
                <w:szCs w:val="24"/>
                <w:lang w:val="en-US" w:eastAsia="zh-CN"/>
              </w:rPr>
              <w:t>激光打码</w:t>
            </w:r>
            <w:r>
              <w:rPr>
                <w:rFonts w:hint="default" w:ascii="Times New Roman" w:hAnsi="Times New Roman" w:cs="Times New Roman"/>
                <w:color w:val="auto"/>
                <w:sz w:val="24"/>
                <w:szCs w:val="24"/>
                <w:lang w:eastAsia="zh-CN"/>
              </w:rPr>
              <w:t>。</w:t>
            </w:r>
          </w:p>
          <w:p w14:paraId="0057F604">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打包入库：将主滤芯和安全滤芯成套组装，用塑料袋包装封口，使用打包机对滤芯总成进行包装打包入库。</w:t>
            </w:r>
          </w:p>
          <w:p w14:paraId="070B9E35">
            <w:pPr>
              <w:pStyle w:val="8"/>
              <w:adjustRightInd w:val="0"/>
              <w:snapToGrid w:val="0"/>
              <w:spacing w:line="520" w:lineRule="exact"/>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4、总装生产线工艺流程</w:t>
            </w:r>
          </w:p>
          <w:p w14:paraId="5169717B">
            <w:pPr>
              <w:pStyle w:val="8"/>
              <w:adjustRightInd w:val="0"/>
              <w:snapToGrid w:val="0"/>
              <w:spacing w:line="520" w:lineRule="exact"/>
              <w:ind w:left="0"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根据订单要求，将进排气系统的注塑件、吹塑件、注胶件和外购配件在总装线进行组装，生产出进排气系统相关总成。</w:t>
            </w:r>
          </w:p>
          <w:p w14:paraId="793A0878">
            <w:pPr>
              <w:pStyle w:val="8"/>
              <w:adjustRightInd w:val="0"/>
              <w:snapToGrid w:val="0"/>
              <w:spacing w:line="520" w:lineRule="exact"/>
              <w:ind w:left="0" w:leftChars="0" w:firstLine="480" w:firstLineChars="200"/>
              <w:rPr>
                <w:rFonts w:hint="eastAsia" w:cs="Times New Roman"/>
                <w:b w:val="0"/>
                <w:bCs w:val="0"/>
                <w:color w:val="auto"/>
                <w:sz w:val="24"/>
                <w:szCs w:val="24"/>
                <w:lang w:val="en-US" w:eastAsia="zh-CN"/>
              </w:rPr>
            </w:pPr>
            <w:r>
              <w:rPr>
                <w:sz w:val="24"/>
              </w:rPr>
              <mc:AlternateContent>
                <mc:Choice Requires="wps">
                  <w:drawing>
                    <wp:anchor distT="0" distB="0" distL="114300" distR="114300" simplePos="0" relativeHeight="251787264" behindDoc="0" locked="0" layoutInCell="1" allowOverlap="1">
                      <wp:simplePos x="0" y="0"/>
                      <wp:positionH relativeFrom="column">
                        <wp:posOffset>4440555</wp:posOffset>
                      </wp:positionH>
                      <wp:positionV relativeFrom="paragraph">
                        <wp:posOffset>74295</wp:posOffset>
                      </wp:positionV>
                      <wp:extent cx="762000" cy="333375"/>
                      <wp:effectExtent l="6350" t="6350" r="12700" b="22225"/>
                      <wp:wrapNone/>
                      <wp:docPr id="267" name="圆角矩形 267"/>
                      <wp:cNvGraphicFramePr/>
                      <a:graphic xmlns:a="http://schemas.openxmlformats.org/drawingml/2006/main">
                        <a:graphicData uri="http://schemas.microsoft.com/office/word/2010/wordprocessingShape">
                          <wps:wsp>
                            <wps:cNvSpPr/>
                            <wps:spPr>
                              <a:xfrm>
                                <a:off x="0" y="0"/>
                                <a:ext cx="762000" cy="333375"/>
                              </a:xfrm>
                              <a:prstGeom prst="roundRect">
                                <a:avLst/>
                              </a:prstGeom>
                            </wps:spPr>
                            <wps:style>
                              <a:lnRef idx="2">
                                <a:schemeClr val="accent2"/>
                              </a:lnRef>
                              <a:fillRef idx="1">
                                <a:schemeClr val="lt1"/>
                              </a:fillRef>
                              <a:effectRef idx="0">
                                <a:schemeClr val="accent2"/>
                              </a:effectRef>
                              <a:fontRef idx="minor">
                                <a:schemeClr val="dk1"/>
                              </a:fontRef>
                            </wps:style>
                            <wps:txbx>
                              <w:txbxContent>
                                <w:p w14:paraId="7B2E9F68">
                                  <w:pPr>
                                    <w:jc w:val="center"/>
                                    <w:rPr>
                                      <w:rFonts w:hint="eastAsia" w:eastAsia="宋体"/>
                                      <w:lang w:val="en-US" w:eastAsia="zh-CN"/>
                                    </w:rPr>
                                  </w:pPr>
                                  <w:r>
                                    <w:rPr>
                                      <w:rFonts w:hint="eastAsia"/>
                                      <w:lang w:val="en-US" w:eastAsia="zh-CN"/>
                                    </w:rPr>
                                    <w:t>外购配件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349.65pt;margin-top:5.85pt;height:26.25pt;width:60pt;z-index:251787264;v-text-anchor:middle;mso-width-relative:page;mso-height-relative:page;" fillcolor="#FFFFFF [3201]" filled="t" stroked="t" coordsize="21600,21600" arcsize="0.166666666666667" o:gfxdata="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">
                      <v:fill on="t" focussize="0,0"/>
                      <v:stroke weight="1pt" color="#ED7D31 [3205]" miterlimit="8" joinstyle="miter"/>
                      <v:imagedata o:title=""/>
                      <o:lock v:ext="edit" aspectratio="f"/>
                      <v:textbox>
                        <w:txbxContent>
                          <w:p w14:paraId="7B2E9F68">
                            <w:pPr>
                              <w:jc w:val="center"/>
                              <w:rPr>
                                <w:rFonts w:hint="eastAsia" w:eastAsia="宋体"/>
                                <w:lang w:val="en-US" w:eastAsia="zh-CN"/>
                              </w:rPr>
                            </w:pPr>
                            <w:r>
                              <w:rPr>
                                <w:rFonts w:hint="eastAsia"/>
                                <w:lang w:val="en-US" w:eastAsia="zh-CN"/>
                              </w:rPr>
                              <w:t>外购配件</w:t>
                            </w:r>
                          </w:p>
                        </w:txbxContent>
                      </v:textbox>
                    </v:roundrect>
                  </w:pict>
                </mc:Fallback>
              </mc:AlternateContent>
            </w:r>
            <w:r>
              <w:rPr>
                <w:sz w:val="24"/>
              </w:rPr>
              <mc:AlternateContent>
                <mc:Choice Requires="wps">
                  <w:drawing>
                    <wp:anchor distT="0" distB="0" distL="114300" distR="114300" simplePos="0" relativeHeight="251787264" behindDoc="0" locked="0" layoutInCell="1" allowOverlap="1">
                      <wp:simplePos x="0" y="0"/>
                      <wp:positionH relativeFrom="column">
                        <wp:posOffset>2343150</wp:posOffset>
                      </wp:positionH>
                      <wp:positionV relativeFrom="paragraph">
                        <wp:posOffset>51435</wp:posOffset>
                      </wp:positionV>
                      <wp:extent cx="643255" cy="333375"/>
                      <wp:effectExtent l="6350" t="6350" r="17145" b="22225"/>
                      <wp:wrapNone/>
                      <wp:docPr id="265" name="圆角矩形 265"/>
                      <wp:cNvGraphicFramePr/>
                      <a:graphic xmlns:a="http://schemas.openxmlformats.org/drawingml/2006/main">
                        <a:graphicData uri="http://schemas.microsoft.com/office/word/2010/wordprocessingShape">
                          <wps:wsp>
                            <wps:cNvSpPr/>
                            <wps:spPr>
                              <a:xfrm>
                                <a:off x="0" y="0"/>
                                <a:ext cx="643255" cy="333375"/>
                              </a:xfrm>
                              <a:prstGeom prst="roundRect">
                                <a:avLst/>
                              </a:prstGeom>
                            </wps:spPr>
                            <wps:style>
                              <a:lnRef idx="2">
                                <a:schemeClr val="accent2"/>
                              </a:lnRef>
                              <a:fillRef idx="1">
                                <a:schemeClr val="lt1"/>
                              </a:fillRef>
                              <a:effectRef idx="0">
                                <a:schemeClr val="accent2"/>
                              </a:effectRef>
                              <a:fontRef idx="minor">
                                <a:schemeClr val="dk1"/>
                              </a:fontRef>
                            </wps:style>
                            <wps:txbx>
                              <w:txbxContent>
                                <w:p w14:paraId="26575D22">
                                  <w:pPr>
                                    <w:jc w:val="center"/>
                                    <w:rPr>
                                      <w:rFonts w:hint="eastAsia" w:eastAsia="宋体"/>
                                      <w:lang w:val="en-US" w:eastAsia="zh-CN"/>
                                    </w:rPr>
                                  </w:pPr>
                                  <w:r>
                                    <w:rPr>
                                      <w:rFonts w:hint="eastAsia"/>
                                      <w:lang w:val="en-US" w:eastAsia="zh-CN"/>
                                    </w:rPr>
                                    <w:t>吹塑件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84.5pt;margin-top:4.05pt;height:26.25pt;width:50.65pt;z-index:251787264;v-text-anchor:middle;mso-width-relative:page;mso-height-relative:page;" fillcolor="#FFFFFF [3201]" filled="t" stroked="t" coordsize="21600,21600" arcsize="0.166666666666667" o:gfxdata="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">
                      <v:fill on="t" focussize="0,0"/>
                      <v:stroke weight="1pt" color="#ED7D31 [3205]" miterlimit="8" joinstyle="miter"/>
                      <v:imagedata o:title=""/>
                      <o:lock v:ext="edit" aspectratio="f"/>
                      <v:textbox>
                        <w:txbxContent>
                          <w:p w14:paraId="26575D22">
                            <w:pPr>
                              <w:jc w:val="center"/>
                              <w:rPr>
                                <w:rFonts w:hint="eastAsia" w:eastAsia="宋体"/>
                                <w:lang w:val="en-US" w:eastAsia="zh-CN"/>
                              </w:rPr>
                            </w:pPr>
                            <w:r>
                              <w:rPr>
                                <w:rFonts w:hint="eastAsia"/>
                                <w:lang w:val="en-US" w:eastAsia="zh-CN"/>
                              </w:rPr>
                              <w:t>吹塑件</w:t>
                            </w:r>
                          </w:p>
                        </w:txbxContent>
                      </v:textbox>
                    </v:roundrect>
                  </w:pict>
                </mc:Fallback>
              </mc:AlternateContent>
            </w:r>
            <w:r>
              <w:rPr>
                <w:sz w:val="24"/>
              </w:rPr>
              <mc:AlternateContent>
                <mc:Choice Requires="wps">
                  <w:drawing>
                    <wp:anchor distT="0" distB="0" distL="114300" distR="114300" simplePos="0" relativeHeight="251787264" behindDoc="0" locked="0" layoutInCell="1" allowOverlap="1">
                      <wp:simplePos x="0" y="0"/>
                      <wp:positionH relativeFrom="column">
                        <wp:posOffset>3380740</wp:posOffset>
                      </wp:positionH>
                      <wp:positionV relativeFrom="paragraph">
                        <wp:posOffset>64135</wp:posOffset>
                      </wp:positionV>
                      <wp:extent cx="643255" cy="333375"/>
                      <wp:effectExtent l="6350" t="6350" r="17145" b="22225"/>
                      <wp:wrapNone/>
                      <wp:docPr id="266" name="圆角矩形 266"/>
                      <wp:cNvGraphicFramePr/>
                      <a:graphic xmlns:a="http://schemas.openxmlformats.org/drawingml/2006/main">
                        <a:graphicData uri="http://schemas.microsoft.com/office/word/2010/wordprocessingShape">
                          <wps:wsp>
                            <wps:cNvSpPr/>
                            <wps:spPr>
                              <a:xfrm>
                                <a:off x="0" y="0"/>
                                <a:ext cx="643255" cy="333375"/>
                              </a:xfrm>
                              <a:prstGeom prst="roundRect">
                                <a:avLst/>
                              </a:prstGeom>
                            </wps:spPr>
                            <wps:style>
                              <a:lnRef idx="2">
                                <a:schemeClr val="accent2"/>
                              </a:lnRef>
                              <a:fillRef idx="1">
                                <a:schemeClr val="lt1"/>
                              </a:fillRef>
                              <a:effectRef idx="0">
                                <a:schemeClr val="accent2"/>
                              </a:effectRef>
                              <a:fontRef idx="minor">
                                <a:schemeClr val="dk1"/>
                              </a:fontRef>
                            </wps:style>
                            <wps:txbx>
                              <w:txbxContent>
                                <w:p w14:paraId="09187A6E">
                                  <w:pPr>
                                    <w:jc w:val="center"/>
                                    <w:rPr>
                                      <w:rFonts w:hint="eastAsia" w:eastAsia="宋体"/>
                                      <w:lang w:val="en-US" w:eastAsia="zh-CN"/>
                                    </w:rPr>
                                  </w:pPr>
                                  <w:r>
                                    <w:rPr>
                                      <w:rFonts w:hint="eastAsia"/>
                                      <w:lang w:val="en-US" w:eastAsia="zh-CN"/>
                                    </w:rPr>
                                    <w:t>滤芯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266.2pt;margin-top:5.05pt;height:26.25pt;width:50.65pt;z-index:251787264;v-text-anchor:middle;mso-width-relative:page;mso-height-relative:page;" fillcolor="#FFFFFF [3201]" filled="t" stroked="t" coordsize="21600,21600" arcsize="0.166666666666667" o:gfxdata="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">
                      <v:fill on="t" focussize="0,0"/>
                      <v:stroke weight="1pt" color="#ED7D31 [3205]" miterlimit="8" joinstyle="miter"/>
                      <v:imagedata o:title=""/>
                      <o:lock v:ext="edit" aspectratio="f"/>
                      <v:textbox>
                        <w:txbxContent>
                          <w:p w14:paraId="09187A6E">
                            <w:pPr>
                              <w:jc w:val="center"/>
                              <w:rPr>
                                <w:rFonts w:hint="eastAsia" w:eastAsia="宋体"/>
                                <w:lang w:val="en-US" w:eastAsia="zh-CN"/>
                              </w:rPr>
                            </w:pPr>
                            <w:r>
                              <w:rPr>
                                <w:rFonts w:hint="eastAsia"/>
                                <w:lang w:val="en-US" w:eastAsia="zh-CN"/>
                              </w:rPr>
                              <w:t>滤芯</w:t>
                            </w:r>
                          </w:p>
                        </w:txbxContent>
                      </v:textbox>
                    </v:roundrect>
                  </w:pict>
                </mc:Fallback>
              </mc:AlternateContent>
            </w:r>
            <w:r>
              <w:rPr>
                <w:sz w:val="24"/>
              </w:rPr>
              <mc:AlternateContent>
                <mc:Choice Requires="wps">
                  <w:drawing>
                    <wp:anchor distT="0" distB="0" distL="114300" distR="114300" simplePos="0" relativeHeight="251698176" behindDoc="0" locked="0" layoutInCell="1" allowOverlap="1">
                      <wp:simplePos x="0" y="0"/>
                      <wp:positionH relativeFrom="column">
                        <wp:posOffset>1311275</wp:posOffset>
                      </wp:positionH>
                      <wp:positionV relativeFrom="paragraph">
                        <wp:posOffset>41910</wp:posOffset>
                      </wp:positionV>
                      <wp:extent cx="643255" cy="333375"/>
                      <wp:effectExtent l="6350" t="6350" r="17145" b="22225"/>
                      <wp:wrapNone/>
                      <wp:docPr id="264" name="圆角矩形 264"/>
                      <wp:cNvGraphicFramePr/>
                      <a:graphic xmlns:a="http://schemas.openxmlformats.org/drawingml/2006/main">
                        <a:graphicData uri="http://schemas.microsoft.com/office/word/2010/wordprocessingShape">
                          <wps:wsp>
                            <wps:cNvSpPr/>
                            <wps:spPr>
                              <a:xfrm>
                                <a:off x="1923415" y="5391150"/>
                                <a:ext cx="643255" cy="333375"/>
                              </a:xfrm>
                              <a:prstGeom prst="roundRect">
                                <a:avLst/>
                              </a:prstGeom>
                            </wps:spPr>
                            <wps:style>
                              <a:lnRef idx="2">
                                <a:schemeClr val="accent2"/>
                              </a:lnRef>
                              <a:fillRef idx="1">
                                <a:schemeClr val="lt1"/>
                              </a:fillRef>
                              <a:effectRef idx="0">
                                <a:schemeClr val="accent2"/>
                              </a:effectRef>
                              <a:fontRef idx="minor">
                                <a:schemeClr val="dk1"/>
                              </a:fontRef>
                            </wps:style>
                            <wps:txbx>
                              <w:txbxContent>
                                <w:p w14:paraId="31F3B5BE">
                                  <w:pPr>
                                    <w:jc w:val="center"/>
                                    <w:rPr>
                                      <w:rFonts w:hint="eastAsia" w:eastAsia="宋体"/>
                                      <w:lang w:val="en-US" w:eastAsia="zh-CN"/>
                                    </w:rPr>
                                  </w:pPr>
                                  <w:r>
                                    <w:rPr>
                                      <w:rFonts w:hint="eastAsia"/>
                                      <w:lang w:val="en-US" w:eastAsia="zh-CN"/>
                                    </w:rPr>
                                    <w:t>注塑件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03.25pt;margin-top:3.3pt;height:26.25pt;width:50.65pt;z-index:251698176;v-text-anchor:middle;mso-width-relative:page;mso-height-relative:page;" fillcolor="#FFFFFF [3201]" filled="t" stroked="t" coordsize="21600,21600" arcsize="0.166666666666667" o:gfxdata="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">
                      <v:fill on="t" focussize="0,0"/>
                      <v:stroke weight="1pt" color="#ED7D31 [3205]" miterlimit="8" joinstyle="miter"/>
                      <v:imagedata o:title=""/>
                      <o:lock v:ext="edit" aspectratio="f"/>
                      <v:textbox>
                        <w:txbxContent>
                          <w:p w14:paraId="31F3B5BE">
                            <w:pPr>
                              <w:jc w:val="center"/>
                              <w:rPr>
                                <w:rFonts w:hint="eastAsia" w:eastAsia="宋体"/>
                                <w:lang w:val="en-US" w:eastAsia="zh-CN"/>
                              </w:rPr>
                            </w:pPr>
                            <w:r>
                              <w:rPr>
                                <w:rFonts w:hint="eastAsia"/>
                                <w:lang w:val="en-US" w:eastAsia="zh-CN"/>
                              </w:rPr>
                              <w:t>注塑件</w:t>
                            </w:r>
                          </w:p>
                        </w:txbxContent>
                      </v:textbox>
                    </v:roundrect>
                  </w:pict>
                </mc:Fallback>
              </mc:AlternateContent>
            </w:r>
          </w:p>
          <w:p w14:paraId="4A92CE3C">
            <w:pPr>
              <w:pStyle w:val="8"/>
              <w:adjustRightInd w:val="0"/>
              <w:snapToGrid w:val="0"/>
              <w:spacing w:line="520" w:lineRule="exact"/>
              <w:ind w:left="0" w:leftChars="0" w:firstLine="480" w:firstLineChars="200"/>
              <w:rPr>
                <w:rFonts w:hint="eastAsia" w:cs="Times New Roman"/>
                <w:b w:val="0"/>
                <w:bCs w:val="0"/>
                <w:color w:val="auto"/>
                <w:sz w:val="24"/>
                <w:szCs w:val="24"/>
                <w:lang w:val="en-US" w:eastAsia="zh-CN"/>
              </w:rPr>
            </w:pPr>
            <w:r>
              <w:rPr>
                <w:sz w:val="24"/>
              </w:rPr>
              <mc:AlternateContent>
                <mc:Choice Requires="wps">
                  <w:drawing>
                    <wp:anchor distT="0" distB="0" distL="114300" distR="114300" simplePos="0" relativeHeight="251700224" behindDoc="0" locked="0" layoutInCell="1" allowOverlap="1">
                      <wp:simplePos x="0" y="0"/>
                      <wp:positionH relativeFrom="column">
                        <wp:posOffset>3211195</wp:posOffset>
                      </wp:positionH>
                      <wp:positionV relativeFrom="paragraph">
                        <wp:posOffset>-1533525</wp:posOffset>
                      </wp:positionV>
                      <wp:extent cx="32385" cy="3188335"/>
                      <wp:effectExtent l="4445" t="0" r="0" b="253365"/>
                      <wp:wrapNone/>
                      <wp:docPr id="270" name="肘形连接符 270"/>
                      <wp:cNvGraphicFramePr/>
                      <a:graphic xmlns:a="http://schemas.openxmlformats.org/drawingml/2006/main">
                        <a:graphicData uri="http://schemas.microsoft.com/office/word/2010/wordprocessingShape">
                          <wps:wsp>
                            <wps:cNvCnPr>
                              <a:stCxn id="264" idx="2"/>
                              <a:endCxn id="267" idx="2"/>
                            </wps:cNvCnPr>
                            <wps:spPr>
                              <a:xfrm rot="5400000" flipV="1">
                                <a:off x="3822700" y="4146550"/>
                                <a:ext cx="32385" cy="3188335"/>
                              </a:xfrm>
                              <a:prstGeom prst="bentConnector3">
                                <a:avLst>
                                  <a:gd name="adj1" fmla="val 835294"/>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4" type="#_x0000_t34" style="position:absolute;left:0pt;flip:y;margin-left:252.85pt;margin-top:-120.75pt;height:251.05pt;width:2.55pt;rotation:-5898240f;z-index:251700224;mso-width-relative:page;mso-height-relative:page;" filled="f" stroked="t" coordsize="21600,21600" o:gfxdata="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BqZktbZAAAADAEAAA8AAAAAAAAAAQAg&#10;AAAAIgAAAGRycy9kb3ducmV2LnhtbFBLAQIUABQAAAAIAIdO4kCuAU29RgIAAFkEAAAOAAAAAAAA&#10;AAEAIAAAACgBAABkcnMvZTJvRG9jLnhtbFBLBQYAAAAABgAGAFkBAADgBQAAAAA=&#10;" adj="180424">
                      <v:fill on="f" focussize="0,0"/>
                      <v:stroke weight="0.5pt" color="#5B9BD5 [3204]" miterlimit="8" joinstyle="miter"/>
                      <v:imagedata o:title=""/>
                      <o:lock v:ext="edit" aspectratio="f"/>
                    </v:shape>
                  </w:pict>
                </mc:Fallback>
              </mc:AlternateContent>
            </w:r>
            <w:r>
              <w:rPr>
                <w:sz w:val="24"/>
              </w:rPr>
              <mc:AlternateContent>
                <mc:Choice Requires="wps">
                  <w:drawing>
                    <wp:anchor distT="0" distB="0" distL="114300" distR="114300" simplePos="0" relativeHeight="251705344" behindDoc="0" locked="0" layoutInCell="1" allowOverlap="1">
                      <wp:simplePos x="0" y="0"/>
                      <wp:positionH relativeFrom="column">
                        <wp:posOffset>3702685</wp:posOffset>
                      </wp:positionH>
                      <wp:positionV relativeFrom="paragraph">
                        <wp:posOffset>67310</wp:posOffset>
                      </wp:positionV>
                      <wp:extent cx="1905" cy="251460"/>
                      <wp:effectExtent l="4445" t="0" r="12700" b="15240"/>
                      <wp:wrapNone/>
                      <wp:docPr id="276" name="直接连接符 276"/>
                      <wp:cNvGraphicFramePr/>
                      <a:graphic xmlns:a="http://schemas.openxmlformats.org/drawingml/2006/main">
                        <a:graphicData uri="http://schemas.microsoft.com/office/word/2010/wordprocessingShape">
                          <wps:wsp>
                            <wps:cNvCnPr>
                              <a:stCxn id="266" idx="2"/>
                            </wps:cNvCnPr>
                            <wps:spPr>
                              <a:xfrm>
                                <a:off x="4314825" y="5746750"/>
                                <a:ext cx="1905" cy="2514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291.55pt;margin-top:5.3pt;height:19.8pt;width:0.15pt;z-index:251705344;mso-width-relative:page;mso-height-relative:page;" filled="f" stroked="t" coordsize="21600,21600" o:gfxdata="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F8xs7tgAAAAJAQAADwAAAAAAAAABACAA&#10;AAAiAAAAZHJzL2Rvd25yZXYueG1sUEsBAhQAFAAAAAgAh07iQJxm5LwNAgAA6wMAAA4AAAAAAAAA&#10;AQAgAAAAJwEAAGRycy9lMm9Eb2MueG1sUEsFBgAAAAAGAAYAWQEAAKYFAAAAAA==&#10;">
                      <v:fill on="f" focussize="0,0"/>
                      <v:stroke weight="0.5pt" color="#5B9BD5 [3204]" miterlimit="8" joinstyle="miter"/>
                      <v:imagedata o:title=""/>
                      <o:lock v:ext="edit" aspectratio="f"/>
                    </v:line>
                  </w:pict>
                </mc:Fallback>
              </mc:AlternateContent>
            </w:r>
            <w:r>
              <w:rPr>
                <w:sz w:val="24"/>
              </w:rPr>
              <mc:AlternateContent>
                <mc:Choice Requires="wps">
                  <w:drawing>
                    <wp:anchor distT="0" distB="0" distL="114300" distR="114300" simplePos="0" relativeHeight="251704320" behindDoc="0" locked="0" layoutInCell="1" allowOverlap="1">
                      <wp:simplePos x="0" y="0"/>
                      <wp:positionH relativeFrom="column">
                        <wp:posOffset>2665095</wp:posOffset>
                      </wp:positionH>
                      <wp:positionV relativeFrom="paragraph">
                        <wp:posOffset>54610</wp:posOffset>
                      </wp:positionV>
                      <wp:extent cx="3810" cy="276225"/>
                      <wp:effectExtent l="4445" t="0" r="10795" b="9525"/>
                      <wp:wrapNone/>
                      <wp:docPr id="275" name="直接连接符 275"/>
                      <wp:cNvGraphicFramePr/>
                      <a:graphic xmlns:a="http://schemas.openxmlformats.org/drawingml/2006/main">
                        <a:graphicData uri="http://schemas.microsoft.com/office/word/2010/wordprocessingShape">
                          <wps:wsp>
                            <wps:cNvCnPr>
                              <a:stCxn id="265" idx="2"/>
                            </wps:cNvCnPr>
                            <wps:spPr>
                              <a:xfrm>
                                <a:off x="3277235" y="5734050"/>
                                <a:ext cx="3810" cy="2762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209.85pt;margin-top:4.3pt;height:21.75pt;width:0.3pt;z-index:251704320;mso-width-relative:page;mso-height-relative:page;" filled="f" stroked="t" coordsize="21600,21600" o:gfxdata="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vcxbW2QAAAAgBAAAPAAAAAAAAAAEAIAAA&#10;ACIAAABkcnMvZG93bnJldi54bWxQSwECFAAUAAAACACHTuJAScLMLQsCAADrAwAADgAAAAAAAAAB&#10;ACAAAAAoAQAAZHJzL2Uyb0RvYy54bWxQSwUGAAAAAAYABgBZAQAApQUAAAAA&#10;">
                      <v:fill on="f" focussize="0,0"/>
                      <v:stroke weight="0.5pt" color="#5B9BD5 [3204]" miterlimit="8" joinstyle="miter"/>
                      <v:imagedata o:title=""/>
                      <o:lock v:ext="edit" aspectratio="f"/>
                    </v:line>
                  </w:pict>
                </mc:Fallback>
              </mc:AlternateContent>
            </w:r>
            <w:r>
              <w:rPr>
                <w:sz w:val="24"/>
              </w:rPr>
              <mc:AlternateContent>
                <mc:Choice Requires="wps">
                  <w:drawing>
                    <wp:anchor distT="0" distB="0" distL="114300" distR="114300" simplePos="0" relativeHeight="251701248" behindDoc="0" locked="0" layoutInCell="1" allowOverlap="1">
                      <wp:simplePos x="0" y="0"/>
                      <wp:positionH relativeFrom="column">
                        <wp:posOffset>3256915</wp:posOffset>
                      </wp:positionH>
                      <wp:positionV relativeFrom="paragraph">
                        <wp:posOffset>318770</wp:posOffset>
                      </wp:positionV>
                      <wp:extent cx="6985" cy="548005"/>
                      <wp:effectExtent l="48260" t="0" r="59055" b="4445"/>
                      <wp:wrapNone/>
                      <wp:docPr id="271" name="直接箭头连接符 271"/>
                      <wp:cNvGraphicFramePr/>
                      <a:graphic xmlns:a="http://schemas.openxmlformats.org/drawingml/2006/main">
                        <a:graphicData uri="http://schemas.microsoft.com/office/word/2010/wordprocessingShape">
                          <wps:wsp>
                            <wps:cNvCnPr>
                              <a:endCxn id="269" idx="0"/>
                            </wps:cNvCnPr>
                            <wps:spPr>
                              <a:xfrm flipH="1">
                                <a:off x="3822700" y="5986145"/>
                                <a:ext cx="6985" cy="54800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56.45pt;margin-top:25.1pt;height:43.15pt;width:0.55pt;z-index:251701248;mso-width-relative:page;mso-height-relative:page;" filled="f" stroked="t" coordsize="21600,21600" o:gfxdata="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BIsCX2AAAAAoBAAAPAAAAAAAAAAEAIAAAACIAAABkcnMvZG93bnJldi54&#10;bWxQSwECFAAUAAAACACHTuJAGWVC0jMCAAAjBAAADgAAAAAAAAABACAAAAAnAQAAZHJzL2Uyb0Rv&#10;Yy54bWxQSwUGAAAAAAYABgBZAQAAzAUAAAAA&#10;">
                      <v:fill on="f" focussize="0,0"/>
                      <v:stroke weight="0.5pt" color="#5B9BD5 [3204]" miterlimit="8" joinstyle="miter" endarrow="open"/>
                      <v:imagedata o:title=""/>
                      <o:lock v:ext="edit" aspectratio="f"/>
                    </v:shape>
                  </w:pict>
                </mc:Fallback>
              </mc:AlternateContent>
            </w:r>
          </w:p>
          <w:p w14:paraId="4A005EED">
            <w:pPr>
              <w:pStyle w:val="8"/>
              <w:adjustRightInd w:val="0"/>
              <w:snapToGrid w:val="0"/>
              <w:spacing w:line="520" w:lineRule="exact"/>
              <w:ind w:left="0" w:leftChars="0" w:firstLine="480" w:firstLineChars="200"/>
              <w:rPr>
                <w:rFonts w:hint="eastAsia" w:cs="Times New Roman"/>
                <w:b w:val="0"/>
                <w:bCs w:val="0"/>
                <w:color w:val="auto"/>
                <w:sz w:val="24"/>
                <w:szCs w:val="24"/>
                <w:lang w:val="en-US" w:eastAsia="zh-CN"/>
              </w:rPr>
            </w:pPr>
          </w:p>
          <w:p w14:paraId="49BEF765">
            <w:pPr>
              <w:pStyle w:val="8"/>
              <w:adjustRightInd w:val="0"/>
              <w:snapToGrid w:val="0"/>
              <w:spacing w:line="520" w:lineRule="exact"/>
              <w:ind w:left="0" w:leftChars="0" w:firstLine="480" w:firstLineChars="200"/>
              <w:rPr>
                <w:rFonts w:hint="eastAsia" w:cs="Times New Roman"/>
                <w:b w:val="0"/>
                <w:bCs w:val="0"/>
                <w:color w:val="auto"/>
                <w:sz w:val="24"/>
                <w:szCs w:val="24"/>
                <w:lang w:val="en-US" w:eastAsia="zh-CN"/>
              </w:rPr>
            </w:pPr>
            <w:r>
              <w:rPr>
                <w:sz w:val="24"/>
              </w:rPr>
              <mc:AlternateContent>
                <mc:Choice Requires="wps">
                  <w:drawing>
                    <wp:anchor distT="0" distB="0" distL="114300" distR="114300" simplePos="0" relativeHeight="251706368" behindDoc="0" locked="0" layoutInCell="1" allowOverlap="1">
                      <wp:simplePos x="0" y="0"/>
                      <wp:positionH relativeFrom="column">
                        <wp:posOffset>1360170</wp:posOffset>
                      </wp:positionH>
                      <wp:positionV relativeFrom="paragraph">
                        <wp:posOffset>255270</wp:posOffset>
                      </wp:positionV>
                      <wp:extent cx="617855" cy="393065"/>
                      <wp:effectExtent l="0" t="0" r="0" b="0"/>
                      <wp:wrapNone/>
                      <wp:docPr id="277" name="圆角矩形 277"/>
                      <wp:cNvGraphicFramePr/>
                      <a:graphic xmlns:a="http://schemas.openxmlformats.org/drawingml/2006/main">
                        <a:graphicData uri="http://schemas.microsoft.com/office/word/2010/wordprocessingShape">
                          <wps:wsp>
                            <wps:cNvSpPr/>
                            <wps:spPr>
                              <a:xfrm>
                                <a:off x="1459230" y="6619240"/>
                                <a:ext cx="617855" cy="393065"/>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9E39AC">
                                  <w:pPr>
                                    <w:jc w:val="center"/>
                                    <w:rPr>
                                      <w:rFonts w:hint="eastAsia" w:eastAsia="宋体"/>
                                      <w:color w:val="auto"/>
                                      <w:lang w:val="en-US" w:eastAsia="zh-CN"/>
                                    </w:rPr>
                                  </w:pPr>
                                  <w:r>
                                    <w:rPr>
                                      <w:rFonts w:hint="eastAsia"/>
                                      <w:color w:val="auto"/>
                                      <w:lang w:val="en-US" w:eastAsia="zh-CN"/>
                                    </w:rPr>
                                    <w:t>噪声</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07.1pt;margin-top:20.1pt;height:30.95pt;width:48.65pt;z-index:251706368;v-text-anchor:middle;mso-width-relative:page;mso-height-relative:page;" filled="f" stroked="f" coordsize="21600,21600" arcsize="0.166666666666667" o:gfxdata="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UTRxr1wAAAAoBAAAPAAAAAAAAAAEAIAAA&#10;ACIAAABkcnMvZG93bnJldi54bWxQSwECFAAUAAAACACHTuJAQxdsIH8CAADHBAAADgAAAAAAAAAB&#10;ACAAAAAmAQAAZHJzL2Uyb0RvYy54bWxQSwUGAAAAAAYABgBZAQAAFwYAAAAA&#10;">
                      <v:fill on="f" focussize="0,0"/>
                      <v:stroke on="f" weight="1pt" miterlimit="8" joinstyle="miter"/>
                      <v:imagedata o:title=""/>
                      <o:lock v:ext="edit" aspectratio="f"/>
                      <v:textbox>
                        <w:txbxContent>
                          <w:p w14:paraId="119E39AC">
                            <w:pPr>
                              <w:jc w:val="center"/>
                              <w:rPr>
                                <w:rFonts w:hint="eastAsia" w:eastAsia="宋体"/>
                                <w:color w:val="auto"/>
                                <w:lang w:val="en-US" w:eastAsia="zh-CN"/>
                              </w:rPr>
                            </w:pPr>
                            <w:r>
                              <w:rPr>
                                <w:rFonts w:hint="eastAsia"/>
                                <w:color w:val="auto"/>
                                <w:lang w:val="en-US" w:eastAsia="zh-CN"/>
                              </w:rPr>
                              <w:t>噪声</w:t>
                            </w:r>
                          </w:p>
                        </w:txbxContent>
                      </v:textbox>
                    </v:roundrect>
                  </w:pict>
                </mc:Fallback>
              </mc:AlternateContent>
            </w:r>
            <w:r>
              <w:rPr>
                <w:sz w:val="24"/>
              </w:rPr>
              <mc:AlternateContent>
                <mc:Choice Requires="wps">
                  <w:drawing>
                    <wp:anchor distT="0" distB="0" distL="114300" distR="114300" simplePos="0" relativeHeight="251699200" behindDoc="0" locked="0" layoutInCell="1" allowOverlap="1">
                      <wp:simplePos x="0" y="0"/>
                      <wp:positionH relativeFrom="column">
                        <wp:posOffset>2488565</wp:posOffset>
                      </wp:positionH>
                      <wp:positionV relativeFrom="paragraph">
                        <wp:posOffset>206375</wp:posOffset>
                      </wp:positionV>
                      <wp:extent cx="1536065" cy="476250"/>
                      <wp:effectExtent l="6350" t="6350" r="19685" b="12700"/>
                      <wp:wrapNone/>
                      <wp:docPr id="269" name="圆角矩形 269"/>
                      <wp:cNvGraphicFramePr/>
                      <a:graphic xmlns:a="http://schemas.openxmlformats.org/drawingml/2006/main">
                        <a:graphicData uri="http://schemas.microsoft.com/office/word/2010/wordprocessingShape">
                          <wps:wsp>
                            <wps:cNvSpPr/>
                            <wps:spPr>
                              <a:xfrm>
                                <a:off x="3054350" y="6546215"/>
                                <a:ext cx="1536065" cy="476250"/>
                              </a:xfrm>
                              <a:prstGeom prst="roundRect">
                                <a:avLst/>
                              </a:prstGeom>
                            </wps:spPr>
                            <wps:style>
                              <a:lnRef idx="2">
                                <a:schemeClr val="accent2"/>
                              </a:lnRef>
                              <a:fillRef idx="1">
                                <a:schemeClr val="lt1"/>
                              </a:fillRef>
                              <a:effectRef idx="0">
                                <a:schemeClr val="accent2"/>
                              </a:effectRef>
                              <a:fontRef idx="minor">
                                <a:schemeClr val="dk1"/>
                              </a:fontRef>
                            </wps:style>
                            <wps:txbx>
                              <w:txbxContent>
                                <w:p w14:paraId="7BE0588B">
                                  <w:pPr>
                                    <w:jc w:val="center"/>
                                    <w:rPr>
                                      <w:rFonts w:hint="eastAsia" w:eastAsia="宋体"/>
                                      <w:lang w:val="en-US" w:eastAsia="zh-CN"/>
                                    </w:rPr>
                                  </w:pPr>
                                  <w:r>
                                    <w:rPr>
                                      <w:rFonts w:hint="eastAsia"/>
                                      <w:lang w:val="en-US" w:eastAsia="zh-CN"/>
                                    </w:rPr>
                                    <w:t>总装、点焊</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95.95pt;margin-top:16.25pt;height:37.5pt;width:120.95pt;z-index:251699200;v-text-anchor:middle;mso-width-relative:page;mso-height-relative:page;" fillcolor="#FFFFFF [3201]" filled="t" stroked="t" coordsize="21600,21600" arcsize="0.166666666666667" o:gfxdata="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">
                      <v:fill on="t" focussize="0,0"/>
                      <v:stroke weight="1pt" color="#ED7D31 [3205]" miterlimit="8" joinstyle="miter"/>
                      <v:imagedata o:title=""/>
                      <o:lock v:ext="edit" aspectratio="f"/>
                      <v:textbox>
                        <w:txbxContent>
                          <w:p w14:paraId="7BE0588B">
                            <w:pPr>
                              <w:jc w:val="center"/>
                              <w:rPr>
                                <w:rFonts w:hint="eastAsia" w:eastAsia="宋体"/>
                                <w:lang w:val="en-US" w:eastAsia="zh-CN"/>
                              </w:rPr>
                            </w:pPr>
                            <w:r>
                              <w:rPr>
                                <w:rFonts w:hint="eastAsia"/>
                                <w:lang w:val="en-US" w:eastAsia="zh-CN"/>
                              </w:rPr>
                              <w:t>总装、点焊</w:t>
                            </w:r>
                          </w:p>
                        </w:txbxContent>
                      </v:textbox>
                    </v:roundrect>
                  </w:pict>
                </mc:Fallback>
              </mc:AlternateContent>
            </w:r>
          </w:p>
          <w:p w14:paraId="218281E3">
            <w:pPr>
              <w:pStyle w:val="8"/>
              <w:adjustRightInd w:val="0"/>
              <w:snapToGrid w:val="0"/>
              <w:spacing w:line="520" w:lineRule="exact"/>
              <w:ind w:left="0" w:leftChars="0" w:firstLine="480" w:firstLineChars="200"/>
              <w:rPr>
                <w:rFonts w:hint="eastAsia" w:cs="Times New Roman"/>
                <w:b w:val="0"/>
                <w:bCs w:val="0"/>
                <w:color w:val="auto"/>
                <w:sz w:val="24"/>
                <w:szCs w:val="24"/>
                <w:lang w:val="en-US" w:eastAsia="zh-CN"/>
              </w:rPr>
            </w:pPr>
            <w:r>
              <w:rPr>
                <w:sz w:val="24"/>
              </w:rPr>
              <mc:AlternateContent>
                <mc:Choice Requires="wps">
                  <w:drawing>
                    <wp:anchor distT="0" distB="0" distL="114300" distR="114300" simplePos="0" relativeHeight="251707392" behindDoc="0" locked="0" layoutInCell="1" allowOverlap="1">
                      <wp:simplePos x="0" y="0"/>
                      <wp:positionH relativeFrom="column">
                        <wp:posOffset>1978025</wp:posOffset>
                      </wp:positionH>
                      <wp:positionV relativeFrom="paragraph">
                        <wp:posOffset>114300</wp:posOffset>
                      </wp:positionV>
                      <wp:extent cx="510540" cy="7620"/>
                      <wp:effectExtent l="0" t="42545" r="3810" b="64135"/>
                      <wp:wrapNone/>
                      <wp:docPr id="279" name="直接箭头连接符 279"/>
                      <wp:cNvGraphicFramePr/>
                      <a:graphic xmlns:a="http://schemas.openxmlformats.org/drawingml/2006/main">
                        <a:graphicData uri="http://schemas.microsoft.com/office/word/2010/wordprocessingShape">
                          <wps:wsp>
                            <wps:cNvCnPr>
                              <a:stCxn id="269" idx="1"/>
                              <a:endCxn id="277" idx="3"/>
                            </wps:cNvCnPr>
                            <wps:spPr>
                              <a:xfrm flipH="1">
                                <a:off x="2601595" y="6784340"/>
                                <a:ext cx="510540" cy="7620"/>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55.75pt;margin-top:9pt;height:0.6pt;width:40.2pt;z-index:251707392;mso-width-relative:page;mso-height-relative:page;" filled="f" stroked="t" coordsize="21600,21600" o:gfxdata="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B89xAvXAAAACQEAAA8AAAAAAAAAAQAgAAAAIgAAAGRycy9k&#10;b3ducmV2LnhtbFBLAQIUABQAAAAIAIdO4kD61mtHPAIAAD0EAAAOAAAAAAAAAAEAIAAAACYBAABk&#10;cnMvZTJvRG9jLnhtbFBLBQYAAAAABgAGAFkBAADUBQAAAAA=&#10;">
                      <v:fill on="f" focussize="0,0"/>
                      <v:stroke weight="0.5pt" color="#5B9BD5 [3204]" miterlimit="8" joinstyle="miter" dashstyle="dash" endarrow="open"/>
                      <v:imagedata o:title=""/>
                      <o:lock v:ext="edit" aspectratio="f"/>
                    </v:shape>
                  </w:pict>
                </mc:Fallback>
              </mc:AlternateContent>
            </w:r>
          </w:p>
          <w:p w14:paraId="587F05D4">
            <w:pPr>
              <w:pStyle w:val="8"/>
              <w:adjustRightInd w:val="0"/>
              <w:snapToGrid w:val="0"/>
              <w:spacing w:line="520" w:lineRule="exact"/>
              <w:ind w:left="0" w:leftChars="0" w:firstLine="480" w:firstLineChars="200"/>
              <w:rPr>
                <w:rFonts w:hint="eastAsia" w:cs="Times New Roman"/>
                <w:b w:val="0"/>
                <w:bCs w:val="0"/>
                <w:color w:val="auto"/>
                <w:sz w:val="24"/>
                <w:szCs w:val="24"/>
                <w:lang w:val="en-US" w:eastAsia="zh-CN"/>
              </w:rPr>
            </w:pPr>
            <w:r>
              <w:rPr>
                <w:sz w:val="24"/>
              </w:rPr>
              <mc:AlternateContent>
                <mc:Choice Requires="wps">
                  <w:drawing>
                    <wp:anchor distT="0" distB="0" distL="114300" distR="114300" simplePos="0" relativeHeight="251716608" behindDoc="0" locked="0" layoutInCell="1" allowOverlap="1">
                      <wp:simplePos x="0" y="0"/>
                      <wp:positionH relativeFrom="column">
                        <wp:posOffset>3252470</wp:posOffset>
                      </wp:positionH>
                      <wp:positionV relativeFrom="paragraph">
                        <wp:posOffset>22225</wp:posOffset>
                      </wp:positionV>
                      <wp:extent cx="4445" cy="391160"/>
                      <wp:effectExtent l="48260" t="0" r="61595" b="8890"/>
                      <wp:wrapNone/>
                      <wp:docPr id="283" name="直接箭头连接符 283"/>
                      <wp:cNvGraphicFramePr/>
                      <a:graphic xmlns:a="http://schemas.openxmlformats.org/drawingml/2006/main">
                        <a:graphicData uri="http://schemas.microsoft.com/office/word/2010/wordprocessingShape">
                          <wps:wsp>
                            <wps:cNvCnPr>
                              <a:stCxn id="269" idx="2"/>
                              <a:endCxn id="281" idx="0"/>
                            </wps:cNvCnPr>
                            <wps:spPr>
                              <a:xfrm flipH="1">
                                <a:off x="3853180" y="7022465"/>
                                <a:ext cx="4445" cy="39116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56.1pt;margin-top:1.75pt;height:30.8pt;width:0.35pt;z-index:251716608;mso-width-relative:page;mso-height-relative:page;" filled="f" stroked="t" coordsize="21600,21600" o:gfxdata="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X//Jw9YAAAAIAQAADwAAAAAAAAABACAAAAAiAAAAZHJzL2Rv&#10;d25yZXYueG1sUEsBAhQAFAAAAAgAh07iQOjtSWI8AgAAPgQAAA4AAAAAAAAAAQAgAAAAJQEAAGRy&#10;cy9lMm9Eb2MueG1sUEsFBgAAAAAGAAYAWQEAANMFAAAAAA==&#10;">
                      <v:fill on="f" focussize="0,0"/>
                      <v:stroke weight="0.5pt" color="#5B9BD5 [3204]" miterlimit="8" joinstyle="miter" endarrow="open"/>
                      <v:imagedata o:title=""/>
                      <o:lock v:ext="edit" aspectratio="f"/>
                    </v:shape>
                  </w:pict>
                </mc:Fallback>
              </mc:AlternateContent>
            </w:r>
          </w:p>
          <w:p w14:paraId="7CA834FE">
            <w:pPr>
              <w:pStyle w:val="8"/>
              <w:adjustRightInd w:val="0"/>
              <w:snapToGrid w:val="0"/>
              <w:spacing w:line="520" w:lineRule="exact"/>
              <w:ind w:left="0" w:leftChars="0" w:firstLine="480" w:firstLineChars="200"/>
              <w:rPr>
                <w:rFonts w:hint="eastAsia" w:cs="Times New Roman"/>
                <w:b w:val="0"/>
                <w:bCs w:val="0"/>
                <w:color w:val="auto"/>
                <w:sz w:val="24"/>
                <w:szCs w:val="24"/>
                <w:lang w:val="en-US" w:eastAsia="zh-CN"/>
              </w:rPr>
            </w:pPr>
            <w:r>
              <w:rPr>
                <w:sz w:val="24"/>
              </w:rPr>
              <mc:AlternateContent>
                <mc:Choice Requires="wps">
                  <w:drawing>
                    <wp:anchor distT="0" distB="0" distL="114300" distR="114300" simplePos="0" relativeHeight="251807744" behindDoc="0" locked="0" layoutInCell="1" allowOverlap="1">
                      <wp:simplePos x="0" y="0"/>
                      <wp:positionH relativeFrom="column">
                        <wp:posOffset>786130</wp:posOffset>
                      </wp:positionH>
                      <wp:positionV relativeFrom="paragraph">
                        <wp:posOffset>71755</wp:posOffset>
                      </wp:positionV>
                      <wp:extent cx="1320800" cy="393065"/>
                      <wp:effectExtent l="0" t="0" r="0" b="0"/>
                      <wp:wrapNone/>
                      <wp:docPr id="282" name="圆角矩形 282"/>
                      <wp:cNvGraphicFramePr/>
                      <a:graphic xmlns:a="http://schemas.openxmlformats.org/drawingml/2006/main">
                        <a:graphicData uri="http://schemas.microsoft.com/office/word/2010/wordprocessingShape">
                          <wps:wsp>
                            <wps:cNvSpPr/>
                            <wps:spPr>
                              <a:xfrm>
                                <a:off x="0" y="0"/>
                                <a:ext cx="1320800" cy="393065"/>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7173F4B">
                                  <w:pPr>
                                    <w:jc w:val="center"/>
                                    <w:rPr>
                                      <w:rFonts w:hint="eastAsia" w:eastAsia="宋体"/>
                                      <w:color w:val="auto"/>
                                      <w:lang w:val="en-US" w:eastAsia="zh-CN"/>
                                    </w:rPr>
                                  </w:pPr>
                                  <w:r>
                                    <w:rPr>
                                      <w:rFonts w:hint="eastAsia"/>
                                      <w:color w:val="auto"/>
                                      <w:lang w:val="en-US" w:eastAsia="zh-CN"/>
                                    </w:rPr>
                                    <w:t>有机废气</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61.9pt;margin-top:5.65pt;height:30.95pt;width:104pt;z-index:251807744;v-text-anchor:middle;mso-width-relative:page;mso-height-relative:page;" filled="f" stroked="f" coordsize="21600,21600" arcsize="0.166666666666667" o:gfxdata="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m7SbY1gAAAAkBAAAPAAAAAAAAAAEAIAAAACIAAABkcnMvZG93bnJl&#10;di54bWxQSwECFAAUAAAACACHTuJAP2KcoHECAAC8BAAADgAAAAAAAAABACAAAAAlAQAAZHJzL2Uy&#10;b0RvYy54bWxQSwUGAAAAAAYABgBZAQAACAYAAAAA&#10;">
                      <v:fill on="f" focussize="0,0"/>
                      <v:stroke on="f" weight="1pt" miterlimit="8" joinstyle="miter"/>
                      <v:imagedata o:title=""/>
                      <o:lock v:ext="edit" aspectratio="f"/>
                      <v:textbox>
                        <w:txbxContent>
                          <w:p w14:paraId="17173F4B">
                            <w:pPr>
                              <w:jc w:val="center"/>
                              <w:rPr>
                                <w:rFonts w:hint="eastAsia" w:eastAsia="宋体"/>
                                <w:color w:val="auto"/>
                                <w:lang w:val="en-US" w:eastAsia="zh-CN"/>
                              </w:rPr>
                            </w:pPr>
                            <w:r>
                              <w:rPr>
                                <w:rFonts w:hint="eastAsia"/>
                                <w:color w:val="auto"/>
                                <w:lang w:val="en-US" w:eastAsia="zh-CN"/>
                              </w:rPr>
                              <w:t>有机废气</w:t>
                            </w:r>
                          </w:p>
                        </w:txbxContent>
                      </v:textbox>
                    </v:roundrect>
                  </w:pict>
                </mc:Fallback>
              </mc:AlternateContent>
            </w:r>
            <w:r>
              <w:rPr>
                <w:sz w:val="24"/>
              </w:rPr>
              <mc:AlternateContent>
                <mc:Choice Requires="wps">
                  <w:drawing>
                    <wp:anchor distT="0" distB="0" distL="114300" distR="114300" simplePos="0" relativeHeight="251717632" behindDoc="0" locked="0" layoutInCell="1" allowOverlap="1">
                      <wp:simplePos x="0" y="0"/>
                      <wp:positionH relativeFrom="column">
                        <wp:posOffset>2106930</wp:posOffset>
                      </wp:positionH>
                      <wp:positionV relativeFrom="paragraph">
                        <wp:posOffset>268605</wp:posOffset>
                      </wp:positionV>
                      <wp:extent cx="694055" cy="5715"/>
                      <wp:effectExtent l="0" t="48260" r="10795" b="60325"/>
                      <wp:wrapNone/>
                      <wp:docPr id="284" name="直接箭头连接符 284"/>
                      <wp:cNvGraphicFramePr/>
                      <a:graphic xmlns:a="http://schemas.openxmlformats.org/drawingml/2006/main">
                        <a:graphicData uri="http://schemas.microsoft.com/office/word/2010/wordprocessingShape">
                          <wps:wsp>
                            <wps:cNvCnPr>
                              <a:stCxn id="281" idx="1"/>
                              <a:endCxn id="282" idx="3"/>
                            </wps:cNvCnPr>
                            <wps:spPr>
                              <a:xfrm flipH="1" flipV="1">
                                <a:off x="2719070" y="7587615"/>
                                <a:ext cx="694055" cy="571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 y;margin-left:165.9pt;margin-top:21.15pt;height:0.45pt;width:54.65pt;z-index:251717632;mso-width-relative:page;mso-height-relative:page;" filled="f" stroked="t" coordsize="21600,21600" o:gfxdata="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rzZubNUAAAAJAQAADwAAAAAAAAABACAAAAAiAAAAZHJz&#10;L2Rvd25yZXYueG1sUEsBAhQAFAAAAAgAh07iQCqe+4hAAgAASAQAAA4AAAAAAAAAAQAgAAAAJAEA&#10;AGRycy9lMm9Eb2MueG1sUEsFBgAAAAAGAAYAWQEAANYFAAAAAA==&#10;">
                      <v:fill on="f" focussize="0,0"/>
                      <v:stroke weight="0.5pt" color="#5B9BD5 [3204]" miterlimit="8" joinstyle="miter"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15584" behindDoc="0" locked="0" layoutInCell="1" allowOverlap="1">
                      <wp:simplePos x="0" y="0"/>
                      <wp:positionH relativeFrom="column">
                        <wp:posOffset>2800985</wp:posOffset>
                      </wp:positionH>
                      <wp:positionV relativeFrom="paragraph">
                        <wp:posOffset>83185</wp:posOffset>
                      </wp:positionV>
                      <wp:extent cx="902970" cy="381635"/>
                      <wp:effectExtent l="4445" t="4445" r="6985" b="13970"/>
                      <wp:wrapNone/>
                      <wp:docPr id="281" name="圆角矩形 281"/>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23C9AAFB">
                                  <w:pPr>
                                    <w:jc w:val="center"/>
                                    <w:rPr>
                                      <w:rFonts w:hint="eastAsia" w:eastAsiaTheme="minorEastAsia"/>
                                      <w:lang w:eastAsia="zh-CN"/>
                                    </w:rPr>
                                  </w:pPr>
                                  <w:r>
                                    <w:rPr>
                                      <w:rFonts w:hint="eastAsia"/>
                                      <w:lang w:val="en-US" w:eastAsia="zh-CN"/>
                                    </w:rPr>
                                    <w:t>激光打</w:t>
                                  </w:r>
                                  <w:r>
                                    <w:rPr>
                                      <w:rFonts w:hint="eastAsia"/>
                                      <w:lang w:eastAsia="zh-CN"/>
                                    </w:rPr>
                                    <w:t>码</w:t>
                                  </w:r>
                                </w:p>
                              </w:txbxContent>
                            </wps:txbx>
                            <wps:bodyPr upright="1"/>
                          </wps:wsp>
                        </a:graphicData>
                      </a:graphic>
                    </wp:anchor>
                  </w:drawing>
                </mc:Choice>
                <mc:Fallback>
                  <w:pict>
                    <v:roundrect id="_x0000_s1026" o:spid="_x0000_s1026" o:spt="2" style="position:absolute;left:0pt;margin-left:220.55pt;margin-top:6.55pt;height:30.05pt;width:71.1pt;z-index:251715584;mso-width-relative:page;mso-height-relative:page;" fillcolor="#FFFFFF" filled="t" stroked="t" coordsize="21600,21600" arcsize="0.166666666666667" o:gfxdata="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Jpz+c2QAAAAkBAAAPAAAAAAAAAAEAIAAAACIAAABkcnMvZG93bnJldi54bWxQSwECFAAU&#10;AAAACACHTuJAuCXR5ykCAABZBAAADgAAAAAAAAABACAAAAAoAQAAZHJzL2Uyb0RvYy54bWxQSwUG&#10;AAAAAAYABgBZAQAAwwUAAAAA&#10;">
                      <v:fill on="t" focussize="0,0"/>
                      <v:stroke color="#ED7D31" joinstyle="round"/>
                      <v:imagedata o:title=""/>
                      <o:lock v:ext="edit" aspectratio="f"/>
                      <v:textbox>
                        <w:txbxContent>
                          <w:p w14:paraId="23C9AAFB">
                            <w:pPr>
                              <w:jc w:val="center"/>
                              <w:rPr>
                                <w:rFonts w:hint="eastAsia" w:eastAsiaTheme="minorEastAsia"/>
                                <w:lang w:eastAsia="zh-CN"/>
                              </w:rPr>
                            </w:pPr>
                            <w:r>
                              <w:rPr>
                                <w:rFonts w:hint="eastAsia"/>
                                <w:lang w:val="en-US" w:eastAsia="zh-CN"/>
                              </w:rPr>
                              <w:t>激光打</w:t>
                            </w:r>
                            <w:r>
                              <w:rPr>
                                <w:rFonts w:hint="eastAsia"/>
                                <w:lang w:eastAsia="zh-CN"/>
                              </w:rPr>
                              <w:t>码</w:t>
                            </w:r>
                          </w:p>
                        </w:txbxContent>
                      </v:textbox>
                    </v:roundrect>
                  </w:pict>
                </mc:Fallback>
              </mc:AlternateContent>
            </w:r>
          </w:p>
          <w:p w14:paraId="1326E050">
            <w:pPr>
              <w:pStyle w:val="8"/>
              <w:adjustRightInd w:val="0"/>
              <w:snapToGrid w:val="0"/>
              <w:spacing w:line="520" w:lineRule="exact"/>
              <w:ind w:left="0" w:leftChars="0" w:firstLine="480" w:firstLineChars="200"/>
              <w:rPr>
                <w:rFonts w:hint="eastAsia" w:cs="Times New Roman"/>
                <w:b w:val="0"/>
                <w:bCs w:val="0"/>
                <w:color w:val="auto"/>
                <w:sz w:val="24"/>
                <w:szCs w:val="24"/>
                <w:lang w:val="en-US" w:eastAsia="zh-CN"/>
              </w:rPr>
            </w:pPr>
            <w:r>
              <w:rPr>
                <w:sz w:val="24"/>
              </w:rPr>
              <mc:AlternateContent>
                <mc:Choice Requires="wps">
                  <w:drawing>
                    <wp:anchor distT="0" distB="0" distL="114300" distR="114300" simplePos="0" relativeHeight="251703296" behindDoc="0" locked="0" layoutInCell="1" allowOverlap="1">
                      <wp:simplePos x="0" y="0"/>
                      <wp:positionH relativeFrom="column">
                        <wp:posOffset>3251835</wp:posOffset>
                      </wp:positionH>
                      <wp:positionV relativeFrom="paragraph">
                        <wp:posOffset>134620</wp:posOffset>
                      </wp:positionV>
                      <wp:extent cx="635" cy="488950"/>
                      <wp:effectExtent l="48895" t="0" r="64770" b="6350"/>
                      <wp:wrapNone/>
                      <wp:docPr id="273" name="直接箭头连接符 273"/>
                      <wp:cNvGraphicFramePr/>
                      <a:graphic xmlns:a="http://schemas.openxmlformats.org/drawingml/2006/main">
                        <a:graphicData uri="http://schemas.microsoft.com/office/word/2010/wordprocessingShape">
                          <wps:wsp>
                            <wps:cNvCnPr>
                              <a:stCxn id="281" idx="2"/>
                              <a:endCxn id="272" idx="0"/>
                            </wps:cNvCnPr>
                            <wps:spPr>
                              <a:xfrm flipH="1">
                                <a:off x="3863975" y="7022465"/>
                                <a:ext cx="635" cy="4889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56.05pt;margin-top:10.6pt;height:38.5pt;width:0.05pt;z-index:251703296;mso-width-relative:page;mso-height-relative:page;" filled="f" stroked="t" coordsize="21600,21600" o:gfxdata="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eZVgJNYAAAAJAQAADwAAAAAAAAABACAAAAAiAAAAZHJzL2Rvd25y&#10;ZXYueG1sUEsBAhQAFAAAAAgAh07iQL3Nar05AgAAPQQAAA4AAAAAAAAAAQAgAAAAJQEAAGRycy9l&#10;Mm9Eb2MueG1sUEsFBgAAAAAGAAYAWQEAANAFAAAAAA==&#10;">
                      <v:fill on="f" focussize="0,0"/>
                      <v:stroke weight="0.5pt" color="#5B9BD5 [3204]"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708416" behindDoc="0" locked="0" layoutInCell="1" allowOverlap="1">
                      <wp:simplePos x="0" y="0"/>
                      <wp:positionH relativeFrom="column">
                        <wp:posOffset>2153920</wp:posOffset>
                      </wp:positionH>
                      <wp:positionV relativeFrom="paragraph">
                        <wp:posOffset>820420</wp:posOffset>
                      </wp:positionV>
                      <wp:extent cx="335915" cy="11430"/>
                      <wp:effectExtent l="0" t="40640" r="6985" b="62230"/>
                      <wp:wrapNone/>
                      <wp:docPr id="280" name="直接箭头连接符 280"/>
                      <wp:cNvGraphicFramePr/>
                      <a:graphic xmlns:a="http://schemas.openxmlformats.org/drawingml/2006/main">
                        <a:graphicData uri="http://schemas.microsoft.com/office/word/2010/wordprocessingShape">
                          <wps:wsp>
                            <wps:cNvCnPr>
                              <a:stCxn id="272" idx="1"/>
                              <a:endCxn id="278" idx="3"/>
                            </wps:cNvCnPr>
                            <wps:spPr>
                              <a:xfrm flipH="1">
                                <a:off x="2766060" y="7718425"/>
                                <a:ext cx="335915" cy="11430"/>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69.6pt;margin-top:64.6pt;height:0.9pt;width:26.45pt;z-index:251708416;mso-width-relative:page;mso-height-relative:page;" filled="f" stroked="t" coordsize="21600,21600" o:gfxdata="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&#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BaqTcTXAAAACwEAAA8AAAAAAAAAAQAgAAAAIgAAAGRy&#10;cy9kb3ducmV2LnhtbFBLAQIUABQAAAAIAIdO4kBofU6zPwIAAD4EAAAOAAAAAAAAAAEAIAAAACYB&#10;AABkcnMvZTJvRG9jLnhtbFBLBQYAAAAABgAGAFkBAADXBQAAAAA=&#10;">
                      <v:fill on="f" focussize="0,0"/>
                      <v:stroke weight="0.5pt" color="#5B9BD5 [3204]" miterlimit="8" joinstyle="miter" dashstyle="dash" endarrow="open"/>
                      <v:imagedata o:title=""/>
                      <o:lock v:ext="edit" aspectratio="f"/>
                    </v:shape>
                  </w:pict>
                </mc:Fallback>
              </mc:AlternateContent>
            </w:r>
          </w:p>
          <w:p w14:paraId="33B2D928">
            <w:pPr>
              <w:pStyle w:val="8"/>
              <w:adjustRightInd w:val="0"/>
              <w:snapToGrid w:val="0"/>
              <w:spacing w:line="520" w:lineRule="exact"/>
              <w:ind w:left="0" w:leftChars="0" w:firstLine="480" w:firstLineChars="200"/>
              <w:rPr>
                <w:rFonts w:hint="eastAsia" w:cs="Times New Roman"/>
                <w:b w:val="0"/>
                <w:bCs w:val="0"/>
                <w:color w:val="auto"/>
                <w:sz w:val="24"/>
                <w:szCs w:val="24"/>
                <w:lang w:val="en-US" w:eastAsia="zh-CN"/>
              </w:rPr>
            </w:pPr>
            <w:r>
              <w:rPr>
                <w:sz w:val="24"/>
              </w:rPr>
              <mc:AlternateContent>
                <mc:Choice Requires="wps">
                  <w:drawing>
                    <wp:anchor distT="0" distB="0" distL="114300" distR="114300" simplePos="0" relativeHeight="251702272" behindDoc="0" locked="0" layoutInCell="1" allowOverlap="1">
                      <wp:simplePos x="0" y="0"/>
                      <wp:positionH relativeFrom="column">
                        <wp:posOffset>2489835</wp:posOffset>
                      </wp:positionH>
                      <wp:positionV relativeFrom="paragraph">
                        <wp:posOffset>293370</wp:posOffset>
                      </wp:positionV>
                      <wp:extent cx="1524000" cy="393065"/>
                      <wp:effectExtent l="6350" t="6350" r="12700" b="19685"/>
                      <wp:wrapNone/>
                      <wp:docPr id="272" name="圆角矩形 272"/>
                      <wp:cNvGraphicFramePr/>
                      <a:graphic xmlns:a="http://schemas.openxmlformats.org/drawingml/2006/main">
                        <a:graphicData uri="http://schemas.microsoft.com/office/word/2010/wordprocessingShape">
                          <wps:wsp>
                            <wps:cNvSpPr/>
                            <wps:spPr>
                              <a:xfrm>
                                <a:off x="3101975" y="7522210"/>
                                <a:ext cx="1524000" cy="393065"/>
                              </a:xfrm>
                              <a:prstGeom prst="roundRect">
                                <a:avLst/>
                              </a:prstGeom>
                            </wps:spPr>
                            <wps:style>
                              <a:lnRef idx="2">
                                <a:schemeClr val="accent2"/>
                              </a:lnRef>
                              <a:fillRef idx="1">
                                <a:schemeClr val="lt1"/>
                              </a:fillRef>
                              <a:effectRef idx="0">
                                <a:schemeClr val="accent2"/>
                              </a:effectRef>
                              <a:fontRef idx="minor">
                                <a:schemeClr val="dk1"/>
                              </a:fontRef>
                            </wps:style>
                            <wps:txbx>
                              <w:txbxContent>
                                <w:p w14:paraId="1ACE5C04">
                                  <w:pPr>
                                    <w:jc w:val="center"/>
                                    <w:rPr>
                                      <w:rFonts w:hint="eastAsia"/>
                                      <w:lang w:val="en-US" w:eastAsia="zh-CN"/>
                                    </w:rPr>
                                  </w:pPr>
                                  <w:r>
                                    <w:rPr>
                                      <w:rFonts w:hint="eastAsia"/>
                                      <w:lang w:eastAsia="zh-CN"/>
                                    </w:rPr>
                                    <w:t>终检</w:t>
                                  </w:r>
                                  <w:r>
                                    <w:rPr>
                                      <w:rFonts w:hint="eastAsia"/>
                                      <w:lang w:val="en-US" w:eastAsia="zh-CN"/>
                                    </w:rPr>
                                    <w:t>/打包/入库</w:t>
                                  </w:r>
                                </w:p>
                                <w:p w14:paraId="077F13DC">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96.05pt;margin-top:23.1pt;height:30.95pt;width:120pt;z-index:251702272;v-text-anchor:middle;mso-width-relative:page;mso-height-relative:page;" fillcolor="#FFFFFF [3201]" filled="t" stroked="t" coordsize="21600,21600" arcsize="0.166666666666667" o:gfxdata="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">
                      <v:fill on="t" focussize="0,0"/>
                      <v:stroke weight="1pt" color="#ED7D31 [3205]" miterlimit="8" joinstyle="miter"/>
                      <v:imagedata o:title=""/>
                      <o:lock v:ext="edit" aspectratio="f"/>
                      <v:textbox>
                        <w:txbxContent>
                          <w:p w14:paraId="1ACE5C04">
                            <w:pPr>
                              <w:jc w:val="center"/>
                              <w:rPr>
                                <w:rFonts w:hint="eastAsia"/>
                                <w:lang w:val="en-US" w:eastAsia="zh-CN"/>
                              </w:rPr>
                            </w:pPr>
                            <w:r>
                              <w:rPr>
                                <w:rFonts w:hint="eastAsia"/>
                                <w:lang w:eastAsia="zh-CN"/>
                              </w:rPr>
                              <w:t>终检</w:t>
                            </w:r>
                            <w:r>
                              <w:rPr>
                                <w:rFonts w:hint="eastAsia"/>
                                <w:lang w:val="en-US" w:eastAsia="zh-CN"/>
                              </w:rPr>
                              <w:t>/打包/入库</w:t>
                            </w:r>
                          </w:p>
                          <w:p w14:paraId="077F13DC">
                            <w:pPr>
                              <w:jc w:val="center"/>
                            </w:pPr>
                          </w:p>
                        </w:txbxContent>
                      </v:textbox>
                    </v:roundrect>
                  </w:pict>
                </mc:Fallback>
              </mc:AlternateContent>
            </w:r>
            <w:r>
              <w:rPr>
                <w:sz w:val="24"/>
              </w:rPr>
              <mc:AlternateContent>
                <mc:Choice Requires="wps">
                  <w:drawing>
                    <wp:anchor distT="0" distB="0" distL="114300" distR="114300" simplePos="0" relativeHeight="251788288" behindDoc="0" locked="0" layoutInCell="1" allowOverlap="1">
                      <wp:simplePos x="0" y="0"/>
                      <wp:positionH relativeFrom="column">
                        <wp:posOffset>427990</wp:posOffset>
                      </wp:positionH>
                      <wp:positionV relativeFrom="paragraph">
                        <wp:posOffset>304800</wp:posOffset>
                      </wp:positionV>
                      <wp:extent cx="1725930" cy="393065"/>
                      <wp:effectExtent l="0" t="0" r="0" b="0"/>
                      <wp:wrapNone/>
                      <wp:docPr id="278" name="圆角矩形 278"/>
                      <wp:cNvGraphicFramePr/>
                      <a:graphic xmlns:a="http://schemas.openxmlformats.org/drawingml/2006/main">
                        <a:graphicData uri="http://schemas.microsoft.com/office/word/2010/wordprocessingShape">
                          <wps:wsp>
                            <wps:cNvSpPr/>
                            <wps:spPr>
                              <a:xfrm>
                                <a:off x="0" y="0"/>
                                <a:ext cx="1725930" cy="393065"/>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467637C">
                                  <w:pPr>
                                    <w:jc w:val="center"/>
                                    <w:rPr>
                                      <w:rFonts w:hint="eastAsia" w:eastAsia="宋体"/>
                                      <w:color w:val="auto"/>
                                      <w:lang w:val="en-US" w:eastAsia="zh-CN"/>
                                    </w:rPr>
                                  </w:pPr>
                                  <w:r>
                                    <w:rPr>
                                      <w:rFonts w:hint="eastAsia"/>
                                      <w:color w:val="auto"/>
                                      <w:lang w:val="en-US" w:eastAsia="zh-CN"/>
                                    </w:rPr>
                                    <w:t>不合格产品、废包装弃料</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33.7pt;margin-top:24pt;height:30.95pt;width:135.9pt;z-index:251788288;v-text-anchor:middle;mso-width-relative:page;mso-height-relative:page;" filled="f" stroked="f" coordsize="21600,21600" arcsize="0.166666666666667" o:gfxdata="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tL3pytcAAAAJAQAADwAAAAAAAAABACAAAAAiAAAAZHJzL2Rvd25y&#10;ZXYueG1sUEsBAhQAFAAAAAgAh07iQM3zZnZxAgAAvAQAAA4AAAAAAAAAAQAgAAAAJgEAAGRycy9l&#10;Mm9Eb2MueG1sUEsFBgAAAAAGAAYAWQEAAAkGAAAAAA==&#10;">
                      <v:fill on="f" focussize="0,0"/>
                      <v:stroke on="f" weight="1pt" miterlimit="8" joinstyle="miter"/>
                      <v:imagedata o:title=""/>
                      <o:lock v:ext="edit" aspectratio="f"/>
                      <v:textbox>
                        <w:txbxContent>
                          <w:p w14:paraId="2467637C">
                            <w:pPr>
                              <w:jc w:val="center"/>
                              <w:rPr>
                                <w:rFonts w:hint="eastAsia" w:eastAsia="宋体"/>
                                <w:color w:val="auto"/>
                                <w:lang w:val="en-US" w:eastAsia="zh-CN"/>
                              </w:rPr>
                            </w:pPr>
                            <w:r>
                              <w:rPr>
                                <w:rFonts w:hint="eastAsia"/>
                                <w:color w:val="auto"/>
                                <w:lang w:val="en-US" w:eastAsia="zh-CN"/>
                              </w:rPr>
                              <w:t>不合格产品、废包装弃料</w:t>
                            </w:r>
                          </w:p>
                        </w:txbxContent>
                      </v:textbox>
                    </v:roundrect>
                  </w:pict>
                </mc:Fallback>
              </mc:AlternateContent>
            </w:r>
          </w:p>
          <w:p w14:paraId="588FEDDA">
            <w:pPr>
              <w:pStyle w:val="8"/>
              <w:adjustRightInd w:val="0"/>
              <w:snapToGrid w:val="0"/>
              <w:spacing w:line="520" w:lineRule="exact"/>
              <w:ind w:left="0" w:leftChars="0" w:firstLine="480" w:firstLineChars="200"/>
              <w:rPr>
                <w:rFonts w:hint="eastAsia" w:cs="Times New Roman"/>
                <w:b w:val="0"/>
                <w:bCs w:val="0"/>
                <w:color w:val="auto"/>
                <w:sz w:val="24"/>
                <w:szCs w:val="24"/>
                <w:lang w:val="en-US" w:eastAsia="zh-CN"/>
              </w:rPr>
            </w:pPr>
          </w:p>
          <w:p w14:paraId="1D70DB98">
            <w:pPr>
              <w:pStyle w:val="8"/>
              <w:adjustRightInd w:val="0"/>
              <w:snapToGrid w:val="0"/>
              <w:spacing w:line="520" w:lineRule="exact"/>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 xml:space="preserve">                   图5-6  总装生产线工艺流程图及产污节点</w:t>
            </w:r>
          </w:p>
          <w:p w14:paraId="3846814C">
            <w:pPr>
              <w:pStyle w:val="8"/>
              <w:adjustRightInd w:val="0"/>
              <w:snapToGrid w:val="0"/>
              <w:spacing w:line="520" w:lineRule="exact"/>
              <w:ind w:left="0"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点焊是电阻焊的一种，主要用于薄板的搭接焊接，通过上下两个电极压紧金属后，瞬间通过几千或上万</w:t>
            </w:r>
            <w:r>
              <w:rPr>
                <w:rFonts w:hint="eastAsia" w:cs="Times New Roman"/>
                <w:b w:val="0"/>
                <w:bCs w:val="0"/>
                <w:color w:val="auto"/>
                <w:sz w:val="24"/>
                <w:szCs w:val="24"/>
                <w:lang w:val="en-US" w:eastAsia="zh-CN"/>
              </w:rPr>
              <w:fldChar w:fldCharType="begin"/>
            </w:r>
            <w:r>
              <w:rPr>
                <w:rFonts w:hint="eastAsia" w:cs="Times New Roman"/>
                <w:b w:val="0"/>
                <w:bCs w:val="0"/>
                <w:color w:val="auto"/>
                <w:sz w:val="24"/>
                <w:szCs w:val="24"/>
                <w:lang w:val="en-US" w:eastAsia="zh-CN"/>
              </w:rPr>
              <w:instrText xml:space="preserve"> HYPERLINK "https://www.baidu.com/s?wd=%E5%AE%89%E5%9F%B9&amp;tn=SE_PcZhidaonwhc_ngpagmjz&amp;rsv_dl=gh_pc_zhidao" \t "https://zhidao.baidu.com/question/_blank" </w:instrText>
            </w:r>
            <w:r>
              <w:rPr>
                <w:rFonts w:hint="eastAsia" w:cs="Times New Roman"/>
                <w:b w:val="0"/>
                <w:bCs w:val="0"/>
                <w:color w:val="auto"/>
                <w:sz w:val="24"/>
                <w:szCs w:val="24"/>
                <w:lang w:val="en-US" w:eastAsia="zh-CN"/>
              </w:rPr>
              <w:fldChar w:fldCharType="separate"/>
            </w:r>
            <w:r>
              <w:rPr>
                <w:rFonts w:hint="eastAsia" w:cs="Times New Roman"/>
                <w:b w:val="0"/>
                <w:bCs w:val="0"/>
                <w:color w:val="auto"/>
                <w:sz w:val="24"/>
                <w:szCs w:val="24"/>
                <w:lang w:val="en-US" w:eastAsia="zh-CN"/>
              </w:rPr>
              <w:t>安培</w:t>
            </w:r>
            <w:r>
              <w:rPr>
                <w:rFonts w:hint="eastAsia" w:cs="Times New Roman"/>
                <w:b w:val="0"/>
                <w:bCs w:val="0"/>
                <w:color w:val="auto"/>
                <w:sz w:val="24"/>
                <w:szCs w:val="24"/>
                <w:lang w:val="en-US" w:eastAsia="zh-CN"/>
              </w:rPr>
              <w:fldChar w:fldCharType="end"/>
            </w:r>
            <w:r>
              <w:rPr>
                <w:rFonts w:hint="eastAsia" w:cs="Times New Roman"/>
                <w:b w:val="0"/>
                <w:bCs w:val="0"/>
                <w:color w:val="auto"/>
                <w:sz w:val="24"/>
                <w:szCs w:val="24"/>
                <w:lang w:val="en-US" w:eastAsia="zh-CN"/>
              </w:rPr>
              <w:t>的电流，利用电阻热在两层金属结合的地方熔化金属形成熔核，冷却后形成焊点，因不需要使用焊材和保护气体，所以以高效低耗为特点；焊接过程基本无噪音、无气体和烟尘的产生。</w:t>
            </w:r>
          </w:p>
          <w:p w14:paraId="4AE2DD3A">
            <w:pPr>
              <w:pStyle w:val="8"/>
              <w:adjustRightInd w:val="0"/>
              <w:snapToGrid w:val="0"/>
              <w:spacing w:line="520" w:lineRule="exact"/>
              <w:ind w:left="0" w:leftChars="0" w:firstLine="482" w:firstLineChars="200"/>
              <w:rPr>
                <w:rFonts w:hint="default" w:ascii="Times New Roman" w:hAnsi="Times New Roman" w:cs="Times New Roman"/>
                <w:b/>
                <w:bCs/>
                <w:color w:val="auto"/>
                <w:sz w:val="24"/>
                <w:szCs w:val="24"/>
                <w:lang w:val="en-US" w:eastAsia="zh-CN"/>
              </w:rPr>
            </w:pPr>
            <w:r>
              <w:rPr>
                <w:rFonts w:hint="eastAsia" w:cs="Times New Roman"/>
                <w:b/>
                <w:bCs/>
                <w:color w:val="auto"/>
                <w:sz w:val="24"/>
                <w:szCs w:val="24"/>
                <w:lang w:val="en-US" w:eastAsia="zh-CN"/>
              </w:rPr>
              <w:t>5、</w:t>
            </w:r>
            <w:r>
              <w:rPr>
                <w:rFonts w:hint="default" w:ascii="Times New Roman" w:hAnsi="Times New Roman" w:cs="Times New Roman"/>
                <w:b/>
                <w:bCs/>
                <w:color w:val="auto"/>
                <w:sz w:val="24"/>
                <w:szCs w:val="24"/>
                <w:lang w:val="en-US" w:eastAsia="zh-CN"/>
              </w:rPr>
              <w:t>SCR</w:t>
            </w:r>
            <w:r>
              <w:rPr>
                <w:rFonts w:hint="eastAsia" w:cs="Times New Roman"/>
                <w:b/>
                <w:bCs/>
                <w:color w:val="auto"/>
                <w:sz w:val="24"/>
                <w:szCs w:val="24"/>
                <w:lang w:val="en-US" w:eastAsia="zh-CN"/>
              </w:rPr>
              <w:t>生产线工艺</w:t>
            </w:r>
            <w:r>
              <w:rPr>
                <w:rFonts w:hint="default" w:ascii="Times New Roman" w:hAnsi="Times New Roman" w:cs="Times New Roman"/>
                <w:b/>
                <w:bCs/>
                <w:color w:val="auto"/>
                <w:sz w:val="24"/>
                <w:szCs w:val="24"/>
                <w:lang w:val="en-US" w:eastAsia="zh-CN"/>
              </w:rPr>
              <w:t>流程及说明</w:t>
            </w:r>
          </w:p>
          <w:p w14:paraId="54347B2A">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eastAsia" w:cs="Times New Roman"/>
                <w:color w:val="auto"/>
                <w:sz w:val="24"/>
                <w:szCs w:val="24"/>
                <w:lang w:val="en-US" w:eastAsia="zh-CN"/>
              </w:rPr>
              <w:t>SCR</w:t>
            </w:r>
            <w:r>
              <w:rPr>
                <w:rFonts w:hint="default" w:ascii="Times New Roman" w:hAnsi="Times New Roman" w:cs="Times New Roman"/>
                <w:color w:val="auto"/>
                <w:sz w:val="24"/>
                <w:szCs w:val="24"/>
                <w:lang w:eastAsia="zh-CN"/>
              </w:rPr>
              <w:t>主要</w:t>
            </w:r>
            <w:r>
              <w:rPr>
                <w:rFonts w:hint="default" w:ascii="Times New Roman" w:hAnsi="Times New Roman" w:cs="Times New Roman"/>
                <w:color w:val="auto"/>
                <w:sz w:val="24"/>
                <w:szCs w:val="24"/>
              </w:rPr>
              <w:t>是</w:t>
            </w:r>
            <w:r>
              <w:rPr>
                <w:rFonts w:hint="eastAsia" w:cs="Times New Roman"/>
                <w:color w:val="auto"/>
                <w:sz w:val="24"/>
                <w:szCs w:val="24"/>
                <w:lang w:val="en-US" w:eastAsia="zh-CN"/>
              </w:rPr>
              <w:t>针对汽车发动机</w:t>
            </w:r>
            <w:r>
              <w:rPr>
                <w:rFonts w:hint="default" w:ascii="Times New Roman" w:hAnsi="Times New Roman" w:cs="Times New Roman"/>
                <w:color w:val="auto"/>
                <w:sz w:val="24"/>
                <w:szCs w:val="24"/>
              </w:rPr>
              <w:t>燃烧废气中的一氧化碳（CO）、碳氢化合物（HC）及颗粒（PM）等排放物得到有效控制并达到法规的要求，</w:t>
            </w:r>
            <w:r>
              <w:rPr>
                <w:rFonts w:hint="default" w:ascii="Times New Roman" w:hAnsi="Times New Roman" w:cs="Times New Roman"/>
                <w:color w:val="auto"/>
                <w:sz w:val="24"/>
                <w:szCs w:val="24"/>
                <w:lang w:eastAsia="zh-CN"/>
              </w:rPr>
              <w:t>在</w:t>
            </w:r>
            <w:r>
              <w:rPr>
                <w:rFonts w:hint="default" w:ascii="Times New Roman" w:hAnsi="Times New Roman" w:cs="Times New Roman"/>
                <w:color w:val="auto"/>
                <w:sz w:val="24"/>
                <w:szCs w:val="24"/>
              </w:rPr>
              <w:t>发动机排出尾气</w:t>
            </w:r>
            <w:r>
              <w:rPr>
                <w:rFonts w:hint="default" w:ascii="Times New Roman" w:hAnsi="Times New Roman" w:cs="Times New Roman"/>
                <w:color w:val="auto"/>
                <w:sz w:val="24"/>
                <w:szCs w:val="24"/>
                <w:lang w:eastAsia="zh-CN"/>
              </w:rPr>
              <w:t>过程</w:t>
            </w:r>
            <w:r>
              <w:rPr>
                <w:rFonts w:hint="default" w:ascii="Times New Roman" w:hAnsi="Times New Roman" w:cs="Times New Roman"/>
                <w:color w:val="auto"/>
                <w:sz w:val="24"/>
                <w:szCs w:val="24"/>
              </w:rPr>
              <w:t>中</w:t>
            </w:r>
            <w:r>
              <w:rPr>
                <w:rFonts w:hint="default" w:ascii="Times New Roman" w:hAnsi="Times New Roman" w:cs="Times New Roman"/>
                <w:color w:val="auto"/>
                <w:sz w:val="24"/>
                <w:szCs w:val="24"/>
                <w:lang w:eastAsia="zh-CN"/>
              </w:rPr>
              <w:t>将</w:t>
            </w:r>
            <w:r>
              <w:rPr>
                <w:rFonts w:hint="default" w:ascii="Times New Roman" w:hAnsi="Times New Roman" w:cs="Times New Roman"/>
                <w:color w:val="auto"/>
                <w:sz w:val="24"/>
                <w:szCs w:val="24"/>
              </w:rPr>
              <w:t>含量较高的氮氧化物（NO</w:t>
            </w:r>
            <w:r>
              <w:rPr>
                <w:rFonts w:hint="default" w:ascii="Times New Roman" w:hAnsi="Times New Roman" w:cs="Times New Roman"/>
                <w:color w:val="auto"/>
                <w:sz w:val="24"/>
                <w:szCs w:val="24"/>
                <w:vertAlign w:val="subscript"/>
              </w:rPr>
              <w:t>X</w:t>
            </w:r>
            <w:r>
              <w:rPr>
                <w:rFonts w:hint="default" w:ascii="Times New Roman" w:hAnsi="Times New Roman" w:cs="Times New Roman"/>
                <w:color w:val="auto"/>
                <w:sz w:val="24"/>
                <w:szCs w:val="24"/>
              </w:rPr>
              <w:t>）利用</w:t>
            </w:r>
            <w:r>
              <w:rPr>
                <w:rFonts w:hint="default" w:ascii="Times New Roman" w:hAnsi="Times New Roman" w:cs="Times New Roman"/>
                <w:color w:val="auto"/>
                <w:sz w:val="24"/>
                <w:szCs w:val="24"/>
                <w:lang w:eastAsia="zh-CN"/>
              </w:rPr>
              <w:t>尿素泵喷出的尿素分解出的氨与氮氧化物在催化器中经过催化还原反应最后生成无害的氮气（</w:t>
            </w:r>
            <w:r>
              <w:rPr>
                <w:rFonts w:hint="default" w:ascii="Times New Roman" w:hAnsi="Times New Roman" w:cs="Times New Roman"/>
                <w:color w:val="auto"/>
                <w:sz w:val="24"/>
                <w:szCs w:val="24"/>
                <w:lang w:val="en-US" w:eastAsia="zh-CN"/>
              </w:rPr>
              <w:t>N</w:t>
            </w:r>
            <w:r>
              <w:rPr>
                <w:rFonts w:hint="default" w:ascii="Times New Roman" w:hAnsi="Times New Roman" w:cs="Times New Roman"/>
                <w:color w:val="auto"/>
                <w:sz w:val="24"/>
                <w:szCs w:val="24"/>
                <w:vertAlign w:val="subscript"/>
                <w:lang w:val="en-US" w:eastAsia="zh-CN"/>
              </w:rPr>
              <w:t>2</w:t>
            </w:r>
            <w:r>
              <w:rPr>
                <w:rFonts w:hint="default" w:ascii="Times New Roman" w:hAnsi="Times New Roman" w:cs="Times New Roman"/>
                <w:color w:val="auto"/>
                <w:sz w:val="24"/>
                <w:szCs w:val="24"/>
                <w:lang w:eastAsia="zh-CN"/>
              </w:rPr>
              <w:t>）和水</w:t>
            </w:r>
            <w:r>
              <w:rPr>
                <w:rFonts w:hint="default" w:ascii="Times New Roman" w:hAnsi="Times New Roman" w:cs="Times New Roman"/>
                <w:color w:val="auto"/>
                <w:sz w:val="24"/>
                <w:szCs w:val="24"/>
                <w:lang w:val="en-US" w:eastAsia="zh-CN"/>
              </w:rPr>
              <w:t>(H</w:t>
            </w:r>
            <w:r>
              <w:rPr>
                <w:rFonts w:hint="default" w:ascii="Times New Roman" w:hAnsi="Times New Roman" w:cs="Times New Roman"/>
                <w:color w:val="auto"/>
                <w:sz w:val="24"/>
                <w:szCs w:val="24"/>
                <w:vertAlign w:val="subscript"/>
                <w:lang w:val="en-US" w:eastAsia="zh-CN"/>
              </w:rPr>
              <w:t>2</w:t>
            </w:r>
            <w:r>
              <w:rPr>
                <w:rFonts w:hint="default" w:ascii="Times New Roman" w:hAnsi="Times New Roman" w:cs="Times New Roman"/>
                <w:color w:val="auto"/>
                <w:sz w:val="24"/>
                <w:szCs w:val="24"/>
                <w:lang w:val="en-US" w:eastAsia="zh-CN"/>
              </w:rPr>
              <w:t>O)。</w:t>
            </w:r>
          </w:p>
          <w:p w14:paraId="25485A52">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mc:AlternateContent>
                <mc:Choice Requires="wps">
                  <w:drawing>
                    <wp:anchor distT="0" distB="0" distL="114300" distR="114300" simplePos="0" relativeHeight="251816960" behindDoc="0" locked="0" layoutInCell="1" allowOverlap="1">
                      <wp:simplePos x="0" y="0"/>
                      <wp:positionH relativeFrom="column">
                        <wp:posOffset>2254250</wp:posOffset>
                      </wp:positionH>
                      <wp:positionV relativeFrom="paragraph">
                        <wp:posOffset>160020</wp:posOffset>
                      </wp:positionV>
                      <wp:extent cx="902970" cy="381635"/>
                      <wp:effectExtent l="4445" t="4445" r="6985" b="13970"/>
                      <wp:wrapNone/>
                      <wp:docPr id="127" name="圆角矩形 127"/>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161C4BB1">
                                  <w:pPr>
                                    <w:jc w:val="center"/>
                                    <w:rPr>
                                      <w:rFonts w:hint="eastAsia" w:eastAsiaTheme="minorEastAsia"/>
                                      <w:lang w:eastAsia="zh-CN"/>
                                    </w:rPr>
                                  </w:pPr>
                                  <w:r>
                                    <w:rPr>
                                      <w:rFonts w:hint="eastAsia"/>
                                      <w:lang w:eastAsia="zh-CN"/>
                                    </w:rPr>
                                    <w:t>原材料检验</w:t>
                                  </w:r>
                                </w:p>
                              </w:txbxContent>
                            </wps:txbx>
                            <wps:bodyPr upright="1"/>
                          </wps:wsp>
                        </a:graphicData>
                      </a:graphic>
                    </wp:anchor>
                  </w:drawing>
                </mc:Choice>
                <mc:Fallback>
                  <w:pict>
                    <v:roundrect id="_x0000_s1026" o:spid="_x0000_s1026" o:spt="2" style="position:absolute;left:0pt;margin-left:177.5pt;margin-top:12.6pt;height:30.05pt;width:71.1pt;z-index:251816960;mso-width-relative:page;mso-height-relative:page;" fillcolor="#FFFFFF" filled="t" stroked="t" coordsize="21600,21600" arcsize="0.166666666666667" o:gfxdata="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S2yla2gAAAAkBAAAPAAAAAAAAAAEAIAAAACIAAABkcnMvZG93bnJldi54bWxQSwECFAAU&#10;AAAACACHTuJAbq9CiigCAABZBAAADgAAAAAAAAABACAAAAApAQAAZHJzL2Uyb0RvYy54bWxQSwUG&#10;AAAAAAYABgBZAQAAwwUAAAAA&#10;">
                      <v:fill on="t" focussize="0,0"/>
                      <v:stroke color="#ED7D31" joinstyle="round"/>
                      <v:imagedata o:title=""/>
                      <o:lock v:ext="edit" aspectratio="f"/>
                      <v:textbox>
                        <w:txbxContent>
                          <w:p w14:paraId="161C4BB1">
                            <w:pPr>
                              <w:jc w:val="center"/>
                              <w:rPr>
                                <w:rFonts w:hint="eastAsia" w:eastAsiaTheme="minorEastAsia"/>
                                <w:lang w:eastAsia="zh-CN"/>
                              </w:rPr>
                            </w:pPr>
                            <w:r>
                              <w:rPr>
                                <w:rFonts w:hint="eastAsia"/>
                                <w:lang w:eastAsia="zh-CN"/>
                              </w:rPr>
                              <w:t>原材料检验</w:t>
                            </w:r>
                          </w:p>
                        </w:txbxContent>
                      </v:textbox>
                    </v:roundrect>
                  </w:pict>
                </mc:Fallback>
              </mc:AlternateContent>
            </w:r>
            <w:r>
              <w:rPr>
                <w:rFonts w:hint="eastAsia" w:cs="Times New Roman"/>
                <w:color w:val="auto"/>
                <w:sz w:val="24"/>
                <w:szCs w:val="24"/>
                <w:lang w:val="en-US" w:eastAsia="zh-CN"/>
              </w:rPr>
              <w:t xml:space="preserve"> </w:t>
            </w:r>
          </w:p>
          <w:p w14:paraId="432478CB">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92032" behindDoc="0" locked="0" layoutInCell="1" allowOverlap="1">
                      <wp:simplePos x="0" y="0"/>
                      <wp:positionH relativeFrom="column">
                        <wp:posOffset>-71120</wp:posOffset>
                      </wp:positionH>
                      <wp:positionV relativeFrom="paragraph">
                        <wp:posOffset>223520</wp:posOffset>
                      </wp:positionV>
                      <wp:extent cx="250190" cy="1809750"/>
                      <wp:effectExtent l="0" t="0" r="0" b="0"/>
                      <wp:wrapNone/>
                      <wp:docPr id="256" name="矩形 256"/>
                      <wp:cNvGraphicFramePr/>
                      <a:graphic xmlns:a="http://schemas.openxmlformats.org/drawingml/2006/main">
                        <a:graphicData uri="http://schemas.microsoft.com/office/word/2010/wordprocessingShape">
                          <wps:wsp>
                            <wps:cNvSpPr/>
                            <wps:spPr>
                              <a:xfrm>
                                <a:off x="612775" y="1412875"/>
                                <a:ext cx="250190" cy="18097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EB11AD">
                                  <w:pPr>
                                    <w:jc w:val="both"/>
                                    <w:rPr>
                                      <w:rFonts w:hint="eastAsia" w:eastAsia="宋体"/>
                                      <w:color w:val="auto"/>
                                      <w:lang w:val="en-US" w:eastAsia="zh-CN"/>
                                    </w:rPr>
                                  </w:pPr>
                                  <w:r>
                                    <w:rPr>
                                      <w:rFonts w:hint="eastAsia"/>
                                      <w:color w:val="auto"/>
                                      <w:lang w:val="en-US" w:eastAsia="zh-CN"/>
                                    </w:rPr>
                                    <w:t>粉尘、噪声、固废</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5.6pt;margin-top:17.6pt;height:142.5pt;width:19.7pt;z-index:251692032;v-text-anchor:middle;mso-width-relative:page;mso-height-relative:page;" filled="f" stroked="f" coordsize="21600,21600" o:gfxdata="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ME4s/zVAAAACQEAAA8AAAAAAAAAAQAgAAAAIgAAAGRycy9kb3ducmV2LnhtbFBL&#10;AQIUABQAAAAIAIdO4kADUTBxawIAALwEAAAOAAAAAAAAAAEAIAAAACQBAABkcnMvZTJvRG9jLnht&#10;bFBLBQYAAAAABgAGAFkBAAABBgAAAAA=&#10;">
                      <v:fill on="f" focussize="0,0"/>
                      <v:stroke on="f" weight="1pt" miterlimit="8" joinstyle="miter"/>
                      <v:imagedata o:title=""/>
                      <o:lock v:ext="edit" aspectratio="f"/>
                      <v:textbox>
                        <w:txbxContent>
                          <w:p w14:paraId="71EB11AD">
                            <w:pPr>
                              <w:jc w:val="both"/>
                              <w:rPr>
                                <w:rFonts w:hint="eastAsia" w:eastAsia="宋体"/>
                                <w:color w:val="auto"/>
                                <w:lang w:val="en-US" w:eastAsia="zh-CN"/>
                              </w:rPr>
                            </w:pPr>
                            <w:r>
                              <w:rPr>
                                <w:rFonts w:hint="eastAsia"/>
                                <w:color w:val="auto"/>
                                <w:lang w:val="en-US" w:eastAsia="zh-CN"/>
                              </w:rPr>
                              <w:t>粉尘、噪声、固废</w:t>
                            </w:r>
                          </w:p>
                        </w:txbxContent>
                      </v:textbox>
                    </v:rect>
                  </w:pict>
                </mc:Fallback>
              </mc:AlternateContent>
            </w:r>
            <w:r>
              <w:rPr>
                <w:sz w:val="24"/>
              </w:rPr>
              <mc:AlternateContent>
                <mc:Choice Requires="wps">
                  <w:drawing>
                    <wp:anchor distT="0" distB="0" distL="114300" distR="114300" simplePos="0" relativeHeight="251683840" behindDoc="0" locked="0" layoutInCell="1" allowOverlap="1">
                      <wp:simplePos x="0" y="0"/>
                      <wp:positionH relativeFrom="column">
                        <wp:posOffset>3157220</wp:posOffset>
                      </wp:positionH>
                      <wp:positionV relativeFrom="paragraph">
                        <wp:posOffset>20955</wp:posOffset>
                      </wp:positionV>
                      <wp:extent cx="2493645" cy="1070610"/>
                      <wp:effectExtent l="0" t="4445" r="59055" b="10795"/>
                      <wp:wrapNone/>
                      <wp:docPr id="242" name="肘形连接符 242"/>
                      <wp:cNvGraphicFramePr/>
                      <a:graphic xmlns:a="http://schemas.openxmlformats.org/drawingml/2006/main">
                        <a:graphicData uri="http://schemas.microsoft.com/office/word/2010/wordprocessingShape">
                          <wps:wsp>
                            <wps:cNvCnPr>
                              <a:stCxn id="127" idx="3"/>
                              <a:endCxn id="152" idx="0"/>
                            </wps:cNvCnPr>
                            <wps:spPr>
                              <a:xfrm>
                                <a:off x="3769360" y="1077595"/>
                                <a:ext cx="2493645" cy="1070610"/>
                              </a:xfrm>
                              <a:prstGeom prst="bentConnector2">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3" type="#_x0000_t33" style="position:absolute;left:0pt;margin-left:248.6pt;margin-top:1.65pt;height:84.3pt;width:196.35pt;z-index:251683840;mso-width-relative:page;mso-height-relative:page;" filled="f" stroked="t" coordsize="21600,21600" o:gfxdata="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SoVGw1wAAAAkBAAAPAAAAAAAAAAEAIAAAACIAAABkcnMvZG93bnJldi54bWxQ&#10;SwECFAAUAAAACACHTuJAvXpVejECAAAuBAAADgAAAAAAAAABACAAAAAmAQAAZHJzL2Uyb0RvYy54&#10;bWxQSwUGAAAAAAYABgBZAQAAyQUAAAAA&#10;">
                      <v:fill on="f" focussize="0,0"/>
                      <v:stroke weight="0.5pt" color="#5B9BD5 [3204]"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671552" behindDoc="0" locked="0" layoutInCell="1" allowOverlap="1">
                      <wp:simplePos x="0" y="0"/>
                      <wp:positionH relativeFrom="column">
                        <wp:posOffset>2703195</wp:posOffset>
                      </wp:positionH>
                      <wp:positionV relativeFrom="paragraph">
                        <wp:posOffset>211455</wp:posOffset>
                      </wp:positionV>
                      <wp:extent cx="2540" cy="154940"/>
                      <wp:effectExtent l="47625" t="0" r="64135" b="16510"/>
                      <wp:wrapNone/>
                      <wp:docPr id="230" name="直接箭头连接符 230"/>
                      <wp:cNvGraphicFramePr/>
                      <a:graphic xmlns:a="http://schemas.openxmlformats.org/drawingml/2006/main">
                        <a:graphicData uri="http://schemas.microsoft.com/office/word/2010/wordprocessingShape">
                          <wps:wsp>
                            <wps:cNvCnPr>
                              <a:stCxn id="127" idx="2"/>
                            </wps:cNvCnPr>
                            <wps:spPr>
                              <a:xfrm flipH="1">
                                <a:off x="3315335" y="1268095"/>
                                <a:ext cx="2540" cy="15494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12.85pt;margin-top:16.65pt;height:12.2pt;width:0.2pt;z-index:251671552;mso-width-relative:page;mso-height-relative:page;" filled="f" stroked="t" coordsize="21600,21600" o:gfxdata="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A7W73bZAAAACQEAAA8AAAAAAAAAAQAgAAAAIgAAAGRycy9kb3ducmV2Lnht&#10;bFBLAQIUABQAAAAIAIdO4kCOgqw6MQIAACIEAAAOAAAAAAAAAAEAIAAAACgBAABkcnMvZTJvRG9j&#10;LnhtbFBLBQYAAAAABgAGAFkBAADLBQAAAAA=&#10;">
                      <v:fill on="f" focussize="0,0"/>
                      <v:stroke weight="0.5pt" color="#5B9BD5 [3204]" miterlimit="8" joinstyle="miter" endarrow="open"/>
                      <v:imagedata o:title=""/>
                      <o:lock v:ext="edit" aspectratio="f"/>
                    </v:shape>
                  </w:pict>
                </mc:Fallback>
              </mc:AlternateContent>
            </w:r>
          </w:p>
          <w:p w14:paraId="069F0681">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mc:AlternateContent>
                <mc:Choice Requires="wps">
                  <w:drawing>
                    <wp:anchor distT="0" distB="0" distL="114300" distR="114300" simplePos="0" relativeHeight="251820032" behindDoc="0" locked="0" layoutInCell="1" allowOverlap="1">
                      <wp:simplePos x="0" y="0"/>
                      <wp:positionH relativeFrom="column">
                        <wp:posOffset>355600</wp:posOffset>
                      </wp:positionH>
                      <wp:positionV relativeFrom="paragraph">
                        <wp:posOffset>218440</wp:posOffset>
                      </wp:positionV>
                      <wp:extent cx="1304290" cy="342265"/>
                      <wp:effectExtent l="4445" t="4445" r="5715" b="15240"/>
                      <wp:wrapNone/>
                      <wp:docPr id="144" name="圆角矩形 144"/>
                      <wp:cNvGraphicFramePr/>
                      <a:graphic xmlns:a="http://schemas.openxmlformats.org/drawingml/2006/main">
                        <a:graphicData uri="http://schemas.microsoft.com/office/word/2010/wordprocessingShape">
                          <wps:wsp>
                            <wps:cNvSpPr/>
                            <wps:spPr>
                              <a:xfrm>
                                <a:off x="0" y="0"/>
                                <a:ext cx="1304290" cy="34226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55347CD2">
                                  <w:pPr>
                                    <w:jc w:val="center"/>
                                    <w:rPr>
                                      <w:rFonts w:hint="eastAsia" w:eastAsiaTheme="minorEastAsia"/>
                                      <w:lang w:eastAsia="zh-CN"/>
                                    </w:rPr>
                                  </w:pPr>
                                  <w:r>
                                    <w:rPr>
                                      <w:rFonts w:hint="eastAsia"/>
                                      <w:lang w:eastAsia="zh-CN"/>
                                    </w:rPr>
                                    <w:t>法兰与进气管下料</w:t>
                                  </w:r>
                                </w:p>
                              </w:txbxContent>
                            </wps:txbx>
                            <wps:bodyPr upright="1"/>
                          </wps:wsp>
                        </a:graphicData>
                      </a:graphic>
                    </wp:anchor>
                  </w:drawing>
                </mc:Choice>
                <mc:Fallback>
                  <w:pict>
                    <v:roundrect id="_x0000_s1026" o:spid="_x0000_s1026" o:spt="2" style="position:absolute;left:0pt;margin-left:28pt;margin-top:17.2pt;height:26.95pt;width:102.7pt;z-index:251820032;mso-width-relative:page;mso-height-relative:page;" fillcolor="#FFFFFF" filled="t" stroked="t" coordsize="21600,21600" arcsize="0.166666666666667" o:gfxdata="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6qTKmdgAAAAIAQAADwAAAAAAAAABACAAAAAiAAAAZHJzL2Rvd25yZXYueG1sUEsBAhQAFAAA&#10;AAgAh07iQNiwWfIoAgAAWgQAAA4AAAAAAAAAAQAgAAAAJwEAAGRycy9lMm9Eb2MueG1sUEsFBgAA&#10;AAAGAAYAWQEAAMEFAAAAAA==&#10;">
                      <v:fill on="t" focussize="0,0"/>
                      <v:stroke color="#ED7D31" joinstyle="round"/>
                      <v:imagedata o:title=""/>
                      <o:lock v:ext="edit" aspectratio="f"/>
                      <v:textbox>
                        <w:txbxContent>
                          <w:p w14:paraId="55347CD2">
                            <w:pPr>
                              <w:jc w:val="center"/>
                              <w:rPr>
                                <w:rFonts w:hint="eastAsia" w:eastAsiaTheme="minorEastAsia"/>
                                <w:lang w:eastAsia="zh-CN"/>
                              </w:rPr>
                            </w:pPr>
                            <w:r>
                              <w:rPr>
                                <w:rFonts w:hint="eastAsia"/>
                                <w:lang w:eastAsia="zh-CN"/>
                              </w:rPr>
                              <w:t>法兰与进气管下料</w:t>
                            </w:r>
                          </w:p>
                        </w:txbxContent>
                      </v:textbox>
                    </v:roundrect>
                  </w:pict>
                </mc:Fallback>
              </mc:AlternateContent>
            </w:r>
            <w:r>
              <w:rPr>
                <w:sz w:val="24"/>
              </w:rPr>
              <mc:AlternateContent>
                <mc:Choice Requires="wps">
                  <w:drawing>
                    <wp:anchor distT="0" distB="0" distL="114300" distR="114300" simplePos="0" relativeHeight="251675648" behindDoc="0" locked="0" layoutInCell="1" allowOverlap="1">
                      <wp:simplePos x="0" y="0"/>
                      <wp:positionH relativeFrom="column">
                        <wp:posOffset>4655820</wp:posOffset>
                      </wp:positionH>
                      <wp:positionV relativeFrom="paragraph">
                        <wp:posOffset>12065</wp:posOffset>
                      </wp:positionV>
                      <wp:extent cx="10160" cy="196215"/>
                      <wp:effectExtent l="43180" t="0" r="60960" b="13335"/>
                      <wp:wrapNone/>
                      <wp:docPr id="234" name="直接箭头连接符 234"/>
                      <wp:cNvGraphicFramePr/>
                      <a:graphic xmlns:a="http://schemas.openxmlformats.org/drawingml/2006/main">
                        <a:graphicData uri="http://schemas.microsoft.com/office/word/2010/wordprocessingShape">
                          <wps:wsp>
                            <wps:cNvCnPr>
                              <a:endCxn id="121" idx="0"/>
                            </wps:cNvCnPr>
                            <wps:spPr>
                              <a:xfrm>
                                <a:off x="5278120" y="1398905"/>
                                <a:ext cx="10160" cy="19621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366.6pt;margin-top:0.95pt;height:15.45pt;width:0.8pt;z-index:251675648;mso-width-relative:page;mso-height-relative:page;" filled="f" stroked="t" coordsize="21600,21600" o:gfxdata="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hqocv9YAAAAIAQAADwAAAAAAAAABACAAAAAiAAAAZHJzL2Rvd25yZXYueG1sUEsBAhQAFAAA&#10;AAgAh07iQMoFb3kqAgAAGgQAAA4AAAAAAAAAAQAgAAAAJQEAAGRycy9lMm9Eb2MueG1sUEsFBgAA&#10;AAAGAAYAWQEAAMEFAAAAAA==&#10;">
                      <v:fill on="f" focussize="0,0"/>
                      <v:stroke weight="0.5pt" color="#5B9BD5 [3204]"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674624" behindDoc="0" locked="0" layoutInCell="1" allowOverlap="1">
                      <wp:simplePos x="0" y="0"/>
                      <wp:positionH relativeFrom="column">
                        <wp:posOffset>3489325</wp:posOffset>
                      </wp:positionH>
                      <wp:positionV relativeFrom="paragraph">
                        <wp:posOffset>24130</wp:posOffset>
                      </wp:positionV>
                      <wp:extent cx="0" cy="179070"/>
                      <wp:effectExtent l="48895" t="0" r="65405" b="11430"/>
                      <wp:wrapNone/>
                      <wp:docPr id="233" name="直接箭头连接符 233"/>
                      <wp:cNvGraphicFramePr/>
                      <a:graphic xmlns:a="http://schemas.openxmlformats.org/drawingml/2006/main">
                        <a:graphicData uri="http://schemas.microsoft.com/office/word/2010/wordprocessingShape">
                          <wps:wsp>
                            <wps:cNvCnPr>
                              <a:endCxn id="129" idx="0"/>
                            </wps:cNvCnPr>
                            <wps:spPr>
                              <a:xfrm>
                                <a:off x="4101465" y="1423035"/>
                                <a:ext cx="0" cy="17907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74.75pt;margin-top:1.9pt;height:14.1pt;width:0pt;z-index:251674624;mso-width-relative:page;mso-height-relative:page;" filled="f" stroked="t" coordsize="21600,21600" o:gfxdata="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PlKAR9MAAAAIAQAADwAAAAAAAAABACAAAAAiAAAAZHJzL2Rvd25yZXYueG1sUEsBAhQAFAAAAAgA&#10;h07iQMXuK3EqAgAAFgQAAA4AAAAAAAAAAQAgAAAAIgEAAGRycy9lMm9Eb2MueG1sUEsFBgAAAAAG&#10;AAYAWQEAAL4FAAAAAA==&#10;">
                      <v:fill on="f" focussize="0,0"/>
                      <v:stroke weight="0.5pt" color="#5B9BD5 [3204]"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673600" behindDoc="0" locked="0" layoutInCell="1" allowOverlap="1">
                      <wp:simplePos x="0" y="0"/>
                      <wp:positionH relativeFrom="column">
                        <wp:posOffset>2332355</wp:posOffset>
                      </wp:positionH>
                      <wp:positionV relativeFrom="paragraph">
                        <wp:posOffset>12065</wp:posOffset>
                      </wp:positionV>
                      <wp:extent cx="1905" cy="199390"/>
                      <wp:effectExtent l="48260" t="0" r="64135" b="10160"/>
                      <wp:wrapNone/>
                      <wp:docPr id="232" name="直接箭头连接符 232"/>
                      <wp:cNvGraphicFramePr/>
                      <a:graphic xmlns:a="http://schemas.openxmlformats.org/drawingml/2006/main">
                        <a:graphicData uri="http://schemas.microsoft.com/office/word/2010/wordprocessingShape">
                          <wps:wsp>
                            <wps:cNvCnPr>
                              <a:endCxn id="146" idx="0"/>
                            </wps:cNvCnPr>
                            <wps:spPr>
                              <a:xfrm flipH="1">
                                <a:off x="2944495" y="1398905"/>
                                <a:ext cx="1905" cy="19939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83.65pt;margin-top:0.95pt;height:15.7pt;width:0.15pt;z-index:251673600;mso-width-relative:page;mso-height-relative:page;" filled="f" stroked="t" coordsize="21600,21600" o:gfxdata="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AsXVKC1gAAAAgBAAAPAAAAAAAAAAEAIAAAACIAAABkcnMvZG93bnJldi54bWxQ&#10;SwECFAAUAAAACACHTuJAmuPVsTICAAAjBAAADgAAAAAAAAABACAAAAAlAQAAZHJzL2Uyb0RvYy54&#10;bWxQSwUGAAAAAAYABgBZAQAAyQUAAAAA&#10;">
                      <v:fill on="f" focussize="0,0"/>
                      <v:stroke weight="0.5pt" color="#5B9BD5 [3204]"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672576" behindDoc="0" locked="0" layoutInCell="1" allowOverlap="1">
                      <wp:simplePos x="0" y="0"/>
                      <wp:positionH relativeFrom="column">
                        <wp:posOffset>1000760</wp:posOffset>
                      </wp:positionH>
                      <wp:positionV relativeFrom="paragraph">
                        <wp:posOffset>12065</wp:posOffset>
                      </wp:positionV>
                      <wp:extent cx="6985" cy="206375"/>
                      <wp:effectExtent l="45085" t="0" r="62230" b="3175"/>
                      <wp:wrapNone/>
                      <wp:docPr id="231" name="直接箭头连接符 231"/>
                      <wp:cNvGraphicFramePr/>
                      <a:graphic xmlns:a="http://schemas.openxmlformats.org/drawingml/2006/main">
                        <a:graphicData uri="http://schemas.microsoft.com/office/word/2010/wordprocessingShape">
                          <wps:wsp>
                            <wps:cNvCnPr>
                              <a:endCxn id="144" idx="0"/>
                            </wps:cNvCnPr>
                            <wps:spPr>
                              <a:xfrm>
                                <a:off x="1619885" y="1410970"/>
                                <a:ext cx="6985" cy="2063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78.8pt;margin-top:0.95pt;height:16.25pt;width:0.55pt;z-index:251672576;mso-width-relative:page;mso-height-relative:page;" filled="f" stroked="t" coordsize="21600,21600" o:gfxdata="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przYT1gAAAAgBAAAPAAAAAAAAAAEAIAAAACIAAABkcnMvZG93bnJldi54bWxQSwECFAAUAAAA&#10;CACHTuJAbpnMsikCAAAZBAAADgAAAAAAAAABACAAAAAlAQAAZHJzL2Uyb0RvYy54bWxQSwUGAAAA&#10;AAYABgBZAQAAwAUAAAAA&#10;">
                      <v:fill on="f" focussize="0,0"/>
                      <v:stroke weight="0.5pt" color="#5B9BD5 [3204]"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670528" behindDoc="0" locked="0" layoutInCell="1" allowOverlap="1">
                      <wp:simplePos x="0" y="0"/>
                      <wp:positionH relativeFrom="column">
                        <wp:posOffset>1012825</wp:posOffset>
                      </wp:positionH>
                      <wp:positionV relativeFrom="paragraph">
                        <wp:posOffset>24130</wp:posOffset>
                      </wp:positionV>
                      <wp:extent cx="3655060" cy="0"/>
                      <wp:effectExtent l="0" t="0" r="0" b="0"/>
                      <wp:wrapNone/>
                      <wp:docPr id="229" name="直接连接符 229"/>
                      <wp:cNvGraphicFramePr/>
                      <a:graphic xmlns:a="http://schemas.openxmlformats.org/drawingml/2006/main">
                        <a:graphicData uri="http://schemas.microsoft.com/office/word/2010/wordprocessingShape">
                          <wps:wsp>
                            <wps:cNvCnPr/>
                            <wps:spPr>
                              <a:xfrm>
                                <a:off x="1624965" y="1410970"/>
                                <a:ext cx="365506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79.75pt;margin-top:1.9pt;height:0pt;width:287.8pt;z-index:251670528;mso-width-relative:page;mso-height-relative:page;" filled="f" stroked="t" coordsize="21600,21600" o:gfxdata="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CETFuPVAAAABwEAAA8AAAAAAAAAAQAgAAAAIgAAAGRycy9kb3ducmV2LnhtbFBL&#10;AQIUABQAAAAIAIdO4kCCchDO+QEAAMEDAAAOAAAAAAAAAAEAIAAAACQBAABkcnMvZTJvRG9jLnht&#10;bFBLBQYAAAAABgAGAFkBAACPBQAAAAA=&#10;">
                      <v:fill on="f" focussize="0,0"/>
                      <v:stroke weight="0.5pt" color="#5B9BD5 [3204]" miterlimit="8" joinstyle="miter"/>
                      <v:imagedata o:title=""/>
                      <o:lock v:ext="edit" aspectratio="f"/>
                    </v:lin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97504" behindDoc="0" locked="0" layoutInCell="1" allowOverlap="1">
                      <wp:simplePos x="0" y="0"/>
                      <wp:positionH relativeFrom="column">
                        <wp:posOffset>4214495</wp:posOffset>
                      </wp:positionH>
                      <wp:positionV relativeFrom="paragraph">
                        <wp:posOffset>208280</wp:posOffset>
                      </wp:positionV>
                      <wp:extent cx="902970" cy="381635"/>
                      <wp:effectExtent l="4445" t="4445" r="6985" b="13970"/>
                      <wp:wrapNone/>
                      <wp:docPr id="121" name="圆角矩形 121"/>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35C30618">
                                  <w:pPr>
                                    <w:jc w:val="center"/>
                                    <w:rPr>
                                      <w:rFonts w:hint="eastAsia" w:eastAsiaTheme="minorEastAsia"/>
                                      <w:lang w:eastAsia="zh-CN"/>
                                    </w:rPr>
                                  </w:pPr>
                                  <w:r>
                                    <w:rPr>
                                      <w:rFonts w:hint="eastAsia"/>
                                      <w:lang w:eastAsia="zh-CN"/>
                                    </w:rPr>
                                    <w:t>端盖下料</w:t>
                                  </w:r>
                                </w:p>
                              </w:txbxContent>
                            </wps:txbx>
                            <wps:bodyPr upright="1"/>
                          </wps:wsp>
                        </a:graphicData>
                      </a:graphic>
                    </wp:anchor>
                  </w:drawing>
                </mc:Choice>
                <mc:Fallback>
                  <w:pict>
                    <v:roundrect id="_x0000_s1026" o:spid="_x0000_s1026" o:spt="2" style="position:absolute;left:0pt;margin-left:331.85pt;margin-top:16.4pt;height:30.05pt;width:71.1pt;z-index:251797504;mso-width-relative:page;mso-height-relative:page;" fillcolor="#FFFFFF" filled="t" stroked="t" coordsize="21600,21600" arcsize="0.166666666666667" o:gfxdata="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GOIMp2QAAAAkBAAAPAAAAAAAAAAEAIAAAACIAAABkcnMvZG93bnJldi54bWxQSwECFAAU&#10;AAAACACHTuJASlBpzSkCAABZBAAADgAAAAAAAAABACAAAAAoAQAAZHJzL2Uyb0RvYy54bWxQSwUG&#10;AAAAAAYABgBZAQAAwwUAAAAA&#10;">
                      <v:fill on="t" focussize="0,0"/>
                      <v:stroke color="#ED7D31" joinstyle="round"/>
                      <v:imagedata o:title=""/>
                      <o:lock v:ext="edit" aspectratio="f"/>
                      <v:textbox>
                        <w:txbxContent>
                          <w:p w14:paraId="35C30618">
                            <w:pPr>
                              <w:jc w:val="center"/>
                              <w:rPr>
                                <w:rFonts w:hint="eastAsia" w:eastAsiaTheme="minorEastAsia"/>
                                <w:lang w:eastAsia="zh-CN"/>
                              </w:rPr>
                            </w:pPr>
                            <w:r>
                              <w:rPr>
                                <w:rFonts w:hint="eastAsia"/>
                                <w:lang w:eastAsia="zh-CN"/>
                              </w:rPr>
                              <w:t>端盖下料</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815936" behindDoc="0" locked="0" layoutInCell="1" allowOverlap="1">
                      <wp:simplePos x="0" y="0"/>
                      <wp:positionH relativeFrom="column">
                        <wp:posOffset>3037840</wp:posOffset>
                      </wp:positionH>
                      <wp:positionV relativeFrom="paragraph">
                        <wp:posOffset>203200</wp:posOffset>
                      </wp:positionV>
                      <wp:extent cx="902970" cy="381635"/>
                      <wp:effectExtent l="4445" t="4445" r="6985" b="13970"/>
                      <wp:wrapNone/>
                      <wp:docPr id="129" name="圆角矩形 129"/>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08816ADF">
                                  <w:pPr>
                                    <w:jc w:val="center"/>
                                    <w:rPr>
                                      <w:rFonts w:hint="eastAsia" w:eastAsiaTheme="minorEastAsia"/>
                                      <w:lang w:eastAsia="zh-CN"/>
                                    </w:rPr>
                                  </w:pPr>
                                  <w:r>
                                    <w:rPr>
                                      <w:rFonts w:hint="eastAsia"/>
                                      <w:lang w:eastAsia="zh-CN"/>
                                    </w:rPr>
                                    <w:t>壳体下料</w:t>
                                  </w:r>
                                </w:p>
                              </w:txbxContent>
                            </wps:txbx>
                            <wps:bodyPr upright="1"/>
                          </wps:wsp>
                        </a:graphicData>
                      </a:graphic>
                    </wp:anchor>
                  </w:drawing>
                </mc:Choice>
                <mc:Fallback>
                  <w:pict>
                    <v:roundrect id="_x0000_s1026" o:spid="_x0000_s1026" o:spt="2" style="position:absolute;left:0pt;margin-left:239.2pt;margin-top:16pt;height:30.05pt;width:71.1pt;z-index:251815936;mso-width-relative:page;mso-height-relative:page;" fillcolor="#FFFFFF" filled="t" stroked="t" coordsize="21600,21600" arcsize="0.166666666666667" o:gfxdata="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vAHiwNkAAAAJAQAADwAAAAAAAAABACAAAAAiAAAAZHJzL2Rvd25yZXYueG1sUEsBAhQAFAAA&#10;AAgAh07iQDoEDDknAgAAWQQAAA4AAAAAAAAAAQAgAAAAKAEAAGRycy9lMm9Eb2MueG1sUEsFBgAA&#10;AAAGAAYAWQEAAMEFAAAAAA==&#10;">
                      <v:fill on="t" focussize="0,0"/>
                      <v:stroke color="#ED7D31" joinstyle="round"/>
                      <v:imagedata o:title=""/>
                      <o:lock v:ext="edit" aspectratio="f"/>
                      <v:textbox>
                        <w:txbxContent>
                          <w:p w14:paraId="08816ADF">
                            <w:pPr>
                              <w:jc w:val="center"/>
                              <w:rPr>
                                <w:rFonts w:hint="eastAsia" w:eastAsiaTheme="minorEastAsia"/>
                                <w:lang w:eastAsia="zh-CN"/>
                              </w:rPr>
                            </w:pPr>
                            <w:r>
                              <w:rPr>
                                <w:rFonts w:hint="eastAsia"/>
                                <w:lang w:eastAsia="zh-CN"/>
                              </w:rPr>
                              <w:t>壳体下料</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806720" behindDoc="0" locked="0" layoutInCell="1" allowOverlap="1">
                      <wp:simplePos x="0" y="0"/>
                      <wp:positionH relativeFrom="column">
                        <wp:posOffset>1807210</wp:posOffset>
                      </wp:positionH>
                      <wp:positionV relativeFrom="paragraph">
                        <wp:posOffset>211455</wp:posOffset>
                      </wp:positionV>
                      <wp:extent cx="1049655" cy="381635"/>
                      <wp:effectExtent l="4445" t="4445" r="12700" b="13970"/>
                      <wp:wrapNone/>
                      <wp:docPr id="146" name="圆角矩形 146"/>
                      <wp:cNvGraphicFramePr/>
                      <a:graphic xmlns:a="http://schemas.openxmlformats.org/drawingml/2006/main">
                        <a:graphicData uri="http://schemas.microsoft.com/office/word/2010/wordprocessingShape">
                          <wps:wsp>
                            <wps:cNvSpPr/>
                            <wps:spPr>
                              <a:xfrm>
                                <a:off x="0" y="0"/>
                                <a:ext cx="1049655"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6F9E0BF5">
                                  <w:pPr>
                                    <w:jc w:val="center"/>
                                    <w:rPr>
                                      <w:rFonts w:hint="eastAsia" w:eastAsiaTheme="minorEastAsia"/>
                                      <w:lang w:eastAsia="zh-CN"/>
                                    </w:rPr>
                                  </w:pPr>
                                  <w:r>
                                    <w:rPr>
                                      <w:rFonts w:hint="eastAsia"/>
                                      <w:lang w:eastAsia="zh-CN"/>
                                    </w:rPr>
                                    <w:t>隔板组件下料</w:t>
                                  </w:r>
                                </w:p>
                              </w:txbxContent>
                            </wps:txbx>
                            <wps:bodyPr upright="1"/>
                          </wps:wsp>
                        </a:graphicData>
                      </a:graphic>
                    </wp:anchor>
                  </w:drawing>
                </mc:Choice>
                <mc:Fallback>
                  <w:pict>
                    <v:roundrect id="_x0000_s1026" o:spid="_x0000_s1026" o:spt="2" style="position:absolute;left:0pt;margin-left:142.3pt;margin-top:16.65pt;height:30.05pt;width:82.65pt;z-index:251806720;mso-width-relative:page;mso-height-relative:page;" fillcolor="#FFFFFF" filled="t" stroked="t" coordsize="21600,21600" arcsize="0.166666666666667" o:gfxdata="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860th2QAAAAkBAAAPAAAAAAAAAAEAIAAAACIAAABkcnMvZG93bnJldi54bWxQSwECFAAU&#10;AAAACACHTuJAUBO6vSkCAABaBAAADgAAAAAAAAABACAAAAAoAQAAZHJzL2Uyb0RvYy54bWxQSwUG&#10;AAAAAAYABgBZAQAAwwUAAAAA&#10;">
                      <v:fill on="t" focussize="0,0"/>
                      <v:stroke color="#ED7D31" joinstyle="round"/>
                      <v:imagedata o:title=""/>
                      <o:lock v:ext="edit" aspectratio="f"/>
                      <v:textbox>
                        <w:txbxContent>
                          <w:p w14:paraId="6F9E0BF5">
                            <w:pPr>
                              <w:jc w:val="center"/>
                              <w:rPr>
                                <w:rFonts w:hint="eastAsia" w:eastAsiaTheme="minorEastAsia"/>
                                <w:lang w:eastAsia="zh-CN"/>
                              </w:rPr>
                            </w:pPr>
                            <w:r>
                              <w:rPr>
                                <w:rFonts w:hint="eastAsia"/>
                                <w:lang w:eastAsia="zh-CN"/>
                              </w:rPr>
                              <w:t>隔板组件下料</w:t>
                            </w:r>
                          </w:p>
                        </w:txbxContent>
                      </v:textbox>
                    </v:roundrect>
                  </w:pict>
                </mc:Fallback>
              </mc:AlternateContent>
            </w:r>
            <w:r>
              <w:rPr>
                <w:rFonts w:hint="default" w:ascii="Times New Roman" w:hAnsi="Times New Roman" w:cs="Times New Roman"/>
                <w:color w:val="auto"/>
                <w:sz w:val="24"/>
                <w:szCs w:val="24"/>
                <w:lang w:val="en-US" w:eastAsia="zh-CN"/>
              </w:rPr>
              <w:t>　　　　　　　　　　　　</w:t>
            </w:r>
          </w:p>
          <w:p w14:paraId="1772F429">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78720" behindDoc="0" locked="0" layoutInCell="1" allowOverlap="1">
                      <wp:simplePos x="0" y="0"/>
                      <wp:positionH relativeFrom="column">
                        <wp:posOffset>2332355</wp:posOffset>
                      </wp:positionH>
                      <wp:positionV relativeFrom="paragraph">
                        <wp:posOffset>262890</wp:posOffset>
                      </wp:positionV>
                      <wp:extent cx="635" cy="1532890"/>
                      <wp:effectExtent l="48260" t="0" r="65405" b="10160"/>
                      <wp:wrapNone/>
                      <wp:docPr id="237" name="直接箭头连接符 237"/>
                      <wp:cNvGraphicFramePr/>
                      <a:graphic xmlns:a="http://schemas.openxmlformats.org/drawingml/2006/main">
                        <a:graphicData uri="http://schemas.microsoft.com/office/word/2010/wordprocessingShape">
                          <wps:wsp>
                            <wps:cNvCnPr>
                              <a:stCxn id="146" idx="2"/>
                              <a:endCxn id="162" idx="0"/>
                            </wps:cNvCnPr>
                            <wps:spPr>
                              <a:xfrm>
                                <a:off x="2944495" y="1979930"/>
                                <a:ext cx="635" cy="153289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83.65pt;margin-top:20.7pt;height:120.7pt;width:0.05pt;z-index:251678720;mso-width-relative:page;mso-height-relative:page;" filled="f" stroked="t" coordsize="21600,21600" o:gfxdata="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d0iSOtcAAAAKAQAADwAAAAAAAAABACAAAAAiAAAAZHJzL2Rvd25yZXYueG1s&#10;UEsBAhQAFAAAAAgAh07iQEat3xcyAgAANAQAAA4AAAAAAAAAAQAgAAAAJgEAAGRycy9lMm9Eb2Mu&#10;eG1sUEsFBgAAAAAGAAYAWQEAAMoFAAAAAA==&#10;">
                      <v:fill on="f" focussize="0,0"/>
                      <v:stroke weight="0.5pt" color="#5B9BD5 [3204]"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691008" behindDoc="0" locked="0" layoutInCell="1" allowOverlap="1">
                      <wp:simplePos x="0" y="0"/>
                      <wp:positionH relativeFrom="column">
                        <wp:posOffset>354965</wp:posOffset>
                      </wp:positionH>
                      <wp:positionV relativeFrom="paragraph">
                        <wp:posOffset>59690</wp:posOffset>
                      </wp:positionV>
                      <wp:extent cx="193675" cy="910590"/>
                      <wp:effectExtent l="87630" t="5080" r="0" b="17780"/>
                      <wp:wrapNone/>
                      <wp:docPr id="253" name="肘形连接符 253"/>
                      <wp:cNvGraphicFramePr/>
                      <a:graphic xmlns:a="http://schemas.openxmlformats.org/drawingml/2006/main">
                        <a:graphicData uri="http://schemas.microsoft.com/office/word/2010/wordprocessingShape">
                          <wps:wsp>
                            <wps:cNvCnPr>
                              <a:stCxn id="144" idx="1"/>
                              <a:endCxn id="131" idx="1"/>
                            </wps:cNvCnPr>
                            <wps:spPr>
                              <a:xfrm rot="10800000" flipH="1" flipV="1">
                                <a:off x="967105" y="1776730"/>
                                <a:ext cx="193675" cy="910590"/>
                              </a:xfrm>
                              <a:prstGeom prst="bentConnector3">
                                <a:avLst>
                                  <a:gd name="adj1" fmla="val -42950"/>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4" type="#_x0000_t34" style="position:absolute;left:0pt;flip:x y;margin-left:27.95pt;margin-top:4.7pt;height:71.7pt;width:15.25pt;rotation:11796480f;z-index:251691008;mso-width-relative:page;mso-height-relative:page;" filled="f" stroked="t" coordsize="21600,21600" o:gfxdata="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Afktol1QAAAAcBAAAPAAAAAAAAAAEA&#10;IAAAACIAAABkcnMvZG93bnJldi54bWxQSwECFAAUAAAACACHTuJANm6XZksCAABiBAAADgAAAAAA&#10;AAABACAAAAAkAQAAZHJzL2Uyb0RvYy54bWxQSwUGAAAAAAYABgBZAQAA4QUAAAAA&#10;" adj="-9277">
                      <v:fill on="f" focussize="0,0"/>
                      <v:stroke weight="0.5pt" color="#5B9BD5 [3204]" miterlimit="8" joinstyle="miter" dashstyle="dash"/>
                      <v:imagedata o:title=""/>
                      <o:lock v:ext="edit" aspectratio="f"/>
                    </v:shape>
                  </w:pict>
                </mc:Fallback>
              </mc:AlternateContent>
            </w:r>
            <w:r>
              <w:rPr>
                <w:sz w:val="24"/>
              </w:rPr>
              <mc:AlternateContent>
                <mc:Choice Requires="wps">
                  <w:drawing>
                    <wp:anchor distT="0" distB="0" distL="114300" distR="114300" simplePos="0" relativeHeight="251681792" behindDoc="0" locked="0" layoutInCell="1" allowOverlap="1">
                      <wp:simplePos x="0" y="0"/>
                      <wp:positionH relativeFrom="column">
                        <wp:posOffset>4663440</wp:posOffset>
                      </wp:positionH>
                      <wp:positionV relativeFrom="paragraph">
                        <wp:posOffset>259715</wp:posOffset>
                      </wp:positionV>
                      <wp:extent cx="2540" cy="565150"/>
                      <wp:effectExtent l="48895" t="0" r="62865" b="6350"/>
                      <wp:wrapNone/>
                      <wp:docPr id="240" name="直接箭头连接符 240"/>
                      <wp:cNvGraphicFramePr/>
                      <a:graphic xmlns:a="http://schemas.openxmlformats.org/drawingml/2006/main">
                        <a:graphicData uri="http://schemas.microsoft.com/office/word/2010/wordprocessingShape">
                          <wps:wsp>
                            <wps:cNvCnPr>
                              <a:stCxn id="121" idx="2"/>
                              <a:endCxn id="139" idx="0"/>
                            </wps:cNvCnPr>
                            <wps:spPr>
                              <a:xfrm flipH="1">
                                <a:off x="5278120" y="1976755"/>
                                <a:ext cx="2540" cy="5651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367.2pt;margin-top:20.45pt;height:44.5pt;width:0.2pt;z-index:251681792;mso-width-relative:page;mso-height-relative:page;" filled="f" stroked="t" coordsize="21600,21600" o:gfxdata="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15U0a2AAAAAoBAAAPAAAAAAAAAAEAIAAAACIAAABkcnMvZG93&#10;bnJldi54bWxQSwECFAAUAAAACACHTuJACPZCqzkCAAA+BAAADgAAAAAAAAABACAAAAAnAQAAZHJz&#10;L2Uyb0RvYy54bWxQSwUGAAAAAAYABgBZAQAA0gUAAAAA&#10;">
                      <v:fill on="f" focussize="0,0"/>
                      <v:stroke weight="0.5pt" color="#5B9BD5 [3204]"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679744" behindDoc="0" locked="0" layoutInCell="1" allowOverlap="1">
                      <wp:simplePos x="0" y="0"/>
                      <wp:positionH relativeFrom="column">
                        <wp:posOffset>3489325</wp:posOffset>
                      </wp:positionH>
                      <wp:positionV relativeFrom="paragraph">
                        <wp:posOffset>254635</wp:posOffset>
                      </wp:positionV>
                      <wp:extent cx="10795" cy="553085"/>
                      <wp:effectExtent l="40005" t="0" r="63500" b="18415"/>
                      <wp:wrapNone/>
                      <wp:docPr id="238" name="直接箭头连接符 238"/>
                      <wp:cNvGraphicFramePr/>
                      <a:graphic xmlns:a="http://schemas.openxmlformats.org/drawingml/2006/main">
                        <a:graphicData uri="http://schemas.microsoft.com/office/word/2010/wordprocessingShape">
                          <wps:wsp>
                            <wps:cNvCnPr>
                              <a:stCxn id="129" idx="2"/>
                              <a:endCxn id="134" idx="0"/>
                            </wps:cNvCnPr>
                            <wps:spPr>
                              <a:xfrm>
                                <a:off x="4101465" y="1971675"/>
                                <a:ext cx="10795" cy="55308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74.75pt;margin-top:20.05pt;height:43.55pt;width:0.85pt;z-index:251679744;mso-width-relative:page;mso-height-relative:page;" filled="f" stroked="t" coordsize="21600,21600" o:gfxdata="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JR3ustcAAAAKAQAADwAAAAAAAAABACAAAAAiAAAAZHJzL2Rvd25yZXYu&#10;eG1sUEsBAhQAFAAAAAgAh07iQMGQj201AgAANQQAAA4AAAAAAAAAAQAgAAAAJgEAAGRycy9lMm9E&#10;b2MueG1sUEsFBgAAAAAGAAYAWQEAAM0FAAAAAA==&#10;">
                      <v:fill on="f" focussize="0,0"/>
                      <v:stroke weight="0.5pt" color="#5B9BD5 [3204]"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676672" behindDoc="0" locked="0" layoutInCell="1" allowOverlap="1">
                      <wp:simplePos x="0" y="0"/>
                      <wp:positionH relativeFrom="column">
                        <wp:posOffset>1000760</wp:posOffset>
                      </wp:positionH>
                      <wp:positionV relativeFrom="paragraph">
                        <wp:posOffset>230505</wp:posOffset>
                      </wp:positionV>
                      <wp:extent cx="6985" cy="548640"/>
                      <wp:effectExtent l="48260" t="0" r="59055" b="3810"/>
                      <wp:wrapNone/>
                      <wp:docPr id="235" name="直接箭头连接符 235"/>
                      <wp:cNvGraphicFramePr/>
                      <a:graphic xmlns:a="http://schemas.openxmlformats.org/drawingml/2006/main">
                        <a:graphicData uri="http://schemas.microsoft.com/office/word/2010/wordprocessingShape">
                          <wps:wsp>
                            <wps:cNvCnPr>
                              <a:stCxn id="144" idx="2"/>
                              <a:endCxn id="131" idx="0"/>
                            </wps:cNvCnPr>
                            <wps:spPr>
                              <a:xfrm flipH="1">
                                <a:off x="1493520" y="1923415"/>
                                <a:ext cx="6985" cy="54864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78.8pt;margin-top:18.15pt;height:43.2pt;width:0.55pt;z-index:251676672;mso-width-relative:page;mso-height-relative:page;" filled="f" stroked="t" coordsize="21600,21600" o:gfxdata="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O/wqXHYAAAACgEAAA8AAAAAAAAAAQAgAAAAIgAAAGRycy9k&#10;b3ducmV2LnhtbFBLAQIUABQAAAAIAIdO4kC7FilwOwIAAD4EAAAOAAAAAAAAAAEAIAAAACcBAABk&#10;cnMvZTJvRG9jLnhtbFBLBQYAAAAABgAGAFkBAADUBQAAAAA=&#10;">
                      <v:fill on="f" focussize="0,0"/>
                      <v:stroke weight="0.5pt" color="#5B9BD5 [3204]" miterlimit="8" joinstyle="miter" endarrow="open"/>
                      <v:imagedata o:title=""/>
                      <o:lock v:ext="edit" aspectratio="f"/>
                    </v:shape>
                  </w:pict>
                </mc:Fallback>
              </mc:AlternateContent>
            </w:r>
            <w:r>
              <w:rPr>
                <w:rFonts w:hint="eastAsia" w:cs="Times New Roman"/>
                <w:color w:val="auto"/>
                <w:sz w:val="24"/>
                <w:szCs w:val="24"/>
                <w:lang w:val="en-US" w:eastAsia="zh-CN"/>
              </w:rPr>
              <w:t xml:space="preserve">    </w:t>
            </w:r>
          </w:p>
          <w:p w14:paraId="4CB0F68E">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93056" behindDoc="0" locked="0" layoutInCell="1" allowOverlap="1">
                      <wp:simplePos x="0" y="0"/>
                      <wp:positionH relativeFrom="column">
                        <wp:posOffset>167640</wp:posOffset>
                      </wp:positionH>
                      <wp:positionV relativeFrom="paragraph">
                        <wp:posOffset>186690</wp:posOffset>
                      </wp:positionV>
                      <wp:extent cx="166370" cy="0"/>
                      <wp:effectExtent l="0" t="48895" r="5080" b="65405"/>
                      <wp:wrapNone/>
                      <wp:docPr id="257" name="直接箭头连接符 257"/>
                      <wp:cNvGraphicFramePr/>
                      <a:graphic xmlns:a="http://schemas.openxmlformats.org/drawingml/2006/main">
                        <a:graphicData uri="http://schemas.microsoft.com/office/word/2010/wordprocessingShape">
                          <wps:wsp>
                            <wps:cNvCnPr/>
                            <wps:spPr>
                              <a:xfrm flipH="1">
                                <a:off x="779780" y="2233930"/>
                                <a:ext cx="166370" cy="0"/>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3.2pt;margin-top:14.7pt;height:0pt;width:13.1pt;z-index:251693056;mso-width-relative:page;mso-height-relative:page;" filled="f" stroked="t" coordsize="21600,21600" o:gfxdata="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pTUOl9MAAAAHAQAA&#10;DwAAAAAAAAABACAAAAAiAAAAZHJzL2Rvd25yZXYueG1sUEsBAhQAFAAAAAgAh07iQA/IgQseAgAA&#10;9QMAAA4AAAAAAAAAAQAgAAAAIgEAAGRycy9lMm9Eb2MueG1sUEsFBgAAAAAGAAYAWQEAALIFAAAA&#10;AA==&#10;">
                      <v:fill on="f" focussize="0,0"/>
                      <v:stroke weight="0.5pt" color="#5B9BD5 [3204]" miterlimit="8" joinstyle="miter" dashstyle="dash" endarrow="open"/>
                      <v:imagedata o:title=""/>
                      <o:lock v:ext="edit" aspectratio="f"/>
                    </v:shape>
                  </w:pict>
                </mc:Fallback>
              </mc:AlternateContent>
            </w:r>
            <w:r>
              <w:rPr>
                <w:sz w:val="24"/>
              </w:rPr>
              <mc:AlternateContent>
                <mc:Choice Requires="wps">
                  <w:drawing>
                    <wp:anchor distT="0" distB="0" distL="114300" distR="114300" simplePos="0" relativeHeight="251684864" behindDoc="0" locked="0" layoutInCell="1" allowOverlap="1">
                      <wp:simplePos x="0" y="0"/>
                      <wp:positionH relativeFrom="column">
                        <wp:posOffset>2795905</wp:posOffset>
                      </wp:positionH>
                      <wp:positionV relativeFrom="paragraph">
                        <wp:posOffset>11430</wp:posOffset>
                      </wp:positionV>
                      <wp:extent cx="66040" cy="3680460"/>
                      <wp:effectExtent l="4445" t="0" r="0" b="257810"/>
                      <wp:wrapNone/>
                      <wp:docPr id="244" name="肘形连接符 244"/>
                      <wp:cNvGraphicFramePr/>
                      <a:graphic xmlns:a="http://schemas.openxmlformats.org/drawingml/2006/main">
                        <a:graphicData uri="http://schemas.microsoft.com/office/word/2010/wordprocessingShape">
                          <wps:wsp>
                            <wps:cNvCnPr>
                              <a:stCxn id="122" idx="2"/>
                              <a:endCxn id="168" idx="2"/>
                            </wps:cNvCnPr>
                            <wps:spPr>
                              <a:xfrm rot="5400000" flipV="1">
                                <a:off x="3408045" y="2058670"/>
                                <a:ext cx="66040" cy="3680460"/>
                              </a:xfrm>
                              <a:prstGeom prst="bentConnector3">
                                <a:avLst>
                                  <a:gd name="adj1" fmla="val 460577"/>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4" type="#_x0000_t34" style="position:absolute;left:0pt;flip:y;margin-left:220.15pt;margin-top:0.9pt;height:289.8pt;width:5.2pt;rotation:-5898240f;z-index:251684864;mso-width-relative:page;mso-height-relative:page;" filled="f" stroked="t" coordsize="21600,21600" o:gfxdata="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vXt+b1gAAAAkBAAAPAAAAAAAAAAEAIAAA&#10;ACIAAABkcnMvZG93bnJldi54bWxQSwECFAAUAAAACACHTuJAukVId0cCAABZBAAADgAAAAAAAAAB&#10;ACAAAAAlAQAAZHJzL2Uyb0RvYy54bWxQSwUGAAAAAAYABgBZAQAA3gUAAAAA&#10;" adj="99485">
                      <v:fill on="f" focussize="0,0"/>
                      <v:stroke weight="0.5pt" color="#5B9BD5 [3204]" miterlimit="8" joinstyle="miter"/>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803648" behindDoc="0" locked="0" layoutInCell="1" allowOverlap="1">
                      <wp:simplePos x="0" y="0"/>
                      <wp:positionH relativeFrom="column">
                        <wp:posOffset>5199380</wp:posOffset>
                      </wp:positionH>
                      <wp:positionV relativeFrom="paragraph">
                        <wp:posOffset>100965</wp:posOffset>
                      </wp:positionV>
                      <wp:extent cx="902970" cy="381635"/>
                      <wp:effectExtent l="4445" t="4445" r="6985" b="13970"/>
                      <wp:wrapNone/>
                      <wp:docPr id="152" name="圆角矩形 152"/>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6639318A">
                                  <w:pPr>
                                    <w:jc w:val="center"/>
                                    <w:rPr>
                                      <w:rFonts w:hint="eastAsia" w:eastAsiaTheme="minorEastAsia"/>
                                      <w:lang w:eastAsia="zh-CN"/>
                                    </w:rPr>
                                  </w:pPr>
                                  <w:r>
                                    <w:rPr>
                                      <w:rFonts w:hint="eastAsia"/>
                                      <w:lang w:eastAsia="zh-CN"/>
                                    </w:rPr>
                                    <w:t>催化剂</w:t>
                                  </w:r>
                                </w:p>
                              </w:txbxContent>
                            </wps:txbx>
                            <wps:bodyPr upright="1"/>
                          </wps:wsp>
                        </a:graphicData>
                      </a:graphic>
                    </wp:anchor>
                  </w:drawing>
                </mc:Choice>
                <mc:Fallback>
                  <w:pict>
                    <v:roundrect id="_x0000_s1026" o:spid="_x0000_s1026" o:spt="2" style="position:absolute;left:0pt;margin-left:409.4pt;margin-top:7.95pt;height:30.05pt;width:71.1pt;z-index:251803648;mso-width-relative:page;mso-height-relative:page;" fillcolor="#FFFFFF" filled="t" stroked="t" coordsize="21600,21600" arcsize="0.166666666666667" o:gfxdata="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FPlnYbXAAAACQEAAA8AAAAAAAAAAQAgAAAAIgAAAGRycy9kb3ducmV2LnhtbFBLAQIUABQAAAAI&#10;AIdO4kB7QqbYJwIAAFkEAAAOAAAAAAAAAAEAIAAAACYBAABkcnMvZTJvRG9jLnhtbFBLBQYAAAAA&#10;BgAGAFkBAAC/BQAAAAA=&#10;">
                      <v:fill on="t" focussize="0,0"/>
                      <v:stroke color="#ED7D31" joinstyle="round"/>
                      <v:imagedata o:title=""/>
                      <o:lock v:ext="edit" aspectratio="f"/>
                      <v:textbox>
                        <w:txbxContent>
                          <w:p w14:paraId="6639318A">
                            <w:pPr>
                              <w:jc w:val="center"/>
                              <w:rPr>
                                <w:rFonts w:hint="eastAsia" w:eastAsiaTheme="minorEastAsia"/>
                                <w:lang w:eastAsia="zh-CN"/>
                              </w:rPr>
                            </w:pPr>
                            <w:r>
                              <w:rPr>
                                <w:rFonts w:hint="eastAsia"/>
                                <w:lang w:eastAsia="zh-CN"/>
                              </w:rPr>
                              <w:t>催化剂</w:t>
                            </w:r>
                          </w:p>
                        </w:txbxContent>
                      </v:textbox>
                    </v:roundrect>
                  </w:pict>
                </mc:Fallback>
              </mc:AlternateContent>
            </w:r>
          </w:p>
          <w:p w14:paraId="4EE1619D">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85888" behindDoc="0" locked="0" layoutInCell="1" allowOverlap="1">
                      <wp:simplePos x="0" y="0"/>
                      <wp:positionH relativeFrom="column">
                        <wp:posOffset>3521710</wp:posOffset>
                      </wp:positionH>
                      <wp:positionV relativeFrom="paragraph">
                        <wp:posOffset>178435</wp:posOffset>
                      </wp:positionV>
                      <wp:extent cx="2155190" cy="2102485"/>
                      <wp:effectExtent l="0" t="0" r="12065" b="54610"/>
                      <wp:wrapNone/>
                      <wp:docPr id="245" name="肘形连接符 245"/>
                      <wp:cNvGraphicFramePr/>
                      <a:graphic xmlns:a="http://schemas.openxmlformats.org/drawingml/2006/main">
                        <a:graphicData uri="http://schemas.microsoft.com/office/word/2010/wordprocessingShape">
                          <wps:wsp>
                            <wps:cNvCnPr>
                              <a:stCxn id="152" idx="2"/>
                              <a:endCxn id="175" idx="3"/>
                            </wps:cNvCnPr>
                            <wps:spPr>
                              <a:xfrm rot="5400000">
                                <a:off x="4133850" y="2555875"/>
                                <a:ext cx="2155190" cy="2102485"/>
                              </a:xfrm>
                              <a:prstGeom prst="bentConnector2">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3" type="#_x0000_t33" style="position:absolute;left:0pt;margin-left:277.3pt;margin-top:14.05pt;height:165.55pt;width:169.7pt;rotation:5898240f;z-index:251685888;mso-width-relative:page;mso-height-relative:page;" filled="f" stroked="t" coordsize="21600,21600" o:gfxdata="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d8rR4NgAAAAKAQAADwAAAAAAAAABACAAAAAiAAAAZHJzL2Rv&#10;d25yZXYueG1sUEsBAhQAFAAAAAgAh07iQBYAuY86AgAAPAQAAA4AAAAAAAAAAQAgAAAAJwEAAGRy&#10;cy9lMm9Eb2MueG1sUEsFBgAAAAAGAAYAWQEAANMFAAAAAA==&#10;">
                      <v:fill on="f" focussize="0,0"/>
                      <v:stroke weight="0.5pt" color="#5B9BD5 [3204]" miterlimit="8" joinstyle="miter"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90336" behindDoc="1" locked="0" layoutInCell="1" allowOverlap="1">
                      <wp:simplePos x="0" y="0"/>
                      <wp:positionH relativeFrom="column">
                        <wp:posOffset>4211955</wp:posOffset>
                      </wp:positionH>
                      <wp:positionV relativeFrom="paragraph">
                        <wp:posOffset>164465</wp:posOffset>
                      </wp:positionV>
                      <wp:extent cx="902970" cy="381635"/>
                      <wp:effectExtent l="4445" t="4445" r="6985" b="13970"/>
                      <wp:wrapNone/>
                      <wp:docPr id="139" name="圆角矩形 139"/>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4976521E">
                                  <w:pPr>
                                    <w:jc w:val="center"/>
                                    <w:rPr>
                                      <w:rFonts w:hint="eastAsia" w:eastAsiaTheme="minorEastAsia"/>
                                      <w:lang w:eastAsia="zh-CN"/>
                                    </w:rPr>
                                  </w:pPr>
                                  <w:r>
                                    <w:rPr>
                                      <w:rFonts w:hint="eastAsia"/>
                                      <w:lang w:eastAsia="zh-CN"/>
                                    </w:rPr>
                                    <w:t>成形</w:t>
                                  </w:r>
                                </w:p>
                              </w:txbxContent>
                            </wps:txbx>
                            <wps:bodyPr upright="1"/>
                          </wps:wsp>
                        </a:graphicData>
                      </a:graphic>
                    </wp:anchor>
                  </w:drawing>
                </mc:Choice>
                <mc:Fallback>
                  <w:pict>
                    <v:roundrect id="_x0000_s1026" o:spid="_x0000_s1026" o:spt="2" style="position:absolute;left:0pt;margin-left:331.65pt;margin-top:12.95pt;height:30.05pt;width:71.1pt;z-index:-251526144;mso-width-relative:page;mso-height-relative:page;" fillcolor="#FFFFFF" filled="t" stroked="t" coordsize="21600,21600" arcsize="0.166666666666667" o:gfxdata="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M9FeAdkAAAAJAQAADwAAAAAAAAABACAAAAAiAAAAZHJzL2Rvd25yZXYueG1sUEsBAhQAFAAA&#10;AAgAh07iQLcmEjMnAgAAWQQAAA4AAAAAAAAAAQAgAAAAKAEAAGRycy9lMm9Eb2MueG1sUEsFBgAA&#10;AAAGAAYAWQEAAMEFAAAAAA==&#10;">
                      <v:fill on="t" focussize="0,0"/>
                      <v:stroke color="#ED7D31" joinstyle="round"/>
                      <v:imagedata o:title=""/>
                      <o:lock v:ext="edit" aspectratio="f"/>
                      <v:textbox>
                        <w:txbxContent>
                          <w:p w14:paraId="4976521E">
                            <w:pPr>
                              <w:jc w:val="center"/>
                              <w:rPr>
                                <w:rFonts w:hint="eastAsia" w:eastAsiaTheme="minorEastAsia"/>
                                <w:lang w:eastAsia="zh-CN"/>
                              </w:rPr>
                            </w:pPr>
                            <w:r>
                              <w:rPr>
                                <w:rFonts w:hint="eastAsia"/>
                                <w:lang w:eastAsia="zh-CN"/>
                              </w:rPr>
                              <w:t>成形</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814912" behindDoc="0" locked="0" layoutInCell="1" allowOverlap="1">
                      <wp:simplePos x="0" y="0"/>
                      <wp:positionH relativeFrom="column">
                        <wp:posOffset>3048635</wp:posOffset>
                      </wp:positionH>
                      <wp:positionV relativeFrom="paragraph">
                        <wp:posOffset>147320</wp:posOffset>
                      </wp:positionV>
                      <wp:extent cx="902970" cy="381635"/>
                      <wp:effectExtent l="4445" t="4445" r="6985" b="13970"/>
                      <wp:wrapNone/>
                      <wp:docPr id="134" name="圆角矩形 134"/>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36F15B63">
                                  <w:pPr>
                                    <w:jc w:val="center"/>
                                    <w:rPr>
                                      <w:rFonts w:hint="eastAsia" w:eastAsiaTheme="minorEastAsia"/>
                                      <w:lang w:eastAsia="zh-CN"/>
                                    </w:rPr>
                                  </w:pPr>
                                  <w:r>
                                    <w:rPr>
                                      <w:rFonts w:hint="eastAsia"/>
                                      <w:lang w:eastAsia="zh-CN"/>
                                    </w:rPr>
                                    <w:t>成形</w:t>
                                  </w:r>
                                </w:p>
                              </w:txbxContent>
                            </wps:txbx>
                            <wps:bodyPr upright="1"/>
                          </wps:wsp>
                        </a:graphicData>
                      </a:graphic>
                    </wp:anchor>
                  </w:drawing>
                </mc:Choice>
                <mc:Fallback>
                  <w:pict>
                    <v:roundrect id="_x0000_s1026" o:spid="_x0000_s1026" o:spt="2" style="position:absolute;left:0pt;margin-left:240.05pt;margin-top:11.6pt;height:30.05pt;width:71.1pt;z-index:251814912;mso-width-relative:page;mso-height-relative:page;" fillcolor="#FFFFFF" filled="t" stroked="t" coordsize="21600,21600" arcsize="0.166666666666667" o:gfxdata="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S7GjM2AAAAAkBAAAPAAAAAAAAAAEAIAAAACIAAABkcnMvZG93bnJldi54bWxQSwECFAAUAAAA&#10;CACHTuJAcXLJoycCAABZBAAADgAAAAAAAAABACAAAAAnAQAAZHJzL2Uyb0RvYy54bWxQSwUGAAAA&#10;AAYABgBZAQAAwAUAAAAA&#10;">
                      <v:fill on="t" focussize="0,0"/>
                      <v:stroke color="#ED7D31" joinstyle="round"/>
                      <v:imagedata o:title=""/>
                      <o:lock v:ext="edit" aspectratio="f"/>
                      <v:textbox>
                        <w:txbxContent>
                          <w:p w14:paraId="36F15B63">
                            <w:pPr>
                              <w:jc w:val="center"/>
                              <w:rPr>
                                <w:rFonts w:hint="eastAsia" w:eastAsiaTheme="minorEastAsia"/>
                                <w:lang w:eastAsia="zh-CN"/>
                              </w:rPr>
                            </w:pPr>
                            <w:r>
                              <w:rPr>
                                <w:rFonts w:hint="eastAsia"/>
                                <w:lang w:eastAsia="zh-CN"/>
                              </w:rPr>
                              <w:t>成形</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30944" behindDoc="0" locked="0" layoutInCell="1" allowOverlap="1">
                      <wp:simplePos x="0" y="0"/>
                      <wp:positionH relativeFrom="column">
                        <wp:posOffset>549275</wp:posOffset>
                      </wp:positionH>
                      <wp:positionV relativeFrom="paragraph">
                        <wp:posOffset>118745</wp:posOffset>
                      </wp:positionV>
                      <wp:extent cx="902970" cy="381635"/>
                      <wp:effectExtent l="4445" t="4445" r="6985" b="13970"/>
                      <wp:wrapNone/>
                      <wp:docPr id="131" name="圆角矩形 131"/>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23C62F73">
                                  <w:pPr>
                                    <w:jc w:val="center"/>
                                    <w:rPr>
                                      <w:rFonts w:hint="eastAsia" w:eastAsiaTheme="minorEastAsia"/>
                                      <w:lang w:eastAsia="zh-CN"/>
                                    </w:rPr>
                                  </w:pPr>
                                  <w:r>
                                    <w:rPr>
                                      <w:rFonts w:hint="eastAsia"/>
                                      <w:lang w:eastAsia="zh-CN"/>
                                    </w:rPr>
                                    <w:t>成形</w:t>
                                  </w:r>
                                </w:p>
                              </w:txbxContent>
                            </wps:txbx>
                            <wps:bodyPr upright="1"/>
                          </wps:wsp>
                        </a:graphicData>
                      </a:graphic>
                    </wp:anchor>
                  </w:drawing>
                </mc:Choice>
                <mc:Fallback>
                  <w:pict>
                    <v:roundrect id="_x0000_s1026" o:spid="_x0000_s1026" o:spt="2" style="position:absolute;left:0pt;margin-left:43.25pt;margin-top:9.35pt;height:30.05pt;width:71.1pt;z-index:251730944;mso-width-relative:page;mso-height-relative:page;" fillcolor="#FFFFFF" filled="t" stroked="t" coordsize="21600,21600" arcsize="0.166666666666667" o:gfxdata="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220FENcAAAAIAQAADwAAAAAAAAABACAAAAAiAAAAZHJzL2Rvd25yZXYueG1sUEsBAhQAFAAA&#10;AAgAh07iQMdyd8cpAgAAWQQAAA4AAAAAAAAAAQAgAAAAJgEAAGRycy9lMm9Eb2MueG1sUEsFBgAA&#10;AAAGAAYAWQEAAMEFAAAAAA==&#10;">
                      <v:fill on="t" focussize="0,0"/>
                      <v:stroke color="#ED7D31" joinstyle="round"/>
                      <v:imagedata o:title=""/>
                      <o:lock v:ext="edit" aspectratio="f"/>
                      <v:textbox>
                        <w:txbxContent>
                          <w:p w14:paraId="23C62F73">
                            <w:pPr>
                              <w:jc w:val="center"/>
                              <w:rPr>
                                <w:rFonts w:hint="eastAsia" w:eastAsiaTheme="minorEastAsia"/>
                                <w:lang w:eastAsia="zh-CN"/>
                              </w:rPr>
                            </w:pPr>
                            <w:r>
                              <w:rPr>
                                <w:rFonts w:hint="eastAsia"/>
                                <w:lang w:eastAsia="zh-CN"/>
                              </w:rPr>
                              <w:t>成形</w:t>
                            </w:r>
                          </w:p>
                        </w:txbxContent>
                      </v:textbox>
                    </v:roundrect>
                  </w:pict>
                </mc:Fallback>
              </mc:AlternateContent>
            </w:r>
          </w:p>
          <w:p w14:paraId="287D8E19">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80768" behindDoc="0" locked="0" layoutInCell="1" allowOverlap="1">
                      <wp:simplePos x="0" y="0"/>
                      <wp:positionH relativeFrom="column">
                        <wp:posOffset>3500120</wp:posOffset>
                      </wp:positionH>
                      <wp:positionV relativeFrom="paragraph">
                        <wp:posOffset>198755</wp:posOffset>
                      </wp:positionV>
                      <wp:extent cx="1905" cy="628015"/>
                      <wp:effectExtent l="47625" t="0" r="64770" b="635"/>
                      <wp:wrapNone/>
                      <wp:docPr id="239" name="直接箭头连接符 239"/>
                      <wp:cNvGraphicFramePr/>
                      <a:graphic xmlns:a="http://schemas.openxmlformats.org/drawingml/2006/main">
                        <a:graphicData uri="http://schemas.microsoft.com/office/word/2010/wordprocessingShape">
                          <wps:wsp>
                            <wps:cNvCnPr>
                              <a:stCxn id="134" idx="2"/>
                              <a:endCxn id="163" idx="0"/>
                            </wps:cNvCnPr>
                            <wps:spPr>
                              <a:xfrm>
                                <a:off x="4112260" y="2906395"/>
                                <a:ext cx="1905" cy="62801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75.6pt;margin-top:15.65pt;height:49.45pt;width:0.15pt;z-index:251680768;mso-width-relative:page;mso-height-relative:page;" filled="f" stroked="t" coordsize="21600,21600" o:gfxdata="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OEkeVDWAAAACgEAAA8AAAAAAAAAAQAgAAAAIgAAAGRycy9kb3ducmV2Lnht&#10;bFBLAQIUABQAAAAIAIdO4kBuUd/YNAIAADQEAAAOAAAAAAAAAAEAIAAAACUBAABkcnMvZTJvRG9j&#10;LnhtbFBLBQYAAAAABgAGAFkBAADLBQAAAAA=&#10;">
                      <v:fill on="f" focussize="0,0"/>
                      <v:stroke weight="0.5pt" color="#5B9BD5 [3204]"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677696" behindDoc="0" locked="0" layoutInCell="1" allowOverlap="1">
                      <wp:simplePos x="0" y="0"/>
                      <wp:positionH relativeFrom="column">
                        <wp:posOffset>988695</wp:posOffset>
                      </wp:positionH>
                      <wp:positionV relativeFrom="paragraph">
                        <wp:posOffset>170180</wp:posOffset>
                      </wp:positionV>
                      <wp:extent cx="12065" cy="606425"/>
                      <wp:effectExtent l="47625" t="0" r="54610" b="3175"/>
                      <wp:wrapNone/>
                      <wp:docPr id="236" name="直接箭头连接符 236"/>
                      <wp:cNvGraphicFramePr/>
                      <a:graphic xmlns:a="http://schemas.openxmlformats.org/drawingml/2006/main">
                        <a:graphicData uri="http://schemas.microsoft.com/office/word/2010/wordprocessingShape">
                          <wps:wsp>
                            <wps:cNvCnPr>
                              <a:stCxn id="131" idx="2"/>
                              <a:endCxn id="122" idx="0"/>
                            </wps:cNvCnPr>
                            <wps:spPr>
                              <a:xfrm flipH="1">
                                <a:off x="1493520" y="3009265"/>
                                <a:ext cx="12065" cy="6064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77.85pt;margin-top:13.4pt;height:47.75pt;width:0.95pt;z-index:251677696;mso-width-relative:page;mso-height-relative:page;" filled="f" stroked="t" coordsize="21600,21600" o:gfxdata="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0kqFUdcAAAAKAQAADwAAAAAAAAABACAAAAAiAAAAZHJzL2Rv&#10;d25yZXYueG1sUEsBAhQAFAAAAAgAh07iQKReZyo7AgAAPwQAAA4AAAAAAAAAAQAgAAAAJgEAAGRy&#10;cy9lMm9Eb2MueG1sUEsFBgAAAAAGAAYAWQEAANMFAAAAAA==&#10;">
                      <v:fill on="f" focussize="0,0"/>
                      <v:stroke weight="0.5pt" color="#5B9BD5 [3204]" miterlimit="8" joinstyle="miter" endarrow="open"/>
                      <v:imagedata o:title=""/>
                      <o:lock v:ext="edit" aspectratio="f"/>
                    </v:shape>
                  </w:pict>
                </mc:Fallback>
              </mc:AlternateContent>
            </w:r>
          </w:p>
          <w:p w14:paraId="69610808">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95104" behindDoc="0" locked="0" layoutInCell="1" allowOverlap="1">
                      <wp:simplePos x="0" y="0"/>
                      <wp:positionH relativeFrom="column">
                        <wp:posOffset>12700</wp:posOffset>
                      </wp:positionH>
                      <wp:positionV relativeFrom="paragraph">
                        <wp:posOffset>41910</wp:posOffset>
                      </wp:positionV>
                      <wp:extent cx="321310" cy="1321435"/>
                      <wp:effectExtent l="0" t="0" r="0" b="0"/>
                      <wp:wrapNone/>
                      <wp:docPr id="259" name="矩形 259"/>
                      <wp:cNvGraphicFramePr/>
                      <a:graphic xmlns:a="http://schemas.openxmlformats.org/drawingml/2006/main">
                        <a:graphicData uri="http://schemas.microsoft.com/office/word/2010/wordprocessingShape">
                          <wps:wsp>
                            <wps:cNvSpPr/>
                            <wps:spPr>
                              <a:xfrm>
                                <a:off x="624840" y="3079750"/>
                                <a:ext cx="321310" cy="132143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846AA0">
                                  <w:pPr>
                                    <w:jc w:val="center"/>
                                    <w:rPr>
                                      <w:rFonts w:hint="eastAsia" w:eastAsia="宋体"/>
                                      <w:color w:val="auto"/>
                                      <w:lang w:val="en-US" w:eastAsia="zh-CN"/>
                                    </w:rPr>
                                  </w:pPr>
                                  <w:r>
                                    <w:rPr>
                                      <w:rFonts w:hint="eastAsia"/>
                                      <w:color w:val="auto"/>
                                      <w:lang w:val="en-US" w:eastAsia="zh-CN"/>
                                    </w:rPr>
                                    <w:t>焊接烟气</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pt;margin-top:3.3pt;height:104.05pt;width:25.3pt;z-index:251695104;v-text-anchor:middle;mso-width-relative:page;mso-height-relative:page;" filled="f" stroked="f" coordsize="21600,21600" o:gfxdata="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I6zNUtQAAAAGAQAADwAAAAAAAAABACAAAAAiAAAAZHJzL2Rvd25yZXYueG1sUEsB&#10;AhQAFAAAAAgAh07iQAkDPKprAgAAvAQAAA4AAAAAAAAAAQAgAAAAIwEAAGRycy9lMm9Eb2MueG1s&#10;UEsFBgAAAAAGAAYAWQEAAAAGAAAAAA==&#10;">
                      <v:fill on="f" focussize="0,0"/>
                      <v:stroke on="f" weight="1pt" miterlimit="8" joinstyle="miter"/>
                      <v:imagedata o:title=""/>
                      <o:lock v:ext="edit" aspectratio="f"/>
                      <v:textbox>
                        <w:txbxContent>
                          <w:p w14:paraId="00846AA0">
                            <w:pPr>
                              <w:jc w:val="center"/>
                              <w:rPr>
                                <w:rFonts w:hint="eastAsia" w:eastAsia="宋体"/>
                                <w:color w:val="auto"/>
                                <w:lang w:val="en-US" w:eastAsia="zh-CN"/>
                              </w:rPr>
                            </w:pPr>
                            <w:r>
                              <w:rPr>
                                <w:rFonts w:hint="eastAsia"/>
                                <w:color w:val="auto"/>
                                <w:lang w:val="en-US" w:eastAsia="zh-CN"/>
                              </w:rPr>
                              <w:t>焊接烟气</w:t>
                            </w:r>
                          </w:p>
                        </w:txbxContent>
                      </v:textbox>
                    </v:rect>
                  </w:pict>
                </mc:Fallback>
              </mc:AlternateContent>
            </w:r>
            <w:r>
              <w:rPr>
                <w:sz w:val="24"/>
              </w:rPr>
              <mc:AlternateContent>
                <mc:Choice Requires="wps">
                  <w:drawing>
                    <wp:anchor distT="0" distB="0" distL="114300" distR="114300" simplePos="0" relativeHeight="251682816" behindDoc="0" locked="0" layoutInCell="1" allowOverlap="1">
                      <wp:simplePos x="0" y="0"/>
                      <wp:positionH relativeFrom="column">
                        <wp:posOffset>4663440</wp:posOffset>
                      </wp:positionH>
                      <wp:positionV relativeFrom="paragraph">
                        <wp:posOffset>-114300</wp:posOffset>
                      </wp:positionV>
                      <wp:extent cx="5715" cy="626745"/>
                      <wp:effectExtent l="44450" t="0" r="64135" b="1905"/>
                      <wp:wrapNone/>
                      <wp:docPr id="241" name="直接箭头连接符 241"/>
                      <wp:cNvGraphicFramePr/>
                      <a:graphic xmlns:a="http://schemas.openxmlformats.org/drawingml/2006/main">
                        <a:graphicData uri="http://schemas.microsoft.com/office/word/2010/wordprocessingShape">
                          <wps:wsp>
                            <wps:cNvCnPr>
                              <a:stCxn id="139" idx="2"/>
                              <a:endCxn id="168" idx="0"/>
                            </wps:cNvCnPr>
                            <wps:spPr>
                              <a:xfrm>
                                <a:off x="5323205" y="3042285"/>
                                <a:ext cx="5715" cy="62674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367.2pt;margin-top:-9pt;height:49.35pt;width:0.45pt;z-index:251682816;mso-width-relative:page;mso-height-relative:page;" filled="f" stroked="t" coordsize="21600,21600" o:gfxdata="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AqMh+3YAAAACgEAAA8AAAAAAAAAAQAgAAAAIgAAAGRycy9kb3ducmV2&#10;LnhtbFBLAQIUABQAAAAIAIdO4kBymZUyNQIAADQEAAAOAAAAAAAAAAEAIAAAACcBAABkcnMvZTJv&#10;RG9jLnhtbFBLBQYAAAAABgAGAFkBAADOBQAAAAA=&#10;">
                      <v:fill on="f" focussize="0,0"/>
                      <v:stroke weight="0.5pt" color="#5B9BD5 [3204]" miterlimit="8" joinstyle="miter" endarrow="open"/>
                      <v:imagedata o:title=""/>
                      <o:lock v:ext="edit" aspectratio="f"/>
                    </v:shape>
                  </w:pict>
                </mc:Fallback>
              </mc:AlternateContent>
            </w:r>
          </w:p>
          <w:p w14:paraId="3AC1C11E">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mc:AlternateContent>
                <mc:Choice Requires="wps">
                  <w:drawing>
                    <wp:anchor distT="0" distB="0" distL="114300" distR="114300" simplePos="0" relativeHeight="251798528" behindDoc="0" locked="0" layoutInCell="1" allowOverlap="1">
                      <wp:simplePos x="0" y="0"/>
                      <wp:positionH relativeFrom="column">
                        <wp:posOffset>3050540</wp:posOffset>
                      </wp:positionH>
                      <wp:positionV relativeFrom="paragraph">
                        <wp:posOffset>166370</wp:posOffset>
                      </wp:positionV>
                      <wp:extent cx="902970" cy="381635"/>
                      <wp:effectExtent l="4445" t="4445" r="6985" b="13970"/>
                      <wp:wrapNone/>
                      <wp:docPr id="163" name="圆角矩形 163"/>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4A43684F">
                                  <w:pPr>
                                    <w:jc w:val="center"/>
                                    <w:rPr>
                                      <w:rFonts w:hint="eastAsia" w:eastAsiaTheme="minorEastAsia"/>
                                      <w:lang w:eastAsia="zh-CN"/>
                                    </w:rPr>
                                  </w:pPr>
                                  <w:r>
                                    <w:rPr>
                                      <w:rFonts w:hint="eastAsia"/>
                                      <w:lang w:eastAsia="zh-CN"/>
                                    </w:rPr>
                                    <w:t>焊接</w:t>
                                  </w:r>
                                </w:p>
                              </w:txbxContent>
                            </wps:txbx>
                            <wps:bodyPr upright="1"/>
                          </wps:wsp>
                        </a:graphicData>
                      </a:graphic>
                    </wp:anchor>
                  </w:drawing>
                </mc:Choice>
                <mc:Fallback>
                  <w:pict>
                    <v:roundrect id="_x0000_s1026" o:spid="_x0000_s1026" o:spt="2" style="position:absolute;left:0pt;margin-left:240.2pt;margin-top:13.1pt;height:30.05pt;width:71.1pt;z-index:251798528;mso-width-relative:page;mso-height-relative:page;" fillcolor="#FFFFFF" filled="t" stroked="t" coordsize="21600,21600" arcsize="0.166666666666667" o:gfxdata="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g9QEhNgAAAAJAQAADwAAAAAAAAABACAAAAAiAAAAZHJzL2Rvd25yZXYueG1sUEsBAhQAFAAAAAgA&#10;h07iQGKPCNglAgAAWQQAAA4AAAAAAAAAAQAgAAAAJwEAAGRycy9lMm9Eb2MueG1sUEsFBgAAAAAG&#10;AAYAWQEAAL4FAAAAAA==&#10;">
                      <v:fill on="t" focussize="0,0"/>
                      <v:stroke color="#ED7D31" joinstyle="round"/>
                      <v:imagedata o:title=""/>
                      <o:lock v:ext="edit" aspectratio="f"/>
                      <v:textbox>
                        <w:txbxContent>
                          <w:p w14:paraId="4A43684F">
                            <w:pPr>
                              <w:jc w:val="center"/>
                              <w:rPr>
                                <w:rFonts w:hint="eastAsia" w:eastAsiaTheme="minorEastAsia"/>
                                <w:lang w:eastAsia="zh-CN"/>
                              </w:rPr>
                            </w:pPr>
                            <w:r>
                              <w:rPr>
                                <w:rFonts w:hint="eastAsia"/>
                                <w:lang w:eastAsia="zh-CN"/>
                              </w:rPr>
                              <w:t>焊接</w:t>
                            </w:r>
                          </w:p>
                        </w:txbxContent>
                      </v:textbox>
                    </v:roundrect>
                  </w:pict>
                </mc:Fallback>
              </mc:AlternateContent>
            </w:r>
            <w:r>
              <w:rPr>
                <w:sz w:val="24"/>
              </w:rPr>
              <mc:AlternateContent>
                <mc:Choice Requires="wps">
                  <w:drawing>
                    <wp:anchor distT="0" distB="0" distL="114300" distR="114300" simplePos="0" relativeHeight="251694080" behindDoc="0" locked="0" layoutInCell="1" allowOverlap="1">
                      <wp:simplePos x="0" y="0"/>
                      <wp:positionH relativeFrom="column">
                        <wp:posOffset>369570</wp:posOffset>
                      </wp:positionH>
                      <wp:positionV relativeFrom="paragraph">
                        <wp:posOffset>306705</wp:posOffset>
                      </wp:positionV>
                      <wp:extent cx="167640" cy="635"/>
                      <wp:effectExtent l="0" t="48895" r="3810" b="64770"/>
                      <wp:wrapNone/>
                      <wp:docPr id="258" name="直接箭头连接符 258"/>
                      <wp:cNvGraphicFramePr/>
                      <a:graphic xmlns:a="http://schemas.openxmlformats.org/drawingml/2006/main">
                        <a:graphicData uri="http://schemas.microsoft.com/office/word/2010/wordprocessingShape">
                          <wps:wsp>
                            <wps:cNvCnPr>
                              <a:stCxn id="122" idx="1"/>
                            </wps:cNvCnPr>
                            <wps:spPr>
                              <a:xfrm flipH="1" flipV="1">
                                <a:off x="981710" y="3674745"/>
                                <a:ext cx="167640" cy="635"/>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 y;margin-left:29.1pt;margin-top:24.15pt;height:0.05pt;width:13.2pt;z-index:251694080;mso-width-relative:page;mso-height-relative:page;" filled="f" stroked="t" coordsize="21600,21600" o:gfxdata="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BNOy0HVAAAABwEAAA8AAAAAAAAAAQAgAAAAIgAAAGRycy9kb3ducmV2LnhtbFBL&#10;AQIUABQAAAAIAIdO4kB+72C8MgIAACkEAAAOAAAAAAAAAAEAIAAAACQBAABkcnMvZTJvRG9jLnht&#10;bFBLBQYAAAAABgAGAFkBAADIBQAAAAA=&#10;">
                      <v:fill on="f" focussize="0,0"/>
                      <v:stroke weight="0.5pt" color="#5B9BD5 [3204]" miterlimit="8" joinstyle="miter" dashstyle="dash"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89312" behindDoc="0" locked="0" layoutInCell="1" allowOverlap="1">
                      <wp:simplePos x="0" y="0"/>
                      <wp:positionH relativeFrom="column">
                        <wp:posOffset>4217670</wp:posOffset>
                      </wp:positionH>
                      <wp:positionV relativeFrom="paragraph">
                        <wp:posOffset>182245</wp:posOffset>
                      </wp:positionV>
                      <wp:extent cx="902970" cy="381635"/>
                      <wp:effectExtent l="4445" t="4445" r="6985" b="13970"/>
                      <wp:wrapNone/>
                      <wp:docPr id="168" name="圆角矩形 168"/>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50B6363D">
                                  <w:pPr>
                                    <w:jc w:val="center"/>
                                    <w:rPr>
                                      <w:rFonts w:hint="eastAsia" w:eastAsiaTheme="minorEastAsia"/>
                                      <w:lang w:eastAsia="zh-CN"/>
                                    </w:rPr>
                                  </w:pPr>
                                  <w:r>
                                    <w:rPr>
                                      <w:rFonts w:hint="eastAsia"/>
                                      <w:lang w:eastAsia="zh-CN"/>
                                    </w:rPr>
                                    <w:t>焊接</w:t>
                                  </w:r>
                                </w:p>
                              </w:txbxContent>
                            </wps:txbx>
                            <wps:bodyPr upright="1"/>
                          </wps:wsp>
                        </a:graphicData>
                      </a:graphic>
                    </wp:anchor>
                  </w:drawing>
                </mc:Choice>
                <mc:Fallback>
                  <w:pict>
                    <v:roundrect id="_x0000_s1026" o:spid="_x0000_s1026" o:spt="2" style="position:absolute;left:0pt;margin-left:332.1pt;margin-top:14.35pt;height:30.05pt;width:71.1pt;z-index:251789312;mso-width-relative:page;mso-height-relative:page;" fillcolor="#FFFFFF" filled="t" stroked="t" coordsize="21600,21600" arcsize="0.166666666666667" o:gfxdata="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L/cGADYAAAACQEAAA8AAAAAAAAAAQAgAAAAIgAAAGRycy9kb3ducmV2LnhtbFBLAQIUABQAAAAI&#10;AIdO4kCAJPgPJgIAAFkEAAAOAAAAAAAAAAEAIAAAACcBAABkcnMvZTJvRG9jLnhtbFBLBQYAAAAA&#10;BgAGAFkBAAC/BQAAAAA=&#10;">
                      <v:fill on="t" focussize="0,0"/>
                      <v:stroke color="#ED7D31" joinstyle="round"/>
                      <v:imagedata o:title=""/>
                      <o:lock v:ext="edit" aspectratio="f"/>
                      <v:textbox>
                        <w:txbxContent>
                          <w:p w14:paraId="50B6363D">
                            <w:pPr>
                              <w:jc w:val="center"/>
                              <w:rPr>
                                <w:rFonts w:hint="eastAsia" w:eastAsiaTheme="minorEastAsia"/>
                                <w:lang w:eastAsia="zh-CN"/>
                              </w:rPr>
                            </w:pPr>
                            <w:r>
                              <w:rPr>
                                <w:rFonts w:hint="eastAsia"/>
                                <w:lang w:eastAsia="zh-CN"/>
                              </w:rPr>
                              <w:t>焊接</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809792" behindDoc="0" locked="0" layoutInCell="1" allowOverlap="1">
                      <wp:simplePos x="0" y="0"/>
                      <wp:positionH relativeFrom="column">
                        <wp:posOffset>1881505</wp:posOffset>
                      </wp:positionH>
                      <wp:positionV relativeFrom="paragraph">
                        <wp:posOffset>144780</wp:posOffset>
                      </wp:positionV>
                      <wp:extent cx="902970" cy="381635"/>
                      <wp:effectExtent l="4445" t="4445" r="6985" b="13970"/>
                      <wp:wrapNone/>
                      <wp:docPr id="162" name="圆角矩形 162"/>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0481EDF6">
                                  <w:pPr>
                                    <w:jc w:val="center"/>
                                    <w:rPr>
                                      <w:rFonts w:hint="eastAsia" w:eastAsiaTheme="minorEastAsia"/>
                                      <w:lang w:eastAsia="zh-CN"/>
                                    </w:rPr>
                                  </w:pPr>
                                  <w:r>
                                    <w:rPr>
                                      <w:rFonts w:hint="eastAsia"/>
                                      <w:lang w:eastAsia="zh-CN"/>
                                    </w:rPr>
                                    <w:t>焊接</w:t>
                                  </w:r>
                                </w:p>
                              </w:txbxContent>
                            </wps:txbx>
                            <wps:bodyPr upright="1"/>
                          </wps:wsp>
                        </a:graphicData>
                      </a:graphic>
                    </wp:anchor>
                  </w:drawing>
                </mc:Choice>
                <mc:Fallback>
                  <w:pict>
                    <v:roundrect id="_x0000_s1026" o:spid="_x0000_s1026" o:spt="2" style="position:absolute;left:0pt;margin-left:148.15pt;margin-top:11.4pt;height:30.05pt;width:71.1pt;z-index:251809792;mso-width-relative:page;mso-height-relative:page;" fillcolor="#FFFFFF" filled="t" stroked="t" coordsize="21600,21600" arcsize="0.166666666666667" o:gfxdata="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5vumE2QAAAAkBAAAPAAAAAAAAAAEAIAAAACIAAABkcnMvZG93bnJldi54bWxQSwECFAAUAAAA&#10;CACHTuJA7CWExiYCAABZBAAADgAAAAAAAAABACAAAAAoAQAAZHJzL2Uyb0RvYy54bWxQSwUGAAAA&#10;AAYABgBZAQAAwAUAAAAA&#10;">
                      <v:fill on="t" focussize="0,0"/>
                      <v:stroke color="#ED7D31" joinstyle="round"/>
                      <v:imagedata o:title=""/>
                      <o:lock v:ext="edit" aspectratio="f"/>
                      <v:textbox>
                        <w:txbxContent>
                          <w:p w14:paraId="0481EDF6">
                            <w:pPr>
                              <w:jc w:val="center"/>
                              <w:rPr>
                                <w:rFonts w:hint="eastAsia" w:eastAsiaTheme="minorEastAsia"/>
                                <w:lang w:eastAsia="zh-CN"/>
                              </w:rPr>
                            </w:pPr>
                            <w:r>
                              <w:rPr>
                                <w:rFonts w:hint="eastAsia"/>
                                <w:lang w:eastAsia="zh-CN"/>
                              </w:rPr>
                              <w:t>焊接</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800576" behindDoc="0" locked="0" layoutInCell="1" allowOverlap="1">
                      <wp:simplePos x="0" y="0"/>
                      <wp:positionH relativeFrom="column">
                        <wp:posOffset>537210</wp:posOffset>
                      </wp:positionH>
                      <wp:positionV relativeFrom="paragraph">
                        <wp:posOffset>116205</wp:posOffset>
                      </wp:positionV>
                      <wp:extent cx="902970" cy="381635"/>
                      <wp:effectExtent l="4445" t="4445" r="6985" b="13970"/>
                      <wp:wrapNone/>
                      <wp:docPr id="122" name="圆角矩形 122"/>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49F720FC">
                                  <w:pPr>
                                    <w:jc w:val="center"/>
                                    <w:rPr>
                                      <w:rFonts w:hint="eastAsia" w:eastAsiaTheme="minorEastAsia"/>
                                      <w:lang w:eastAsia="zh-CN"/>
                                    </w:rPr>
                                  </w:pPr>
                                  <w:r>
                                    <w:rPr>
                                      <w:rFonts w:hint="eastAsia"/>
                                      <w:lang w:eastAsia="zh-CN"/>
                                    </w:rPr>
                                    <w:t>焊接</w:t>
                                  </w:r>
                                </w:p>
                              </w:txbxContent>
                            </wps:txbx>
                            <wps:bodyPr upright="1"/>
                          </wps:wsp>
                        </a:graphicData>
                      </a:graphic>
                    </wp:anchor>
                  </w:drawing>
                </mc:Choice>
                <mc:Fallback>
                  <w:pict>
                    <v:roundrect id="_x0000_s1026" o:spid="_x0000_s1026" o:spt="2" style="position:absolute;left:0pt;margin-left:42.3pt;margin-top:9.15pt;height:30.05pt;width:71.1pt;z-index:251800576;mso-width-relative:page;mso-height-relative:page;" fillcolor="#FFFFFF" filled="t" stroked="t" coordsize="21600,21600" arcsize="0.166666666666667" o:gfxdata="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P5N/TLXAAAACAEAAA8AAAAAAAAAAQAgAAAAIgAAAGRycy9kb3ducmV2LnhtbFBLAQIUABQAAAAI&#10;AIdO4kDYr/zuJwIAAFkEAAAOAAAAAAAAAAEAIAAAACYBAABkcnMvZTJvRG9jLnhtbFBLBQYAAAAA&#10;BgAGAFkBAAC/BQAAAAA=&#10;">
                      <v:fill on="t" focussize="0,0"/>
                      <v:stroke color="#ED7D31" joinstyle="round"/>
                      <v:imagedata o:title=""/>
                      <o:lock v:ext="edit" aspectratio="f"/>
                      <v:textbox>
                        <w:txbxContent>
                          <w:p w14:paraId="49F720FC">
                            <w:pPr>
                              <w:jc w:val="center"/>
                              <w:rPr>
                                <w:rFonts w:hint="eastAsia" w:eastAsiaTheme="minorEastAsia"/>
                                <w:lang w:eastAsia="zh-CN"/>
                              </w:rPr>
                            </w:pPr>
                            <w:r>
                              <w:rPr>
                                <w:rFonts w:hint="eastAsia"/>
                                <w:lang w:eastAsia="zh-CN"/>
                              </w:rPr>
                              <w:t>焊接</w:t>
                            </w:r>
                          </w:p>
                        </w:txbxContent>
                      </v:textbox>
                    </v:roundrect>
                  </w:pict>
                </mc:Fallback>
              </mc:AlternateContent>
            </w:r>
          </w:p>
          <w:p w14:paraId="7EA38AB0">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784192" behindDoc="0" locked="0" layoutInCell="1" allowOverlap="1">
                      <wp:simplePos x="0" y="0"/>
                      <wp:positionH relativeFrom="column">
                        <wp:posOffset>3501390</wp:posOffset>
                      </wp:positionH>
                      <wp:positionV relativeFrom="paragraph">
                        <wp:posOffset>217805</wp:posOffset>
                      </wp:positionV>
                      <wp:extent cx="635" cy="257175"/>
                      <wp:effectExtent l="0" t="0" r="0" b="0"/>
                      <wp:wrapNone/>
                      <wp:docPr id="249" name="直接连接符 249"/>
                      <wp:cNvGraphicFramePr/>
                      <a:graphic xmlns:a="http://schemas.openxmlformats.org/drawingml/2006/main">
                        <a:graphicData uri="http://schemas.microsoft.com/office/word/2010/wordprocessingShape">
                          <wps:wsp>
                            <wps:cNvCnPr>
                              <a:stCxn id="163" idx="2"/>
                            </wps:cNvCnPr>
                            <wps:spPr>
                              <a:xfrm flipH="1">
                                <a:off x="0" y="0"/>
                                <a:ext cx="635" cy="2571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margin-left:275.7pt;margin-top:17.15pt;height:20.25pt;width:0.05pt;z-index:251784192;mso-width-relative:page;mso-height-relative:page;" filled="f" stroked="t" coordsize="21600,21600" o:gfxdata="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F7IZMnZAAAACQEAAA8AAAAAAAAAAQAgAAAAIgAAAGRy&#10;cy9kb3ducmV2LnhtbFBLAQIUABQAAAAIAIdO4kD1P+i3BAIAAOgDAAAOAAAAAAAAAAEAIAAAACgB&#10;AABkcnMvZTJvRG9jLnhtbFBLBQYAAAAABgAGAFkBAACeBQAAAAA=&#10;">
                      <v:fill on="f" focussize="0,0"/>
                      <v:stroke weight="0.5pt" color="#5B9BD5 [3204]" miterlimit="8" joinstyle="miter"/>
                      <v:imagedata o:title=""/>
                      <o:lock v:ext="edit" aspectratio="f"/>
                    </v:line>
                  </w:pict>
                </mc:Fallback>
              </mc:AlternateContent>
            </w:r>
            <w:r>
              <w:rPr>
                <w:sz w:val="24"/>
              </w:rPr>
              <mc:AlternateContent>
                <mc:Choice Requires="wps">
                  <w:drawing>
                    <wp:anchor distT="0" distB="0" distL="114300" distR="114300" simplePos="0" relativeHeight="251686912" behindDoc="0" locked="0" layoutInCell="1" allowOverlap="1">
                      <wp:simplePos x="0" y="0"/>
                      <wp:positionH relativeFrom="column">
                        <wp:posOffset>2332990</wp:posOffset>
                      </wp:positionH>
                      <wp:positionV relativeFrom="paragraph">
                        <wp:posOffset>196215</wp:posOffset>
                      </wp:positionV>
                      <wp:extent cx="1270" cy="278765"/>
                      <wp:effectExtent l="4445" t="0" r="13335" b="6985"/>
                      <wp:wrapNone/>
                      <wp:docPr id="246" name="直接连接符 246"/>
                      <wp:cNvGraphicFramePr/>
                      <a:graphic xmlns:a="http://schemas.openxmlformats.org/drawingml/2006/main">
                        <a:graphicData uri="http://schemas.microsoft.com/office/word/2010/wordprocessingShape">
                          <wps:wsp>
                            <wps:cNvCnPr>
                              <a:stCxn id="162" idx="2"/>
                            </wps:cNvCnPr>
                            <wps:spPr>
                              <a:xfrm>
                                <a:off x="2945130" y="3894455"/>
                                <a:ext cx="1270" cy="27876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183.7pt;margin-top:15.45pt;height:21.95pt;width:0.1pt;z-index:251686912;mso-width-relative:page;mso-height-relative:page;" filled="f" stroked="t" coordsize="21600,21600" o:gfxdata="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E8PXubZAAAACQEAAA8AAAAAAAAAAQAgAAAA&#10;IgAAAGRycy9kb3ducmV2LnhtbFBLAQIUABQAAAAIAIdO4kAntW8zCgIAAOsDAAAOAAAAAAAAAAEA&#10;IAAAACgBAABkcnMvZTJvRG9jLnhtbFBLBQYAAAAABgAGAFkBAACkBQAAAAA=&#10;">
                      <v:fill on="f" focussize="0,0"/>
                      <v:stroke weight="0.5pt" color="#5B9BD5 [3204]" miterlimit="8" joinstyle="miter"/>
                      <v:imagedata o:title=""/>
                      <o:lock v:ext="edit" aspectratio="f"/>
                    </v:line>
                  </w:pict>
                </mc:Fallback>
              </mc:AlternateContent>
            </w:r>
          </w:p>
          <w:p w14:paraId="79A4AC44">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87936" behindDoc="0" locked="0" layoutInCell="1" allowOverlap="1">
                      <wp:simplePos x="0" y="0"/>
                      <wp:positionH relativeFrom="column">
                        <wp:posOffset>2929890</wp:posOffset>
                      </wp:positionH>
                      <wp:positionV relativeFrom="paragraph">
                        <wp:posOffset>144780</wp:posOffset>
                      </wp:positionV>
                      <wp:extent cx="0" cy="320675"/>
                      <wp:effectExtent l="48895" t="0" r="65405" b="3175"/>
                      <wp:wrapNone/>
                      <wp:docPr id="250" name="直接箭头连接符 250"/>
                      <wp:cNvGraphicFramePr/>
                      <a:graphic xmlns:a="http://schemas.openxmlformats.org/drawingml/2006/main">
                        <a:graphicData uri="http://schemas.microsoft.com/office/word/2010/wordprocessingShape">
                          <wps:wsp>
                            <wps:cNvCnPr>
                              <a:endCxn id="175" idx="0"/>
                            </wps:cNvCnPr>
                            <wps:spPr>
                              <a:xfrm>
                                <a:off x="3542030" y="4173220"/>
                                <a:ext cx="0" cy="3206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30.7pt;margin-top:11.4pt;height:25.25pt;width:0pt;z-index:251687936;mso-width-relative:page;mso-height-relative:page;" filled="f" stroked="t" coordsize="21600,21600" o:gfxdata="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KBt&#10;weXVAAAACQEAAA8AAAAAAAAAAQAgAAAAIgAAAGRycy9kb3ducmV2LnhtbFBLAQIUABQAAAAIAIdO&#10;4kBtTYjNJgIAABYEAAAOAAAAAAAAAAEAIAAAACQBAABkcnMvZTJvRG9jLnhtbFBLBQYAAAAABgAG&#10;AFkBAAC8BQAAAAA=&#10;">
                      <v:fill on="f" focussize="0,0"/>
                      <v:stroke weight="0.5pt" color="#5B9BD5 [3204]" miterlimit="8" joinstyle="miter" endarrow="open"/>
                      <v:imagedata o:title=""/>
                      <o:lock v:ext="edit" aspectratio="f"/>
                    </v:shape>
                  </w:pict>
                </mc:Fallback>
              </mc:AlternateContent>
            </w:r>
          </w:p>
          <w:p w14:paraId="1CD87207">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97152" behindDoc="0" locked="0" layoutInCell="1" allowOverlap="1">
                      <wp:simplePos x="0" y="0"/>
                      <wp:positionH relativeFrom="column">
                        <wp:posOffset>155575</wp:posOffset>
                      </wp:positionH>
                      <wp:positionV relativeFrom="paragraph">
                        <wp:posOffset>137795</wp:posOffset>
                      </wp:positionV>
                      <wp:extent cx="1012190" cy="368935"/>
                      <wp:effectExtent l="0" t="0" r="0" b="0"/>
                      <wp:wrapNone/>
                      <wp:docPr id="261" name="矩形 261"/>
                      <wp:cNvGraphicFramePr/>
                      <a:graphic xmlns:a="http://schemas.openxmlformats.org/drawingml/2006/main">
                        <a:graphicData uri="http://schemas.microsoft.com/office/word/2010/wordprocessingShape">
                          <wps:wsp>
                            <wps:cNvSpPr/>
                            <wps:spPr>
                              <a:xfrm>
                                <a:off x="767715" y="4496435"/>
                                <a:ext cx="1012190" cy="36893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92E01EA">
                                  <w:pPr>
                                    <w:jc w:val="center"/>
                                    <w:rPr>
                                      <w:rFonts w:hint="eastAsia" w:eastAsia="宋体"/>
                                      <w:color w:val="auto"/>
                                      <w:lang w:val="en-US" w:eastAsia="zh-CN"/>
                                    </w:rPr>
                                  </w:pPr>
                                  <w:r>
                                    <w:rPr>
                                      <w:rFonts w:hint="eastAsia"/>
                                      <w:color w:val="auto"/>
                                      <w:lang w:val="en-US" w:eastAsia="zh-CN"/>
                                    </w:rPr>
                                    <w:t>焊接烟气</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25pt;margin-top:10.85pt;height:29.05pt;width:79.7pt;z-index:251697152;v-text-anchor:middle;mso-width-relative:page;mso-height-relative:page;" filled="f" stroked="f" coordsize="21600,21600" o:gfxdata="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MFKt3zYAAAACAEAAA8AAAAAAAAAAQAgAAAAIgAAAGRycy9kb3ducmV2&#10;LnhtbFBLAQIUABQAAAAIAIdO4kDFw5IgbgIAALwEAAAOAAAAAAAAAAEAIAAAACcBAABkcnMvZTJv&#10;RG9jLnhtbFBLBQYAAAAABgAGAFkBAAAHBgAAAAA=&#10;">
                      <v:fill on="f" focussize="0,0"/>
                      <v:stroke on="f" weight="1pt" miterlimit="8" joinstyle="miter"/>
                      <v:imagedata o:title=""/>
                      <o:lock v:ext="edit" aspectratio="f"/>
                      <v:textbox>
                        <w:txbxContent>
                          <w:p w14:paraId="392E01EA">
                            <w:pPr>
                              <w:jc w:val="center"/>
                              <w:rPr>
                                <w:rFonts w:hint="eastAsia" w:eastAsia="宋体"/>
                                <w:color w:val="auto"/>
                                <w:lang w:val="en-US" w:eastAsia="zh-CN"/>
                              </w:rPr>
                            </w:pPr>
                            <w:r>
                              <w:rPr>
                                <w:rFonts w:hint="eastAsia"/>
                                <w:color w:val="auto"/>
                                <w:lang w:val="en-US" w:eastAsia="zh-CN"/>
                              </w:rPr>
                              <w:t>焊接烟气</w:t>
                            </w:r>
                          </w:p>
                        </w:txbxContent>
                      </v:textbox>
                    </v:rect>
                  </w:pict>
                </mc:Fallback>
              </mc:AlternateContent>
            </w:r>
            <w:r>
              <w:rPr>
                <w:sz w:val="24"/>
              </w:rPr>
              <mc:AlternateContent>
                <mc:Choice Requires="wps">
                  <w:drawing>
                    <wp:anchor distT="0" distB="0" distL="114300" distR="114300" simplePos="0" relativeHeight="251696128" behindDoc="0" locked="0" layoutInCell="1" allowOverlap="1">
                      <wp:simplePos x="0" y="0"/>
                      <wp:positionH relativeFrom="column">
                        <wp:posOffset>1286510</wp:posOffset>
                      </wp:positionH>
                      <wp:positionV relativeFrom="paragraph">
                        <wp:posOffset>326390</wp:posOffset>
                      </wp:positionV>
                      <wp:extent cx="1024890" cy="1905"/>
                      <wp:effectExtent l="0" t="47625" r="3810" b="64770"/>
                      <wp:wrapNone/>
                      <wp:docPr id="260" name="直接箭头连接符 260"/>
                      <wp:cNvGraphicFramePr/>
                      <a:graphic xmlns:a="http://schemas.openxmlformats.org/drawingml/2006/main">
                        <a:graphicData uri="http://schemas.microsoft.com/office/word/2010/wordprocessingShape">
                          <wps:wsp>
                            <wps:cNvCnPr>
                              <a:stCxn id="175" idx="1"/>
                            </wps:cNvCnPr>
                            <wps:spPr>
                              <a:xfrm flipH="1">
                                <a:off x="1898650" y="4685030"/>
                                <a:ext cx="1024890" cy="1905"/>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01.3pt;margin-top:25.7pt;height:0.15pt;width:80.7pt;z-index:251696128;mso-width-relative:page;mso-height-relative:page;" filled="f" stroked="t" coordsize="21600,21600" o:gfxdata="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GnTDyXXAAAACQEAAA8AAAAAAAAAAQAgAAAAIgAAAGRycy9kb3ducmV2LnhtbFBL&#10;AQIUABQAAAAIAIdO4kDaU6IlMAIAACIEAAAOAAAAAAAAAAEAIAAAACYBAABkcnMvZTJvRG9jLnht&#10;bFBLBQYAAAAABgAGAFkBAADIBQAAAAA=&#10;">
                      <v:fill on="f" focussize="0,0"/>
                      <v:stroke weight="0.5pt" color="#5B9BD5 [3204]" miterlimit="8" joinstyle="miter" dashstyle="dash"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10464" behindDoc="1" locked="0" layoutInCell="1" allowOverlap="1">
                      <wp:simplePos x="0" y="0"/>
                      <wp:positionH relativeFrom="column">
                        <wp:posOffset>2311400</wp:posOffset>
                      </wp:positionH>
                      <wp:positionV relativeFrom="paragraph">
                        <wp:posOffset>135255</wp:posOffset>
                      </wp:positionV>
                      <wp:extent cx="1236980" cy="381635"/>
                      <wp:effectExtent l="4445" t="4445" r="15875" b="13970"/>
                      <wp:wrapNone/>
                      <wp:docPr id="175" name="圆角矩形 175"/>
                      <wp:cNvGraphicFramePr/>
                      <a:graphic xmlns:a="http://schemas.openxmlformats.org/drawingml/2006/main">
                        <a:graphicData uri="http://schemas.microsoft.com/office/word/2010/wordprocessingShape">
                          <wps:wsp>
                            <wps:cNvSpPr/>
                            <wps:spPr>
                              <a:xfrm>
                                <a:off x="0" y="0"/>
                                <a:ext cx="123698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437A5B26">
                                  <w:pPr>
                                    <w:jc w:val="center"/>
                                    <w:rPr>
                                      <w:rFonts w:hint="eastAsia" w:eastAsiaTheme="minorEastAsia"/>
                                      <w:lang w:val="en-US" w:eastAsia="zh-CN"/>
                                    </w:rPr>
                                  </w:pPr>
                                  <w:r>
                                    <w:rPr>
                                      <w:rFonts w:hint="eastAsia"/>
                                      <w:lang w:val="en-US" w:eastAsia="zh-CN"/>
                                    </w:rPr>
                                    <w:t>压装/</w:t>
                                  </w:r>
                                  <w:r>
                                    <w:rPr>
                                      <w:rFonts w:hint="eastAsia"/>
                                      <w:lang w:eastAsia="zh-CN"/>
                                    </w:rPr>
                                    <w:t>总成焊接</w:t>
                                  </w:r>
                                </w:p>
                              </w:txbxContent>
                            </wps:txbx>
                            <wps:bodyPr upright="1"/>
                          </wps:wsp>
                        </a:graphicData>
                      </a:graphic>
                    </wp:anchor>
                  </w:drawing>
                </mc:Choice>
                <mc:Fallback>
                  <w:pict>
                    <v:roundrect id="_x0000_s1026" o:spid="_x0000_s1026" o:spt="2" style="position:absolute;left:0pt;margin-left:182pt;margin-top:10.65pt;height:30.05pt;width:97.4pt;z-index:-251606016;mso-width-relative:page;mso-height-relative:page;" fillcolor="#FFFFFF" filled="t" stroked="t" coordsize="21600,21600" arcsize="0.166666666666667" o:gfxdata="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BsC+1XZAAAACQEAAA8AAAAAAAAAAQAgAAAAIgAAAGRycy9kb3ducmV2LnhtbFBLAQIUABQA&#10;AAAIAIdO4kCflmbzKAIAAFoEAAAOAAAAAAAAAAEAIAAAACgBAABkcnMvZTJvRG9jLnhtbFBLBQYA&#10;AAAABgAGAFkBAADCBQAAAAA=&#10;">
                      <v:fill on="t" focussize="0,0"/>
                      <v:stroke color="#ED7D31" joinstyle="round"/>
                      <v:imagedata o:title=""/>
                      <o:lock v:ext="edit" aspectratio="f"/>
                      <v:textbox>
                        <w:txbxContent>
                          <w:p w14:paraId="437A5B26">
                            <w:pPr>
                              <w:jc w:val="center"/>
                              <w:rPr>
                                <w:rFonts w:hint="eastAsia" w:eastAsiaTheme="minorEastAsia"/>
                                <w:lang w:val="en-US" w:eastAsia="zh-CN"/>
                              </w:rPr>
                            </w:pPr>
                            <w:r>
                              <w:rPr>
                                <w:rFonts w:hint="eastAsia"/>
                                <w:lang w:val="en-US" w:eastAsia="zh-CN"/>
                              </w:rPr>
                              <w:t>压装/</w:t>
                            </w:r>
                            <w:r>
                              <w:rPr>
                                <w:rFonts w:hint="eastAsia"/>
                                <w:lang w:eastAsia="zh-CN"/>
                              </w:rPr>
                              <w:t>总成焊接</w:t>
                            </w:r>
                          </w:p>
                        </w:txbxContent>
                      </v:textbox>
                    </v:roundrect>
                  </w:pict>
                </mc:Fallback>
              </mc:AlternateContent>
            </w:r>
          </w:p>
          <w:p w14:paraId="343846AB">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88960" behindDoc="0" locked="0" layoutInCell="1" allowOverlap="1">
                      <wp:simplePos x="0" y="0"/>
                      <wp:positionH relativeFrom="column">
                        <wp:posOffset>2929890</wp:posOffset>
                      </wp:positionH>
                      <wp:positionV relativeFrom="paragraph">
                        <wp:posOffset>186690</wp:posOffset>
                      </wp:positionV>
                      <wp:extent cx="1270" cy="401320"/>
                      <wp:effectExtent l="48260" t="0" r="64770" b="17780"/>
                      <wp:wrapNone/>
                      <wp:docPr id="251" name="直接箭头连接符 251"/>
                      <wp:cNvGraphicFramePr/>
                      <a:graphic xmlns:a="http://schemas.openxmlformats.org/drawingml/2006/main">
                        <a:graphicData uri="http://schemas.microsoft.com/office/word/2010/wordprocessingShape">
                          <wps:wsp>
                            <wps:cNvCnPr>
                              <a:stCxn id="175" idx="2"/>
                              <a:endCxn id="169" idx="0"/>
                            </wps:cNvCnPr>
                            <wps:spPr>
                              <a:xfrm>
                                <a:off x="3542030" y="4875530"/>
                                <a:ext cx="1270" cy="40132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30.7pt;margin-top:14.7pt;height:31.6pt;width:0.1pt;z-index:251688960;mso-width-relative:page;mso-height-relative:page;" filled="f" stroked="t" coordsize="21600,21600" o:gfxdata="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Jmsx+1gAAAAkBAAAPAAAAAAAAAAEAIAAAACIAAABkcnMvZG93bnJldi54&#10;bWxQSwECFAAUAAAACACHTuJAC/60MTUCAAA0BAAADgAAAAAAAAABACAAAAAlAQAAZHJzL2Uyb0Rv&#10;Yy54bWxQSwUGAAAAAAYABgBZAQAAzAUAAAAA&#10;">
                      <v:fill on="f" focussize="0,0"/>
                      <v:stroke weight="0.5pt" color="#5B9BD5 [3204]" miterlimit="8" joinstyle="miter" endarrow="open"/>
                      <v:imagedata o:title=""/>
                      <o:lock v:ext="edit" aspectratio="f"/>
                    </v:shape>
                  </w:pict>
                </mc:Fallback>
              </mc:AlternateContent>
            </w:r>
          </w:p>
          <w:p w14:paraId="5EFF55E2">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mc:AlternateContent>
                <mc:Choice Requires="wps">
                  <w:drawing>
                    <wp:anchor distT="0" distB="0" distL="114300" distR="114300" simplePos="0" relativeHeight="251806720" behindDoc="0" locked="0" layoutInCell="1" allowOverlap="1">
                      <wp:simplePos x="0" y="0"/>
                      <wp:positionH relativeFrom="column">
                        <wp:posOffset>2479675</wp:posOffset>
                      </wp:positionH>
                      <wp:positionV relativeFrom="paragraph">
                        <wp:posOffset>257810</wp:posOffset>
                      </wp:positionV>
                      <wp:extent cx="902970" cy="381635"/>
                      <wp:effectExtent l="4445" t="4445" r="6985" b="13970"/>
                      <wp:wrapNone/>
                      <wp:docPr id="169" name="圆角矩形 169"/>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10DE7DA8">
                                  <w:pPr>
                                    <w:jc w:val="center"/>
                                    <w:rPr>
                                      <w:rFonts w:hint="eastAsia" w:eastAsiaTheme="minorEastAsia"/>
                                      <w:lang w:eastAsia="zh-CN"/>
                                    </w:rPr>
                                  </w:pPr>
                                  <w:r>
                                    <w:rPr>
                                      <w:rFonts w:hint="eastAsia"/>
                                      <w:lang w:eastAsia="zh-CN"/>
                                    </w:rPr>
                                    <w:t>气密性检测</w:t>
                                  </w:r>
                                </w:p>
                              </w:txbxContent>
                            </wps:txbx>
                            <wps:bodyPr upright="1"/>
                          </wps:wsp>
                        </a:graphicData>
                      </a:graphic>
                    </wp:anchor>
                  </w:drawing>
                </mc:Choice>
                <mc:Fallback>
                  <w:pict>
                    <v:roundrect id="_x0000_s1026" o:spid="_x0000_s1026" o:spt="2" style="position:absolute;left:0pt;margin-left:195.25pt;margin-top:20.3pt;height:30.05pt;width:71.1pt;z-index:251806720;mso-width-relative:page;mso-height-relative:page;" fillcolor="#FFFFFF" filled="t" stroked="t" coordsize="21600,21600" arcsize="0.166666666666667" o:gfxdata="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ZOaAzYAAAACgEAAA8AAAAAAAAAAQAgAAAAIgAAAGRycy9kb3ducmV2LnhtbFBLAQIUABQAAAAI&#10;AIdO4kAOjnQRJgIAAFkEAAAOAAAAAAAAAAEAIAAAACcBAABkcnMvZTJvRG9jLnhtbFBLBQYAAAAA&#10;BgAGAFkBAAC/BQAAAAA=&#10;">
                      <v:fill on="t" focussize="0,0"/>
                      <v:stroke color="#ED7D31" joinstyle="round"/>
                      <v:imagedata o:title=""/>
                      <o:lock v:ext="edit" aspectratio="f"/>
                      <v:textbox>
                        <w:txbxContent>
                          <w:p w14:paraId="10DE7DA8">
                            <w:pPr>
                              <w:jc w:val="center"/>
                              <w:rPr>
                                <w:rFonts w:hint="eastAsia" w:eastAsiaTheme="minorEastAsia"/>
                                <w:lang w:eastAsia="zh-CN"/>
                              </w:rPr>
                            </w:pPr>
                            <w:r>
                              <w:rPr>
                                <w:rFonts w:hint="eastAsia"/>
                                <w:lang w:eastAsia="zh-CN"/>
                              </w:rPr>
                              <w:t>气密性检测</w:t>
                            </w:r>
                          </w:p>
                        </w:txbxContent>
                      </v:textbox>
                    </v:roundrect>
                  </w:pict>
                </mc:Fallback>
              </mc:AlternateContent>
            </w:r>
          </w:p>
          <w:p w14:paraId="44C174CE">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689984" behindDoc="0" locked="0" layoutInCell="1" allowOverlap="1">
                      <wp:simplePos x="0" y="0"/>
                      <wp:positionH relativeFrom="column">
                        <wp:posOffset>2931160</wp:posOffset>
                      </wp:positionH>
                      <wp:positionV relativeFrom="paragraph">
                        <wp:posOffset>309245</wp:posOffset>
                      </wp:positionV>
                      <wp:extent cx="2540" cy="304800"/>
                      <wp:effectExtent l="47625" t="0" r="64135" b="0"/>
                      <wp:wrapNone/>
                      <wp:docPr id="252" name="直接箭头连接符 252"/>
                      <wp:cNvGraphicFramePr/>
                      <a:graphic xmlns:a="http://schemas.openxmlformats.org/drawingml/2006/main">
                        <a:graphicData uri="http://schemas.microsoft.com/office/word/2010/wordprocessingShape">
                          <wps:wsp>
                            <wps:cNvCnPr>
                              <a:stCxn id="169" idx="2"/>
                              <a:endCxn id="165" idx="0"/>
                            </wps:cNvCnPr>
                            <wps:spPr>
                              <a:xfrm>
                                <a:off x="3555365" y="5647055"/>
                                <a:ext cx="2540" cy="3048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30.8pt;margin-top:24.35pt;height:24pt;width:0.2pt;z-index:251689984;mso-width-relative:page;mso-height-relative:page;" filled="f" stroked="t" coordsize="21600,21600" o:gfxdata="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Dt9Ry1wAAAAkBAAAPAAAAAAAAAAEAIAAAACIAAABkcnMvZG93bnJldi54&#10;bWxQSwECFAAUAAAACACHTuJAEsjjXjQCAAA0BAAADgAAAAAAAAABACAAAAAmAQAAZHJzL2Uyb0Rv&#10;Yy54bWxQSwUGAAAAAAYABgBZAQAAzAUAAAAA&#10;">
                      <v:fill on="f" focussize="0,0"/>
                      <v:stroke weight="0.5pt" color="#5B9BD5 [3204]" miterlimit="8" joinstyle="miter" endarrow="open"/>
                      <v:imagedata o:title=""/>
                      <o:lock v:ext="edit" aspectratio="f"/>
                    </v:shape>
                  </w:pict>
                </mc:Fallback>
              </mc:AlternateContent>
            </w:r>
          </w:p>
          <w:p w14:paraId="03B82E9E">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786240" behindDoc="0" locked="0" layoutInCell="1" allowOverlap="1">
                      <wp:simplePos x="0" y="0"/>
                      <wp:positionH relativeFrom="column">
                        <wp:posOffset>462280</wp:posOffset>
                      </wp:positionH>
                      <wp:positionV relativeFrom="paragraph">
                        <wp:posOffset>278765</wp:posOffset>
                      </wp:positionV>
                      <wp:extent cx="1012190" cy="368935"/>
                      <wp:effectExtent l="0" t="0" r="0" b="0"/>
                      <wp:wrapNone/>
                      <wp:docPr id="263" name="矩形 263"/>
                      <wp:cNvGraphicFramePr/>
                      <a:graphic xmlns:a="http://schemas.openxmlformats.org/drawingml/2006/main">
                        <a:graphicData uri="http://schemas.microsoft.com/office/word/2010/wordprocessingShape">
                          <wps:wsp>
                            <wps:cNvSpPr/>
                            <wps:spPr>
                              <a:xfrm>
                                <a:off x="0" y="0"/>
                                <a:ext cx="1012190" cy="36893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8B368C">
                                  <w:pPr>
                                    <w:jc w:val="center"/>
                                    <w:rPr>
                                      <w:rFonts w:hint="eastAsia" w:eastAsia="宋体"/>
                                      <w:color w:val="auto"/>
                                      <w:lang w:val="en-US" w:eastAsia="zh-CN"/>
                                    </w:rPr>
                                  </w:pPr>
                                  <w:r>
                                    <w:rPr>
                                      <w:rFonts w:hint="eastAsia"/>
                                      <w:color w:val="auto"/>
                                      <w:lang w:val="en-US" w:eastAsia="zh-CN"/>
                                    </w:rPr>
                                    <w:t>不合格产品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6.4pt;margin-top:21.95pt;height:29.05pt;width:79.7pt;z-index:251786240;v-text-anchor:middle;mso-width-relative:page;mso-height-relative:page;" filled="f" stroked="f" coordsize="21600,21600" o:gfxdata="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2T9Us1wAAAAkBAAAPAAAAAAAAAAEAIAAAACIAAABkcnMvZG93bnJldi54bWxQSwECFAAUAAAA&#10;CACHTuJAoefH/GECAACxBAAADgAAAAAAAAABACAAAAAmAQAAZHJzL2Uyb0RvYy54bWxQSwUGAAAA&#10;AAYABgBZAQAA+QUAAAAA&#10;">
                      <v:fill on="f" focussize="0,0"/>
                      <v:stroke on="f" weight="1pt" miterlimit="8" joinstyle="miter"/>
                      <v:imagedata o:title=""/>
                      <o:lock v:ext="edit" aspectratio="f"/>
                      <v:textbox>
                        <w:txbxContent>
                          <w:p w14:paraId="358B368C">
                            <w:pPr>
                              <w:jc w:val="center"/>
                              <w:rPr>
                                <w:rFonts w:hint="eastAsia" w:eastAsia="宋体"/>
                                <w:color w:val="auto"/>
                                <w:lang w:val="en-US" w:eastAsia="zh-CN"/>
                              </w:rPr>
                            </w:pPr>
                            <w:r>
                              <w:rPr>
                                <w:rFonts w:hint="eastAsia"/>
                                <w:color w:val="auto"/>
                                <w:lang w:val="en-US" w:eastAsia="zh-CN"/>
                              </w:rPr>
                              <w:t>不合格产品</w:t>
                            </w:r>
                          </w:p>
                        </w:txbxContent>
                      </v:textbox>
                    </v: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91360" behindDoc="0" locked="0" layoutInCell="1" allowOverlap="1">
                      <wp:simplePos x="0" y="0"/>
                      <wp:positionH relativeFrom="column">
                        <wp:posOffset>2482215</wp:posOffset>
                      </wp:positionH>
                      <wp:positionV relativeFrom="paragraph">
                        <wp:posOffset>283845</wp:posOffset>
                      </wp:positionV>
                      <wp:extent cx="902970" cy="381635"/>
                      <wp:effectExtent l="4445" t="4445" r="6985" b="13970"/>
                      <wp:wrapNone/>
                      <wp:docPr id="165" name="圆角矩形 165"/>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4A796FD6">
                                  <w:pPr>
                                    <w:jc w:val="center"/>
                                    <w:rPr>
                                      <w:rFonts w:hint="eastAsia" w:eastAsiaTheme="minorEastAsia"/>
                                      <w:lang w:val="en-US" w:eastAsia="zh-CN"/>
                                    </w:rPr>
                                  </w:pPr>
                                  <w:r>
                                    <w:rPr>
                                      <w:rFonts w:hint="eastAsia"/>
                                      <w:lang w:eastAsia="zh-CN"/>
                                    </w:rPr>
                                    <w:t>终检</w:t>
                                  </w:r>
                                  <w:r>
                                    <w:rPr>
                                      <w:rFonts w:hint="eastAsia"/>
                                      <w:lang w:val="en-US" w:eastAsia="zh-CN"/>
                                    </w:rPr>
                                    <w:t>/入库</w:t>
                                  </w:r>
                                </w:p>
                              </w:txbxContent>
                            </wps:txbx>
                            <wps:bodyPr upright="1"/>
                          </wps:wsp>
                        </a:graphicData>
                      </a:graphic>
                    </wp:anchor>
                  </w:drawing>
                </mc:Choice>
                <mc:Fallback>
                  <w:pict>
                    <v:roundrect id="_x0000_s1026" o:spid="_x0000_s1026" o:spt="2" style="position:absolute;left:0pt;margin-left:195.45pt;margin-top:22.35pt;height:30.05pt;width:71.1pt;z-index:251791360;mso-width-relative:page;mso-height-relative:page;" fillcolor="#FFFFFF" filled="t" stroked="t" coordsize="21600,21600" arcsize="0.166666666666667" o:gfxdata="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r9MxD2QAAAAoBAAAPAAAAAAAAAAEAIAAAACIAAABkcnMvZG93bnJldi54bWxQSwECFAAUAAAA&#10;CACHTuJARnAjnyYCAABZBAAADgAAAAAAAAABACAAAAAoAQAAZHJzL2Uyb0RvYy54bWxQSwUGAAAA&#10;AAYABgBZAQAAwAUAAAAA&#10;">
                      <v:fill on="t" focussize="0,0"/>
                      <v:stroke color="#ED7D31" joinstyle="round"/>
                      <v:imagedata o:title=""/>
                      <o:lock v:ext="edit" aspectratio="f"/>
                      <v:textbox>
                        <w:txbxContent>
                          <w:p w14:paraId="4A796FD6">
                            <w:pPr>
                              <w:jc w:val="center"/>
                              <w:rPr>
                                <w:rFonts w:hint="eastAsia" w:eastAsiaTheme="minorEastAsia"/>
                                <w:lang w:val="en-US" w:eastAsia="zh-CN"/>
                              </w:rPr>
                            </w:pPr>
                            <w:r>
                              <w:rPr>
                                <w:rFonts w:hint="eastAsia"/>
                                <w:lang w:eastAsia="zh-CN"/>
                              </w:rPr>
                              <w:t>终检</w:t>
                            </w:r>
                            <w:r>
                              <w:rPr>
                                <w:rFonts w:hint="eastAsia"/>
                                <w:lang w:val="en-US" w:eastAsia="zh-CN"/>
                              </w:rPr>
                              <w:t>/入库</w:t>
                            </w:r>
                          </w:p>
                        </w:txbxContent>
                      </v:textbox>
                    </v:roundrect>
                  </w:pict>
                </mc:Fallback>
              </mc:AlternateContent>
            </w:r>
          </w:p>
          <w:p w14:paraId="04035E8F">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785216" behindDoc="0" locked="0" layoutInCell="1" allowOverlap="1">
                      <wp:simplePos x="0" y="0"/>
                      <wp:positionH relativeFrom="column">
                        <wp:posOffset>1474470</wp:posOffset>
                      </wp:positionH>
                      <wp:positionV relativeFrom="paragraph">
                        <wp:posOffset>133350</wp:posOffset>
                      </wp:positionV>
                      <wp:extent cx="1007745" cy="11430"/>
                      <wp:effectExtent l="0" t="48260" r="1905" b="54610"/>
                      <wp:wrapNone/>
                      <wp:docPr id="262" name="直接箭头连接符 262"/>
                      <wp:cNvGraphicFramePr/>
                      <a:graphic xmlns:a="http://schemas.openxmlformats.org/drawingml/2006/main">
                        <a:graphicData uri="http://schemas.microsoft.com/office/word/2010/wordprocessingShape">
                          <wps:wsp>
                            <wps:cNvCnPr>
                              <a:stCxn id="165" idx="1"/>
                              <a:endCxn id="263" idx="3"/>
                            </wps:cNvCnPr>
                            <wps:spPr>
                              <a:xfrm flipH="1" flipV="1">
                                <a:off x="0" y="0"/>
                                <a:ext cx="1007745" cy="11430"/>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 y;margin-left:116.1pt;margin-top:10.5pt;height:0.9pt;width:79.35pt;z-index:251785216;mso-width-relative:page;mso-height-relative:page;" filled="f" stroked="t" coordsize="21600,21600" o:gfxdata="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CBa//jXAAAACQEAAA8AAAAAAAAAAQAgAAAAIgAAAGRycy9kb3du&#10;cmV2LnhtbFBLAQIUABQAAAAIAIdO4kBZy8MNOQIAAD0EAAAOAAAAAAAAAAEAIAAAACYBAABkcnMv&#10;ZTJvRG9jLnhtbFBLBQYAAAAABgAGAFkBAADRBQAAAAA=&#10;">
                      <v:fill on="f" focussize="0,0"/>
                      <v:stroke weight="0.5pt" color="#5B9BD5 [3204]" miterlimit="8" joinstyle="miter" dashstyle="dash" endarrow="open"/>
                      <v:imagedata o:title=""/>
                      <o:lock v:ext="edit" aspectratio="f"/>
                    </v:shape>
                  </w:pict>
                </mc:Fallback>
              </mc:AlternateContent>
            </w:r>
          </w:p>
          <w:p w14:paraId="17E41CF2">
            <w:pPr>
              <w:pStyle w:val="8"/>
              <w:adjustRightInd w:val="0"/>
              <w:snapToGrid w:val="0"/>
              <w:spacing w:line="520" w:lineRule="exact"/>
              <w:ind w:left="0" w:leftChars="0" w:firstLine="482" w:firstLineChars="200"/>
              <w:jc w:val="center"/>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lang w:val="en-US" w:eastAsia="zh-CN"/>
              </w:rPr>
              <w:t>图5-</w:t>
            </w:r>
            <w:r>
              <w:rPr>
                <w:rFonts w:hint="eastAsia" w:cs="Times New Roman"/>
                <w:b/>
                <w:bCs/>
                <w:color w:val="auto"/>
                <w:sz w:val="24"/>
                <w:szCs w:val="24"/>
                <w:lang w:val="en-US" w:eastAsia="zh-CN"/>
              </w:rPr>
              <w:t>7</w:t>
            </w:r>
            <w:r>
              <w:rPr>
                <w:rFonts w:hint="default" w:ascii="Times New Roman" w:hAnsi="Times New Roman" w:cs="Times New Roman"/>
                <w:b/>
                <w:bCs/>
                <w:color w:val="auto"/>
                <w:sz w:val="24"/>
                <w:szCs w:val="24"/>
                <w:lang w:val="en-US" w:eastAsia="zh-CN"/>
              </w:rPr>
              <w:t xml:space="preserve">  SCR工艺流程图及产污节点</w:t>
            </w:r>
          </w:p>
          <w:p w14:paraId="3FB6A310">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sym w:font="Wingdings" w:char="F081"/>
            </w:r>
            <w:r>
              <w:rPr>
                <w:rFonts w:hint="default" w:ascii="Times New Roman" w:hAnsi="Times New Roman" w:cs="Times New Roman"/>
                <w:color w:val="auto"/>
                <w:sz w:val="24"/>
                <w:szCs w:val="24"/>
              </w:rPr>
              <w:t>、原材料检验</w:t>
            </w:r>
          </w:p>
          <w:p w14:paraId="33E2FB6C">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eastAsia="zh-CN"/>
              </w:rPr>
              <w:t>依据</w:t>
            </w:r>
            <w:r>
              <w:rPr>
                <w:rFonts w:hint="default" w:ascii="Times New Roman" w:hAnsi="Times New Roman" w:cs="Times New Roman"/>
                <w:color w:val="auto"/>
                <w:sz w:val="24"/>
                <w:szCs w:val="24"/>
              </w:rPr>
              <w:t>原材料</w:t>
            </w:r>
            <w:r>
              <w:rPr>
                <w:rFonts w:hint="default" w:ascii="Times New Roman" w:hAnsi="Times New Roman" w:cs="Times New Roman"/>
                <w:color w:val="auto"/>
                <w:sz w:val="24"/>
                <w:szCs w:val="24"/>
                <w:lang w:eastAsia="zh-CN"/>
              </w:rPr>
              <w:t>的性能标准确认</w:t>
            </w:r>
            <w:r>
              <w:rPr>
                <w:rFonts w:hint="default" w:ascii="Times New Roman" w:hAnsi="Times New Roman" w:cs="Times New Roman"/>
                <w:color w:val="auto"/>
                <w:sz w:val="24"/>
                <w:szCs w:val="24"/>
              </w:rPr>
              <w:t>检验报告</w:t>
            </w:r>
            <w:r>
              <w:rPr>
                <w:rFonts w:hint="default" w:ascii="Times New Roman" w:hAnsi="Times New Roman" w:cs="Times New Roman"/>
                <w:color w:val="auto"/>
                <w:sz w:val="24"/>
                <w:szCs w:val="24"/>
                <w:lang w:eastAsia="zh-CN"/>
              </w:rPr>
              <w:t>及</w:t>
            </w:r>
            <w:r>
              <w:rPr>
                <w:rFonts w:hint="default" w:ascii="Times New Roman" w:hAnsi="Times New Roman" w:cs="Times New Roman"/>
                <w:color w:val="auto"/>
                <w:sz w:val="24"/>
                <w:szCs w:val="24"/>
              </w:rPr>
              <w:t>合格证，并定期检测。</w:t>
            </w:r>
          </w:p>
          <w:p w14:paraId="7E2EAE54">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sym w:font="Wingdings" w:char="F082"/>
            </w:r>
            <w:r>
              <w:rPr>
                <w:rFonts w:hint="default" w:ascii="Times New Roman" w:hAnsi="Times New Roman" w:cs="Times New Roman"/>
                <w:color w:val="auto"/>
                <w:sz w:val="24"/>
                <w:szCs w:val="24"/>
              </w:rPr>
              <w:t>、下料（裁料）</w:t>
            </w:r>
          </w:p>
          <w:p w14:paraId="3585421F">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根据图纸要求对产品进行放样下料，使用激光切割机进行下料；</w:t>
            </w:r>
          </w:p>
          <w:p w14:paraId="7D248447">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rPr>
              <w:sym w:font="Wingdings" w:char="F083"/>
            </w:r>
            <w:r>
              <w:rPr>
                <w:rFonts w:hint="default" w:ascii="Times New Roman" w:hAnsi="Times New Roman" w:cs="Times New Roman"/>
                <w:color w:val="auto"/>
                <w:sz w:val="24"/>
                <w:szCs w:val="24"/>
              </w:rPr>
              <w:t>、</w:t>
            </w:r>
            <w:r>
              <w:rPr>
                <w:rFonts w:hint="default" w:ascii="Times New Roman" w:hAnsi="Times New Roman" w:cs="Times New Roman"/>
                <w:color w:val="auto"/>
                <w:sz w:val="24"/>
                <w:szCs w:val="24"/>
                <w:lang w:eastAsia="zh-CN"/>
              </w:rPr>
              <w:t>成型（冲压</w:t>
            </w:r>
            <w:r>
              <w:rPr>
                <w:rFonts w:hint="default" w:ascii="Times New Roman" w:hAnsi="Times New Roman" w:cs="Times New Roman"/>
                <w:color w:val="auto"/>
                <w:sz w:val="24"/>
                <w:szCs w:val="24"/>
                <w:lang w:val="en-US" w:eastAsia="zh-CN"/>
              </w:rPr>
              <w:t>/液压/卷圆</w:t>
            </w:r>
            <w:r>
              <w:rPr>
                <w:rFonts w:hint="default" w:ascii="Times New Roman" w:hAnsi="Times New Roman" w:cs="Times New Roman"/>
                <w:color w:val="auto"/>
                <w:sz w:val="24"/>
                <w:szCs w:val="24"/>
                <w:lang w:eastAsia="zh-CN"/>
              </w:rPr>
              <w:t>）</w:t>
            </w:r>
          </w:p>
          <w:p w14:paraId="6E216113">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eastAsia="zh-CN"/>
              </w:rPr>
              <w:t>主要由冲床、液压机、卷圆机</w:t>
            </w:r>
            <w:r>
              <w:rPr>
                <w:rFonts w:hint="default" w:ascii="Times New Roman" w:hAnsi="Times New Roman" w:cs="Times New Roman"/>
                <w:color w:val="auto"/>
                <w:sz w:val="24"/>
                <w:szCs w:val="24"/>
              </w:rPr>
              <w:t>，对工件进行</w:t>
            </w:r>
            <w:r>
              <w:rPr>
                <w:rFonts w:hint="default" w:ascii="Times New Roman" w:hAnsi="Times New Roman" w:cs="Times New Roman"/>
                <w:color w:val="auto"/>
                <w:sz w:val="24"/>
                <w:szCs w:val="24"/>
                <w:lang w:eastAsia="zh-CN"/>
              </w:rPr>
              <w:t>冲孔、</w:t>
            </w:r>
            <w:r>
              <w:rPr>
                <w:rFonts w:hint="default" w:ascii="Times New Roman" w:hAnsi="Times New Roman" w:cs="Times New Roman"/>
                <w:color w:val="auto"/>
                <w:sz w:val="24"/>
                <w:szCs w:val="24"/>
              </w:rPr>
              <w:t>拉伸、切边、翻边</w:t>
            </w:r>
            <w:r>
              <w:rPr>
                <w:rFonts w:hint="default" w:ascii="Times New Roman" w:hAnsi="Times New Roman" w:cs="Times New Roman"/>
                <w:color w:val="auto"/>
                <w:sz w:val="24"/>
                <w:szCs w:val="24"/>
                <w:lang w:eastAsia="zh-CN"/>
              </w:rPr>
              <w:t>、卷圆等成型作业并按要求进行整形校准</w:t>
            </w:r>
            <w:r>
              <w:rPr>
                <w:rFonts w:hint="default" w:ascii="Times New Roman" w:hAnsi="Times New Roman" w:cs="Times New Roman"/>
                <w:color w:val="auto"/>
                <w:sz w:val="24"/>
                <w:szCs w:val="24"/>
              </w:rPr>
              <w:t xml:space="preserve">。 </w:t>
            </w:r>
          </w:p>
          <w:p w14:paraId="3021210D">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⑤</w:t>
            </w:r>
            <w:r>
              <w:rPr>
                <w:rFonts w:hint="default" w:ascii="Times New Roman" w:hAnsi="Times New Roman" w:cs="Times New Roman"/>
                <w:color w:val="auto"/>
                <w:sz w:val="24"/>
                <w:szCs w:val="24"/>
                <w:lang w:eastAsia="zh-CN"/>
              </w:rPr>
              <w:t>、</w:t>
            </w:r>
            <w:r>
              <w:rPr>
                <w:rFonts w:hint="default" w:ascii="Times New Roman" w:hAnsi="Times New Roman" w:cs="Times New Roman"/>
                <w:color w:val="auto"/>
                <w:sz w:val="24"/>
                <w:szCs w:val="24"/>
              </w:rPr>
              <w:t>焊接</w:t>
            </w:r>
          </w:p>
          <w:p w14:paraId="5C16B127">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按图纸要求，由焊接机器人</w:t>
            </w:r>
            <w:r>
              <w:rPr>
                <w:rFonts w:hint="default" w:ascii="Times New Roman" w:hAnsi="Times New Roman" w:cs="Times New Roman"/>
                <w:color w:val="auto"/>
                <w:sz w:val="24"/>
                <w:szCs w:val="24"/>
                <w:lang w:eastAsia="zh-CN"/>
              </w:rPr>
              <w:t>和手工焊</w:t>
            </w:r>
            <w:r>
              <w:rPr>
                <w:rFonts w:hint="default" w:ascii="Times New Roman" w:hAnsi="Times New Roman" w:cs="Times New Roman"/>
                <w:color w:val="auto"/>
                <w:sz w:val="24"/>
                <w:szCs w:val="24"/>
              </w:rPr>
              <w:t>对</w:t>
            </w:r>
            <w:r>
              <w:rPr>
                <w:rFonts w:hint="default" w:ascii="Times New Roman" w:hAnsi="Times New Roman" w:cs="Times New Roman"/>
                <w:color w:val="auto"/>
                <w:sz w:val="24"/>
                <w:szCs w:val="24"/>
                <w:lang w:eastAsia="zh-CN"/>
              </w:rPr>
              <w:t>工</w:t>
            </w:r>
            <w:r>
              <w:rPr>
                <w:rFonts w:hint="default" w:ascii="Times New Roman" w:hAnsi="Times New Roman" w:cs="Times New Roman"/>
                <w:color w:val="auto"/>
                <w:sz w:val="24"/>
                <w:szCs w:val="24"/>
              </w:rPr>
              <w:t>件进行焊接。</w:t>
            </w:r>
          </w:p>
          <w:p w14:paraId="41E0DC67">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w:t>⑥</w:t>
            </w:r>
            <w:r>
              <w:rPr>
                <w:rFonts w:hint="default" w:ascii="Times New Roman" w:hAnsi="Times New Roman" w:cs="Times New Roman"/>
                <w:color w:val="auto"/>
                <w:sz w:val="24"/>
                <w:szCs w:val="24"/>
                <w:lang w:eastAsia="zh-CN"/>
              </w:rPr>
              <w:t>、压装</w:t>
            </w:r>
            <w:r>
              <w:rPr>
                <w:rFonts w:hint="default" w:ascii="Times New Roman" w:hAnsi="Times New Roman" w:cs="Times New Roman"/>
                <w:color w:val="auto"/>
                <w:sz w:val="24"/>
                <w:szCs w:val="24"/>
                <w:lang w:val="en-US" w:eastAsia="zh-CN"/>
              </w:rPr>
              <w:t>/总成焊接</w:t>
            </w:r>
          </w:p>
          <w:p w14:paraId="10D3FFF8">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val="en-US" w:eastAsia="zh-CN"/>
              </w:rPr>
              <w:t>将</w:t>
            </w:r>
            <w:r>
              <w:rPr>
                <w:rFonts w:hint="default" w:ascii="Times New Roman" w:hAnsi="Times New Roman" w:cs="Times New Roman"/>
                <w:color w:val="auto"/>
                <w:sz w:val="24"/>
                <w:szCs w:val="24"/>
                <w:lang w:eastAsia="zh-CN"/>
              </w:rPr>
              <w:t>直</w:t>
            </w:r>
            <w:r>
              <w:rPr>
                <w:rFonts w:hint="default" w:ascii="Times New Roman" w:hAnsi="Times New Roman" w:cs="Times New Roman"/>
                <w:color w:val="auto"/>
                <w:sz w:val="24"/>
                <w:szCs w:val="24"/>
              </w:rPr>
              <w:t>缝完成的筒子放入平台-启动设备-自动包裹</w:t>
            </w:r>
            <w:r>
              <w:rPr>
                <w:rFonts w:hint="default" w:ascii="Times New Roman" w:hAnsi="Times New Roman" w:cs="Times New Roman"/>
                <w:color w:val="auto"/>
                <w:sz w:val="24"/>
                <w:szCs w:val="24"/>
                <w:lang w:eastAsia="zh-CN"/>
              </w:rPr>
              <w:t>将</w:t>
            </w:r>
            <w:r>
              <w:rPr>
                <w:rFonts w:hint="default" w:ascii="Times New Roman" w:hAnsi="Times New Roman" w:cs="Times New Roman"/>
                <w:color w:val="auto"/>
                <w:sz w:val="24"/>
                <w:szCs w:val="24"/>
                <w:lang w:val="en-US" w:eastAsia="zh-CN"/>
              </w:rPr>
              <w:t>载体、衬垫、筒体、催化剂压装</w:t>
            </w:r>
            <w:r>
              <w:rPr>
                <w:rFonts w:hint="default" w:ascii="Times New Roman" w:hAnsi="Times New Roman" w:cs="Times New Roman"/>
                <w:color w:val="auto"/>
                <w:sz w:val="24"/>
                <w:szCs w:val="24"/>
              </w:rPr>
              <w:t>-自动刻标-自动运送至卸料平台-完成</w:t>
            </w:r>
            <w:r>
              <w:rPr>
                <w:rFonts w:hint="default" w:ascii="Times New Roman" w:hAnsi="Times New Roman" w:cs="Times New Roman"/>
                <w:color w:val="auto"/>
                <w:sz w:val="24"/>
                <w:szCs w:val="24"/>
                <w:lang w:eastAsia="zh-CN"/>
              </w:rPr>
              <w:t>；</w:t>
            </w:r>
          </w:p>
          <w:p w14:paraId="7453B93A">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eastAsia="zh-CN"/>
              </w:rPr>
              <w:t>再将隔板组件、法兰进气管、端盖等进行安装，</w:t>
            </w:r>
            <w:r>
              <w:rPr>
                <w:rFonts w:hint="default" w:ascii="Times New Roman" w:hAnsi="Times New Roman" w:cs="Times New Roman"/>
                <w:color w:val="auto"/>
                <w:sz w:val="24"/>
                <w:szCs w:val="24"/>
                <w:lang w:val="en-US" w:eastAsia="zh-CN"/>
              </w:rPr>
              <w:t>启动总成焊接设备，总成焊接完成。</w:t>
            </w:r>
          </w:p>
          <w:p w14:paraId="5F1A150E">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⑦、气密性检测</w:t>
            </w:r>
          </w:p>
          <w:p w14:paraId="675D1D13">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操作工按作业标准调整设备参数，将工件放至测试台进行气密性检测。</w:t>
            </w:r>
          </w:p>
          <w:p w14:paraId="5F2EB232">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⑧、终检</w:t>
            </w:r>
          </w:p>
          <w:p w14:paraId="741BF928">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质检员按图纸标准对气密性合格件进行最终检验，确认产品合格打包入库。</w:t>
            </w:r>
          </w:p>
          <w:p w14:paraId="025CEC32">
            <w:pPr>
              <w:pStyle w:val="8"/>
              <w:adjustRightInd w:val="0"/>
              <w:snapToGrid w:val="0"/>
              <w:spacing w:line="520" w:lineRule="exact"/>
              <w:ind w:left="0" w:leftChars="0" w:firstLine="482" w:firstLineChars="200"/>
              <w:rPr>
                <w:rFonts w:hint="default" w:ascii="Times New Roman" w:hAnsi="Times New Roman" w:cs="Times New Roman"/>
                <w:b/>
                <w:bCs/>
                <w:color w:val="auto"/>
                <w:sz w:val="24"/>
                <w:szCs w:val="24"/>
                <w:lang w:val="en-US" w:eastAsia="zh-CN"/>
              </w:rPr>
            </w:pPr>
            <w:r>
              <w:rPr>
                <w:rFonts w:hint="eastAsia" w:cs="Times New Roman"/>
                <w:b/>
                <w:bCs/>
                <w:color w:val="auto"/>
                <w:sz w:val="24"/>
                <w:szCs w:val="24"/>
                <w:lang w:val="en-US" w:eastAsia="zh-CN"/>
              </w:rPr>
              <w:t>6</w:t>
            </w:r>
            <w:r>
              <w:rPr>
                <w:rFonts w:hint="default" w:ascii="Times New Roman" w:hAnsi="Times New Roman" w:cs="Times New Roman"/>
                <w:b/>
                <w:bCs/>
                <w:color w:val="auto"/>
                <w:sz w:val="24"/>
                <w:szCs w:val="24"/>
                <w:lang w:val="en-US" w:eastAsia="zh-CN"/>
              </w:rPr>
              <w:t>、尿素罐</w:t>
            </w:r>
            <w:r>
              <w:rPr>
                <w:rFonts w:hint="eastAsia" w:cs="Times New Roman"/>
                <w:b/>
                <w:bCs/>
                <w:color w:val="auto"/>
                <w:sz w:val="24"/>
                <w:szCs w:val="24"/>
                <w:lang w:val="en-US" w:eastAsia="zh-CN"/>
              </w:rPr>
              <w:t>生产工艺</w:t>
            </w:r>
            <w:r>
              <w:rPr>
                <w:rFonts w:hint="default" w:ascii="Times New Roman" w:hAnsi="Times New Roman" w:cs="Times New Roman"/>
                <w:b/>
                <w:bCs/>
                <w:color w:val="auto"/>
                <w:sz w:val="24"/>
                <w:szCs w:val="24"/>
                <w:lang w:val="en-US" w:eastAsia="zh-CN"/>
              </w:rPr>
              <w:t>流程说明</w:t>
            </w:r>
          </w:p>
          <w:p w14:paraId="53685BEF">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eastAsia="zh-CN"/>
              </w:rPr>
              <w:t>尿素罐工艺</w:t>
            </w:r>
            <w:r>
              <w:rPr>
                <w:rFonts w:hint="default" w:ascii="Times New Roman" w:hAnsi="Times New Roman" w:cs="Times New Roman"/>
                <w:color w:val="auto"/>
                <w:sz w:val="24"/>
                <w:szCs w:val="24"/>
              </w:rPr>
              <w:t>主要是利用中空吹塑的挤出法进行生产。</w:t>
            </w:r>
          </w:p>
          <w:p w14:paraId="38455256">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中空吹塑是指将从挤出机挤出尚处于软化状态的管状热塑性塑料坯料放入成型模内，然后通入压缩空气，利用空气的压力使坯料沿模腔变形，从而吹制成颈口短小的中空制品。 </w:t>
            </w:r>
          </w:p>
          <w:p w14:paraId="46C3FDE1">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p>
          <w:p w14:paraId="4DA88C1D">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p>
          <w:p w14:paraId="7EAC0A55">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p>
          <w:p w14:paraId="4110B7DB">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p>
          <w:p w14:paraId="563EE50F">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p>
          <w:p w14:paraId="2F1B1215">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p>
          <w:p w14:paraId="43620331">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p>
          <w:p w14:paraId="648ABA2C">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p>
          <w:p w14:paraId="2CBB3BD5">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p>
          <w:p w14:paraId="0468BD87">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mc:AlternateContent>
                <mc:Choice Requires="wps">
                  <w:drawing>
                    <wp:anchor distT="0" distB="0" distL="114300" distR="114300" simplePos="0" relativeHeight="251729920" behindDoc="1" locked="0" layoutInCell="1" allowOverlap="1">
                      <wp:simplePos x="0" y="0"/>
                      <wp:positionH relativeFrom="column">
                        <wp:posOffset>2598420</wp:posOffset>
                      </wp:positionH>
                      <wp:positionV relativeFrom="paragraph">
                        <wp:posOffset>116840</wp:posOffset>
                      </wp:positionV>
                      <wp:extent cx="902970" cy="381635"/>
                      <wp:effectExtent l="4445" t="4445" r="6985" b="13970"/>
                      <wp:wrapNone/>
                      <wp:docPr id="171" name="圆角矩形 171"/>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14822CF1">
                                  <w:pPr>
                                    <w:jc w:val="center"/>
                                    <w:rPr>
                                      <w:rFonts w:hint="eastAsia" w:eastAsiaTheme="minorEastAsia"/>
                                      <w:lang w:eastAsia="zh-CN"/>
                                    </w:rPr>
                                  </w:pPr>
                                  <w:r>
                                    <w:rPr>
                                      <w:rFonts w:hint="eastAsia"/>
                                      <w:lang w:eastAsia="zh-CN"/>
                                    </w:rPr>
                                    <w:t>原材料检验</w:t>
                                  </w:r>
                                </w:p>
                              </w:txbxContent>
                            </wps:txbx>
                            <wps:bodyPr upright="1"/>
                          </wps:wsp>
                        </a:graphicData>
                      </a:graphic>
                    </wp:anchor>
                  </w:drawing>
                </mc:Choice>
                <mc:Fallback>
                  <w:pict>
                    <v:roundrect id="_x0000_s1026" o:spid="_x0000_s1026" o:spt="2" style="position:absolute;left:0pt;margin-left:204.6pt;margin-top:9.2pt;height:30.05pt;width:71.1pt;z-index:-251586560;mso-width-relative:page;mso-height-relative:page;" fillcolor="#FFFFFF" filled="t" stroked="t" coordsize="21600,21600" arcsize="0.166666666666667" o:gfxdata="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EEaVsLYAAAACQEAAA8AAAAAAAAAAQAgAAAAIgAAAGRycy9kb3ducmV2LnhtbFBLAQIUABQA&#10;AAAIAIdO4kDz+A/vKQIAAFkEAAAOAAAAAAAAAAEAIAAAACcBAABkcnMvZTJvRG9jLnhtbFBLBQYA&#10;AAAABgAGAFkBAADCBQAAAAA=&#10;">
                      <v:fill on="t" focussize="0,0"/>
                      <v:stroke color="#ED7D31" joinstyle="round"/>
                      <v:imagedata o:title=""/>
                      <o:lock v:ext="edit" aspectratio="f"/>
                      <v:textbox>
                        <w:txbxContent>
                          <w:p w14:paraId="14822CF1">
                            <w:pPr>
                              <w:jc w:val="center"/>
                              <w:rPr>
                                <w:rFonts w:hint="eastAsia" w:eastAsiaTheme="minorEastAsia"/>
                                <w:lang w:eastAsia="zh-CN"/>
                              </w:rPr>
                            </w:pPr>
                            <w:r>
                              <w:rPr>
                                <w:rFonts w:hint="eastAsia"/>
                                <w:lang w:eastAsia="zh-CN"/>
                              </w:rPr>
                              <w:t>原材料检验</w:t>
                            </w:r>
                          </w:p>
                        </w:txbxContent>
                      </v:textbox>
                    </v:roundrect>
                  </w:pict>
                </mc:Fallback>
              </mc:AlternateContent>
            </w:r>
          </w:p>
          <w:p w14:paraId="058353DB">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718656" behindDoc="0" locked="0" layoutInCell="1" allowOverlap="1">
                      <wp:simplePos x="0" y="0"/>
                      <wp:positionH relativeFrom="column">
                        <wp:posOffset>3046095</wp:posOffset>
                      </wp:positionH>
                      <wp:positionV relativeFrom="paragraph">
                        <wp:posOffset>168275</wp:posOffset>
                      </wp:positionV>
                      <wp:extent cx="3810" cy="197485"/>
                      <wp:effectExtent l="47625" t="0" r="62865" b="12065"/>
                      <wp:wrapNone/>
                      <wp:docPr id="285" name="直接箭头连接符 285"/>
                      <wp:cNvGraphicFramePr/>
                      <a:graphic xmlns:a="http://schemas.openxmlformats.org/drawingml/2006/main">
                        <a:graphicData uri="http://schemas.microsoft.com/office/word/2010/wordprocessingShape">
                          <wps:wsp>
                            <wps:cNvCnPr>
                              <a:stCxn id="171" idx="2"/>
                              <a:endCxn id="164" idx="0"/>
                            </wps:cNvCnPr>
                            <wps:spPr>
                              <a:xfrm flipH="1">
                                <a:off x="3658235" y="6177915"/>
                                <a:ext cx="3810" cy="19748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39.85pt;margin-top:13.25pt;height:15.55pt;width:0.3pt;z-index:251718656;mso-width-relative:page;mso-height-relative:page;" filled="f" stroked="t" coordsize="21600,21600" o:gfxdata="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&#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RbIh/ZAAAACQEAAA8AAAAAAAAAAQAgAAAAIgAAAGRy&#10;cy9kb3ducmV2LnhtbFBLAQIUABQAAAAIAIdO4kBzCsI0PQIAAD4EAAAOAAAAAAAAAAEAIAAAACgB&#10;AABkcnMvZTJvRG9jLnhtbFBLBQYAAAAABgAGAFkBAADXBQAAAAA=&#10;">
                      <v:fill on="f" focussize="0,0"/>
                      <v:stroke weight="0.5pt" color="#5B9BD5 [3204]" miterlimit="8" joinstyle="miter" endarrow="open"/>
                      <v:imagedata o:title=""/>
                      <o:lock v:ext="edit" aspectratio="f"/>
                    </v:shape>
                  </w:pict>
                </mc:Fallback>
              </mc:AlternateContent>
            </w:r>
          </w:p>
          <w:p w14:paraId="62D4E661">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827200" behindDoc="0" locked="0" layoutInCell="1" allowOverlap="1">
                      <wp:simplePos x="0" y="0"/>
                      <wp:positionH relativeFrom="column">
                        <wp:posOffset>3497580</wp:posOffset>
                      </wp:positionH>
                      <wp:positionV relativeFrom="paragraph">
                        <wp:posOffset>226695</wp:posOffset>
                      </wp:positionV>
                      <wp:extent cx="718820" cy="6350"/>
                      <wp:effectExtent l="0" t="48260" r="5080" b="59690"/>
                      <wp:wrapNone/>
                      <wp:docPr id="295" name="直接箭头连接符 295"/>
                      <wp:cNvGraphicFramePr/>
                      <a:graphic xmlns:a="http://schemas.openxmlformats.org/drawingml/2006/main">
                        <a:graphicData uri="http://schemas.microsoft.com/office/word/2010/wordprocessingShape">
                          <wps:wsp>
                            <wps:cNvCnPr>
                              <a:stCxn id="291" idx="1"/>
                              <a:endCxn id="164" idx="3"/>
                            </wps:cNvCnPr>
                            <wps:spPr>
                              <a:xfrm flipH="1" flipV="1">
                                <a:off x="4109720" y="6566535"/>
                                <a:ext cx="718820" cy="6350"/>
                              </a:xfrm>
                              <a:prstGeom prst="straightConnector1">
                                <a:avLst/>
                              </a:prstGeom>
                              <a:ln>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 y;margin-left:275.4pt;margin-top:17.85pt;height:0.5pt;width:56.6pt;z-index:251827200;mso-width-relative:page;mso-height-relative:page;" filled="f" stroked="t" coordsize="21600,21600" o:gfxdata="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Pg2mCdUAAAAJAQAADwAAAAAAAAABACAAAAAiAAAAZHJz&#10;L2Rvd25yZXYueG1sUEsBAhQAFAAAAAgAh07iQJI+/BBAAgAASAQAAA4AAAAAAAAAAQAgAAAAJAEA&#10;AGRycy9lMm9Eb2MueG1sUEsFBgAAAAAGAAYAWQEAANYFAAAAAA==&#10;">
                      <v:fill on="f" focussize="0,0"/>
                      <v:stroke weight="0.5pt" color="#5B9BD5 [3204]"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724800" behindDoc="0" locked="0" layoutInCell="1" allowOverlap="1">
                      <wp:simplePos x="0" y="0"/>
                      <wp:positionH relativeFrom="column">
                        <wp:posOffset>4216400</wp:posOffset>
                      </wp:positionH>
                      <wp:positionV relativeFrom="paragraph">
                        <wp:posOffset>60325</wp:posOffset>
                      </wp:positionV>
                      <wp:extent cx="1059815" cy="345440"/>
                      <wp:effectExtent l="0" t="0" r="0" b="0"/>
                      <wp:wrapNone/>
                      <wp:docPr id="291" name="圆角矩形 291"/>
                      <wp:cNvGraphicFramePr/>
                      <a:graphic xmlns:a="http://schemas.openxmlformats.org/drawingml/2006/main">
                        <a:graphicData uri="http://schemas.microsoft.com/office/word/2010/wordprocessingShape">
                          <wps:wsp>
                            <wps:cNvSpPr/>
                            <wps:spPr>
                              <a:xfrm>
                                <a:off x="5006975" y="6447790"/>
                                <a:ext cx="1059815" cy="345440"/>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1B336C">
                                  <w:pPr>
                                    <w:jc w:val="center"/>
                                    <w:rPr>
                                      <w:rFonts w:hint="eastAsia" w:eastAsia="宋体"/>
                                      <w:color w:val="auto"/>
                                      <w:lang w:val="en-US" w:eastAsia="zh-CN"/>
                                    </w:rPr>
                                  </w:pPr>
                                  <w:r>
                                    <w:rPr>
                                      <w:rFonts w:hint="eastAsia"/>
                                      <w:color w:val="auto"/>
                                      <w:lang w:val="en-US" w:eastAsia="zh-CN"/>
                                    </w:rPr>
                                    <w:t>聚乙烯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332pt;margin-top:4.75pt;height:27.2pt;width:83.45pt;z-index:251724800;v-text-anchor:middle;mso-width-relative:page;mso-height-relative:page;" filled="f" stroked="f" coordsize="21600,21600" arcsize="0.166666666666667" o:gfxdata="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C1ZVs3WAAAACAEAAA8AAAAAAAAAAQAgAAAA&#10;IgAAAGRycy9kb3ducmV2LnhtbFBLAQIUABQAAAAIAIdO4kDyeZjKfwIAAMgEAAAOAAAAAAAAAAEA&#10;IAAAACUBAABkcnMvZTJvRG9jLnhtbFBLBQYAAAAABgAGAFkBAAAWBgAAAAA=&#10;">
                      <v:fill on="f" focussize="0,0"/>
                      <v:stroke on="f" weight="1pt" miterlimit="8" joinstyle="miter"/>
                      <v:imagedata o:title=""/>
                      <o:lock v:ext="edit" aspectratio="f"/>
                      <v:textbox>
                        <w:txbxContent>
                          <w:p w14:paraId="6B1B336C">
                            <w:pPr>
                              <w:jc w:val="center"/>
                              <w:rPr>
                                <w:rFonts w:hint="eastAsia" w:eastAsia="宋体"/>
                                <w:color w:val="auto"/>
                                <w:lang w:val="en-US" w:eastAsia="zh-CN"/>
                              </w:rPr>
                            </w:pPr>
                            <w:r>
                              <w:rPr>
                                <w:rFonts w:hint="eastAsia"/>
                                <w:color w:val="auto"/>
                                <w:lang w:val="en-US" w:eastAsia="zh-CN"/>
                              </w:rPr>
                              <w:t>聚乙烯</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12512" behindDoc="1" locked="0" layoutInCell="1" allowOverlap="1">
                      <wp:simplePos x="0" y="0"/>
                      <wp:positionH relativeFrom="column">
                        <wp:posOffset>2594610</wp:posOffset>
                      </wp:positionH>
                      <wp:positionV relativeFrom="paragraph">
                        <wp:posOffset>35560</wp:posOffset>
                      </wp:positionV>
                      <wp:extent cx="902970" cy="381635"/>
                      <wp:effectExtent l="4445" t="4445" r="6985" b="13970"/>
                      <wp:wrapNone/>
                      <wp:docPr id="164" name="圆角矩形 164"/>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32EE8412">
                                  <w:pPr>
                                    <w:jc w:val="center"/>
                                    <w:rPr>
                                      <w:rFonts w:hint="eastAsia" w:eastAsiaTheme="minorEastAsia"/>
                                      <w:lang w:eastAsia="zh-CN"/>
                                    </w:rPr>
                                  </w:pPr>
                                  <w:r>
                                    <w:rPr>
                                      <w:rFonts w:hint="eastAsia"/>
                                      <w:lang w:eastAsia="zh-CN"/>
                                    </w:rPr>
                                    <w:t>上料</w:t>
                                  </w:r>
                                </w:p>
                              </w:txbxContent>
                            </wps:txbx>
                            <wps:bodyPr upright="1"/>
                          </wps:wsp>
                        </a:graphicData>
                      </a:graphic>
                    </wp:anchor>
                  </w:drawing>
                </mc:Choice>
                <mc:Fallback>
                  <w:pict>
                    <v:roundrect id="_x0000_s1026" o:spid="_x0000_s1026" o:spt="2" style="position:absolute;left:0pt;margin-left:204.3pt;margin-top:2.8pt;height:30.05pt;width:71.1pt;z-index:-251603968;mso-width-relative:page;mso-height-relative:page;" fillcolor="#FFFFFF" filled="t" stroked="t" coordsize="21600,21600" arcsize="0.166666666666667" o:gfxdata="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PjQYsTYAAAACAEAAA8AAAAAAAAAAQAgAAAAIgAAAGRycy9kb3ducmV2LnhtbFBLAQIUABQAAAAI&#10;AIdO4kDI2q+BJgIAAFkEAAAOAAAAAAAAAAEAIAAAACcBAABkcnMvZTJvRG9jLnhtbFBLBQYAAAAA&#10;BgAGAFkBAAC/BQAAAAA=&#10;">
                      <v:fill on="t" focussize="0,0"/>
                      <v:stroke color="#ED7D31" joinstyle="round"/>
                      <v:imagedata o:title=""/>
                      <o:lock v:ext="edit" aspectratio="f"/>
                      <v:textbox>
                        <w:txbxContent>
                          <w:p w14:paraId="32EE8412">
                            <w:pPr>
                              <w:jc w:val="center"/>
                              <w:rPr>
                                <w:rFonts w:hint="eastAsia" w:eastAsiaTheme="minorEastAsia"/>
                                <w:lang w:eastAsia="zh-CN"/>
                              </w:rPr>
                            </w:pPr>
                            <w:r>
                              <w:rPr>
                                <w:rFonts w:hint="eastAsia"/>
                                <w:lang w:eastAsia="zh-CN"/>
                              </w:rPr>
                              <w:t>上料</w:t>
                            </w:r>
                          </w:p>
                        </w:txbxContent>
                      </v:textbox>
                    </v:roundrect>
                  </w:pict>
                </mc:Fallback>
              </mc:AlternateContent>
            </w:r>
          </w:p>
          <w:p w14:paraId="55AB507F">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mc:AlternateContent>
                <mc:Choice Requires="wps">
                  <w:drawing>
                    <wp:anchor distT="0" distB="0" distL="114300" distR="114300" simplePos="0" relativeHeight="251817984" behindDoc="0" locked="0" layoutInCell="1" allowOverlap="1">
                      <wp:simplePos x="0" y="0"/>
                      <wp:positionH relativeFrom="column">
                        <wp:posOffset>2597150</wp:posOffset>
                      </wp:positionH>
                      <wp:positionV relativeFrom="paragraph">
                        <wp:posOffset>241300</wp:posOffset>
                      </wp:positionV>
                      <wp:extent cx="902970" cy="381635"/>
                      <wp:effectExtent l="4445" t="4445" r="6985" b="13970"/>
                      <wp:wrapNone/>
                      <wp:docPr id="170" name="圆角矩形 170"/>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7A6EA146">
                                  <w:pPr>
                                    <w:jc w:val="center"/>
                                    <w:rPr>
                                      <w:rFonts w:hint="eastAsia" w:eastAsiaTheme="minorEastAsia"/>
                                      <w:lang w:eastAsia="zh-CN"/>
                                    </w:rPr>
                                  </w:pPr>
                                  <w:r>
                                    <w:rPr>
                                      <w:rFonts w:hint="eastAsia"/>
                                      <w:lang w:eastAsia="zh-CN"/>
                                    </w:rPr>
                                    <w:t>烘干</w:t>
                                  </w:r>
                                </w:p>
                              </w:txbxContent>
                            </wps:txbx>
                            <wps:bodyPr upright="1"/>
                          </wps:wsp>
                        </a:graphicData>
                      </a:graphic>
                    </wp:anchor>
                  </w:drawing>
                </mc:Choice>
                <mc:Fallback>
                  <w:pict>
                    <v:roundrect id="_x0000_s1026" o:spid="_x0000_s1026" o:spt="2" style="position:absolute;left:0pt;margin-left:204.5pt;margin-top:19pt;height:30.05pt;width:71.1pt;z-index:251817984;mso-width-relative:page;mso-height-relative:page;" fillcolor="#FFFFFF" filled="t" stroked="t" coordsize="21600,21600" arcsize="0.166666666666667" o:gfxdata="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Ck8jo2QAAAAkBAAAPAAAAAAAAAAEAIAAAACIAAABkcnMvZG93bnJldi54bWxQSwECFAAUAAAA&#10;CACHTuJAfVKD8SYCAABZBAAADgAAAAAAAAABACAAAAAoAQAAZHJzL2Uyb0RvYy54bWxQSwUGAAAA&#10;AAYABgBZAQAAwAUAAAAA&#10;">
                      <v:fill on="t" focussize="0,0"/>
                      <v:stroke color="#ED7D31" joinstyle="round"/>
                      <v:imagedata o:title=""/>
                      <o:lock v:ext="edit" aspectratio="f"/>
                      <v:textbox>
                        <w:txbxContent>
                          <w:p w14:paraId="7A6EA146">
                            <w:pPr>
                              <w:jc w:val="center"/>
                              <w:rPr>
                                <w:rFonts w:hint="eastAsia" w:eastAsiaTheme="minorEastAsia"/>
                                <w:lang w:eastAsia="zh-CN"/>
                              </w:rPr>
                            </w:pPr>
                            <w:r>
                              <w:rPr>
                                <w:rFonts w:hint="eastAsia"/>
                                <w:lang w:eastAsia="zh-CN"/>
                              </w:rPr>
                              <w:t>烘干</w:t>
                            </w:r>
                          </w:p>
                        </w:txbxContent>
                      </v:textbox>
                    </v:roundrect>
                  </w:pict>
                </mc:Fallback>
              </mc:AlternateContent>
            </w:r>
            <w:r>
              <w:rPr>
                <w:sz w:val="24"/>
              </w:rPr>
              <mc:AlternateContent>
                <mc:Choice Requires="wps">
                  <w:drawing>
                    <wp:anchor distT="0" distB="0" distL="114300" distR="114300" simplePos="0" relativeHeight="251719680" behindDoc="0" locked="0" layoutInCell="1" allowOverlap="1">
                      <wp:simplePos x="0" y="0"/>
                      <wp:positionH relativeFrom="column">
                        <wp:posOffset>3046095</wp:posOffset>
                      </wp:positionH>
                      <wp:positionV relativeFrom="paragraph">
                        <wp:posOffset>86995</wp:posOffset>
                      </wp:positionV>
                      <wp:extent cx="2540" cy="154305"/>
                      <wp:effectExtent l="48260" t="0" r="63500" b="17145"/>
                      <wp:wrapNone/>
                      <wp:docPr id="286" name="直接箭头连接符 286"/>
                      <wp:cNvGraphicFramePr/>
                      <a:graphic xmlns:a="http://schemas.openxmlformats.org/drawingml/2006/main">
                        <a:graphicData uri="http://schemas.microsoft.com/office/word/2010/wordprocessingShape">
                          <wps:wsp>
                            <wps:cNvCnPr>
                              <a:stCxn id="164" idx="2"/>
                              <a:endCxn id="170" idx="0"/>
                            </wps:cNvCnPr>
                            <wps:spPr>
                              <a:xfrm>
                                <a:off x="3658235" y="6779895"/>
                                <a:ext cx="2540" cy="15430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39.85pt;margin-top:6.85pt;height:12.15pt;width:0.2pt;z-index:251719680;mso-width-relative:page;mso-height-relative:page;" filled="f" stroked="t" coordsize="21600,21600" o:gfxdata="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ReuGq9cAAAAJAQAADwAAAAAAAAABACAAAAAiAAAAZHJzL2Rvd25yZXYu&#10;eG1sUEsBAhQAFAAAAAgAh07iQP/cFDM1AgAANAQAAA4AAAAAAAAAAQAgAAAAJgEAAGRycy9lMm9E&#10;b2MueG1sUEsFBgAAAAAGAAYAWQEAAM0FAAAAAA==&#10;">
                      <v:fill on="f" focussize="0,0"/>
                      <v:stroke weight="0.5pt" color="#5B9BD5 [3204]" miterlimit="8" joinstyle="miter" endarrow="open"/>
                      <v:imagedata o:title=""/>
                      <o:lock v:ext="edit" aspectratio="f"/>
                    </v:shape>
                  </w:pict>
                </mc:Fallback>
              </mc:AlternateContent>
            </w:r>
          </w:p>
          <w:p w14:paraId="469799D4">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720704" behindDoc="0" locked="0" layoutInCell="1" allowOverlap="1">
                      <wp:simplePos x="0" y="0"/>
                      <wp:positionH relativeFrom="column">
                        <wp:posOffset>3048635</wp:posOffset>
                      </wp:positionH>
                      <wp:positionV relativeFrom="paragraph">
                        <wp:posOffset>292735</wp:posOffset>
                      </wp:positionV>
                      <wp:extent cx="1270" cy="183515"/>
                      <wp:effectExtent l="48260" t="0" r="64770" b="6985"/>
                      <wp:wrapNone/>
                      <wp:docPr id="287" name="直接箭头连接符 287"/>
                      <wp:cNvGraphicFramePr/>
                      <a:graphic xmlns:a="http://schemas.openxmlformats.org/drawingml/2006/main">
                        <a:graphicData uri="http://schemas.microsoft.com/office/word/2010/wordprocessingShape">
                          <wps:wsp>
                            <wps:cNvCnPr>
                              <a:stCxn id="170" idx="2"/>
                              <a:endCxn id="159" idx="0"/>
                            </wps:cNvCnPr>
                            <wps:spPr>
                              <a:xfrm>
                                <a:off x="3672205" y="7292975"/>
                                <a:ext cx="1270" cy="18351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40.05pt;margin-top:23.05pt;height:14.45pt;width:0.1pt;z-index:251720704;mso-width-relative:page;mso-height-relative:page;" filled="f" stroked="t" coordsize="21600,21600" o:gfxdata="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AhlU6M1QAAAAkBAAAPAAAAAAAAAAEAIAAAACIAAABkcnMvZG93bnJldi54bWxQ&#10;SwECFAAUAAAACACHTuJA9j+1EDMCAAA0BAAADgAAAAAAAAABACAAAAAkAQAAZHJzL2Uyb0RvYy54&#10;bWxQSwUGAAAAAAYABgBZAQAAyQUAAAAA&#10;">
                      <v:fill on="f" focussize="0,0"/>
                      <v:stroke weight="0.5pt" color="#5B9BD5 [3204]" miterlimit="8" joinstyle="miter" endarrow="open"/>
                      <v:imagedata o:title=""/>
                      <o:lock v:ext="edit" aspectratio="f"/>
                    </v:shape>
                  </w:pict>
                </mc:Fallback>
              </mc:AlternateContent>
            </w:r>
          </w:p>
          <w:p w14:paraId="5117D129">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831296" behindDoc="0" locked="0" layoutInCell="1" allowOverlap="1">
                      <wp:simplePos x="0" y="0"/>
                      <wp:positionH relativeFrom="column">
                        <wp:posOffset>582930</wp:posOffset>
                      </wp:positionH>
                      <wp:positionV relativeFrom="paragraph">
                        <wp:posOffset>175260</wp:posOffset>
                      </wp:positionV>
                      <wp:extent cx="1310005" cy="345440"/>
                      <wp:effectExtent l="0" t="0" r="0" b="0"/>
                      <wp:wrapNone/>
                      <wp:docPr id="292" name="圆角矩形 292"/>
                      <wp:cNvGraphicFramePr/>
                      <a:graphic xmlns:a="http://schemas.openxmlformats.org/drawingml/2006/main">
                        <a:graphicData uri="http://schemas.microsoft.com/office/word/2010/wordprocessingShape">
                          <wps:wsp>
                            <wps:cNvSpPr/>
                            <wps:spPr>
                              <a:xfrm>
                                <a:off x="0" y="0"/>
                                <a:ext cx="1310005" cy="345440"/>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CBEFADD">
                                  <w:pPr>
                                    <w:jc w:val="center"/>
                                    <w:rPr>
                                      <w:rFonts w:hint="eastAsia" w:eastAsia="宋体"/>
                                      <w:color w:val="auto"/>
                                      <w:lang w:val="en-US" w:eastAsia="zh-CN"/>
                                    </w:rPr>
                                  </w:pPr>
                                  <w:r>
                                    <w:rPr>
                                      <w:rFonts w:hint="eastAsia"/>
                                      <w:color w:val="auto"/>
                                      <w:lang w:val="en-US" w:eastAsia="zh-CN"/>
                                    </w:rPr>
                                    <w:t>噪声、有机废气</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45.9pt;margin-top:13.8pt;height:27.2pt;width:103.15pt;z-index:251831296;v-text-anchor:middle;mso-width-relative:page;mso-height-relative:page;" filled="f" stroked="f" coordsize="21600,21600" arcsize="0.166666666666667" o:gfxdata="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jAjfANYAAAAIAQAADwAAAAAAAAABACAAAAAiAAAAZHJzL2Rvd25y&#10;ZXYueG1sUEsBAhQAFAAAAAgAh07iQH6/f/VyAgAAvAQAAA4AAAAAAAAAAQAgAAAAJQEAAGRycy9l&#10;Mm9Eb2MueG1sUEsFBgAAAAAGAAYAWQEAAAkGAAAAAA==&#10;">
                      <v:fill on="f" focussize="0,0"/>
                      <v:stroke on="f" weight="1pt" miterlimit="8" joinstyle="miter"/>
                      <v:imagedata o:title=""/>
                      <o:lock v:ext="edit" aspectratio="f"/>
                      <v:textbox>
                        <w:txbxContent>
                          <w:p w14:paraId="3CBEFADD">
                            <w:pPr>
                              <w:jc w:val="center"/>
                              <w:rPr>
                                <w:rFonts w:hint="eastAsia" w:eastAsia="宋体"/>
                                <w:color w:val="auto"/>
                                <w:lang w:val="en-US" w:eastAsia="zh-CN"/>
                              </w:rPr>
                            </w:pPr>
                            <w:r>
                              <w:rPr>
                                <w:rFonts w:hint="eastAsia"/>
                                <w:color w:val="auto"/>
                                <w:lang w:val="en-US" w:eastAsia="zh-CN"/>
                              </w:rPr>
                              <w:t>噪声、有机废气</w:t>
                            </w:r>
                          </w:p>
                        </w:txbxContent>
                      </v:textbox>
                    </v:roundrect>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801600" behindDoc="0" locked="0" layoutInCell="1" allowOverlap="1">
                      <wp:simplePos x="0" y="0"/>
                      <wp:positionH relativeFrom="column">
                        <wp:posOffset>2598420</wp:posOffset>
                      </wp:positionH>
                      <wp:positionV relativeFrom="paragraph">
                        <wp:posOffset>146050</wp:posOffset>
                      </wp:positionV>
                      <wp:extent cx="902970" cy="381635"/>
                      <wp:effectExtent l="4445" t="4445" r="6985" b="13970"/>
                      <wp:wrapNone/>
                      <wp:docPr id="159" name="圆角矩形 159"/>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044DEAEF">
                                  <w:pPr>
                                    <w:jc w:val="center"/>
                                    <w:rPr>
                                      <w:rFonts w:hint="eastAsia" w:eastAsiaTheme="minorEastAsia"/>
                                      <w:lang w:eastAsia="zh-CN"/>
                                    </w:rPr>
                                  </w:pPr>
                                  <w:r>
                                    <w:rPr>
                                      <w:rFonts w:hint="eastAsia"/>
                                      <w:lang w:eastAsia="zh-CN"/>
                                    </w:rPr>
                                    <w:t>吹塑成形</w:t>
                                  </w:r>
                                </w:p>
                              </w:txbxContent>
                            </wps:txbx>
                            <wps:bodyPr upright="1"/>
                          </wps:wsp>
                        </a:graphicData>
                      </a:graphic>
                    </wp:anchor>
                  </w:drawing>
                </mc:Choice>
                <mc:Fallback>
                  <w:pict>
                    <v:roundrect id="_x0000_s1026" o:spid="_x0000_s1026" o:spt="2" style="position:absolute;left:0pt;margin-left:204.6pt;margin-top:11.5pt;height:30.05pt;width:71.1pt;z-index:251801600;mso-width-relative:page;mso-height-relative:page;" fillcolor="#FFFFFF" filled="t" stroked="t" coordsize="21600,21600" arcsize="0.166666666666667" o:gfxdata="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G8kmptkAAAAJAQAADwAAAAAAAAABACAAAAAiAAAAZHJzL2Rvd25yZXYueG1sUEsBAhQAFAAA&#10;AAgAh07iQJnpVg8nAgAAWQQAAA4AAAAAAAAAAQAgAAAAKAEAAGRycy9lMm9Eb2MueG1sUEsFBgAA&#10;AAAGAAYAWQEAAMEFAAAAAA==&#10;">
                      <v:fill on="t" focussize="0,0"/>
                      <v:stroke color="#ED7D31" joinstyle="round"/>
                      <v:imagedata o:title=""/>
                      <o:lock v:ext="edit" aspectratio="f"/>
                      <v:textbox>
                        <w:txbxContent>
                          <w:p w14:paraId="044DEAEF">
                            <w:pPr>
                              <w:jc w:val="center"/>
                              <w:rPr>
                                <w:rFonts w:hint="eastAsia" w:eastAsiaTheme="minorEastAsia"/>
                                <w:lang w:eastAsia="zh-CN"/>
                              </w:rPr>
                            </w:pPr>
                            <w:r>
                              <w:rPr>
                                <w:rFonts w:hint="eastAsia"/>
                                <w:lang w:eastAsia="zh-CN"/>
                              </w:rPr>
                              <w:t>吹塑成形</w:t>
                            </w:r>
                          </w:p>
                        </w:txbxContent>
                      </v:textbox>
                    </v:roundrect>
                  </w:pict>
                </mc:Fallback>
              </mc:AlternateContent>
            </w:r>
          </w:p>
          <w:p w14:paraId="55DDAE4B">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828224" behindDoc="0" locked="0" layoutInCell="1" allowOverlap="1">
                      <wp:simplePos x="0" y="0"/>
                      <wp:positionH relativeFrom="column">
                        <wp:posOffset>1892935</wp:posOffset>
                      </wp:positionH>
                      <wp:positionV relativeFrom="paragraph">
                        <wp:posOffset>6985</wp:posOffset>
                      </wp:positionV>
                      <wp:extent cx="705485" cy="10795"/>
                      <wp:effectExtent l="0" t="39370" r="18415" b="64135"/>
                      <wp:wrapNone/>
                      <wp:docPr id="296" name="直接箭头连接符 296"/>
                      <wp:cNvGraphicFramePr/>
                      <a:graphic xmlns:a="http://schemas.openxmlformats.org/drawingml/2006/main">
                        <a:graphicData uri="http://schemas.microsoft.com/office/word/2010/wordprocessingShape">
                          <wps:wsp>
                            <wps:cNvCnPr>
                              <a:stCxn id="159" idx="1"/>
                              <a:endCxn id="292" idx="3"/>
                            </wps:cNvCnPr>
                            <wps:spPr>
                              <a:xfrm flipH="1">
                                <a:off x="2505075" y="7667625"/>
                                <a:ext cx="705485" cy="10795"/>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49.05pt;margin-top:0.55pt;height:0.85pt;width:55.55pt;z-index:251828224;mso-width-relative:page;mso-height-relative:page;" filled="f" stroked="t" coordsize="21600,21600" o:gfxdata="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PZ1ZsvUAAAABwEAAA8AAAAAAAAAAQAgAAAAIgAAAGRycy9k&#10;b3ducmV2LnhtbFBLAQIUABQAAAAIAIdO4kDCmiW9PwIAAD4EAAAOAAAAAAAAAAEAIAAAACMBAABk&#10;cnMvZTJvRG9jLnhtbFBLBQYAAAAABgAGAFkBAADUBQAAAAA=&#10;">
                      <v:fill on="f" focussize="0,0"/>
                      <v:stroke weight="0.5pt" color="#5B9BD5 [3204]" miterlimit="8" joinstyle="miter" dashstyle="dash" endarrow="open"/>
                      <v:imagedata o:title=""/>
                      <o:lock v:ext="edit" aspectratio="f"/>
                    </v:shape>
                  </w:pict>
                </mc:Fallback>
              </mc:AlternateContent>
            </w:r>
            <w:r>
              <w:rPr>
                <w:sz w:val="24"/>
              </w:rPr>
              <mc:AlternateContent>
                <mc:Choice Requires="wps">
                  <w:drawing>
                    <wp:anchor distT="0" distB="0" distL="114300" distR="114300" simplePos="0" relativeHeight="251721728" behindDoc="0" locked="0" layoutInCell="1" allowOverlap="1">
                      <wp:simplePos x="0" y="0"/>
                      <wp:positionH relativeFrom="column">
                        <wp:posOffset>3049905</wp:posOffset>
                      </wp:positionH>
                      <wp:positionV relativeFrom="paragraph">
                        <wp:posOffset>197485</wp:posOffset>
                      </wp:positionV>
                      <wp:extent cx="7620" cy="189230"/>
                      <wp:effectExtent l="45085" t="0" r="61595" b="1270"/>
                      <wp:wrapNone/>
                      <wp:docPr id="288" name="直接箭头连接符 288"/>
                      <wp:cNvGraphicFramePr/>
                      <a:graphic xmlns:a="http://schemas.openxmlformats.org/drawingml/2006/main">
                        <a:graphicData uri="http://schemas.microsoft.com/office/word/2010/wordprocessingShape">
                          <wps:wsp>
                            <wps:cNvCnPr>
                              <a:stCxn id="159" idx="2"/>
                              <a:endCxn id="166" idx="0"/>
                            </wps:cNvCnPr>
                            <wps:spPr>
                              <a:xfrm>
                                <a:off x="3669665" y="7858125"/>
                                <a:ext cx="7620" cy="18923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40.15pt;margin-top:15.55pt;height:14.9pt;width:0.6pt;z-index:251721728;mso-width-relative:page;mso-height-relative:page;" filled="f" stroked="t" coordsize="21600,21600" o:gfxdata="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JAfiy3XAAAACQEAAA8AAAAAAAAAAQAgAAAAIgAAAGRycy9kb3ducmV2&#10;LnhtbFBLAQIUABQAAAAIAIdO4kBqOe+pNgIAADQEAAAOAAAAAAAAAAEAIAAAACYBAABkcnMvZTJv&#10;RG9jLnhtbFBLBQYAAAAABgAGAFkBAADOBQAAAAA=&#10;">
                      <v:fill on="f" focussize="0,0"/>
                      <v:stroke weight="0.5pt" color="#5B9BD5 [3204]" miterlimit="8" joinstyle="miter" endarrow="open"/>
                      <v:imagedata o:title=""/>
                      <o:lock v:ext="edit" aspectratio="f"/>
                    </v:shape>
                  </w:pict>
                </mc:Fallback>
              </mc:AlternateContent>
            </w:r>
          </w:p>
          <w:p w14:paraId="1A059E6E">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805696" behindDoc="0" locked="0" layoutInCell="1" allowOverlap="1">
                      <wp:simplePos x="0" y="0"/>
                      <wp:positionH relativeFrom="column">
                        <wp:posOffset>854710</wp:posOffset>
                      </wp:positionH>
                      <wp:positionV relativeFrom="paragraph">
                        <wp:posOffset>80010</wp:posOffset>
                      </wp:positionV>
                      <wp:extent cx="1024255" cy="345440"/>
                      <wp:effectExtent l="0" t="0" r="0" b="0"/>
                      <wp:wrapNone/>
                      <wp:docPr id="293" name="圆角矩形 293"/>
                      <wp:cNvGraphicFramePr/>
                      <a:graphic xmlns:a="http://schemas.openxmlformats.org/drawingml/2006/main">
                        <a:graphicData uri="http://schemas.microsoft.com/office/word/2010/wordprocessingShape">
                          <wps:wsp>
                            <wps:cNvSpPr/>
                            <wps:spPr>
                              <a:xfrm>
                                <a:off x="0" y="0"/>
                                <a:ext cx="1024255" cy="345440"/>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18A7C8E">
                                  <w:pPr>
                                    <w:jc w:val="center"/>
                                    <w:rPr>
                                      <w:rFonts w:hint="eastAsia" w:eastAsia="宋体"/>
                                      <w:color w:val="auto"/>
                                      <w:lang w:val="en-US" w:eastAsia="zh-CN"/>
                                    </w:rPr>
                                  </w:pPr>
                                  <w:r>
                                    <w:rPr>
                                      <w:rFonts w:hint="eastAsia"/>
                                      <w:color w:val="auto"/>
                                      <w:lang w:val="en-US" w:eastAsia="zh-CN"/>
                                    </w:rPr>
                                    <w:t>噪声、固废</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67.3pt;margin-top:6.3pt;height:27.2pt;width:80.65pt;z-index:251805696;v-text-anchor:middle;mso-width-relative:page;mso-height-relative:page;" filled="f" stroked="f" coordsize="21600,21600" arcsize="0.166666666666667" o:gfxdata="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ANUQVj1wAAAAkBAAAPAAAAAAAAAAEAIAAAACIAAABkcnMvZG93&#10;bnJldi54bWxQSwECFAAUAAAACACHTuJAKHU9EXMCAAC8BAAADgAAAAAAAAABACAAAAAmAQAAZHJz&#10;L2Uyb0RvYy54bWxQSwUGAAAAAAYABgBZAQAACwYAAAAA&#10;">
                      <v:fill on="f" focussize="0,0"/>
                      <v:stroke on="f" weight="1pt" miterlimit="8" joinstyle="miter"/>
                      <v:imagedata o:title=""/>
                      <o:lock v:ext="edit" aspectratio="f"/>
                      <v:textbox>
                        <w:txbxContent>
                          <w:p w14:paraId="618A7C8E">
                            <w:pPr>
                              <w:jc w:val="center"/>
                              <w:rPr>
                                <w:rFonts w:hint="eastAsia" w:eastAsia="宋体"/>
                                <w:color w:val="auto"/>
                                <w:lang w:val="en-US" w:eastAsia="zh-CN"/>
                              </w:rPr>
                            </w:pPr>
                            <w:r>
                              <w:rPr>
                                <w:rFonts w:hint="eastAsia"/>
                                <w:color w:val="auto"/>
                                <w:lang w:val="en-US" w:eastAsia="zh-CN"/>
                              </w:rPr>
                              <w:t>噪声、固废</w:t>
                            </w:r>
                          </w:p>
                        </w:txbxContent>
                      </v:textbox>
                    </v:roundrect>
                  </w:pict>
                </mc:Fallback>
              </mc:AlternateContent>
            </w:r>
            <w:r>
              <w:rPr>
                <w:sz w:val="24"/>
              </w:rPr>
              <mc:AlternateContent>
                <mc:Choice Requires="wps">
                  <w:drawing>
                    <wp:anchor distT="0" distB="0" distL="114300" distR="114300" simplePos="0" relativeHeight="251829248" behindDoc="0" locked="0" layoutInCell="1" allowOverlap="1">
                      <wp:simplePos x="0" y="0"/>
                      <wp:positionH relativeFrom="column">
                        <wp:posOffset>1878965</wp:posOffset>
                      </wp:positionH>
                      <wp:positionV relativeFrom="paragraph">
                        <wp:posOffset>247650</wp:posOffset>
                      </wp:positionV>
                      <wp:extent cx="727075" cy="5080"/>
                      <wp:effectExtent l="0" t="44450" r="15875" b="64770"/>
                      <wp:wrapNone/>
                      <wp:docPr id="297" name="直接箭头连接符 297"/>
                      <wp:cNvGraphicFramePr/>
                      <a:graphic xmlns:a="http://schemas.openxmlformats.org/drawingml/2006/main">
                        <a:graphicData uri="http://schemas.microsoft.com/office/word/2010/wordprocessingShape">
                          <wps:wsp>
                            <wps:cNvCnPr>
                              <a:stCxn id="166" idx="1"/>
                              <a:endCxn id="293" idx="3"/>
                            </wps:cNvCnPr>
                            <wps:spPr>
                              <a:xfrm flipH="1">
                                <a:off x="2526665" y="8238490"/>
                                <a:ext cx="727075" cy="5080"/>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47.95pt;margin-top:19.5pt;height:0.4pt;width:57.25pt;z-index:251829248;mso-width-relative:page;mso-height-relative:page;" filled="f" stroked="t" coordsize="21600,21600" o:gfxdata="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0K4N5dcAAAAJAQAADwAAAAAAAAABACAAAAAiAAAAZHJz&#10;L2Rvd25yZXYueG1sUEsBAhQAFAAAAAgAh07iQFKFj0k+AgAAPQQAAA4AAAAAAAAAAQAgAAAAJgEA&#10;AGRycy9lMm9Eb2MueG1sUEsFBgAAAAAGAAYAWQEAANYFAAAAAA==&#10;">
                      <v:fill on="f" focussize="0,0"/>
                      <v:stroke weight="0.5pt" color="#5B9BD5 [3204]" miterlimit="8" joinstyle="miter" dashstyle="dash"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810816" behindDoc="0" locked="0" layoutInCell="1" allowOverlap="1">
                      <wp:simplePos x="0" y="0"/>
                      <wp:positionH relativeFrom="column">
                        <wp:posOffset>2606040</wp:posOffset>
                      </wp:positionH>
                      <wp:positionV relativeFrom="paragraph">
                        <wp:posOffset>56515</wp:posOffset>
                      </wp:positionV>
                      <wp:extent cx="902970" cy="381635"/>
                      <wp:effectExtent l="4445" t="4445" r="6985" b="13970"/>
                      <wp:wrapNone/>
                      <wp:docPr id="166" name="圆角矩形 166"/>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34626A2C">
                                  <w:pPr>
                                    <w:jc w:val="center"/>
                                    <w:rPr>
                                      <w:rFonts w:hint="eastAsia" w:eastAsiaTheme="minorEastAsia"/>
                                      <w:lang w:eastAsia="zh-CN"/>
                                    </w:rPr>
                                  </w:pPr>
                                  <w:r>
                                    <w:rPr>
                                      <w:rFonts w:hint="eastAsia"/>
                                      <w:lang w:eastAsia="zh-CN"/>
                                    </w:rPr>
                                    <w:t>表面修边</w:t>
                                  </w:r>
                                </w:p>
                              </w:txbxContent>
                            </wps:txbx>
                            <wps:bodyPr upright="1"/>
                          </wps:wsp>
                        </a:graphicData>
                      </a:graphic>
                    </wp:anchor>
                  </w:drawing>
                </mc:Choice>
                <mc:Fallback>
                  <w:pict>
                    <v:roundrect id="_x0000_s1026" o:spid="_x0000_s1026" o:spt="2" style="position:absolute;left:0pt;margin-left:205.2pt;margin-top:4.45pt;height:30.05pt;width:71.1pt;z-index:251810816;mso-width-relative:page;mso-height-relative:page;" fillcolor="#FFFFFF" filled="t" stroked="t" coordsize="21600,21600" arcsize="0.166666666666667" o:gfxdata="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F1pTpnYAAAACAEAAA8AAAAAAAAAAQAgAAAAIgAAAGRycy9kb3ducmV2LnhtbFBLAQIUABQAAAAI&#10;AIdO4kDUj7a8JgIAAFkEAAAOAAAAAAAAAAEAIAAAACcBAABkcnMvZTJvRG9jLnhtbFBLBQYAAAAA&#10;BgAGAFkBAAC/BQAAAAA=&#10;">
                      <v:fill on="t" focussize="0,0"/>
                      <v:stroke color="#ED7D31" joinstyle="round"/>
                      <v:imagedata o:title=""/>
                      <o:lock v:ext="edit" aspectratio="f"/>
                      <v:textbox>
                        <w:txbxContent>
                          <w:p w14:paraId="34626A2C">
                            <w:pPr>
                              <w:jc w:val="center"/>
                              <w:rPr>
                                <w:rFonts w:hint="eastAsia" w:eastAsiaTheme="minorEastAsia"/>
                                <w:lang w:eastAsia="zh-CN"/>
                              </w:rPr>
                            </w:pPr>
                            <w:r>
                              <w:rPr>
                                <w:rFonts w:hint="eastAsia"/>
                                <w:lang w:eastAsia="zh-CN"/>
                              </w:rPr>
                              <w:t>表面修边</w:t>
                            </w:r>
                          </w:p>
                        </w:txbxContent>
                      </v:textbox>
                    </v:roundrect>
                  </w:pict>
                </mc:Fallback>
              </mc:AlternateContent>
            </w:r>
          </w:p>
          <w:p w14:paraId="02744784">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722752" behindDoc="0" locked="0" layoutInCell="1" allowOverlap="1">
                      <wp:simplePos x="0" y="0"/>
                      <wp:positionH relativeFrom="column">
                        <wp:posOffset>3057525</wp:posOffset>
                      </wp:positionH>
                      <wp:positionV relativeFrom="paragraph">
                        <wp:posOffset>107950</wp:posOffset>
                      </wp:positionV>
                      <wp:extent cx="4445" cy="193040"/>
                      <wp:effectExtent l="46990" t="0" r="62865" b="16510"/>
                      <wp:wrapNone/>
                      <wp:docPr id="289" name="直接箭头连接符 289"/>
                      <wp:cNvGraphicFramePr/>
                      <a:graphic xmlns:a="http://schemas.openxmlformats.org/drawingml/2006/main">
                        <a:graphicData uri="http://schemas.microsoft.com/office/word/2010/wordprocessingShape">
                          <wps:wsp>
                            <wps:cNvCnPr>
                              <a:stCxn id="166" idx="2"/>
                              <a:endCxn id="174" idx="0"/>
                            </wps:cNvCnPr>
                            <wps:spPr>
                              <a:xfrm>
                                <a:off x="3669665" y="8428990"/>
                                <a:ext cx="4445" cy="19304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40.75pt;margin-top:8.5pt;height:15.2pt;width:0.35pt;z-index:251722752;mso-width-relative:page;mso-height-relative:page;" filled="f" stroked="t" coordsize="21600,21600" o:gfxdata="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MIefcdYAAAAJAQAADwAAAAAAAAABACAAAAAiAAAAZHJzL2Rvd25yZXYu&#10;eG1sUEsBAhQAFAAAAAgAh07iQBLAbvk2AgAANAQAAA4AAAAAAAAAAQAgAAAAJQEAAGRycy9lMm9E&#10;b2MueG1sUEsFBgAAAAAGAAYAWQEAAM0FAAAAAA==&#10;">
                      <v:fill on="f" focussize="0,0"/>
                      <v:stroke weight="0.5pt" color="#5B9BD5 [3204]" miterlimit="8" joinstyle="miter"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726848" behindDoc="1" locked="0" layoutInCell="1" allowOverlap="1">
                      <wp:simplePos x="0" y="0"/>
                      <wp:positionH relativeFrom="column">
                        <wp:posOffset>2610485</wp:posOffset>
                      </wp:positionH>
                      <wp:positionV relativeFrom="paragraph">
                        <wp:posOffset>300990</wp:posOffset>
                      </wp:positionV>
                      <wp:extent cx="902970" cy="381635"/>
                      <wp:effectExtent l="4445" t="4445" r="6985" b="13970"/>
                      <wp:wrapNone/>
                      <wp:docPr id="174" name="圆角矩形 174"/>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1C5ADC76">
                                  <w:pPr>
                                    <w:jc w:val="center"/>
                                    <w:rPr>
                                      <w:rFonts w:hint="eastAsia" w:eastAsiaTheme="minorEastAsia"/>
                                      <w:lang w:eastAsia="zh-CN"/>
                                    </w:rPr>
                                  </w:pPr>
                                  <w:r>
                                    <w:rPr>
                                      <w:rFonts w:hint="eastAsia"/>
                                      <w:lang w:eastAsia="zh-CN"/>
                                    </w:rPr>
                                    <w:t>气密性检测</w:t>
                                  </w:r>
                                </w:p>
                              </w:txbxContent>
                            </wps:txbx>
                            <wps:bodyPr upright="1"/>
                          </wps:wsp>
                        </a:graphicData>
                      </a:graphic>
                    </wp:anchor>
                  </w:drawing>
                </mc:Choice>
                <mc:Fallback>
                  <w:pict>
                    <v:roundrect id="_x0000_s1026" o:spid="_x0000_s1026" o:spt="2" style="position:absolute;left:0pt;margin-left:205.55pt;margin-top:23.7pt;height:30.05pt;width:71.1pt;z-index:-251589632;mso-width-relative:page;mso-height-relative:page;" fillcolor="#FFFFFF" filled="t" stroked="t" coordsize="21600,21600" arcsize="0.166666666666667" o:gfxdata="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Wb3+aNkAAAAKAQAADwAAAAAAAAABACAAAAAiAAAAZHJzL2Rvd25yZXYueG1sUEsBAhQAFAAA&#10;AAgAh07iQEX4sYsnAgAAWQQAAA4AAAAAAAAAAQAgAAAAKAEAAGRycy9lMm9Eb2MueG1sUEsFBgAA&#10;AAAGAAYAWQEAAMEFAAAAAA==&#10;">
                      <v:fill on="t" focussize="0,0"/>
                      <v:stroke color="#ED7D31" joinstyle="round"/>
                      <v:imagedata o:title=""/>
                      <o:lock v:ext="edit" aspectratio="f"/>
                      <v:textbox>
                        <w:txbxContent>
                          <w:p w14:paraId="1C5ADC76">
                            <w:pPr>
                              <w:jc w:val="center"/>
                              <w:rPr>
                                <w:rFonts w:hint="eastAsia" w:eastAsiaTheme="minorEastAsia"/>
                                <w:lang w:eastAsia="zh-CN"/>
                              </w:rPr>
                            </w:pPr>
                            <w:r>
                              <w:rPr>
                                <w:rFonts w:hint="eastAsia"/>
                                <w:lang w:eastAsia="zh-CN"/>
                              </w:rPr>
                              <w:t>气密性检测</w:t>
                            </w:r>
                          </w:p>
                        </w:txbxContent>
                      </v:textbox>
                    </v:roundrect>
                  </w:pict>
                </mc:Fallback>
              </mc:AlternateContent>
            </w:r>
          </w:p>
          <w:p w14:paraId="66AC153B">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p>
          <w:p w14:paraId="01E620F5">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826176" behindDoc="0" locked="0" layoutInCell="1" allowOverlap="1">
                      <wp:simplePos x="0" y="0"/>
                      <wp:positionH relativeFrom="column">
                        <wp:posOffset>863600</wp:posOffset>
                      </wp:positionH>
                      <wp:positionV relativeFrom="paragraph">
                        <wp:posOffset>207010</wp:posOffset>
                      </wp:positionV>
                      <wp:extent cx="1012190" cy="345440"/>
                      <wp:effectExtent l="0" t="0" r="0" b="0"/>
                      <wp:wrapNone/>
                      <wp:docPr id="294" name="圆角矩形 294"/>
                      <wp:cNvGraphicFramePr/>
                      <a:graphic xmlns:a="http://schemas.openxmlformats.org/drawingml/2006/main">
                        <a:graphicData uri="http://schemas.microsoft.com/office/word/2010/wordprocessingShape">
                          <wps:wsp>
                            <wps:cNvSpPr/>
                            <wps:spPr>
                              <a:xfrm>
                                <a:off x="0" y="0"/>
                                <a:ext cx="1012190" cy="345440"/>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178625">
                                  <w:pPr>
                                    <w:jc w:val="center"/>
                                    <w:rPr>
                                      <w:rFonts w:hint="eastAsia" w:eastAsia="宋体"/>
                                      <w:color w:val="auto"/>
                                      <w:lang w:val="en-US" w:eastAsia="zh-CN"/>
                                    </w:rPr>
                                  </w:pPr>
                                  <w:r>
                                    <w:rPr>
                                      <w:rFonts w:hint="eastAsia"/>
                                      <w:color w:val="auto"/>
                                      <w:lang w:val="en-US" w:eastAsia="zh-CN"/>
                                    </w:rPr>
                                    <w:t>不合格产品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68pt;margin-top:16.3pt;height:27.2pt;width:79.7pt;z-index:251826176;v-text-anchor:middle;mso-width-relative:page;mso-height-relative:page;" filled="f" stroked="f" coordsize="21600,21600" arcsize="0.166666666666667" o:gfxdata="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CPBSN3YAAAACQEAAA8AAAAAAAAAAQAgAAAAIgAAAGRycy9kb3du&#10;cmV2LnhtbFBLAQIUABQAAAAIAIdO4kATDoxtcQIAALwEAAAOAAAAAAAAAAEAIAAAACcBAABkcnMv&#10;ZTJvRG9jLnhtbFBLBQYAAAAABgAGAFkBAAAKBgAAAAA=&#10;">
                      <v:fill on="f" focussize="0,0"/>
                      <v:stroke on="f" weight="1pt" miterlimit="8" joinstyle="miter"/>
                      <v:imagedata o:title=""/>
                      <o:lock v:ext="edit" aspectratio="f"/>
                      <v:textbox>
                        <w:txbxContent>
                          <w:p w14:paraId="70178625">
                            <w:pPr>
                              <w:jc w:val="center"/>
                              <w:rPr>
                                <w:rFonts w:hint="eastAsia" w:eastAsia="宋体"/>
                                <w:color w:val="auto"/>
                                <w:lang w:val="en-US" w:eastAsia="zh-CN"/>
                              </w:rPr>
                            </w:pPr>
                            <w:r>
                              <w:rPr>
                                <w:rFonts w:hint="eastAsia"/>
                                <w:color w:val="auto"/>
                                <w:lang w:val="en-US" w:eastAsia="zh-CN"/>
                              </w:rPr>
                              <w:t>不合格产品</w:t>
                            </w:r>
                          </w:p>
                        </w:txbxContent>
                      </v:textbox>
                    </v:roundrect>
                  </w:pict>
                </mc:Fallback>
              </mc:AlternateContent>
            </w:r>
            <w:r>
              <w:rPr>
                <w:sz w:val="24"/>
              </w:rPr>
              <mc:AlternateContent>
                <mc:Choice Requires="wps">
                  <w:drawing>
                    <wp:anchor distT="0" distB="0" distL="114300" distR="114300" simplePos="0" relativeHeight="251723776" behindDoc="0" locked="0" layoutInCell="1" allowOverlap="1">
                      <wp:simplePos x="0" y="0"/>
                      <wp:positionH relativeFrom="column">
                        <wp:posOffset>3055620</wp:posOffset>
                      </wp:positionH>
                      <wp:positionV relativeFrom="paragraph">
                        <wp:posOffset>22225</wp:posOffset>
                      </wp:positionV>
                      <wp:extent cx="6350" cy="159385"/>
                      <wp:effectExtent l="45720" t="0" r="62230" b="12065"/>
                      <wp:wrapNone/>
                      <wp:docPr id="290" name="直接箭头连接符 290"/>
                      <wp:cNvGraphicFramePr/>
                      <a:graphic xmlns:a="http://schemas.openxmlformats.org/drawingml/2006/main">
                        <a:graphicData uri="http://schemas.microsoft.com/office/word/2010/wordprocessingShape">
                          <wps:wsp>
                            <wps:cNvCnPr>
                              <a:stCxn id="174" idx="2"/>
                              <a:endCxn id="157" idx="0"/>
                            </wps:cNvCnPr>
                            <wps:spPr>
                              <a:xfrm flipH="1">
                                <a:off x="3667760" y="9003665"/>
                                <a:ext cx="6350" cy="15938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40.6pt;margin-top:1.75pt;height:12.55pt;width:0.5pt;z-index:251723776;mso-width-relative:page;mso-height-relative:page;" filled="f" stroked="t" coordsize="21600,21600" o:gfxdata="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BvYMxPXAAAACAEAAA8AAAAAAAAAAQAgAAAAIgAAAGRycy9kb3ducmV2&#10;LnhtbFBLAQIUABQAAAAIAIdO4kDEZgngNgIAAD4EAAAOAAAAAAAAAAEAIAAAACYBAABkcnMvZTJv&#10;RG9jLnhtbFBLBQYAAAAABgAGAFkBAADOBQAAAAA=&#10;">
                      <v:fill on="f" focussize="0,0"/>
                      <v:stroke weight="0.5pt" color="#5B9BD5 [3204]" miterlimit="8" joinstyle="miter" endarrow="open"/>
                      <v:imagedata o:title=""/>
                      <o:lock v:ext="edit" aspectratio="f"/>
                    </v:shape>
                  </w:pict>
                </mc:Fallback>
              </mc:AlternateContent>
            </w:r>
            <w:r>
              <w:rPr>
                <w:rFonts w:hint="default" w:ascii="Times New Roman" w:hAnsi="Times New Roman" w:cs="Times New Roman"/>
                <w:color w:val="auto"/>
                <w:sz w:val="24"/>
                <w:szCs w:val="24"/>
              </w:rPr>
              <mc:AlternateContent>
                <mc:Choice Requires="wps">
                  <w:drawing>
                    <wp:anchor distT="0" distB="0" distL="114300" distR="114300" simplePos="0" relativeHeight="251819008" behindDoc="0" locked="0" layoutInCell="1" allowOverlap="1">
                      <wp:simplePos x="0" y="0"/>
                      <wp:positionH relativeFrom="column">
                        <wp:posOffset>2604135</wp:posOffset>
                      </wp:positionH>
                      <wp:positionV relativeFrom="paragraph">
                        <wp:posOffset>181610</wp:posOffset>
                      </wp:positionV>
                      <wp:extent cx="902970" cy="381635"/>
                      <wp:effectExtent l="4445" t="4445" r="6985" b="13970"/>
                      <wp:wrapNone/>
                      <wp:docPr id="157" name="圆角矩形 157"/>
                      <wp:cNvGraphicFramePr/>
                      <a:graphic xmlns:a="http://schemas.openxmlformats.org/drawingml/2006/main">
                        <a:graphicData uri="http://schemas.microsoft.com/office/word/2010/wordprocessingShape">
                          <wps:wsp>
                            <wps:cNvSpPr/>
                            <wps:spPr>
                              <a:xfrm>
                                <a:off x="0" y="0"/>
                                <a:ext cx="902970" cy="381635"/>
                              </a:xfrm>
                              <a:prstGeom prst="roundRect">
                                <a:avLst>
                                  <a:gd name="adj" fmla="val 16667"/>
                                </a:avLst>
                              </a:prstGeom>
                              <a:solidFill>
                                <a:srgbClr val="FFFFFF"/>
                              </a:solidFill>
                              <a:ln w="9525" cap="flat" cmpd="sng">
                                <a:solidFill>
                                  <a:srgbClr val="ED7D31"/>
                                </a:solidFill>
                                <a:prstDash val="solid"/>
                                <a:headEnd type="none" w="med" len="med"/>
                                <a:tailEnd type="none" w="med" len="med"/>
                              </a:ln>
                            </wps:spPr>
                            <wps:txbx>
                              <w:txbxContent>
                                <w:p w14:paraId="04BB9AD4">
                                  <w:pPr>
                                    <w:jc w:val="center"/>
                                    <w:rPr>
                                      <w:rFonts w:hint="eastAsia" w:eastAsiaTheme="minorEastAsia"/>
                                      <w:lang w:val="en-US" w:eastAsia="zh-CN"/>
                                    </w:rPr>
                                  </w:pPr>
                                  <w:r>
                                    <w:rPr>
                                      <w:rFonts w:hint="eastAsia"/>
                                      <w:lang w:eastAsia="zh-CN"/>
                                    </w:rPr>
                                    <w:t>检验</w:t>
                                  </w:r>
                                  <w:r>
                                    <w:rPr>
                                      <w:rFonts w:hint="eastAsia"/>
                                      <w:lang w:val="en-US" w:eastAsia="zh-CN"/>
                                    </w:rPr>
                                    <w:t>/入库</w:t>
                                  </w:r>
                                </w:p>
                              </w:txbxContent>
                            </wps:txbx>
                            <wps:bodyPr upright="1"/>
                          </wps:wsp>
                        </a:graphicData>
                      </a:graphic>
                    </wp:anchor>
                  </w:drawing>
                </mc:Choice>
                <mc:Fallback>
                  <w:pict>
                    <v:roundrect id="_x0000_s1026" o:spid="_x0000_s1026" o:spt="2" style="position:absolute;left:0pt;margin-left:205.05pt;margin-top:14.3pt;height:30.05pt;width:71.1pt;z-index:251819008;mso-width-relative:page;mso-height-relative:page;" fillcolor="#FFFFFF" filled="t" stroked="t" coordsize="21600,21600" arcsize="0.166666666666667" o:gfxdata="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O3XRSjZAAAACQEAAA8AAAAAAAAAAQAgAAAAIgAAAGRycy9kb3ducmV2LnhtbFBLAQIUABQA&#10;AAAIAIdO4kDNQhi8KAIAAFkEAAAOAAAAAAAAAAEAIAAAACgBAABkcnMvZTJvRG9jLnhtbFBLBQYA&#10;AAAABgAGAFkBAADCBQAAAAA=&#10;">
                      <v:fill on="t" focussize="0,0"/>
                      <v:stroke color="#ED7D31" joinstyle="round"/>
                      <v:imagedata o:title=""/>
                      <o:lock v:ext="edit" aspectratio="f"/>
                      <v:textbox>
                        <w:txbxContent>
                          <w:p w14:paraId="04BB9AD4">
                            <w:pPr>
                              <w:jc w:val="center"/>
                              <w:rPr>
                                <w:rFonts w:hint="eastAsia" w:eastAsiaTheme="minorEastAsia"/>
                                <w:lang w:val="en-US" w:eastAsia="zh-CN"/>
                              </w:rPr>
                            </w:pPr>
                            <w:r>
                              <w:rPr>
                                <w:rFonts w:hint="eastAsia"/>
                                <w:lang w:eastAsia="zh-CN"/>
                              </w:rPr>
                              <w:t>检验</w:t>
                            </w:r>
                            <w:r>
                              <w:rPr>
                                <w:rFonts w:hint="eastAsia"/>
                                <w:lang w:val="en-US" w:eastAsia="zh-CN"/>
                              </w:rPr>
                              <w:t>/入库</w:t>
                            </w:r>
                          </w:p>
                        </w:txbxContent>
                      </v:textbox>
                    </v:roundrect>
                  </w:pict>
                </mc:Fallback>
              </mc:AlternateContent>
            </w:r>
          </w:p>
          <w:p w14:paraId="165BB08F">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sz w:val="24"/>
              </w:rPr>
              <mc:AlternateContent>
                <mc:Choice Requires="wps">
                  <w:drawing>
                    <wp:anchor distT="0" distB="0" distL="114300" distR="114300" simplePos="0" relativeHeight="251830272" behindDoc="0" locked="0" layoutInCell="1" allowOverlap="1">
                      <wp:simplePos x="0" y="0"/>
                      <wp:positionH relativeFrom="column">
                        <wp:posOffset>1875790</wp:posOffset>
                      </wp:positionH>
                      <wp:positionV relativeFrom="paragraph">
                        <wp:posOffset>42545</wp:posOffset>
                      </wp:positionV>
                      <wp:extent cx="728345" cy="6985"/>
                      <wp:effectExtent l="0" t="43180" r="14605" b="64135"/>
                      <wp:wrapNone/>
                      <wp:docPr id="298" name="直接箭头连接符 298"/>
                      <wp:cNvGraphicFramePr/>
                      <a:graphic xmlns:a="http://schemas.openxmlformats.org/drawingml/2006/main">
                        <a:graphicData uri="http://schemas.microsoft.com/office/word/2010/wordprocessingShape">
                          <wps:wsp>
                            <wps:cNvCnPr>
                              <a:stCxn id="157" idx="1"/>
                              <a:endCxn id="294" idx="3"/>
                            </wps:cNvCnPr>
                            <wps:spPr>
                              <a:xfrm flipH="1">
                                <a:off x="2535555" y="9339580"/>
                                <a:ext cx="728345" cy="6985"/>
                              </a:xfrm>
                              <a:prstGeom prst="straightConnector1">
                                <a:avLst/>
                              </a:prstGeom>
                              <a:ln>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47.7pt;margin-top:3.35pt;height:0.55pt;width:57.35pt;z-index:251830272;mso-width-relative:page;mso-height-relative:page;" filled="f" stroked="t" coordsize="21600,21600" o:gfxdata="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BSoKstYAAAAHAQAADwAAAAAAAAABACAAAAAiAAAAZHJzL2Rv&#10;d25yZXYueG1sUEsBAhQAFAAAAAgAh07iQCaUoa08AgAAPQQAAA4AAAAAAAAAAQAgAAAAJQEAAGRy&#10;cy9lMm9Eb2MueG1sUEsFBgAAAAAGAAYAWQEAANMFAAAAAA==&#10;">
                      <v:fill on="f" focussize="0,0"/>
                      <v:stroke weight="0.5pt" color="#5B9BD5 [3204]" miterlimit="8" joinstyle="miter" dashstyle="dash" endarrow="open"/>
                      <v:imagedata o:title=""/>
                      <o:lock v:ext="edit" aspectratio="f"/>
                    </v:shape>
                  </w:pict>
                </mc:Fallback>
              </mc:AlternateContent>
            </w:r>
          </w:p>
          <w:p w14:paraId="75F994F4">
            <w:pPr>
              <w:pStyle w:val="8"/>
              <w:adjustRightInd w:val="0"/>
              <w:snapToGrid w:val="0"/>
              <w:spacing w:line="520" w:lineRule="exact"/>
              <w:ind w:left="0" w:leftChars="0" w:firstLine="482" w:firstLineChars="200"/>
              <w:jc w:val="center"/>
              <w:rPr>
                <w:rFonts w:hint="default" w:ascii="Times New Roman" w:hAnsi="Times New Roman" w:cs="Times New Roman"/>
                <w:b/>
                <w:bCs/>
                <w:color w:val="auto"/>
                <w:sz w:val="24"/>
                <w:szCs w:val="24"/>
                <w:lang w:eastAsia="zh-CN"/>
              </w:rPr>
            </w:pPr>
            <w:r>
              <w:rPr>
                <w:rFonts w:hint="default" w:ascii="Times New Roman" w:hAnsi="Times New Roman" w:cs="Times New Roman"/>
                <w:b/>
                <w:bCs/>
                <w:color w:val="auto"/>
                <w:sz w:val="24"/>
                <w:szCs w:val="24"/>
                <w:lang w:val="en-US" w:eastAsia="zh-CN"/>
              </w:rPr>
              <w:t>图5-</w:t>
            </w:r>
            <w:r>
              <w:rPr>
                <w:rFonts w:hint="eastAsia" w:cs="Times New Roman"/>
                <w:b/>
                <w:bCs/>
                <w:color w:val="auto"/>
                <w:sz w:val="24"/>
                <w:szCs w:val="24"/>
                <w:lang w:val="en-US" w:eastAsia="zh-CN"/>
              </w:rPr>
              <w:t>8</w:t>
            </w:r>
            <w:r>
              <w:rPr>
                <w:rFonts w:hint="default" w:ascii="Times New Roman" w:hAnsi="Times New Roman" w:cs="Times New Roman"/>
                <w:b/>
                <w:bCs/>
                <w:color w:val="auto"/>
                <w:sz w:val="24"/>
                <w:szCs w:val="24"/>
                <w:lang w:val="en-US" w:eastAsia="zh-CN"/>
              </w:rPr>
              <w:t xml:space="preserve">  尿素罐生产工艺流程图及产污节点</w:t>
            </w:r>
          </w:p>
          <w:p w14:paraId="50C3C9A2">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原材料检验</w:t>
            </w:r>
            <w:r>
              <w:rPr>
                <w:rFonts w:hint="default" w:ascii="Times New Roman" w:hAnsi="Times New Roman" w:cs="Times New Roman"/>
                <w:color w:val="auto"/>
                <w:sz w:val="24"/>
                <w:szCs w:val="24"/>
              </w:rPr>
              <w:t>：根据原材料的性能标准对原材料进行检验</w:t>
            </w:r>
            <w:r>
              <w:rPr>
                <w:rFonts w:hint="default" w:ascii="Times New Roman" w:hAnsi="Times New Roman" w:cs="Times New Roman"/>
                <w:color w:val="auto"/>
                <w:sz w:val="24"/>
                <w:szCs w:val="24"/>
                <w:lang w:eastAsia="zh-CN"/>
              </w:rPr>
              <w:t>，</w:t>
            </w:r>
            <w:r>
              <w:rPr>
                <w:rFonts w:hint="default" w:ascii="Times New Roman" w:hAnsi="Times New Roman" w:cs="Times New Roman"/>
                <w:color w:val="auto"/>
                <w:sz w:val="24"/>
                <w:szCs w:val="24"/>
              </w:rPr>
              <w:t>检验合格</w:t>
            </w:r>
            <w:r>
              <w:rPr>
                <w:rFonts w:hint="default" w:ascii="Times New Roman" w:hAnsi="Times New Roman" w:cs="Times New Roman"/>
                <w:color w:val="auto"/>
                <w:sz w:val="24"/>
                <w:szCs w:val="24"/>
                <w:lang w:eastAsia="zh-CN"/>
              </w:rPr>
              <w:t>转生产。</w:t>
            </w:r>
          </w:p>
          <w:p w14:paraId="0998514E">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eastAsia="zh-CN"/>
              </w:rPr>
              <w:t>上料：把合格的</w:t>
            </w:r>
            <w:r>
              <w:rPr>
                <w:rFonts w:hint="default" w:ascii="Times New Roman" w:hAnsi="Times New Roman" w:cs="Times New Roman"/>
                <w:color w:val="auto"/>
                <w:sz w:val="24"/>
                <w:szCs w:val="24"/>
              </w:rPr>
              <w:t>原材料放入自动上料系统。</w:t>
            </w:r>
          </w:p>
          <w:p w14:paraId="56969D12">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烘干：根据</w:t>
            </w:r>
            <w:r>
              <w:rPr>
                <w:rFonts w:hint="default" w:ascii="Times New Roman" w:hAnsi="Times New Roman" w:cs="Times New Roman"/>
                <w:color w:val="auto"/>
                <w:sz w:val="24"/>
                <w:szCs w:val="24"/>
                <w:lang w:eastAsia="zh-CN"/>
              </w:rPr>
              <w:t>原材料</w:t>
            </w:r>
            <w:r>
              <w:rPr>
                <w:rFonts w:hint="default" w:ascii="Times New Roman" w:hAnsi="Times New Roman" w:cs="Times New Roman"/>
                <w:color w:val="auto"/>
                <w:sz w:val="24"/>
                <w:szCs w:val="24"/>
              </w:rPr>
              <w:t>的不同设置相应的时间和温度对原料进行烘干。</w:t>
            </w:r>
          </w:p>
          <w:p w14:paraId="3292D1E5">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吹塑成型：安装好模具，加热升温</w:t>
            </w:r>
            <w:r>
              <w:rPr>
                <w:rFonts w:hint="default" w:ascii="Times New Roman" w:hAnsi="Times New Roman" w:cs="Times New Roman"/>
                <w:color w:val="auto"/>
                <w:sz w:val="24"/>
                <w:szCs w:val="24"/>
                <w:lang w:eastAsia="zh-CN"/>
              </w:rPr>
              <w:t>；</w:t>
            </w:r>
            <w:r>
              <w:rPr>
                <w:rFonts w:hint="default" w:ascii="Times New Roman" w:hAnsi="Times New Roman" w:cs="Times New Roman"/>
                <w:color w:val="auto"/>
                <w:sz w:val="24"/>
                <w:szCs w:val="24"/>
              </w:rPr>
              <w:t>设置温度、压力、时间、吹出长度等参数，将熔</w:t>
            </w:r>
            <w:r>
              <w:rPr>
                <w:rFonts w:hint="default" w:ascii="Times New Roman" w:hAnsi="Times New Roman" w:cs="Times New Roman"/>
                <w:color w:val="auto"/>
                <w:sz w:val="24"/>
                <w:szCs w:val="24"/>
                <w:lang w:eastAsia="zh-CN"/>
              </w:rPr>
              <w:t>化的</w:t>
            </w:r>
            <w:r>
              <w:rPr>
                <w:rFonts w:hint="default" w:ascii="Times New Roman" w:hAnsi="Times New Roman" w:cs="Times New Roman"/>
                <w:color w:val="auto"/>
                <w:sz w:val="24"/>
                <w:szCs w:val="24"/>
              </w:rPr>
              <w:t>塑料从模头挤入</w:t>
            </w:r>
            <w:r>
              <w:rPr>
                <w:rFonts w:hint="default" w:ascii="Times New Roman" w:hAnsi="Times New Roman" w:cs="Times New Roman"/>
                <w:color w:val="auto"/>
                <w:sz w:val="24"/>
                <w:szCs w:val="24"/>
                <w:lang w:eastAsia="zh-CN"/>
              </w:rPr>
              <w:t>，通过压缩空气吹压成型</w:t>
            </w:r>
            <w:r>
              <w:rPr>
                <w:rFonts w:hint="default" w:ascii="Times New Roman" w:hAnsi="Times New Roman" w:cs="Times New Roman"/>
                <w:color w:val="auto"/>
                <w:sz w:val="24"/>
                <w:szCs w:val="24"/>
              </w:rPr>
              <w:t>，冷却后取出产品。</w:t>
            </w:r>
          </w:p>
          <w:p w14:paraId="6E49EF2D">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表面修边：使用刀具将半成品表面飞边毛刺等去除并对外观进行检查。</w:t>
            </w:r>
          </w:p>
          <w:p w14:paraId="3F3912EB">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气密性检测：</w:t>
            </w:r>
            <w:r>
              <w:rPr>
                <w:rFonts w:hint="default" w:ascii="Times New Roman" w:hAnsi="Times New Roman" w:cs="Times New Roman"/>
                <w:color w:val="auto"/>
                <w:sz w:val="24"/>
                <w:szCs w:val="24"/>
                <w:lang w:val="en-US" w:eastAsia="zh-CN"/>
              </w:rPr>
              <w:t>操作工按作业标准调整设备参数，将工件放至测试台进行气密性检测。</w:t>
            </w:r>
          </w:p>
          <w:p w14:paraId="777911A0">
            <w:pPr>
              <w:pStyle w:val="8"/>
              <w:adjustRightInd w:val="0"/>
              <w:snapToGrid w:val="0"/>
              <w:spacing w:line="520" w:lineRule="exact"/>
              <w:ind w:left="0" w:leftChars="0"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w:t>检验：</w:t>
            </w:r>
            <w:r>
              <w:rPr>
                <w:rFonts w:hint="default" w:ascii="Times New Roman" w:hAnsi="Times New Roman" w:cs="Times New Roman"/>
                <w:color w:val="auto"/>
                <w:sz w:val="24"/>
                <w:szCs w:val="24"/>
                <w:lang w:eastAsia="zh-CN"/>
              </w:rPr>
              <w:t>质</w:t>
            </w:r>
            <w:r>
              <w:rPr>
                <w:rFonts w:hint="default" w:ascii="Times New Roman" w:hAnsi="Times New Roman" w:cs="Times New Roman"/>
                <w:color w:val="auto"/>
                <w:sz w:val="24"/>
                <w:szCs w:val="24"/>
              </w:rPr>
              <w:t>检员</w:t>
            </w:r>
            <w:r>
              <w:rPr>
                <w:rFonts w:hint="default" w:ascii="Times New Roman" w:hAnsi="Times New Roman" w:cs="Times New Roman"/>
                <w:color w:val="auto"/>
                <w:sz w:val="24"/>
                <w:szCs w:val="24"/>
                <w:lang w:eastAsia="zh-CN"/>
              </w:rPr>
              <w:t>依据检验指导书</w:t>
            </w:r>
            <w:r>
              <w:rPr>
                <w:rFonts w:hint="default" w:ascii="Times New Roman" w:hAnsi="Times New Roman" w:cs="Times New Roman"/>
                <w:color w:val="auto"/>
                <w:sz w:val="24"/>
                <w:szCs w:val="24"/>
              </w:rPr>
              <w:t>对外观、重量</w:t>
            </w:r>
            <w:r>
              <w:rPr>
                <w:rFonts w:hint="default" w:ascii="Times New Roman" w:hAnsi="Times New Roman" w:cs="Times New Roman"/>
                <w:color w:val="auto"/>
                <w:sz w:val="24"/>
                <w:szCs w:val="24"/>
                <w:lang w:eastAsia="zh-CN"/>
              </w:rPr>
              <w:t>、</w:t>
            </w:r>
            <w:r>
              <w:rPr>
                <w:rFonts w:hint="default" w:ascii="Times New Roman" w:hAnsi="Times New Roman" w:cs="Times New Roman"/>
                <w:color w:val="auto"/>
                <w:sz w:val="24"/>
                <w:szCs w:val="24"/>
              </w:rPr>
              <w:t>尺寸等进行抽检，</w:t>
            </w:r>
            <w:r>
              <w:rPr>
                <w:rFonts w:hint="default" w:ascii="Times New Roman" w:hAnsi="Times New Roman" w:cs="Times New Roman"/>
                <w:color w:val="auto"/>
                <w:sz w:val="24"/>
                <w:szCs w:val="24"/>
                <w:lang w:eastAsia="zh-CN"/>
              </w:rPr>
              <w:t>产品</w:t>
            </w:r>
            <w:r>
              <w:rPr>
                <w:rFonts w:hint="default" w:ascii="Times New Roman" w:hAnsi="Times New Roman" w:cs="Times New Roman"/>
                <w:color w:val="auto"/>
                <w:sz w:val="24"/>
                <w:szCs w:val="24"/>
              </w:rPr>
              <w:t>合格后入库。</w:t>
            </w:r>
          </w:p>
          <w:p w14:paraId="045F5546">
            <w:pPr>
              <w:pStyle w:val="8"/>
              <w:adjustRightInd w:val="0"/>
              <w:snapToGrid w:val="0"/>
              <w:spacing w:line="520" w:lineRule="exact"/>
              <w:ind w:left="0" w:leftChars="0" w:firstLine="482" w:firstLineChars="200"/>
              <w:rPr>
                <w:rFonts w:hint="eastAsia" w:ascii="Times New Roman" w:hAnsi="Times New Roman" w:eastAsia="宋体" w:cs="Times New Roman"/>
                <w:b/>
                <w:color w:val="auto"/>
                <w:kern w:val="2"/>
                <w:sz w:val="24"/>
                <w:szCs w:val="24"/>
                <w:lang w:eastAsia="zh-CN"/>
              </w:rPr>
            </w:pPr>
            <w:r>
              <w:rPr>
                <w:rFonts w:hint="default" w:ascii="Times New Roman" w:hAnsi="Times New Roman" w:cs="Times New Roman"/>
                <w:b/>
                <w:color w:val="auto"/>
                <w:kern w:val="2"/>
                <w:sz w:val="24"/>
                <w:szCs w:val="24"/>
              </w:rPr>
              <w:t>主要污染</w:t>
            </w:r>
            <w:r>
              <w:rPr>
                <w:rFonts w:hint="eastAsia" w:cs="Times New Roman"/>
                <w:b/>
                <w:color w:val="auto"/>
                <w:kern w:val="2"/>
                <w:sz w:val="24"/>
                <w:szCs w:val="24"/>
                <w:lang w:val="en-US" w:eastAsia="zh-CN"/>
              </w:rPr>
              <w:t>情况</w:t>
            </w:r>
          </w:p>
          <w:p w14:paraId="5656F26C">
            <w:pPr>
              <w:adjustRightInd w:val="0"/>
              <w:snapToGrid w:val="0"/>
              <w:spacing w:line="480" w:lineRule="exact"/>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根据生产工艺流程分析，本项目运营期主要污染有：废气、废水、噪声、固体废物。</w:t>
            </w:r>
          </w:p>
          <w:p w14:paraId="1317ACCC">
            <w:pPr>
              <w:autoSpaceDE w:val="0"/>
              <w:autoSpaceDN w:val="0"/>
              <w:adjustRightInd w:val="0"/>
              <w:spacing w:line="360" w:lineRule="auto"/>
              <w:ind w:firstLine="240" w:firstLineChars="100"/>
              <w:jc w:val="left"/>
              <w:rPr>
                <w:rFonts w:hint="default" w:ascii="Times New Roman" w:hAnsi="Times New Roman" w:cs="Times New Roman" w:eastAsiaTheme="minorEastAsia"/>
                <w:color w:val="auto"/>
                <w:kern w:val="0"/>
                <w:sz w:val="24"/>
                <w:szCs w:val="24"/>
                <w:lang w:eastAsia="zh-CN"/>
              </w:rPr>
            </w:pPr>
            <w:r>
              <w:rPr>
                <w:rFonts w:hint="default" w:ascii="Times New Roman" w:hAnsi="Times New Roman" w:cs="Times New Roman" w:eastAsiaTheme="minorEastAsia"/>
                <w:color w:val="auto"/>
                <w:kern w:val="0"/>
                <w:sz w:val="24"/>
                <w:szCs w:val="24"/>
                <w:lang w:eastAsia="zh-CN"/>
              </w:rPr>
              <w:t>（</w:t>
            </w:r>
            <w:r>
              <w:rPr>
                <w:rFonts w:hint="default" w:ascii="Times New Roman" w:hAnsi="Times New Roman" w:cs="Times New Roman" w:eastAsiaTheme="minorEastAsia"/>
                <w:color w:val="auto"/>
                <w:kern w:val="0"/>
                <w:sz w:val="24"/>
                <w:szCs w:val="24"/>
                <w:lang w:val="en-US" w:eastAsia="zh-CN"/>
              </w:rPr>
              <w:t>1</w:t>
            </w:r>
            <w:r>
              <w:rPr>
                <w:rFonts w:hint="default" w:ascii="Times New Roman" w:hAnsi="Times New Roman" w:cs="Times New Roman" w:eastAsiaTheme="minorEastAsia"/>
                <w:color w:val="auto"/>
                <w:kern w:val="0"/>
                <w:sz w:val="24"/>
                <w:szCs w:val="24"/>
                <w:lang w:eastAsia="zh-CN"/>
              </w:rPr>
              <w:t>）废水：员工生活</w:t>
            </w:r>
            <w:r>
              <w:rPr>
                <w:rFonts w:hint="eastAsia" w:cs="Times New Roman" w:eastAsiaTheme="minorEastAsia"/>
                <w:color w:val="auto"/>
                <w:kern w:val="0"/>
                <w:sz w:val="24"/>
                <w:szCs w:val="24"/>
                <w:lang w:val="en-US" w:eastAsia="zh-CN"/>
              </w:rPr>
              <w:t>污水</w:t>
            </w:r>
            <w:r>
              <w:rPr>
                <w:rFonts w:hint="default" w:ascii="Times New Roman" w:hAnsi="Times New Roman" w:cs="Times New Roman" w:eastAsiaTheme="minorEastAsia"/>
                <w:color w:val="auto"/>
                <w:kern w:val="0"/>
                <w:sz w:val="24"/>
                <w:szCs w:val="24"/>
                <w:lang w:eastAsia="zh-CN"/>
              </w:rPr>
              <w:t>。</w:t>
            </w:r>
          </w:p>
          <w:p w14:paraId="0656ED5F">
            <w:pPr>
              <w:autoSpaceDE w:val="0"/>
              <w:autoSpaceDN w:val="0"/>
              <w:adjustRightInd w:val="0"/>
              <w:spacing w:line="360" w:lineRule="auto"/>
              <w:ind w:firstLine="240" w:firstLineChars="100"/>
              <w:jc w:val="left"/>
              <w:rPr>
                <w:rFonts w:hint="default" w:ascii="Times New Roman" w:hAnsi="Times New Roman" w:cs="Times New Roman" w:eastAsiaTheme="minorEastAsia"/>
                <w:color w:val="auto"/>
                <w:kern w:val="0"/>
                <w:sz w:val="24"/>
                <w:szCs w:val="24"/>
                <w:lang w:eastAsia="zh-CN"/>
              </w:rPr>
            </w:pPr>
            <w:r>
              <w:rPr>
                <w:rFonts w:hint="default" w:ascii="Times New Roman" w:hAnsi="Times New Roman" w:cs="Times New Roman" w:eastAsiaTheme="minorEastAsia"/>
                <w:color w:val="auto"/>
                <w:kern w:val="0"/>
                <w:sz w:val="24"/>
                <w:szCs w:val="24"/>
                <w:lang w:eastAsia="zh-CN"/>
              </w:rPr>
              <w:t>（</w:t>
            </w:r>
            <w:r>
              <w:rPr>
                <w:rFonts w:hint="default" w:ascii="Times New Roman" w:hAnsi="Times New Roman" w:cs="Times New Roman" w:eastAsiaTheme="minorEastAsia"/>
                <w:color w:val="auto"/>
                <w:kern w:val="0"/>
                <w:sz w:val="24"/>
                <w:szCs w:val="24"/>
                <w:lang w:val="en-US" w:eastAsia="zh-CN"/>
              </w:rPr>
              <w:t>2</w:t>
            </w:r>
            <w:r>
              <w:rPr>
                <w:rFonts w:hint="default" w:ascii="Times New Roman" w:hAnsi="Times New Roman" w:cs="Times New Roman" w:eastAsiaTheme="minorEastAsia"/>
                <w:color w:val="auto"/>
                <w:kern w:val="0"/>
                <w:sz w:val="24"/>
                <w:szCs w:val="24"/>
                <w:lang w:eastAsia="zh-CN"/>
              </w:rPr>
              <w:t>）固废：</w:t>
            </w:r>
            <w:r>
              <w:rPr>
                <w:rFonts w:hint="eastAsia" w:cs="Times New Roman" w:eastAsiaTheme="minorEastAsia"/>
                <w:color w:val="auto"/>
                <w:kern w:val="0"/>
                <w:sz w:val="24"/>
                <w:szCs w:val="24"/>
                <w:lang w:val="en-US" w:eastAsia="zh-CN"/>
              </w:rPr>
              <w:t>分为一般固废和危险废弃物两大类。其中：一般固废主要包括金属废料、PP和PE废料、隔油池废油、包装弃料、生活垃圾以及污泥等。危险废物主要包括废润滑油、废液压油、废含油手套抹布、废原料桶、废活性炭等。</w:t>
            </w:r>
          </w:p>
          <w:p w14:paraId="0D1C2C25">
            <w:pPr>
              <w:autoSpaceDE w:val="0"/>
              <w:autoSpaceDN w:val="0"/>
              <w:adjustRightInd w:val="0"/>
              <w:spacing w:line="360" w:lineRule="auto"/>
              <w:ind w:firstLine="240" w:firstLineChars="100"/>
              <w:jc w:val="left"/>
              <w:rPr>
                <w:rFonts w:hint="default" w:ascii="Times New Roman" w:hAnsi="Times New Roman" w:cs="Times New Roman" w:eastAsiaTheme="minorEastAsia"/>
                <w:color w:val="auto"/>
                <w:kern w:val="0"/>
                <w:sz w:val="24"/>
                <w:szCs w:val="24"/>
                <w:lang w:eastAsia="zh-CN"/>
              </w:rPr>
            </w:pPr>
            <w:r>
              <w:rPr>
                <w:rFonts w:hint="default" w:ascii="Times New Roman" w:hAnsi="Times New Roman" w:cs="Times New Roman" w:eastAsiaTheme="minorEastAsia"/>
                <w:color w:val="auto"/>
                <w:kern w:val="0"/>
                <w:sz w:val="24"/>
                <w:szCs w:val="24"/>
                <w:lang w:eastAsia="zh-CN"/>
              </w:rPr>
              <w:t>（</w:t>
            </w:r>
            <w:r>
              <w:rPr>
                <w:rFonts w:hint="default" w:ascii="Times New Roman" w:hAnsi="Times New Roman" w:cs="Times New Roman" w:eastAsiaTheme="minorEastAsia"/>
                <w:color w:val="auto"/>
                <w:kern w:val="0"/>
                <w:sz w:val="24"/>
                <w:szCs w:val="24"/>
                <w:lang w:val="en-US" w:eastAsia="zh-CN"/>
              </w:rPr>
              <w:t>3</w:t>
            </w:r>
            <w:r>
              <w:rPr>
                <w:rFonts w:hint="default" w:ascii="Times New Roman" w:hAnsi="Times New Roman" w:cs="Times New Roman" w:eastAsiaTheme="minorEastAsia"/>
                <w:color w:val="auto"/>
                <w:kern w:val="0"/>
                <w:sz w:val="24"/>
                <w:szCs w:val="24"/>
                <w:lang w:eastAsia="zh-CN"/>
              </w:rPr>
              <w:t>）噪声：装卸运输噪声、</w:t>
            </w:r>
            <w:r>
              <w:rPr>
                <w:rFonts w:hint="eastAsia" w:cs="Times New Roman" w:eastAsiaTheme="minorEastAsia"/>
                <w:color w:val="auto"/>
                <w:kern w:val="0"/>
                <w:sz w:val="24"/>
                <w:szCs w:val="24"/>
                <w:lang w:val="en-US" w:eastAsia="zh-CN"/>
              </w:rPr>
              <w:t>折纸机、注塑机、吹塑机、冲压机、破碎机、行吊、切割机以及空压机</w:t>
            </w:r>
            <w:r>
              <w:rPr>
                <w:rFonts w:hint="default" w:ascii="Times New Roman" w:hAnsi="Times New Roman" w:cs="Times New Roman" w:eastAsiaTheme="minorEastAsia"/>
                <w:color w:val="auto"/>
                <w:kern w:val="0"/>
                <w:sz w:val="24"/>
                <w:szCs w:val="24"/>
                <w:lang w:eastAsia="zh-CN"/>
              </w:rPr>
              <w:t>等机械设备运行噪声。</w:t>
            </w:r>
          </w:p>
          <w:p w14:paraId="2899CE9C">
            <w:pPr>
              <w:autoSpaceDE w:val="0"/>
              <w:autoSpaceDN w:val="0"/>
              <w:adjustRightInd w:val="0"/>
              <w:spacing w:line="360" w:lineRule="auto"/>
              <w:ind w:firstLine="240" w:firstLineChars="100"/>
              <w:jc w:val="left"/>
              <w:rPr>
                <w:rFonts w:hint="default" w:ascii="Times New Roman" w:hAnsi="Times New Roman" w:cs="Times New Roman" w:eastAsiaTheme="minorEastAsia"/>
                <w:color w:val="auto"/>
                <w:kern w:val="0"/>
                <w:sz w:val="24"/>
                <w:szCs w:val="24"/>
                <w:lang w:eastAsia="zh-CN"/>
              </w:rPr>
            </w:pPr>
            <w:r>
              <w:rPr>
                <w:rFonts w:hint="default" w:ascii="Times New Roman" w:hAnsi="Times New Roman" w:cs="Times New Roman" w:eastAsiaTheme="minorEastAsia"/>
                <w:color w:val="auto"/>
                <w:kern w:val="0"/>
                <w:sz w:val="24"/>
                <w:szCs w:val="24"/>
                <w:lang w:eastAsia="zh-CN"/>
              </w:rPr>
              <w:t>（</w:t>
            </w:r>
            <w:r>
              <w:rPr>
                <w:rFonts w:hint="default" w:ascii="Times New Roman" w:hAnsi="Times New Roman" w:cs="Times New Roman" w:eastAsiaTheme="minorEastAsia"/>
                <w:color w:val="auto"/>
                <w:kern w:val="0"/>
                <w:sz w:val="24"/>
                <w:szCs w:val="24"/>
                <w:lang w:val="en-US" w:eastAsia="zh-CN"/>
              </w:rPr>
              <w:t>4</w:t>
            </w:r>
            <w:r>
              <w:rPr>
                <w:rFonts w:hint="default" w:ascii="Times New Roman" w:hAnsi="Times New Roman" w:cs="Times New Roman" w:eastAsiaTheme="minorEastAsia"/>
                <w:color w:val="auto"/>
                <w:kern w:val="0"/>
                <w:sz w:val="24"/>
                <w:szCs w:val="24"/>
                <w:lang w:eastAsia="zh-CN"/>
              </w:rPr>
              <w:t>）大气污染物：</w:t>
            </w:r>
            <w:r>
              <w:rPr>
                <w:rFonts w:hint="eastAsia" w:cs="Times New Roman" w:eastAsiaTheme="minorEastAsia"/>
                <w:color w:val="auto"/>
                <w:kern w:val="0"/>
                <w:sz w:val="24"/>
                <w:szCs w:val="24"/>
                <w:lang w:val="en-US" w:eastAsia="zh-CN"/>
              </w:rPr>
              <w:t>破碎粉尘、食堂油烟、有机废气</w:t>
            </w:r>
            <w:r>
              <w:rPr>
                <w:rFonts w:hint="default" w:ascii="Times New Roman" w:hAnsi="Times New Roman" w:cs="Times New Roman" w:eastAsiaTheme="minorEastAsia"/>
                <w:color w:val="auto"/>
                <w:kern w:val="0"/>
                <w:sz w:val="24"/>
                <w:szCs w:val="24"/>
                <w:lang w:eastAsia="zh-CN"/>
              </w:rPr>
              <w:t>和</w:t>
            </w:r>
            <w:r>
              <w:rPr>
                <w:rFonts w:hint="eastAsia" w:cs="Times New Roman" w:eastAsiaTheme="minorEastAsia"/>
                <w:color w:val="auto"/>
                <w:kern w:val="0"/>
                <w:sz w:val="24"/>
                <w:szCs w:val="24"/>
                <w:lang w:val="en-US" w:eastAsia="zh-CN"/>
              </w:rPr>
              <w:t>焊接废气</w:t>
            </w:r>
            <w:r>
              <w:rPr>
                <w:rFonts w:hint="default" w:ascii="Times New Roman" w:hAnsi="Times New Roman" w:cs="Times New Roman" w:eastAsiaTheme="minorEastAsia"/>
                <w:color w:val="auto"/>
                <w:kern w:val="0"/>
                <w:sz w:val="24"/>
                <w:szCs w:val="24"/>
                <w:lang w:eastAsia="zh-CN"/>
              </w:rPr>
              <w:t>等。</w:t>
            </w:r>
          </w:p>
          <w:p w14:paraId="653DF66B">
            <w:pPr>
              <w:spacing w:line="360" w:lineRule="auto"/>
              <w:rPr>
                <w:rFonts w:hint="default" w:ascii="Times New Roman" w:hAnsi="Times New Roman" w:eastAsia="黑体" w:cs="Times New Roman"/>
                <w:color w:val="auto"/>
                <w:sz w:val="24"/>
              </w:rPr>
            </w:pPr>
            <w:r>
              <w:rPr>
                <w:rFonts w:hint="default" w:ascii="Times New Roman" w:hAnsi="Times New Roman" w:eastAsia="黑体" w:cs="Times New Roman"/>
                <w:color w:val="auto"/>
                <w:sz w:val="24"/>
              </w:rPr>
              <w:t>（二）营运期产污情况</w:t>
            </w:r>
          </w:p>
          <w:p w14:paraId="34FCDA66">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通过对本项目营运期工程分析以及原辅材料的分析，结合本项目生产特点，确定本项目营运期主要污染物见表5-</w:t>
            </w:r>
            <w:r>
              <w:rPr>
                <w:rFonts w:hint="eastAsia" w:cs="Times New Roman"/>
                <w:color w:val="auto"/>
                <w:sz w:val="24"/>
                <w:szCs w:val="24"/>
                <w:lang w:val="en-US" w:eastAsia="zh-CN"/>
              </w:rPr>
              <w:t>3</w:t>
            </w:r>
            <w:r>
              <w:rPr>
                <w:rFonts w:hint="default" w:ascii="Times New Roman" w:hAnsi="Times New Roman" w:cs="Times New Roman"/>
                <w:color w:val="auto"/>
                <w:sz w:val="24"/>
                <w:szCs w:val="24"/>
              </w:rPr>
              <w:t>。</w:t>
            </w:r>
          </w:p>
          <w:p w14:paraId="1EA11C7B">
            <w:pPr>
              <w:spacing w:line="360" w:lineRule="auto"/>
              <w:jc w:val="center"/>
              <w:rPr>
                <w:rFonts w:hint="default" w:ascii="Times New Roman" w:hAnsi="Times New Roman" w:cs="Times New Roman"/>
                <w:color w:val="auto"/>
                <w:szCs w:val="21"/>
              </w:rPr>
            </w:pPr>
            <w:r>
              <w:rPr>
                <w:rFonts w:hint="default" w:ascii="Times New Roman" w:hAnsi="Times New Roman" w:cs="Times New Roman" w:eastAsiaTheme="minorEastAsia"/>
                <w:b/>
                <w:bCs/>
                <w:color w:val="auto"/>
                <w:szCs w:val="21"/>
              </w:rPr>
              <w:t>表5-</w:t>
            </w:r>
            <w:r>
              <w:rPr>
                <w:rFonts w:hint="eastAsia" w:cs="Times New Roman" w:eastAsiaTheme="minorEastAsia"/>
                <w:b/>
                <w:bCs/>
                <w:color w:val="auto"/>
                <w:szCs w:val="21"/>
                <w:lang w:val="en-US" w:eastAsia="zh-CN"/>
              </w:rPr>
              <w:t>3</w:t>
            </w:r>
            <w:r>
              <w:rPr>
                <w:rFonts w:hint="default" w:ascii="Times New Roman" w:hAnsi="Times New Roman" w:cs="Times New Roman" w:eastAsiaTheme="minorEastAsia"/>
                <w:b/>
                <w:bCs/>
                <w:color w:val="auto"/>
                <w:szCs w:val="21"/>
              </w:rPr>
              <w:t xml:space="preserve">  主要产污环节及产污情况</w:t>
            </w:r>
          </w:p>
          <w:tbl>
            <w:tblPr>
              <w:tblStyle w:val="23"/>
              <w:tblW w:w="99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3"/>
              <w:gridCol w:w="2630"/>
              <w:gridCol w:w="3172"/>
              <w:gridCol w:w="3433"/>
            </w:tblGrid>
            <w:tr w14:paraId="1E10B2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tblHeader/>
                <w:jc w:val="center"/>
              </w:trPr>
              <w:tc>
                <w:tcPr>
                  <w:tcW w:w="733" w:type="dxa"/>
                  <w:shd w:val="clear" w:color="auto" w:fill="auto"/>
                  <w:vAlign w:val="center"/>
                </w:tcPr>
                <w:p w14:paraId="4FB0BAE9">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类别</w:t>
                  </w:r>
                </w:p>
              </w:tc>
              <w:tc>
                <w:tcPr>
                  <w:tcW w:w="2630" w:type="dxa"/>
                  <w:shd w:val="clear" w:color="auto" w:fill="auto"/>
                  <w:vAlign w:val="center"/>
                </w:tcPr>
                <w:p w14:paraId="2F0EB1A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生产工序/产污位置</w:t>
                  </w:r>
                </w:p>
              </w:tc>
              <w:tc>
                <w:tcPr>
                  <w:tcW w:w="3172" w:type="dxa"/>
                  <w:shd w:val="clear" w:color="auto" w:fill="auto"/>
                  <w:vAlign w:val="center"/>
                </w:tcPr>
                <w:p w14:paraId="26741BF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主要污染物名称</w:t>
                  </w:r>
                </w:p>
              </w:tc>
              <w:tc>
                <w:tcPr>
                  <w:tcW w:w="3433" w:type="dxa"/>
                  <w:shd w:val="clear" w:color="auto" w:fill="auto"/>
                  <w:vAlign w:val="center"/>
                </w:tcPr>
                <w:p w14:paraId="6A12D69D">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主要污染因子或废物类别</w:t>
                  </w:r>
                </w:p>
              </w:tc>
            </w:tr>
            <w:tr w14:paraId="659E9A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restart"/>
                  <w:shd w:val="clear" w:color="auto" w:fill="auto"/>
                  <w:vAlign w:val="center"/>
                </w:tcPr>
                <w:p w14:paraId="1A4311A1">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废气</w:t>
                  </w:r>
                </w:p>
              </w:tc>
              <w:tc>
                <w:tcPr>
                  <w:tcW w:w="2630" w:type="dxa"/>
                  <w:shd w:val="clear" w:color="auto" w:fill="auto"/>
                  <w:vAlign w:val="center"/>
                </w:tcPr>
                <w:p w14:paraId="16DCE774">
                  <w:pPr>
                    <w:spacing w:line="276" w:lineRule="auto"/>
                    <w:jc w:val="center"/>
                    <w:rPr>
                      <w:rFonts w:hint="default" w:ascii="Times New Roman" w:hAnsi="Times New Roman" w:cs="Times New Roman"/>
                      <w:color w:val="auto"/>
                      <w:sz w:val="21"/>
                      <w:szCs w:val="21"/>
                      <w:lang w:val="en-US"/>
                    </w:rPr>
                  </w:pPr>
                  <w:r>
                    <w:rPr>
                      <w:rFonts w:hint="eastAsia" w:cs="Times New Roman"/>
                      <w:color w:val="auto"/>
                      <w:sz w:val="21"/>
                      <w:szCs w:val="21"/>
                      <w:lang w:val="en-US" w:eastAsia="zh-CN"/>
                    </w:rPr>
                    <w:t>注塑成型工序</w:t>
                  </w:r>
                </w:p>
              </w:tc>
              <w:tc>
                <w:tcPr>
                  <w:tcW w:w="3172" w:type="dxa"/>
                  <w:shd w:val="clear" w:color="auto" w:fill="auto"/>
                  <w:vAlign w:val="center"/>
                </w:tcPr>
                <w:p w14:paraId="49994854">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有机废气</w:t>
                  </w:r>
                </w:p>
              </w:tc>
              <w:tc>
                <w:tcPr>
                  <w:tcW w:w="3433" w:type="dxa"/>
                  <w:shd w:val="clear" w:color="auto" w:fill="auto"/>
                  <w:vAlign w:val="center"/>
                </w:tcPr>
                <w:p w14:paraId="0CFEEA16">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VOCs</w:t>
                  </w:r>
                </w:p>
              </w:tc>
            </w:tr>
            <w:tr w14:paraId="6B5FBA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1FB543CE">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49C49521">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吹塑成型工序</w:t>
                  </w:r>
                </w:p>
              </w:tc>
              <w:tc>
                <w:tcPr>
                  <w:tcW w:w="3172" w:type="dxa"/>
                  <w:shd w:val="clear" w:color="auto" w:fill="auto"/>
                  <w:vAlign w:val="center"/>
                </w:tcPr>
                <w:p w14:paraId="4EDAEB4A">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有机废气</w:t>
                  </w:r>
                </w:p>
              </w:tc>
              <w:tc>
                <w:tcPr>
                  <w:tcW w:w="3433" w:type="dxa"/>
                  <w:shd w:val="clear" w:color="auto" w:fill="auto"/>
                  <w:vAlign w:val="center"/>
                </w:tcPr>
                <w:p w14:paraId="65829FBC">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VOCs</w:t>
                  </w:r>
                </w:p>
              </w:tc>
            </w:tr>
            <w:tr w14:paraId="0BBD3F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1DD720B5">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20DAF52B">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注胶搅拌工序</w:t>
                  </w:r>
                </w:p>
              </w:tc>
              <w:tc>
                <w:tcPr>
                  <w:tcW w:w="3172" w:type="dxa"/>
                  <w:shd w:val="clear" w:color="auto" w:fill="auto"/>
                  <w:vAlign w:val="center"/>
                </w:tcPr>
                <w:p w14:paraId="2800EBC1">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有机废气</w:t>
                  </w:r>
                </w:p>
              </w:tc>
              <w:tc>
                <w:tcPr>
                  <w:tcW w:w="3433" w:type="dxa"/>
                  <w:shd w:val="clear" w:color="auto" w:fill="auto"/>
                  <w:vAlign w:val="center"/>
                </w:tcPr>
                <w:p w14:paraId="5904E2BB">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VOCs</w:t>
                  </w:r>
                </w:p>
              </w:tc>
            </w:tr>
            <w:tr w14:paraId="222F8F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6DF783D6">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76402578">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注胶烘干、固化、定型工序</w:t>
                  </w:r>
                </w:p>
              </w:tc>
              <w:tc>
                <w:tcPr>
                  <w:tcW w:w="3172" w:type="dxa"/>
                  <w:shd w:val="clear" w:color="auto" w:fill="auto"/>
                  <w:vAlign w:val="center"/>
                </w:tcPr>
                <w:p w14:paraId="653DA92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有机废气</w:t>
                  </w:r>
                </w:p>
              </w:tc>
              <w:tc>
                <w:tcPr>
                  <w:tcW w:w="3433" w:type="dxa"/>
                  <w:shd w:val="clear" w:color="auto" w:fill="auto"/>
                  <w:vAlign w:val="center"/>
                </w:tcPr>
                <w:p w14:paraId="440D3D1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VOCs</w:t>
                  </w:r>
                </w:p>
              </w:tc>
            </w:tr>
            <w:tr w14:paraId="795E68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74F03BA3">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63FF3397">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打码工序</w:t>
                  </w:r>
                </w:p>
              </w:tc>
              <w:tc>
                <w:tcPr>
                  <w:tcW w:w="3172" w:type="dxa"/>
                  <w:shd w:val="clear" w:color="auto" w:fill="auto"/>
                  <w:vAlign w:val="center"/>
                </w:tcPr>
                <w:p w14:paraId="49078D4D">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有机废气</w:t>
                  </w:r>
                </w:p>
              </w:tc>
              <w:tc>
                <w:tcPr>
                  <w:tcW w:w="3433" w:type="dxa"/>
                  <w:shd w:val="clear" w:color="auto" w:fill="auto"/>
                  <w:vAlign w:val="center"/>
                </w:tcPr>
                <w:p w14:paraId="12160C12">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VOCs</w:t>
                  </w:r>
                </w:p>
              </w:tc>
            </w:tr>
            <w:tr w14:paraId="6D9BCC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39215A1C">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4E391B9D">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折纸上胶工序</w:t>
                  </w:r>
                </w:p>
              </w:tc>
              <w:tc>
                <w:tcPr>
                  <w:tcW w:w="3172" w:type="dxa"/>
                  <w:shd w:val="clear" w:color="auto" w:fill="auto"/>
                  <w:vAlign w:val="center"/>
                </w:tcPr>
                <w:p w14:paraId="21E36740">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有机废气</w:t>
                  </w:r>
                </w:p>
              </w:tc>
              <w:tc>
                <w:tcPr>
                  <w:tcW w:w="3433" w:type="dxa"/>
                  <w:shd w:val="clear" w:color="auto" w:fill="auto"/>
                  <w:vAlign w:val="center"/>
                </w:tcPr>
                <w:p w14:paraId="46A5D706">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VOCs</w:t>
                  </w:r>
                </w:p>
              </w:tc>
            </w:tr>
            <w:tr w14:paraId="2F03A4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294C7D9D">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02C38947">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焊接工序</w:t>
                  </w:r>
                </w:p>
              </w:tc>
              <w:tc>
                <w:tcPr>
                  <w:tcW w:w="3172" w:type="dxa"/>
                  <w:shd w:val="clear" w:color="auto" w:fill="auto"/>
                  <w:vAlign w:val="center"/>
                </w:tcPr>
                <w:p w14:paraId="3303A858">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焊接烟尘</w:t>
                  </w:r>
                </w:p>
              </w:tc>
              <w:tc>
                <w:tcPr>
                  <w:tcW w:w="3433" w:type="dxa"/>
                  <w:shd w:val="clear" w:color="auto" w:fill="auto"/>
                  <w:vAlign w:val="center"/>
                </w:tcPr>
                <w:p w14:paraId="1F2D9C46">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烟尘</w:t>
                  </w:r>
                </w:p>
              </w:tc>
            </w:tr>
            <w:tr w14:paraId="6BC421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3C658432">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1795E7ED">
                  <w:pPr>
                    <w:spacing w:line="276" w:lineRule="auto"/>
                    <w:jc w:val="center"/>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eastAsia="zh-CN"/>
                    </w:rPr>
                    <w:t>食堂油烟</w:t>
                  </w:r>
                </w:p>
              </w:tc>
              <w:tc>
                <w:tcPr>
                  <w:tcW w:w="3172" w:type="dxa"/>
                  <w:shd w:val="clear" w:color="auto" w:fill="auto"/>
                  <w:vAlign w:val="center"/>
                </w:tcPr>
                <w:p w14:paraId="7EBE72B1">
                  <w:pPr>
                    <w:spacing w:line="276" w:lineRule="auto"/>
                    <w:jc w:val="center"/>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eastAsia="zh-CN"/>
                    </w:rPr>
                    <w:t>油烟废气</w:t>
                  </w:r>
                </w:p>
              </w:tc>
              <w:tc>
                <w:tcPr>
                  <w:tcW w:w="3433" w:type="dxa"/>
                  <w:shd w:val="clear" w:color="auto" w:fill="auto"/>
                  <w:vAlign w:val="center"/>
                </w:tcPr>
                <w:p w14:paraId="3E2E669E">
                  <w:pPr>
                    <w:spacing w:line="276" w:lineRule="auto"/>
                    <w:jc w:val="center"/>
                    <w:rPr>
                      <w:rFonts w:hint="default" w:ascii="Times New Roman" w:hAnsi="Times New Roman" w:eastAsia="宋体" w:cs="Times New Roman"/>
                      <w:color w:val="auto"/>
                      <w:sz w:val="21"/>
                      <w:szCs w:val="21"/>
                      <w:lang w:eastAsia="zh-CN"/>
                    </w:rPr>
                  </w:pPr>
                  <w:r>
                    <w:rPr>
                      <w:rFonts w:hint="eastAsia" w:cs="Times New Roman"/>
                      <w:color w:val="auto"/>
                      <w:sz w:val="21"/>
                      <w:szCs w:val="21"/>
                      <w:lang w:val="en-US" w:eastAsia="zh-CN"/>
                    </w:rPr>
                    <w:t>油烟</w:t>
                  </w:r>
                </w:p>
              </w:tc>
            </w:tr>
            <w:tr w14:paraId="1D7909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5904F518">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7247002D">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不合格吹注塑产品破碎</w:t>
                  </w:r>
                </w:p>
              </w:tc>
              <w:tc>
                <w:tcPr>
                  <w:tcW w:w="3172" w:type="dxa"/>
                  <w:shd w:val="clear" w:color="auto" w:fill="auto"/>
                  <w:vAlign w:val="center"/>
                </w:tcPr>
                <w:p w14:paraId="1C93B14B">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粉尘</w:t>
                  </w:r>
                </w:p>
              </w:tc>
              <w:tc>
                <w:tcPr>
                  <w:tcW w:w="3433" w:type="dxa"/>
                  <w:shd w:val="clear" w:color="auto" w:fill="auto"/>
                  <w:vAlign w:val="center"/>
                </w:tcPr>
                <w:p w14:paraId="14D76000">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颗粒物</w:t>
                  </w:r>
                </w:p>
              </w:tc>
            </w:tr>
            <w:tr w14:paraId="03F0E8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shd w:val="clear" w:color="auto" w:fill="auto"/>
                  <w:vAlign w:val="center"/>
                </w:tcPr>
                <w:p w14:paraId="5D221F70">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废水</w:t>
                  </w:r>
                </w:p>
              </w:tc>
              <w:tc>
                <w:tcPr>
                  <w:tcW w:w="2630" w:type="dxa"/>
                  <w:shd w:val="clear" w:color="auto" w:fill="auto"/>
                  <w:vAlign w:val="center"/>
                </w:tcPr>
                <w:p w14:paraId="03E48AE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生产及办公人员</w:t>
                  </w:r>
                </w:p>
              </w:tc>
              <w:tc>
                <w:tcPr>
                  <w:tcW w:w="3172" w:type="dxa"/>
                  <w:shd w:val="clear" w:color="auto" w:fill="auto"/>
                  <w:vAlign w:val="center"/>
                </w:tcPr>
                <w:p w14:paraId="1E827CA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生活污水</w:t>
                  </w:r>
                </w:p>
              </w:tc>
              <w:tc>
                <w:tcPr>
                  <w:tcW w:w="3433" w:type="dxa"/>
                  <w:shd w:val="clear" w:color="auto" w:fill="auto"/>
                  <w:vAlign w:val="center"/>
                </w:tcPr>
                <w:p w14:paraId="0314403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COD、BOD</w:t>
                  </w:r>
                  <w:r>
                    <w:rPr>
                      <w:rFonts w:hint="default" w:ascii="Times New Roman" w:hAnsi="Times New Roman" w:cs="Times New Roman"/>
                      <w:color w:val="auto"/>
                      <w:sz w:val="21"/>
                      <w:szCs w:val="21"/>
                      <w:vertAlign w:val="subscript"/>
                    </w:rPr>
                    <w:t>5</w:t>
                  </w:r>
                  <w:r>
                    <w:rPr>
                      <w:rFonts w:hint="default" w:ascii="Times New Roman" w:hAnsi="Times New Roman" w:cs="Times New Roman"/>
                      <w:color w:val="auto"/>
                      <w:sz w:val="21"/>
                      <w:szCs w:val="21"/>
                    </w:rPr>
                    <w:t>、SS、NH</w:t>
                  </w:r>
                  <w:r>
                    <w:rPr>
                      <w:rFonts w:hint="default" w:ascii="Times New Roman" w:hAnsi="Times New Roman" w:cs="Times New Roman"/>
                      <w:color w:val="auto"/>
                      <w:sz w:val="21"/>
                      <w:szCs w:val="21"/>
                      <w:vertAlign w:val="subscript"/>
                    </w:rPr>
                    <w:t>3</w:t>
                  </w:r>
                  <w:r>
                    <w:rPr>
                      <w:rFonts w:hint="default" w:ascii="Times New Roman" w:hAnsi="Times New Roman" w:cs="Times New Roman"/>
                      <w:color w:val="auto"/>
                      <w:sz w:val="21"/>
                      <w:szCs w:val="21"/>
                    </w:rPr>
                    <w:t>-N</w:t>
                  </w:r>
                </w:p>
              </w:tc>
            </w:tr>
            <w:tr w14:paraId="597B71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shd w:val="clear" w:color="auto" w:fill="auto"/>
                  <w:vAlign w:val="center"/>
                </w:tcPr>
                <w:p w14:paraId="31A5534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噪声</w:t>
                  </w:r>
                </w:p>
              </w:tc>
              <w:tc>
                <w:tcPr>
                  <w:tcW w:w="2630" w:type="dxa"/>
                  <w:shd w:val="clear" w:color="auto" w:fill="auto"/>
                  <w:vAlign w:val="center"/>
                </w:tcPr>
                <w:p w14:paraId="1347EE4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生产设备</w:t>
                  </w:r>
                </w:p>
              </w:tc>
              <w:tc>
                <w:tcPr>
                  <w:tcW w:w="3172" w:type="dxa"/>
                  <w:shd w:val="clear" w:color="auto" w:fill="auto"/>
                  <w:vAlign w:val="center"/>
                </w:tcPr>
                <w:p w14:paraId="2F357F1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设备噪声</w:t>
                  </w:r>
                </w:p>
              </w:tc>
              <w:tc>
                <w:tcPr>
                  <w:tcW w:w="3433" w:type="dxa"/>
                  <w:shd w:val="clear" w:color="auto" w:fill="auto"/>
                  <w:vAlign w:val="center"/>
                </w:tcPr>
                <w:p w14:paraId="3604C190">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等效连续A声级</w:t>
                  </w:r>
                </w:p>
              </w:tc>
            </w:tr>
            <w:tr w14:paraId="1BEF59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restart"/>
                  <w:shd w:val="clear" w:color="auto" w:fill="auto"/>
                  <w:vAlign w:val="center"/>
                </w:tcPr>
                <w:p w14:paraId="090FD78C">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固体</w:t>
                  </w:r>
                </w:p>
                <w:p w14:paraId="7556DA9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废物</w:t>
                  </w:r>
                </w:p>
              </w:tc>
              <w:tc>
                <w:tcPr>
                  <w:tcW w:w="2630" w:type="dxa"/>
                  <w:shd w:val="clear" w:color="auto" w:fill="auto"/>
                  <w:vAlign w:val="center"/>
                </w:tcPr>
                <w:p w14:paraId="6289C38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生产及办公人员</w:t>
                  </w:r>
                </w:p>
              </w:tc>
              <w:tc>
                <w:tcPr>
                  <w:tcW w:w="3172" w:type="dxa"/>
                  <w:shd w:val="clear" w:color="auto" w:fill="auto"/>
                  <w:vAlign w:val="center"/>
                </w:tcPr>
                <w:p w14:paraId="7A0FF5C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生活垃圾</w:t>
                  </w:r>
                </w:p>
              </w:tc>
              <w:tc>
                <w:tcPr>
                  <w:tcW w:w="3433" w:type="dxa"/>
                  <w:shd w:val="clear" w:color="auto" w:fill="auto"/>
                  <w:vAlign w:val="center"/>
                </w:tcPr>
                <w:p w14:paraId="648B797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一般废物</w:t>
                  </w:r>
                </w:p>
              </w:tc>
            </w:tr>
            <w:tr w14:paraId="25B059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0334011D">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6F6BB479">
                  <w:pPr>
                    <w:spacing w:line="276"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下料、裁料、修边、打包</w:t>
                  </w:r>
                </w:p>
              </w:tc>
              <w:tc>
                <w:tcPr>
                  <w:tcW w:w="3172" w:type="dxa"/>
                  <w:shd w:val="clear" w:color="auto" w:fill="auto"/>
                  <w:vAlign w:val="center"/>
                </w:tcPr>
                <w:p w14:paraId="3C5DD040">
                  <w:pPr>
                    <w:spacing w:line="276" w:lineRule="auto"/>
                    <w:jc w:val="center"/>
                    <w:rPr>
                      <w:rFonts w:hint="default" w:ascii="Times New Roman" w:hAnsi="Times New Roman" w:eastAsia="宋体" w:cs="Times New Roman"/>
                      <w:color w:val="auto"/>
                      <w:sz w:val="21"/>
                      <w:szCs w:val="21"/>
                      <w:lang w:eastAsia="zh-CN"/>
                    </w:rPr>
                  </w:pPr>
                  <w:r>
                    <w:rPr>
                      <w:rFonts w:hint="eastAsia" w:cs="Times New Roman"/>
                      <w:color w:val="auto"/>
                      <w:sz w:val="21"/>
                      <w:szCs w:val="21"/>
                      <w:lang w:val="en-US" w:eastAsia="zh-CN"/>
                    </w:rPr>
                    <w:t>金属废料</w:t>
                  </w:r>
                  <w:r>
                    <w:rPr>
                      <w:rFonts w:hint="default" w:ascii="Times New Roman" w:hAnsi="Times New Roman" w:cs="Times New Roman"/>
                      <w:color w:val="auto"/>
                      <w:sz w:val="21"/>
                      <w:szCs w:val="21"/>
                      <w:lang w:eastAsia="zh-CN"/>
                    </w:rPr>
                    <w:t>、废塑料、</w:t>
                  </w:r>
                  <w:r>
                    <w:rPr>
                      <w:rFonts w:hint="eastAsia" w:cs="Times New Roman"/>
                      <w:color w:val="auto"/>
                      <w:sz w:val="21"/>
                      <w:szCs w:val="21"/>
                      <w:lang w:val="en-US" w:eastAsia="zh-CN"/>
                    </w:rPr>
                    <w:t>包装弃料</w:t>
                  </w:r>
                </w:p>
              </w:tc>
              <w:tc>
                <w:tcPr>
                  <w:tcW w:w="3433" w:type="dxa"/>
                  <w:shd w:val="clear" w:color="auto" w:fill="auto"/>
                  <w:vAlign w:val="center"/>
                </w:tcPr>
                <w:p w14:paraId="1420259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一般废物</w:t>
                  </w:r>
                </w:p>
              </w:tc>
            </w:tr>
            <w:tr w14:paraId="0F39EF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41EB4C66">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5B36B9EE">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检验工序</w:t>
                  </w:r>
                </w:p>
              </w:tc>
              <w:tc>
                <w:tcPr>
                  <w:tcW w:w="3172" w:type="dxa"/>
                  <w:shd w:val="clear" w:color="auto" w:fill="auto"/>
                  <w:vAlign w:val="center"/>
                </w:tcPr>
                <w:p w14:paraId="1E8BDC5F">
                  <w:pPr>
                    <w:spacing w:line="276"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不合格品</w:t>
                  </w:r>
                </w:p>
              </w:tc>
              <w:tc>
                <w:tcPr>
                  <w:tcW w:w="3433" w:type="dxa"/>
                  <w:shd w:val="clear" w:color="auto" w:fill="auto"/>
                  <w:vAlign w:val="center"/>
                </w:tcPr>
                <w:p w14:paraId="26CCCBE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一般废物</w:t>
                  </w:r>
                </w:p>
              </w:tc>
            </w:tr>
            <w:tr w14:paraId="2AA6F4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636E1EC2">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1BC4F8D5">
                  <w:pPr>
                    <w:spacing w:line="276" w:lineRule="auto"/>
                    <w:jc w:val="center"/>
                    <w:rPr>
                      <w:rFonts w:hint="default" w:ascii="Times New Roman" w:hAnsi="Times New Roman" w:eastAsia="宋体" w:cs="Times New Roman"/>
                      <w:color w:val="auto"/>
                      <w:sz w:val="21"/>
                      <w:szCs w:val="21"/>
                      <w:lang w:eastAsia="zh-CN"/>
                    </w:rPr>
                  </w:pPr>
                  <w:r>
                    <w:rPr>
                      <w:rFonts w:hint="eastAsia" w:cs="Times New Roman"/>
                      <w:color w:val="auto"/>
                      <w:sz w:val="21"/>
                      <w:szCs w:val="21"/>
                      <w:lang w:val="en-US" w:eastAsia="zh-CN"/>
                    </w:rPr>
                    <w:t>预处理池</w:t>
                  </w:r>
                </w:p>
              </w:tc>
              <w:tc>
                <w:tcPr>
                  <w:tcW w:w="3172" w:type="dxa"/>
                  <w:shd w:val="clear" w:color="auto" w:fill="auto"/>
                  <w:vAlign w:val="center"/>
                </w:tcPr>
                <w:p w14:paraId="0F98F26A">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污泥</w:t>
                  </w:r>
                </w:p>
              </w:tc>
              <w:tc>
                <w:tcPr>
                  <w:tcW w:w="3433" w:type="dxa"/>
                  <w:shd w:val="clear" w:color="auto" w:fill="auto"/>
                  <w:vAlign w:val="center"/>
                </w:tcPr>
                <w:p w14:paraId="2FBDE4B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一般废物</w:t>
                  </w:r>
                </w:p>
              </w:tc>
            </w:tr>
            <w:tr w14:paraId="57C1D4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454F1C51">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1E60B85D">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隔油池废油脂</w:t>
                  </w:r>
                </w:p>
              </w:tc>
              <w:tc>
                <w:tcPr>
                  <w:tcW w:w="3172" w:type="dxa"/>
                  <w:shd w:val="clear" w:color="auto" w:fill="auto"/>
                  <w:vAlign w:val="center"/>
                </w:tcPr>
                <w:p w14:paraId="075A33E4">
                  <w:pPr>
                    <w:spacing w:line="276" w:lineRule="auto"/>
                    <w:jc w:val="center"/>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eastAsia="zh-CN"/>
                    </w:rPr>
                    <w:t>废油脂</w:t>
                  </w:r>
                </w:p>
              </w:tc>
              <w:tc>
                <w:tcPr>
                  <w:tcW w:w="3433" w:type="dxa"/>
                  <w:shd w:val="clear" w:color="auto" w:fill="auto"/>
                  <w:vAlign w:val="center"/>
                </w:tcPr>
                <w:p w14:paraId="12ACE306">
                  <w:pPr>
                    <w:spacing w:line="276" w:lineRule="auto"/>
                    <w:jc w:val="center"/>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eastAsia="zh-CN"/>
                    </w:rPr>
                    <w:t>一般废物</w:t>
                  </w:r>
                </w:p>
              </w:tc>
            </w:tr>
            <w:tr w14:paraId="322704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181D0CC3">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217A5F59">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机械维护</w:t>
                  </w:r>
                </w:p>
              </w:tc>
              <w:tc>
                <w:tcPr>
                  <w:tcW w:w="3172" w:type="dxa"/>
                  <w:shd w:val="clear" w:color="auto" w:fill="auto"/>
                  <w:vAlign w:val="center"/>
                </w:tcPr>
                <w:p w14:paraId="7E96B87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eastAsia="zh-CN"/>
                    </w:rPr>
                    <w:t>废液压油</w:t>
                  </w:r>
                </w:p>
              </w:tc>
              <w:tc>
                <w:tcPr>
                  <w:tcW w:w="3433" w:type="dxa"/>
                  <w:shd w:val="clear" w:color="auto" w:fill="auto"/>
                  <w:vAlign w:val="center"/>
                </w:tcPr>
                <w:p w14:paraId="6B6E435A">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危险废物（HW</w:t>
                  </w:r>
                  <w:r>
                    <w:rPr>
                      <w:rFonts w:hint="default" w:ascii="Times New Roman" w:hAnsi="Times New Roman" w:cs="Times New Roman"/>
                      <w:color w:val="auto"/>
                      <w:sz w:val="21"/>
                      <w:szCs w:val="21"/>
                      <w:lang w:val="en-US" w:eastAsia="zh-CN"/>
                    </w:rPr>
                    <w:t>08</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900</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218</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08</w:t>
                  </w:r>
                  <w:r>
                    <w:rPr>
                      <w:rFonts w:hint="default" w:ascii="Times New Roman" w:hAnsi="Times New Roman" w:cs="Times New Roman"/>
                      <w:color w:val="auto"/>
                      <w:sz w:val="21"/>
                      <w:szCs w:val="21"/>
                    </w:rPr>
                    <w:t>）</w:t>
                  </w:r>
                </w:p>
              </w:tc>
            </w:tr>
            <w:tr w14:paraId="1F4011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4C1CDF9B">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74C83B2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机械维护</w:t>
                  </w:r>
                </w:p>
              </w:tc>
              <w:tc>
                <w:tcPr>
                  <w:tcW w:w="3172" w:type="dxa"/>
                  <w:shd w:val="clear" w:color="auto" w:fill="auto"/>
                  <w:vAlign w:val="center"/>
                </w:tcPr>
                <w:p w14:paraId="5C63DFC4">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废润滑油</w:t>
                  </w:r>
                </w:p>
              </w:tc>
              <w:tc>
                <w:tcPr>
                  <w:tcW w:w="3433" w:type="dxa"/>
                  <w:shd w:val="clear" w:color="auto" w:fill="auto"/>
                  <w:vAlign w:val="center"/>
                </w:tcPr>
                <w:p w14:paraId="076BD72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危险废物（HW</w:t>
                  </w:r>
                  <w:r>
                    <w:rPr>
                      <w:rFonts w:hint="default" w:ascii="Times New Roman" w:hAnsi="Times New Roman" w:cs="Times New Roman"/>
                      <w:color w:val="auto"/>
                      <w:sz w:val="21"/>
                      <w:szCs w:val="21"/>
                      <w:lang w:val="en-US" w:eastAsia="zh-CN"/>
                    </w:rPr>
                    <w:t>08</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900</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21</w:t>
                  </w:r>
                  <w:r>
                    <w:rPr>
                      <w:rFonts w:hint="eastAsia" w:cs="Times New Roman"/>
                      <w:color w:val="auto"/>
                      <w:sz w:val="21"/>
                      <w:szCs w:val="21"/>
                      <w:lang w:val="en-US" w:eastAsia="zh-CN"/>
                    </w:rPr>
                    <w:t>4</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08</w:t>
                  </w:r>
                  <w:r>
                    <w:rPr>
                      <w:rFonts w:hint="default" w:ascii="Times New Roman" w:hAnsi="Times New Roman" w:cs="Times New Roman"/>
                      <w:color w:val="auto"/>
                      <w:sz w:val="21"/>
                      <w:szCs w:val="21"/>
                    </w:rPr>
                    <w:t>）</w:t>
                  </w:r>
                </w:p>
              </w:tc>
            </w:tr>
            <w:tr w14:paraId="321750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4AB34D37">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63657F44">
                  <w:pPr>
                    <w:spacing w:line="276" w:lineRule="auto"/>
                    <w:jc w:val="center"/>
                    <w:rPr>
                      <w:rFonts w:hint="default" w:ascii="Times New Roman" w:hAnsi="Times New Roman" w:eastAsia="宋体" w:cs="Times New Roman"/>
                      <w:color w:val="auto"/>
                      <w:sz w:val="21"/>
                      <w:szCs w:val="21"/>
                      <w:lang w:eastAsia="zh-CN"/>
                    </w:rPr>
                  </w:pPr>
                  <w:r>
                    <w:rPr>
                      <w:rFonts w:hint="eastAsia" w:cs="Times New Roman"/>
                      <w:color w:val="auto"/>
                      <w:sz w:val="21"/>
                      <w:szCs w:val="21"/>
                      <w:lang w:val="en-US" w:eastAsia="zh-CN"/>
                    </w:rPr>
                    <w:t>注胶工序和</w:t>
                  </w:r>
                  <w:r>
                    <w:rPr>
                      <w:rFonts w:hint="default" w:ascii="Times New Roman" w:hAnsi="Times New Roman" w:cs="Times New Roman"/>
                      <w:color w:val="auto"/>
                      <w:sz w:val="21"/>
                      <w:szCs w:val="21"/>
                      <w:lang w:eastAsia="zh-CN"/>
                    </w:rPr>
                    <w:t>机械维护</w:t>
                  </w:r>
                </w:p>
              </w:tc>
              <w:tc>
                <w:tcPr>
                  <w:tcW w:w="3172" w:type="dxa"/>
                  <w:shd w:val="clear" w:color="auto" w:fill="auto"/>
                  <w:vAlign w:val="center"/>
                </w:tcPr>
                <w:p w14:paraId="384228D9">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废抹布手套</w:t>
                  </w:r>
                </w:p>
              </w:tc>
              <w:tc>
                <w:tcPr>
                  <w:tcW w:w="3433" w:type="dxa"/>
                  <w:shd w:val="clear" w:color="auto" w:fill="auto"/>
                  <w:vAlign w:val="center"/>
                </w:tcPr>
                <w:p w14:paraId="306A5EC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危险废物（HW</w:t>
                  </w:r>
                  <w:r>
                    <w:rPr>
                      <w:rFonts w:hint="default" w:ascii="Times New Roman" w:hAnsi="Times New Roman" w:cs="Times New Roman"/>
                      <w:color w:val="auto"/>
                      <w:sz w:val="21"/>
                      <w:szCs w:val="21"/>
                      <w:lang w:val="en-US" w:eastAsia="zh-CN"/>
                    </w:rPr>
                    <w:t>49</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900</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041</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49</w:t>
                  </w:r>
                  <w:r>
                    <w:rPr>
                      <w:rFonts w:hint="default" w:ascii="Times New Roman" w:hAnsi="Times New Roman" w:cs="Times New Roman"/>
                      <w:color w:val="auto"/>
                      <w:sz w:val="21"/>
                      <w:szCs w:val="21"/>
                    </w:rPr>
                    <w:t>）</w:t>
                  </w:r>
                </w:p>
              </w:tc>
            </w:tr>
            <w:tr w14:paraId="566E6A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3B76992B">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18E4EE1C">
                  <w:pPr>
                    <w:keepNext w:val="0"/>
                    <w:keepLines w:val="0"/>
                    <w:suppressLineNumbers w:val="0"/>
                    <w:spacing w:before="0" w:beforeAutospacing="0" w:after="0" w:afterAutospacing="0" w:line="276" w:lineRule="auto"/>
                    <w:ind w:left="0" w:leftChars="0" w:right="0" w:rightChars="0"/>
                    <w:jc w:val="center"/>
                    <w:rPr>
                      <w:rFonts w:hint="default" w:ascii="Times New Roman" w:hAnsi="Times New Roman" w:cs="Times New Roman"/>
                      <w:color w:val="auto"/>
                      <w:sz w:val="21"/>
                      <w:szCs w:val="21"/>
                      <w:lang w:val="en-US" w:eastAsia="zh-CN"/>
                    </w:rPr>
                  </w:pPr>
                  <w:r>
                    <w:rPr>
                      <w:rFonts w:hint="eastAsia" w:ascii="宋体" w:hAnsi="宋体" w:eastAsia="宋体" w:cs="宋体"/>
                      <w:color w:val="auto"/>
                      <w:szCs w:val="21"/>
                      <w:lang w:val="en-US" w:eastAsia="zh-CN"/>
                    </w:rPr>
                    <w:t>注胶</w:t>
                  </w:r>
                  <w:r>
                    <w:rPr>
                      <w:rFonts w:hint="eastAsia" w:ascii="宋体" w:hAnsi="宋体" w:cs="宋体"/>
                      <w:color w:val="auto"/>
                      <w:szCs w:val="21"/>
                      <w:lang w:val="en-US" w:eastAsia="zh-CN"/>
                    </w:rPr>
                    <w:t>工序</w:t>
                  </w:r>
                </w:p>
              </w:tc>
              <w:tc>
                <w:tcPr>
                  <w:tcW w:w="3172" w:type="dxa"/>
                  <w:shd w:val="clear" w:color="auto" w:fill="auto"/>
                  <w:vAlign w:val="center"/>
                </w:tcPr>
                <w:p w14:paraId="5504C9E2">
                  <w:pPr>
                    <w:keepNext w:val="0"/>
                    <w:keepLines w:val="0"/>
                    <w:suppressLineNumbers w:val="0"/>
                    <w:spacing w:before="0" w:beforeAutospacing="0" w:after="0" w:afterAutospacing="0" w:line="276" w:lineRule="auto"/>
                    <w:ind w:left="0" w:leftChars="0" w:right="0" w:rightChars="0"/>
                    <w:jc w:val="center"/>
                    <w:rPr>
                      <w:rFonts w:hint="default" w:ascii="Times New Roman" w:hAnsi="Times New Roman" w:cs="Times New Roman"/>
                      <w:color w:val="auto"/>
                      <w:sz w:val="21"/>
                      <w:szCs w:val="21"/>
                      <w:lang w:eastAsia="zh-CN"/>
                    </w:rPr>
                  </w:pPr>
                  <w:r>
                    <w:rPr>
                      <w:rFonts w:hint="eastAsia" w:ascii="宋体" w:hAnsi="宋体" w:eastAsia="宋体" w:cs="宋体"/>
                      <w:color w:val="auto"/>
                      <w:szCs w:val="21"/>
                    </w:rPr>
                    <w:t>废</w:t>
                  </w:r>
                  <w:r>
                    <w:rPr>
                      <w:rFonts w:hint="eastAsia" w:ascii="宋体" w:hAnsi="宋体" w:cs="宋体"/>
                      <w:color w:val="auto"/>
                      <w:szCs w:val="21"/>
                      <w:lang w:val="en-US" w:eastAsia="zh-CN"/>
                    </w:rPr>
                    <w:t>A</w:t>
                  </w:r>
                  <w:r>
                    <w:rPr>
                      <w:rFonts w:hint="eastAsia" w:ascii="宋体" w:hAnsi="宋体" w:eastAsia="宋体" w:cs="宋体"/>
                      <w:color w:val="auto"/>
                      <w:szCs w:val="21"/>
                      <w:lang w:val="en-US" w:eastAsia="zh-CN"/>
                    </w:rPr>
                    <w:t>、</w:t>
                  </w:r>
                  <w:r>
                    <w:rPr>
                      <w:rFonts w:hint="eastAsia" w:ascii="宋体" w:hAnsi="宋体" w:cs="宋体"/>
                      <w:color w:val="auto"/>
                      <w:szCs w:val="21"/>
                      <w:lang w:val="en-US" w:eastAsia="zh-CN"/>
                    </w:rPr>
                    <w:t>B料</w:t>
                  </w:r>
                  <w:r>
                    <w:rPr>
                      <w:rFonts w:hint="eastAsia" w:ascii="宋体" w:hAnsi="宋体" w:eastAsia="宋体" w:cs="宋体"/>
                      <w:color w:val="auto"/>
                      <w:szCs w:val="21"/>
                      <w:lang w:val="en-US" w:eastAsia="zh-CN"/>
                    </w:rPr>
                    <w:t>包装</w:t>
                  </w:r>
                  <w:r>
                    <w:rPr>
                      <w:rFonts w:hint="eastAsia" w:ascii="宋体" w:hAnsi="宋体" w:cs="宋体"/>
                      <w:color w:val="auto"/>
                      <w:szCs w:val="21"/>
                      <w:lang w:val="en-US" w:eastAsia="zh-CN"/>
                    </w:rPr>
                    <w:t>空</w:t>
                  </w:r>
                  <w:r>
                    <w:rPr>
                      <w:rFonts w:hint="eastAsia" w:ascii="宋体" w:hAnsi="宋体" w:eastAsia="宋体" w:cs="宋体"/>
                      <w:color w:val="auto"/>
                      <w:szCs w:val="21"/>
                      <w:lang w:val="en-US" w:eastAsia="zh-CN"/>
                    </w:rPr>
                    <w:t>桶</w:t>
                  </w:r>
                </w:p>
              </w:tc>
              <w:tc>
                <w:tcPr>
                  <w:tcW w:w="3433" w:type="dxa"/>
                  <w:shd w:val="clear" w:color="auto" w:fill="auto"/>
                  <w:vAlign w:val="center"/>
                </w:tcPr>
                <w:p w14:paraId="2D85AA20">
                  <w:pPr>
                    <w:keepNext w:val="0"/>
                    <w:keepLines w:val="0"/>
                    <w:suppressLineNumbers w:val="0"/>
                    <w:spacing w:before="0" w:beforeAutospacing="0" w:after="0" w:afterAutospacing="0" w:line="276" w:lineRule="auto"/>
                    <w:ind w:left="0" w:leftChars="0" w:right="0" w:rightChars="0"/>
                    <w:jc w:val="center"/>
                    <w:rPr>
                      <w:rFonts w:hint="default" w:ascii="Times New Roman" w:hAnsi="Times New Roman" w:cs="Times New Roman"/>
                      <w:color w:val="auto"/>
                      <w:sz w:val="21"/>
                      <w:szCs w:val="21"/>
                    </w:rPr>
                  </w:pPr>
                  <w:r>
                    <w:rPr>
                      <w:rFonts w:hint="eastAsia" w:ascii="宋体" w:hAnsi="宋体" w:eastAsia="宋体" w:cs="宋体"/>
                      <w:color w:val="auto"/>
                      <w:szCs w:val="21"/>
                    </w:rPr>
                    <w:t>危险废物（HW49/900-041-49）</w:t>
                  </w:r>
                </w:p>
              </w:tc>
            </w:tr>
            <w:tr w14:paraId="6A11C3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 w:hRule="atLeast"/>
                <w:jc w:val="center"/>
              </w:trPr>
              <w:tc>
                <w:tcPr>
                  <w:tcW w:w="733" w:type="dxa"/>
                  <w:vMerge w:val="continue"/>
                  <w:shd w:val="clear" w:color="auto" w:fill="auto"/>
                  <w:vAlign w:val="center"/>
                </w:tcPr>
                <w:p w14:paraId="30CF2484">
                  <w:pPr>
                    <w:spacing w:line="276" w:lineRule="auto"/>
                    <w:jc w:val="center"/>
                    <w:rPr>
                      <w:rFonts w:hint="default" w:ascii="Times New Roman" w:hAnsi="Times New Roman" w:cs="Times New Roman"/>
                      <w:color w:val="auto"/>
                      <w:sz w:val="21"/>
                      <w:szCs w:val="21"/>
                    </w:rPr>
                  </w:pPr>
                </w:p>
              </w:tc>
              <w:tc>
                <w:tcPr>
                  <w:tcW w:w="2630" w:type="dxa"/>
                  <w:shd w:val="clear" w:color="auto" w:fill="auto"/>
                  <w:vAlign w:val="center"/>
                </w:tcPr>
                <w:p w14:paraId="4CA6308E">
                  <w:pPr>
                    <w:keepNext w:val="0"/>
                    <w:keepLines w:val="0"/>
                    <w:suppressLineNumbers w:val="0"/>
                    <w:spacing w:before="0" w:beforeAutospacing="0" w:after="0" w:afterAutospacing="0" w:line="276" w:lineRule="auto"/>
                    <w:ind w:left="0" w:leftChars="0" w:right="0" w:rightChars="0"/>
                    <w:jc w:val="center"/>
                    <w:rPr>
                      <w:rFonts w:hint="default" w:ascii="Times New Roman" w:hAnsi="Times New Roman" w:cs="Times New Roman"/>
                      <w:color w:val="auto"/>
                      <w:sz w:val="21"/>
                      <w:szCs w:val="21"/>
                      <w:lang w:eastAsia="zh-CN"/>
                    </w:rPr>
                  </w:pPr>
                  <w:r>
                    <w:rPr>
                      <w:rFonts w:hint="eastAsia" w:ascii="宋体" w:hAnsi="宋体" w:eastAsia="宋体" w:cs="宋体"/>
                      <w:color w:val="auto"/>
                      <w:szCs w:val="21"/>
                    </w:rPr>
                    <w:t>有机废气处理</w:t>
                  </w:r>
                </w:p>
              </w:tc>
              <w:tc>
                <w:tcPr>
                  <w:tcW w:w="3172" w:type="dxa"/>
                  <w:shd w:val="clear" w:color="auto" w:fill="auto"/>
                  <w:vAlign w:val="center"/>
                </w:tcPr>
                <w:p w14:paraId="296986B1">
                  <w:pPr>
                    <w:keepNext w:val="0"/>
                    <w:keepLines w:val="0"/>
                    <w:suppressLineNumbers w:val="0"/>
                    <w:spacing w:before="0" w:beforeAutospacing="0" w:after="0" w:afterAutospacing="0" w:line="276" w:lineRule="auto"/>
                    <w:ind w:left="0" w:leftChars="0" w:right="0" w:rightChars="0"/>
                    <w:jc w:val="center"/>
                    <w:rPr>
                      <w:rFonts w:hint="default" w:ascii="Times New Roman" w:hAnsi="Times New Roman" w:cs="Times New Roman"/>
                      <w:color w:val="auto"/>
                      <w:sz w:val="21"/>
                      <w:szCs w:val="21"/>
                      <w:lang w:eastAsia="zh-CN"/>
                    </w:rPr>
                  </w:pPr>
                  <w:r>
                    <w:rPr>
                      <w:rFonts w:hint="eastAsia" w:ascii="宋体" w:hAnsi="宋体" w:eastAsia="宋体" w:cs="宋体"/>
                      <w:color w:val="auto"/>
                      <w:szCs w:val="21"/>
                    </w:rPr>
                    <w:t>废活性炭</w:t>
                  </w:r>
                </w:p>
              </w:tc>
              <w:tc>
                <w:tcPr>
                  <w:tcW w:w="3433" w:type="dxa"/>
                  <w:shd w:val="clear" w:color="auto" w:fill="auto"/>
                  <w:vAlign w:val="center"/>
                </w:tcPr>
                <w:p w14:paraId="68730547">
                  <w:pPr>
                    <w:keepNext w:val="0"/>
                    <w:keepLines w:val="0"/>
                    <w:suppressLineNumbers w:val="0"/>
                    <w:spacing w:before="0" w:beforeAutospacing="0" w:after="0" w:afterAutospacing="0" w:line="276" w:lineRule="auto"/>
                    <w:ind w:left="0" w:leftChars="0" w:right="0" w:rightChars="0"/>
                    <w:jc w:val="center"/>
                    <w:rPr>
                      <w:rFonts w:hint="default" w:ascii="Times New Roman" w:hAnsi="Times New Roman" w:cs="Times New Roman"/>
                      <w:color w:val="auto"/>
                      <w:sz w:val="21"/>
                      <w:szCs w:val="21"/>
                    </w:rPr>
                  </w:pPr>
                  <w:r>
                    <w:rPr>
                      <w:rFonts w:hint="eastAsia" w:ascii="宋体" w:hAnsi="宋体" w:eastAsia="宋体" w:cs="宋体"/>
                      <w:color w:val="auto"/>
                      <w:szCs w:val="21"/>
                    </w:rPr>
                    <w:t>危险废物（HW49/900-041-49）</w:t>
                  </w:r>
                </w:p>
              </w:tc>
            </w:tr>
          </w:tbl>
          <w:p w14:paraId="7B1411AD">
            <w:pPr>
              <w:spacing w:line="360" w:lineRule="auto"/>
              <w:rPr>
                <w:rFonts w:hint="default" w:ascii="Times New Roman" w:hAnsi="Times New Roman" w:eastAsia="黑体" w:cs="Times New Roman"/>
                <w:color w:val="auto"/>
                <w:sz w:val="24"/>
              </w:rPr>
            </w:pPr>
          </w:p>
          <w:p w14:paraId="030474CC">
            <w:pPr>
              <w:spacing w:line="360" w:lineRule="auto"/>
              <w:rPr>
                <w:rFonts w:hint="default" w:ascii="Times New Roman" w:hAnsi="Times New Roman" w:eastAsia="黑体" w:cs="Times New Roman"/>
                <w:color w:val="auto"/>
                <w:sz w:val="24"/>
              </w:rPr>
            </w:pPr>
            <w:r>
              <w:rPr>
                <w:rFonts w:hint="default" w:ascii="Times New Roman" w:hAnsi="Times New Roman" w:eastAsia="黑体" w:cs="Times New Roman"/>
                <w:color w:val="auto"/>
                <w:sz w:val="24"/>
              </w:rPr>
              <w:t>（三）</w:t>
            </w:r>
            <w:r>
              <w:rPr>
                <w:rFonts w:hint="default" w:ascii="Times New Roman" w:hAnsi="Times New Roman" w:eastAsia="黑体" w:cs="Times New Roman"/>
                <w:color w:val="auto"/>
                <w:sz w:val="24"/>
                <w:lang w:val="en-US" w:eastAsia="zh-CN"/>
              </w:rPr>
              <w:t>项目水平衡图</w:t>
            </w:r>
          </w:p>
          <w:p w14:paraId="328889AD">
            <w:pPr>
              <w:spacing w:line="360" w:lineRule="auto"/>
              <w:ind w:firstLine="480" w:firstLineChars="200"/>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项目用水主要为办公生活用水，水量平衡图见下图5-</w:t>
            </w:r>
            <w:r>
              <w:rPr>
                <w:rFonts w:hint="eastAsia" w:ascii="Times New Roman" w:hAnsi="Times New Roman" w:cs="Times New Roman"/>
                <w:color w:val="auto"/>
                <w:kern w:val="2"/>
                <w:sz w:val="24"/>
                <w:szCs w:val="24"/>
                <w:lang w:val="en-US" w:eastAsia="zh-CN" w:bidi="ar-SA"/>
              </w:rPr>
              <w:t>9</w:t>
            </w:r>
            <w:r>
              <w:rPr>
                <w:rFonts w:hint="default" w:ascii="Times New Roman" w:hAnsi="Times New Roman" w:eastAsia="宋体" w:cs="Times New Roman"/>
                <w:color w:val="auto"/>
                <w:kern w:val="2"/>
                <w:sz w:val="24"/>
                <w:szCs w:val="24"/>
                <w:lang w:val="en-US" w:eastAsia="zh-CN" w:bidi="ar-SA"/>
              </w:rPr>
              <w:t>。</w:t>
            </w:r>
          </w:p>
          <w:p w14:paraId="135F68EC">
            <w:pPr>
              <w:spacing w:line="360" w:lineRule="auto"/>
              <w:rPr>
                <w:rFonts w:hint="default" w:ascii="Times New Roman" w:hAnsi="Times New Roman" w:eastAsia="黑体" w:cs="Times New Roman"/>
                <w:color w:val="auto"/>
                <w:sz w:val="24"/>
              </w:rPr>
            </w:pPr>
            <w:r>
              <w:rPr>
                <w:rFonts w:hint="default" w:ascii="Times New Roman" w:hAnsi="Times New Roman" w:eastAsia="黑体" w:cs="Times New Roman"/>
                <w:color w:val="auto"/>
                <w:sz w:val="24"/>
                <w:lang w:val="en-US" w:eastAsia="zh-CN"/>
              </w:rPr>
              <w:drawing>
                <wp:inline distT="0" distB="0" distL="114300" distR="114300">
                  <wp:extent cx="6331585" cy="2150745"/>
                  <wp:effectExtent l="0" t="0" r="12065" b="1905"/>
                  <wp:docPr id="133" name="图片 133" descr="QQ截图20180718114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33" descr="QQ截图20180718114516"/>
                          <pic:cNvPicPr>
                            <a:picLocks noChangeAspect="1"/>
                          </pic:cNvPicPr>
                        </pic:nvPicPr>
                        <pic:blipFill>
                          <a:blip r:embed="rId27"/>
                          <a:stretch>
                            <a:fillRect/>
                          </a:stretch>
                        </pic:blipFill>
                        <pic:spPr>
                          <a:xfrm>
                            <a:off x="0" y="0"/>
                            <a:ext cx="6331585" cy="2150745"/>
                          </a:xfrm>
                          <a:prstGeom prst="rect">
                            <a:avLst/>
                          </a:prstGeom>
                        </pic:spPr>
                      </pic:pic>
                    </a:graphicData>
                  </a:graphic>
                </wp:inline>
              </w:drawing>
            </w:r>
          </w:p>
          <w:p w14:paraId="4F32EA42">
            <w:pPr>
              <w:spacing w:line="360" w:lineRule="auto"/>
              <w:jc w:val="center"/>
              <w:rPr>
                <w:rFonts w:hint="default" w:ascii="Times New Roman" w:hAnsi="Times New Roman" w:eastAsia="宋体" w:cs="Times New Roman"/>
                <w:b/>
                <w:bCs/>
                <w:color w:val="auto"/>
                <w:kern w:val="0"/>
                <w:sz w:val="24"/>
                <w:szCs w:val="24"/>
                <w:lang w:val="en-US" w:eastAsia="zh-CN" w:bidi="ar-SA"/>
              </w:rPr>
            </w:pPr>
            <w:r>
              <w:rPr>
                <w:rFonts w:hint="default" w:ascii="Times New Roman" w:hAnsi="Times New Roman" w:eastAsia="宋体" w:cs="Times New Roman"/>
                <w:b/>
                <w:bCs/>
                <w:color w:val="auto"/>
                <w:kern w:val="0"/>
                <w:sz w:val="24"/>
                <w:szCs w:val="24"/>
                <w:lang w:val="en-US" w:eastAsia="zh-CN" w:bidi="ar-SA"/>
              </w:rPr>
              <w:t>图5-9  水量平衡图（单位：m</w:t>
            </w:r>
            <w:r>
              <w:rPr>
                <w:rFonts w:hint="default" w:ascii="Times New Roman" w:hAnsi="Times New Roman" w:eastAsia="宋体" w:cs="Times New Roman"/>
                <w:b/>
                <w:bCs/>
                <w:color w:val="auto"/>
                <w:kern w:val="0"/>
                <w:sz w:val="24"/>
                <w:szCs w:val="24"/>
                <w:vertAlign w:val="superscript"/>
                <w:lang w:val="en-US" w:eastAsia="zh-CN" w:bidi="ar-SA"/>
              </w:rPr>
              <w:t>3</w:t>
            </w:r>
            <w:r>
              <w:rPr>
                <w:rFonts w:hint="default" w:ascii="Times New Roman" w:hAnsi="Times New Roman" w:eastAsia="宋体" w:cs="Times New Roman"/>
                <w:b/>
                <w:bCs/>
                <w:color w:val="auto"/>
                <w:kern w:val="0"/>
                <w:sz w:val="24"/>
                <w:szCs w:val="24"/>
                <w:lang w:val="en-US" w:eastAsia="zh-CN" w:bidi="ar-SA"/>
              </w:rPr>
              <w:t>/d）</w:t>
            </w:r>
          </w:p>
          <w:p w14:paraId="43384994">
            <w:pPr>
              <w:spacing w:line="360" w:lineRule="auto"/>
              <w:rPr>
                <w:rFonts w:hint="default" w:ascii="Times New Roman" w:hAnsi="Times New Roman" w:eastAsia="黑体" w:cs="Times New Roman"/>
                <w:color w:val="auto"/>
                <w:sz w:val="24"/>
              </w:rPr>
            </w:pPr>
            <w:r>
              <w:rPr>
                <w:rFonts w:hint="default" w:ascii="Times New Roman" w:hAnsi="Times New Roman" w:eastAsia="黑体" w:cs="Times New Roman"/>
                <w:color w:val="auto"/>
                <w:sz w:val="24"/>
              </w:rPr>
              <w:t>（</w:t>
            </w:r>
            <w:r>
              <w:rPr>
                <w:rFonts w:hint="eastAsia" w:eastAsia="黑体" w:cs="Times New Roman"/>
                <w:color w:val="auto"/>
                <w:sz w:val="24"/>
                <w:lang w:val="en-US" w:eastAsia="zh-CN"/>
              </w:rPr>
              <w:t>四</w:t>
            </w:r>
            <w:r>
              <w:rPr>
                <w:rFonts w:hint="default" w:ascii="Times New Roman" w:hAnsi="Times New Roman" w:eastAsia="黑体" w:cs="Times New Roman"/>
                <w:color w:val="auto"/>
                <w:sz w:val="24"/>
              </w:rPr>
              <w:t>）营运期污染物排放及治理</w:t>
            </w:r>
          </w:p>
          <w:p w14:paraId="03E08B0D">
            <w:pPr>
              <w:spacing w:line="360" w:lineRule="auto"/>
              <w:ind w:firstLine="482" w:firstLineChars="20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lang w:val="en-US" w:eastAsia="zh-CN"/>
              </w:rPr>
              <w:t>1</w:t>
            </w:r>
            <w:r>
              <w:rPr>
                <w:rFonts w:hint="default" w:ascii="Times New Roman" w:hAnsi="Times New Roman" w:cs="Times New Roman"/>
                <w:b/>
                <w:color w:val="auto"/>
                <w:sz w:val="24"/>
                <w:szCs w:val="24"/>
              </w:rPr>
              <w:t>、水污染物</w:t>
            </w:r>
          </w:p>
          <w:p w14:paraId="57095550">
            <w:pPr>
              <w:spacing w:line="360" w:lineRule="auto"/>
              <w:ind w:firstLine="480"/>
              <w:rPr>
                <w:rFonts w:hint="default"/>
              </w:rPr>
            </w:pPr>
            <w:r>
              <w:rPr>
                <w:rFonts w:hint="default" w:ascii="Times New Roman" w:hAnsi="Times New Roman" w:cs="Times New Roman"/>
                <w:color w:val="auto"/>
                <w:sz w:val="24"/>
                <w:szCs w:val="24"/>
              </w:rPr>
              <w:t>本项目设置员工食堂和</w:t>
            </w:r>
            <w:r>
              <w:rPr>
                <w:rFonts w:hint="default" w:ascii="Times New Roman" w:hAnsi="Times New Roman" w:cs="Times New Roman"/>
                <w:color w:val="auto"/>
                <w:sz w:val="24"/>
                <w:szCs w:val="24"/>
                <w:lang w:eastAsia="zh-CN"/>
              </w:rPr>
              <w:t>倒班房，</w:t>
            </w:r>
            <w:r>
              <w:rPr>
                <w:rFonts w:hint="default" w:ascii="Times New Roman" w:hAnsi="Times New Roman" w:cs="Times New Roman"/>
                <w:color w:val="auto"/>
                <w:sz w:val="24"/>
                <w:szCs w:val="24"/>
              </w:rPr>
              <w:t>营运期生产车间内地坪日常清洁使用扫帚打扫，不进行冲洗。</w:t>
            </w:r>
            <w:r>
              <w:rPr>
                <w:rFonts w:hint="default" w:ascii="Times New Roman" w:hAnsi="Times New Roman" w:cs="Times New Roman"/>
                <w:color w:val="auto"/>
                <w:sz w:val="24"/>
                <w:szCs w:val="24"/>
                <w:lang w:val="en-US" w:eastAsia="zh-CN"/>
              </w:rPr>
              <w:t>注吹塑工艺使用自循环冷却系统，用于注塑机油冷器及模具的冷却。</w:t>
            </w:r>
            <w:r>
              <w:rPr>
                <w:rFonts w:hint="default" w:ascii="Times New Roman" w:hAnsi="Times New Roman" w:cs="Times New Roman"/>
                <w:color w:val="auto"/>
                <w:sz w:val="24"/>
                <w:szCs w:val="24"/>
              </w:rPr>
              <w:t>项目用水主要为生活用水</w:t>
            </w:r>
            <w:r>
              <w:rPr>
                <w:rFonts w:hint="eastAsia" w:cs="Times New Roman"/>
                <w:color w:val="auto"/>
                <w:sz w:val="24"/>
                <w:szCs w:val="24"/>
                <w:lang w:val="en-US" w:eastAsia="zh-CN"/>
              </w:rPr>
              <w:t>和生产</w:t>
            </w:r>
            <w:r>
              <w:rPr>
                <w:rFonts w:hint="default" w:ascii="Times New Roman" w:hAnsi="Times New Roman" w:cs="Times New Roman"/>
                <w:color w:val="auto"/>
                <w:sz w:val="24"/>
                <w:szCs w:val="24"/>
                <w:lang w:val="en-US" w:eastAsia="zh-CN"/>
              </w:rPr>
              <w:t>冷却用水</w:t>
            </w:r>
            <w:r>
              <w:rPr>
                <w:rFonts w:hint="default" w:ascii="Times New Roman" w:hAnsi="Times New Roman" w:cs="Times New Roman"/>
                <w:color w:val="auto"/>
                <w:sz w:val="24"/>
                <w:szCs w:val="24"/>
                <w:lang w:eastAsia="zh-CN"/>
              </w:rPr>
              <w:t>。</w:t>
            </w:r>
          </w:p>
          <w:p w14:paraId="27025FE9">
            <w:pPr>
              <w:pStyle w:val="28"/>
              <w:spacing w:line="360" w:lineRule="auto"/>
              <w:ind w:firstLine="480" w:firstLineChars="200"/>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根据建设方提供资料，项目建成后，</w:t>
            </w:r>
            <w:r>
              <w:rPr>
                <w:rFonts w:hint="eastAsia" w:ascii="Times New Roman" w:cs="Times New Roman"/>
                <w:color w:val="auto"/>
                <w:kern w:val="2"/>
                <w:sz w:val="24"/>
                <w:szCs w:val="24"/>
                <w:lang w:val="en-US" w:eastAsia="zh-CN" w:bidi="ar-SA"/>
              </w:rPr>
              <w:t>1#和2#</w:t>
            </w:r>
            <w:r>
              <w:rPr>
                <w:rFonts w:hint="default" w:ascii="Times New Roman" w:hAnsi="Times New Roman" w:eastAsia="宋体" w:cs="Times New Roman"/>
                <w:color w:val="auto"/>
                <w:kern w:val="2"/>
                <w:sz w:val="24"/>
                <w:szCs w:val="24"/>
                <w:lang w:val="en-US" w:eastAsia="zh-CN" w:bidi="ar-SA"/>
              </w:rPr>
              <w:t>厂房</w:t>
            </w:r>
            <w:r>
              <w:rPr>
                <w:rFonts w:hint="eastAsia" w:ascii="Times New Roman" w:cs="Times New Roman"/>
                <w:color w:val="auto"/>
                <w:kern w:val="2"/>
                <w:sz w:val="24"/>
                <w:szCs w:val="24"/>
                <w:lang w:val="en-US" w:eastAsia="zh-CN" w:bidi="ar-SA"/>
              </w:rPr>
              <w:t>配置自循环冷却系统</w:t>
            </w:r>
            <w:r>
              <w:rPr>
                <w:rFonts w:hint="default" w:ascii="Times New Roman" w:hAnsi="Times New Roman" w:eastAsia="宋体" w:cs="Times New Roman"/>
                <w:color w:val="auto"/>
                <w:kern w:val="2"/>
                <w:sz w:val="24"/>
                <w:szCs w:val="24"/>
                <w:lang w:val="en-US" w:eastAsia="zh-CN" w:bidi="ar-SA"/>
              </w:rPr>
              <w:t>，生产所用的废水不外排，仅定期补充新鲜用水，冷却水循环水量为</w:t>
            </w:r>
            <w:r>
              <w:rPr>
                <w:rFonts w:hint="eastAsia" w:ascii="Times New Roman" w:cs="Times New Roman"/>
                <w:color w:val="auto"/>
                <w:kern w:val="2"/>
                <w:sz w:val="24"/>
                <w:szCs w:val="24"/>
                <w:lang w:val="en-US" w:eastAsia="zh-CN" w:bidi="ar-SA"/>
              </w:rPr>
              <w:t>5</w:t>
            </w:r>
            <w:r>
              <w:rPr>
                <w:rFonts w:hint="default" w:ascii="Times New Roman" w:hAnsi="Times New Roman" w:eastAsia="宋体" w:cs="Times New Roman"/>
                <w:color w:val="auto"/>
                <w:kern w:val="2"/>
                <w:sz w:val="24"/>
                <w:szCs w:val="24"/>
                <w:lang w:val="en-US" w:eastAsia="zh-CN" w:bidi="ar-SA"/>
              </w:rPr>
              <w:t>m</w:t>
            </w:r>
            <w:r>
              <w:rPr>
                <w:rFonts w:hint="default" w:ascii="Times New Roman" w:hAnsi="Times New Roman" w:eastAsia="宋体" w:cs="Times New Roman"/>
                <w:color w:val="auto"/>
                <w:kern w:val="2"/>
                <w:sz w:val="24"/>
                <w:szCs w:val="24"/>
                <w:vertAlign w:val="superscript"/>
                <w:lang w:val="en-US" w:eastAsia="zh-CN" w:bidi="ar-SA"/>
              </w:rPr>
              <w:t>3</w:t>
            </w:r>
            <w:r>
              <w:rPr>
                <w:rFonts w:hint="default" w:ascii="Times New Roman" w:hAnsi="Times New Roman" w:eastAsia="宋体" w:cs="Times New Roman"/>
                <w:color w:val="auto"/>
                <w:kern w:val="2"/>
                <w:sz w:val="24"/>
                <w:szCs w:val="24"/>
                <w:lang w:val="en-US" w:eastAsia="zh-CN" w:bidi="ar-SA"/>
              </w:rPr>
              <w:t>/</w:t>
            </w:r>
            <w:r>
              <w:rPr>
                <w:rFonts w:hint="eastAsia" w:ascii="Times New Roman" w:cs="Times New Roman"/>
                <w:color w:val="auto"/>
                <w:kern w:val="2"/>
                <w:sz w:val="24"/>
                <w:szCs w:val="24"/>
                <w:lang w:val="en-US" w:eastAsia="zh-CN" w:bidi="ar-SA"/>
              </w:rPr>
              <w:t>d</w:t>
            </w:r>
            <w:r>
              <w:rPr>
                <w:rFonts w:hint="default" w:ascii="Times New Roman" w:hAnsi="Times New Roman" w:eastAsia="宋体" w:cs="Times New Roman"/>
                <w:color w:val="auto"/>
                <w:kern w:val="2"/>
                <w:sz w:val="24"/>
                <w:szCs w:val="24"/>
                <w:lang w:val="en-US" w:eastAsia="zh-CN" w:bidi="ar-SA"/>
              </w:rPr>
              <w:t>，年用水量为</w:t>
            </w:r>
            <w:r>
              <w:rPr>
                <w:rFonts w:hint="eastAsia" w:ascii="Times New Roman" w:cs="Times New Roman"/>
                <w:color w:val="auto"/>
                <w:kern w:val="2"/>
                <w:sz w:val="24"/>
                <w:szCs w:val="24"/>
                <w:lang w:val="en-US" w:eastAsia="zh-CN" w:bidi="ar-SA"/>
              </w:rPr>
              <w:t>1500</w:t>
            </w:r>
            <w:r>
              <w:rPr>
                <w:rFonts w:hint="default" w:ascii="Times New Roman" w:hAnsi="Times New Roman" w:eastAsia="宋体" w:cs="Times New Roman"/>
                <w:color w:val="auto"/>
                <w:kern w:val="2"/>
                <w:sz w:val="24"/>
                <w:szCs w:val="24"/>
                <w:lang w:val="en-US" w:eastAsia="zh-CN" w:bidi="ar-SA"/>
              </w:rPr>
              <w:t>m</w:t>
            </w:r>
            <w:r>
              <w:rPr>
                <w:rFonts w:hint="default" w:ascii="Times New Roman" w:hAnsi="Times New Roman" w:eastAsia="宋体" w:cs="Times New Roman"/>
                <w:color w:val="auto"/>
                <w:kern w:val="2"/>
                <w:sz w:val="24"/>
                <w:szCs w:val="24"/>
                <w:vertAlign w:val="superscript"/>
                <w:lang w:val="en-US" w:eastAsia="zh-CN" w:bidi="ar-SA"/>
              </w:rPr>
              <w:t>3</w:t>
            </w:r>
            <w:r>
              <w:rPr>
                <w:rFonts w:hint="default" w:ascii="Times New Roman" w:hAnsi="Times New Roman" w:eastAsia="宋体" w:cs="Times New Roman"/>
                <w:color w:val="auto"/>
                <w:kern w:val="2"/>
                <w:sz w:val="24"/>
                <w:szCs w:val="24"/>
                <w:lang w:val="en-US" w:eastAsia="zh-CN" w:bidi="ar-SA"/>
              </w:rPr>
              <w:t>/a。循环用水每天耗损量为2%（类比同行业），则新鲜水补充量为</w:t>
            </w:r>
            <w:r>
              <w:rPr>
                <w:rFonts w:hint="eastAsia" w:ascii="Times New Roman" w:cs="Times New Roman"/>
                <w:color w:val="auto"/>
                <w:kern w:val="2"/>
                <w:sz w:val="24"/>
                <w:szCs w:val="24"/>
                <w:lang w:val="en-US" w:eastAsia="zh-CN" w:bidi="ar-SA"/>
              </w:rPr>
              <w:t>0.1</w:t>
            </w:r>
            <w:r>
              <w:rPr>
                <w:rFonts w:hint="default" w:ascii="Times New Roman" w:hAnsi="Times New Roman" w:eastAsia="宋体" w:cs="Times New Roman"/>
                <w:color w:val="auto"/>
                <w:kern w:val="2"/>
                <w:sz w:val="24"/>
                <w:szCs w:val="24"/>
                <w:lang w:val="en-US" w:eastAsia="zh-CN" w:bidi="ar-SA"/>
              </w:rPr>
              <w:t>m</w:t>
            </w:r>
            <w:r>
              <w:rPr>
                <w:rFonts w:hint="default" w:ascii="Times New Roman" w:hAnsi="Times New Roman" w:eastAsia="宋体" w:cs="Times New Roman"/>
                <w:color w:val="auto"/>
                <w:kern w:val="2"/>
                <w:sz w:val="24"/>
                <w:szCs w:val="24"/>
                <w:vertAlign w:val="superscript"/>
                <w:lang w:val="en-US" w:eastAsia="zh-CN" w:bidi="ar-SA"/>
              </w:rPr>
              <w:t>3</w:t>
            </w:r>
            <w:r>
              <w:rPr>
                <w:rFonts w:hint="default" w:ascii="Times New Roman" w:hAnsi="Times New Roman" w:eastAsia="宋体" w:cs="Times New Roman"/>
                <w:color w:val="auto"/>
                <w:kern w:val="2"/>
                <w:sz w:val="24"/>
                <w:szCs w:val="24"/>
                <w:lang w:val="en-US" w:eastAsia="zh-CN" w:bidi="ar-SA"/>
              </w:rPr>
              <w:t>/d，年用水量</w:t>
            </w:r>
            <w:r>
              <w:rPr>
                <w:rFonts w:hint="eastAsia" w:ascii="Times New Roman" w:cs="Times New Roman"/>
                <w:color w:val="auto"/>
                <w:kern w:val="2"/>
                <w:sz w:val="24"/>
                <w:szCs w:val="24"/>
                <w:lang w:val="en-US" w:eastAsia="zh-CN" w:bidi="ar-SA"/>
              </w:rPr>
              <w:t>30</w:t>
            </w:r>
            <w:r>
              <w:rPr>
                <w:rFonts w:hint="default" w:ascii="Times New Roman" w:hAnsi="Times New Roman" w:eastAsia="宋体" w:cs="Times New Roman"/>
                <w:color w:val="auto"/>
                <w:kern w:val="2"/>
                <w:sz w:val="24"/>
                <w:szCs w:val="24"/>
                <w:lang w:val="en-US" w:eastAsia="zh-CN" w:bidi="ar-SA"/>
              </w:rPr>
              <w:t>m</w:t>
            </w:r>
            <w:r>
              <w:rPr>
                <w:rFonts w:hint="default" w:ascii="Times New Roman" w:hAnsi="Times New Roman" w:eastAsia="宋体" w:cs="Times New Roman"/>
                <w:color w:val="auto"/>
                <w:kern w:val="2"/>
                <w:sz w:val="24"/>
                <w:szCs w:val="24"/>
                <w:vertAlign w:val="superscript"/>
                <w:lang w:val="en-US" w:eastAsia="zh-CN" w:bidi="ar-SA"/>
              </w:rPr>
              <w:t>3</w:t>
            </w:r>
            <w:r>
              <w:rPr>
                <w:rFonts w:hint="default" w:ascii="Times New Roman" w:hAnsi="Times New Roman" w:eastAsia="宋体" w:cs="Times New Roman"/>
                <w:color w:val="auto"/>
                <w:kern w:val="2"/>
                <w:sz w:val="24"/>
                <w:szCs w:val="24"/>
                <w:lang w:val="en-US" w:eastAsia="zh-CN" w:bidi="ar-SA"/>
              </w:rPr>
              <w:t>/a。</w:t>
            </w:r>
          </w:p>
          <w:p w14:paraId="2E69849F">
            <w:pPr>
              <w:pStyle w:val="28"/>
              <w:spacing w:line="360" w:lineRule="auto"/>
              <w:ind w:firstLine="480" w:firstLineChars="200"/>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本项目职工定员</w:t>
            </w:r>
            <w:r>
              <w:rPr>
                <w:rFonts w:hint="eastAsia" w:ascii="Times New Roman" w:cs="Times New Roman"/>
                <w:color w:val="auto"/>
                <w:kern w:val="2"/>
                <w:sz w:val="24"/>
                <w:szCs w:val="24"/>
                <w:lang w:val="en-US" w:eastAsia="zh-CN" w:bidi="ar-SA"/>
              </w:rPr>
              <w:t>59</w:t>
            </w:r>
            <w:r>
              <w:rPr>
                <w:rFonts w:hint="default" w:ascii="Times New Roman" w:hAnsi="Times New Roman" w:eastAsia="宋体" w:cs="Times New Roman"/>
                <w:color w:val="auto"/>
                <w:kern w:val="2"/>
                <w:sz w:val="24"/>
                <w:szCs w:val="24"/>
                <w:lang w:val="en-US" w:eastAsia="zh-CN" w:bidi="ar-SA"/>
              </w:rPr>
              <w:t>人，项目设食堂和职工倒班房，每天的生活用水量职工按照150L/人•d 计算，则生活用水量为</w:t>
            </w:r>
            <w:r>
              <w:rPr>
                <w:rFonts w:hint="eastAsia" w:ascii="Times New Roman" w:cs="Times New Roman"/>
                <w:color w:val="auto"/>
                <w:kern w:val="2"/>
                <w:sz w:val="24"/>
                <w:szCs w:val="24"/>
                <w:lang w:val="en-US" w:eastAsia="zh-CN" w:bidi="ar-SA"/>
              </w:rPr>
              <w:t>8.85</w:t>
            </w:r>
            <w:r>
              <w:rPr>
                <w:rFonts w:hint="default" w:ascii="Times New Roman" w:hAnsi="Times New Roman" w:eastAsia="宋体" w:cs="Times New Roman"/>
                <w:color w:val="auto"/>
                <w:kern w:val="2"/>
                <w:sz w:val="24"/>
                <w:szCs w:val="24"/>
                <w:lang w:val="en-US" w:eastAsia="zh-CN" w:bidi="ar-SA"/>
              </w:rPr>
              <w:t>m</w:t>
            </w:r>
            <w:r>
              <w:rPr>
                <w:rFonts w:hint="default" w:ascii="Times New Roman" w:hAnsi="Times New Roman" w:eastAsia="宋体" w:cs="Times New Roman"/>
                <w:color w:val="auto"/>
                <w:kern w:val="2"/>
                <w:sz w:val="24"/>
                <w:szCs w:val="24"/>
                <w:vertAlign w:val="superscript"/>
                <w:lang w:val="en-US" w:eastAsia="zh-CN" w:bidi="ar-SA"/>
              </w:rPr>
              <w:t>3</w:t>
            </w:r>
            <w:r>
              <w:rPr>
                <w:rFonts w:hint="default" w:ascii="Times New Roman" w:hAnsi="Times New Roman" w:eastAsia="宋体" w:cs="Times New Roman"/>
                <w:color w:val="auto"/>
                <w:kern w:val="2"/>
                <w:sz w:val="24"/>
                <w:szCs w:val="24"/>
                <w:lang w:val="en-US" w:eastAsia="zh-CN" w:bidi="ar-SA"/>
              </w:rPr>
              <w:t>/d。排水量按用水量的80%，项目产生的生活污水量为</w:t>
            </w:r>
            <w:r>
              <w:rPr>
                <w:rFonts w:hint="eastAsia" w:ascii="Times New Roman" w:cs="Times New Roman"/>
                <w:color w:val="auto"/>
                <w:kern w:val="2"/>
                <w:sz w:val="24"/>
                <w:szCs w:val="24"/>
                <w:lang w:val="en-US" w:eastAsia="zh-CN" w:bidi="ar-SA"/>
              </w:rPr>
              <w:t>7.08</w:t>
            </w:r>
            <w:r>
              <w:rPr>
                <w:rFonts w:hint="default" w:ascii="Times New Roman" w:hAnsi="Times New Roman" w:eastAsia="宋体" w:cs="Times New Roman"/>
                <w:color w:val="auto"/>
                <w:kern w:val="2"/>
                <w:sz w:val="24"/>
                <w:szCs w:val="24"/>
                <w:lang w:val="en-US" w:eastAsia="zh-CN" w:bidi="ar-SA"/>
              </w:rPr>
              <w:t>m</w:t>
            </w:r>
            <w:r>
              <w:rPr>
                <w:rFonts w:hint="default" w:ascii="Times New Roman" w:hAnsi="Times New Roman" w:eastAsia="宋体" w:cs="Times New Roman"/>
                <w:color w:val="auto"/>
                <w:kern w:val="2"/>
                <w:sz w:val="24"/>
                <w:szCs w:val="24"/>
                <w:vertAlign w:val="superscript"/>
                <w:lang w:val="en-US" w:eastAsia="zh-CN" w:bidi="ar-SA"/>
              </w:rPr>
              <w:t>3</w:t>
            </w:r>
            <w:r>
              <w:rPr>
                <w:rFonts w:hint="default" w:ascii="Times New Roman" w:hAnsi="Times New Roman" w:eastAsia="宋体" w:cs="Times New Roman"/>
                <w:color w:val="auto"/>
                <w:kern w:val="2"/>
                <w:sz w:val="24"/>
                <w:szCs w:val="24"/>
                <w:lang w:val="en-US" w:eastAsia="zh-CN" w:bidi="ar-SA"/>
              </w:rPr>
              <w:t>/d，经预处理池处理达到《污水综合排放标准》（GB8978-1996）三级标准后排入园区污水管网，经龙眼井污水处理厂处理达《城镇污水处理厂污染物排放标准》（GB18918-2002）一级A标准后排至琼江。</w:t>
            </w:r>
          </w:p>
          <w:p w14:paraId="06080D07">
            <w:pPr>
              <w:pStyle w:val="28"/>
              <w:spacing w:line="360" w:lineRule="auto"/>
              <w:ind w:firstLine="480" w:firstLineChars="200"/>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另评价要求企业建设食堂废水隔油设施，食堂废水经隔油处理后再进入预处理池处理达到《污水综合排放标准》（GB8978-1996）三级标准。</w:t>
            </w:r>
          </w:p>
          <w:p w14:paraId="210C61DD">
            <w:pPr>
              <w:pStyle w:val="28"/>
              <w:spacing w:line="360" w:lineRule="auto"/>
              <w:ind w:firstLine="480" w:firstLineChars="200"/>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隔油池要求：项目建设完成后，企业食堂服务人数</w:t>
            </w:r>
            <w:r>
              <w:rPr>
                <w:rFonts w:hint="eastAsia" w:ascii="Times New Roman" w:cs="Times New Roman"/>
                <w:color w:val="auto"/>
                <w:kern w:val="2"/>
                <w:sz w:val="24"/>
                <w:szCs w:val="24"/>
                <w:lang w:val="en-US" w:eastAsia="zh-CN" w:bidi="ar-SA"/>
              </w:rPr>
              <w:t>59</w:t>
            </w:r>
            <w:r>
              <w:rPr>
                <w:rFonts w:hint="default" w:ascii="Times New Roman" w:hAnsi="Times New Roman" w:eastAsia="宋体" w:cs="Times New Roman"/>
                <w:color w:val="auto"/>
                <w:kern w:val="2"/>
                <w:sz w:val="24"/>
                <w:szCs w:val="24"/>
                <w:lang w:val="en-US" w:eastAsia="zh-CN" w:bidi="ar-SA"/>
              </w:rPr>
              <w:t>人，食堂用水0.06 m</w:t>
            </w:r>
            <w:r>
              <w:rPr>
                <w:rFonts w:hint="default" w:ascii="Times New Roman" w:hAnsi="Times New Roman" w:eastAsia="宋体" w:cs="Times New Roman"/>
                <w:color w:val="auto"/>
                <w:kern w:val="2"/>
                <w:sz w:val="24"/>
                <w:szCs w:val="24"/>
                <w:vertAlign w:val="superscript"/>
                <w:lang w:val="en-US" w:eastAsia="zh-CN" w:bidi="ar-SA"/>
              </w:rPr>
              <w:t>3</w:t>
            </w:r>
            <w:r>
              <w:rPr>
                <w:rFonts w:hint="default" w:ascii="Times New Roman" w:hAnsi="Times New Roman" w:eastAsia="宋体" w:cs="Times New Roman"/>
                <w:color w:val="auto"/>
                <w:kern w:val="2"/>
                <w:sz w:val="24"/>
                <w:szCs w:val="24"/>
                <w:lang w:val="en-US" w:eastAsia="zh-CN" w:bidi="ar-SA"/>
              </w:rPr>
              <w:t>/人·d 计，则用水量为</w:t>
            </w:r>
            <w:r>
              <w:rPr>
                <w:rFonts w:hint="eastAsia" w:ascii="Times New Roman" w:cs="Times New Roman"/>
                <w:color w:val="auto"/>
                <w:kern w:val="2"/>
                <w:sz w:val="24"/>
                <w:szCs w:val="24"/>
                <w:lang w:val="en-US" w:eastAsia="zh-CN" w:bidi="ar-SA"/>
              </w:rPr>
              <w:t>3.54</w:t>
            </w:r>
            <w:r>
              <w:rPr>
                <w:rFonts w:hint="default" w:ascii="Times New Roman" w:hAnsi="Times New Roman" w:eastAsia="宋体" w:cs="Times New Roman"/>
                <w:color w:val="auto"/>
                <w:kern w:val="2"/>
                <w:sz w:val="24"/>
                <w:szCs w:val="24"/>
                <w:lang w:val="en-US" w:eastAsia="zh-CN" w:bidi="ar-SA"/>
              </w:rPr>
              <w:t>m</w:t>
            </w:r>
            <w:r>
              <w:rPr>
                <w:rFonts w:hint="default" w:ascii="Times New Roman" w:hAnsi="Times New Roman" w:eastAsia="宋体" w:cs="Times New Roman"/>
                <w:color w:val="auto"/>
                <w:kern w:val="2"/>
                <w:sz w:val="24"/>
                <w:szCs w:val="24"/>
                <w:vertAlign w:val="superscript"/>
                <w:lang w:val="en-US" w:eastAsia="zh-CN" w:bidi="ar-SA"/>
              </w:rPr>
              <w:t>3</w:t>
            </w:r>
            <w:r>
              <w:rPr>
                <w:rFonts w:hint="default" w:ascii="Times New Roman" w:hAnsi="Times New Roman" w:eastAsia="宋体" w:cs="Times New Roman"/>
                <w:color w:val="auto"/>
                <w:kern w:val="2"/>
                <w:sz w:val="24"/>
                <w:szCs w:val="24"/>
                <w:lang w:val="en-US" w:eastAsia="zh-CN" w:bidi="ar-SA"/>
              </w:rPr>
              <w:t>/d，排水量以80%计算，含油废水排放总量为</w:t>
            </w:r>
            <w:r>
              <w:rPr>
                <w:rFonts w:hint="eastAsia" w:ascii="Times New Roman" w:cs="Times New Roman"/>
                <w:color w:val="auto"/>
                <w:kern w:val="2"/>
                <w:sz w:val="24"/>
                <w:szCs w:val="24"/>
                <w:lang w:val="en-US" w:eastAsia="zh-CN" w:bidi="ar-SA"/>
              </w:rPr>
              <w:t>2.83</w:t>
            </w:r>
            <w:r>
              <w:rPr>
                <w:rFonts w:hint="default" w:ascii="Times New Roman" w:hAnsi="Times New Roman" w:eastAsia="宋体" w:cs="Times New Roman"/>
                <w:color w:val="auto"/>
                <w:kern w:val="2"/>
                <w:sz w:val="24"/>
                <w:szCs w:val="24"/>
                <w:lang w:val="en-US" w:eastAsia="zh-CN" w:bidi="ar-SA"/>
              </w:rPr>
              <w:t>m</w:t>
            </w:r>
            <w:r>
              <w:rPr>
                <w:rFonts w:hint="default" w:ascii="Times New Roman" w:hAnsi="Times New Roman" w:eastAsia="宋体" w:cs="Times New Roman"/>
                <w:color w:val="auto"/>
                <w:kern w:val="2"/>
                <w:sz w:val="24"/>
                <w:szCs w:val="24"/>
                <w:vertAlign w:val="superscript"/>
                <w:lang w:val="en-US" w:eastAsia="zh-CN" w:bidi="ar-SA"/>
              </w:rPr>
              <w:t>3</w:t>
            </w:r>
            <w:r>
              <w:rPr>
                <w:rFonts w:hint="default" w:ascii="Times New Roman" w:hAnsi="Times New Roman" w:eastAsia="宋体" w:cs="Times New Roman"/>
                <w:color w:val="auto"/>
                <w:kern w:val="2"/>
                <w:sz w:val="24"/>
                <w:szCs w:val="24"/>
                <w:lang w:val="en-US" w:eastAsia="zh-CN" w:bidi="ar-SA"/>
              </w:rPr>
              <w:t>/d，参照《饮食业环境保护技术规范》（HJ554-2010）中要求：含油废水应经隔油设施处理后排放。含油废水的水力停留时间不宜小于0.5h；池内水流流速不宜大于0.005m/s；池内分格宜取二档三格；人工除油的隔油池内存油部分容积不宜小于该池有效容积的25%；隔油池出水管管底至池底的深度，不宜小于0.6m；与隔油池相连的管道均应防酸碱、耐高温。项目烹任时间全天共5小时，高峰阶段小时排水量 1.44m</w:t>
            </w:r>
            <w:r>
              <w:rPr>
                <w:rFonts w:hint="default" w:ascii="Times New Roman" w:hAnsi="Times New Roman" w:eastAsia="宋体" w:cs="Times New Roman"/>
                <w:color w:val="auto"/>
                <w:kern w:val="2"/>
                <w:sz w:val="24"/>
                <w:szCs w:val="24"/>
                <w:vertAlign w:val="superscript"/>
                <w:lang w:val="en-US" w:eastAsia="zh-CN" w:bidi="ar-SA"/>
              </w:rPr>
              <w:t>3</w:t>
            </w:r>
            <w:r>
              <w:rPr>
                <w:rFonts w:hint="default" w:ascii="Times New Roman" w:hAnsi="Times New Roman" w:eastAsia="宋体" w:cs="Times New Roman"/>
                <w:color w:val="auto"/>
                <w:kern w:val="2"/>
                <w:sz w:val="24"/>
                <w:szCs w:val="24"/>
                <w:lang w:val="en-US" w:eastAsia="zh-CN" w:bidi="ar-SA"/>
              </w:rPr>
              <w:t>/h（水力变化系数 1.5），水力停留时间0.5h计，评价要求建设2m</w:t>
            </w:r>
            <w:r>
              <w:rPr>
                <w:rFonts w:hint="default" w:ascii="Times New Roman" w:hAnsi="Times New Roman" w:eastAsia="宋体" w:cs="Times New Roman"/>
                <w:color w:val="auto"/>
                <w:kern w:val="2"/>
                <w:sz w:val="24"/>
                <w:szCs w:val="24"/>
                <w:vertAlign w:val="superscript"/>
                <w:lang w:val="en-US" w:eastAsia="zh-CN" w:bidi="ar-SA"/>
              </w:rPr>
              <w:t>3</w:t>
            </w:r>
            <w:r>
              <w:rPr>
                <w:rFonts w:hint="default" w:ascii="Times New Roman" w:hAnsi="Times New Roman" w:eastAsia="宋体" w:cs="Times New Roman"/>
                <w:color w:val="auto"/>
                <w:kern w:val="2"/>
                <w:sz w:val="24"/>
                <w:szCs w:val="24"/>
                <w:lang w:val="en-US" w:eastAsia="zh-CN" w:bidi="ar-SA"/>
              </w:rPr>
              <w:t>/h处理能力的隔油池以满足食堂含油废水预处理要求。</w:t>
            </w:r>
          </w:p>
          <w:p w14:paraId="115B74ED">
            <w:pPr>
              <w:pStyle w:val="28"/>
              <w:spacing w:line="360" w:lineRule="auto"/>
              <w:ind w:firstLine="480" w:firstLineChars="200"/>
              <w:rPr>
                <w:rFonts w:hint="default" w:ascii="Times New Roman" w:hAnsi="Times New Roman" w:cs="Times New Roman"/>
                <w:color w:val="auto"/>
                <w:sz w:val="24"/>
                <w:szCs w:val="24"/>
                <w:lang w:eastAsia="zh-CN"/>
              </w:rPr>
            </w:pPr>
            <w:r>
              <w:rPr>
                <w:rFonts w:hint="default" w:ascii="Times New Roman" w:hAnsi="Times New Roman" w:eastAsia="宋体" w:cs="Times New Roman"/>
                <w:color w:val="auto"/>
                <w:kern w:val="2"/>
                <w:sz w:val="24"/>
                <w:szCs w:val="24"/>
                <w:lang w:val="en-US" w:eastAsia="zh-CN" w:bidi="ar-SA"/>
              </w:rPr>
              <w:t>预处理池处理能力分析：企业拟建污水预处理池有效容积为</w:t>
            </w:r>
            <w:r>
              <w:rPr>
                <w:rFonts w:hint="eastAsia" w:ascii="Times New Roman" w:cs="Times New Roman"/>
                <w:color w:val="auto"/>
                <w:kern w:val="2"/>
                <w:sz w:val="24"/>
                <w:szCs w:val="24"/>
                <w:lang w:val="en-US" w:eastAsia="zh-CN" w:bidi="ar-SA"/>
              </w:rPr>
              <w:t>2</w:t>
            </w:r>
            <w:r>
              <w:rPr>
                <w:rFonts w:hint="default" w:ascii="Times New Roman" w:hAnsi="Times New Roman" w:eastAsia="宋体" w:cs="Times New Roman"/>
                <w:color w:val="auto"/>
                <w:kern w:val="2"/>
                <w:sz w:val="24"/>
                <w:szCs w:val="24"/>
                <w:lang w:val="en-US" w:eastAsia="zh-CN" w:bidi="ar-SA"/>
              </w:rPr>
              <w:t>0m</w:t>
            </w:r>
            <w:r>
              <w:rPr>
                <w:rFonts w:hint="default" w:ascii="Times New Roman" w:hAnsi="Times New Roman" w:eastAsia="宋体" w:cs="Times New Roman"/>
                <w:color w:val="auto"/>
                <w:kern w:val="2"/>
                <w:sz w:val="24"/>
                <w:szCs w:val="24"/>
                <w:vertAlign w:val="superscript"/>
                <w:lang w:val="en-US" w:eastAsia="zh-CN" w:bidi="ar-SA"/>
              </w:rPr>
              <w:t>3</w:t>
            </w:r>
            <w:r>
              <w:rPr>
                <w:rFonts w:hint="default" w:ascii="Times New Roman" w:hAnsi="Times New Roman" w:eastAsia="宋体" w:cs="Times New Roman"/>
                <w:color w:val="auto"/>
                <w:kern w:val="2"/>
                <w:sz w:val="24"/>
                <w:szCs w:val="24"/>
                <w:lang w:val="en-US" w:eastAsia="zh-CN" w:bidi="ar-SA"/>
              </w:rPr>
              <w:t>，项目废水总排放量</w:t>
            </w:r>
            <w:r>
              <w:rPr>
                <w:rFonts w:hint="eastAsia" w:ascii="Times New Roman" w:cs="Times New Roman"/>
                <w:color w:val="auto"/>
                <w:kern w:val="2"/>
                <w:sz w:val="24"/>
                <w:szCs w:val="24"/>
                <w:lang w:val="en-US" w:eastAsia="zh-CN" w:bidi="ar-SA"/>
              </w:rPr>
              <w:t>7.08</w:t>
            </w:r>
            <w:r>
              <w:rPr>
                <w:rFonts w:hint="default" w:ascii="Times New Roman" w:hAnsi="Times New Roman" w:eastAsia="宋体" w:cs="Times New Roman"/>
                <w:color w:val="auto"/>
                <w:kern w:val="2"/>
                <w:sz w:val="24"/>
                <w:szCs w:val="24"/>
                <w:lang w:val="en-US" w:eastAsia="zh-CN" w:bidi="ar-SA"/>
              </w:rPr>
              <w:t>m</w:t>
            </w:r>
            <w:r>
              <w:rPr>
                <w:rFonts w:hint="default" w:ascii="Times New Roman" w:hAnsi="Times New Roman" w:eastAsia="宋体" w:cs="Times New Roman"/>
                <w:color w:val="auto"/>
                <w:kern w:val="2"/>
                <w:sz w:val="24"/>
                <w:szCs w:val="24"/>
                <w:vertAlign w:val="superscript"/>
                <w:lang w:val="en-US" w:eastAsia="zh-CN" w:bidi="ar-SA"/>
              </w:rPr>
              <w:t>3</w:t>
            </w:r>
            <w:r>
              <w:rPr>
                <w:rFonts w:hint="default" w:ascii="Times New Roman" w:hAnsi="Times New Roman" w:eastAsia="宋体" w:cs="Times New Roman"/>
                <w:color w:val="auto"/>
                <w:kern w:val="2"/>
                <w:sz w:val="24"/>
                <w:szCs w:val="24"/>
                <w:lang w:val="en-US" w:eastAsia="zh-CN" w:bidi="ar-SA"/>
              </w:rPr>
              <w:t>/d，故拟建污水预处理池能满足项目废水处理和暂存需求。</w:t>
            </w:r>
          </w:p>
          <w:p w14:paraId="1E7FE786">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本项目水污染物产生及排放情况见表5-</w:t>
            </w:r>
            <w:r>
              <w:rPr>
                <w:rFonts w:hint="eastAsia" w:cs="Times New Roman"/>
                <w:color w:val="auto"/>
                <w:sz w:val="24"/>
                <w:szCs w:val="24"/>
                <w:lang w:val="en-US" w:eastAsia="zh-CN"/>
              </w:rPr>
              <w:t>4</w:t>
            </w:r>
            <w:r>
              <w:rPr>
                <w:rFonts w:hint="default" w:ascii="Times New Roman" w:hAnsi="Times New Roman" w:cs="Times New Roman"/>
                <w:color w:val="auto"/>
                <w:sz w:val="24"/>
                <w:szCs w:val="24"/>
              </w:rPr>
              <w:t>。</w:t>
            </w:r>
          </w:p>
          <w:p w14:paraId="48F5C4E0">
            <w:pPr>
              <w:spacing w:line="360" w:lineRule="auto"/>
              <w:jc w:val="center"/>
              <w:rPr>
                <w:rFonts w:hint="default" w:ascii="Times New Roman" w:hAnsi="Times New Roman" w:cs="Times New Roman" w:eastAsiaTheme="minorEastAsia"/>
                <w:b/>
                <w:bCs/>
                <w:color w:val="auto"/>
                <w:sz w:val="24"/>
                <w:szCs w:val="24"/>
              </w:rPr>
            </w:pPr>
            <w:r>
              <w:rPr>
                <w:rFonts w:hint="default" w:ascii="Times New Roman" w:hAnsi="Times New Roman" w:cs="Times New Roman" w:eastAsiaTheme="minorEastAsia"/>
                <w:b/>
                <w:bCs/>
                <w:color w:val="auto"/>
                <w:szCs w:val="21"/>
              </w:rPr>
              <w:t>表5-</w:t>
            </w:r>
            <w:r>
              <w:rPr>
                <w:rFonts w:hint="eastAsia" w:cs="Times New Roman" w:eastAsiaTheme="minorEastAsia"/>
                <w:b/>
                <w:bCs/>
                <w:color w:val="auto"/>
                <w:szCs w:val="21"/>
                <w:lang w:val="en-US" w:eastAsia="zh-CN"/>
              </w:rPr>
              <w:t>4</w:t>
            </w:r>
            <w:r>
              <w:rPr>
                <w:rFonts w:hint="default" w:ascii="Times New Roman" w:hAnsi="Times New Roman" w:cs="Times New Roman" w:eastAsiaTheme="minorEastAsia"/>
                <w:b/>
                <w:bCs/>
                <w:color w:val="auto"/>
                <w:szCs w:val="21"/>
              </w:rPr>
              <w:t xml:space="preserve">  本项目污水产生及排放情况</w:t>
            </w:r>
          </w:p>
          <w:tbl>
            <w:tblPr>
              <w:tblStyle w:val="23"/>
              <w:tblW w:w="997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04"/>
              <w:gridCol w:w="1668"/>
              <w:gridCol w:w="1"/>
              <w:gridCol w:w="2078"/>
              <w:gridCol w:w="1"/>
              <w:gridCol w:w="1022"/>
              <w:gridCol w:w="1025"/>
              <w:gridCol w:w="817"/>
              <w:gridCol w:w="875"/>
              <w:gridCol w:w="1087"/>
            </w:tblGrid>
            <w:tr w14:paraId="61AA3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073" w:type="dxa"/>
                  <w:gridSpan w:val="3"/>
                  <w:tcBorders>
                    <w:top w:val="single" w:color="auto" w:sz="4" w:space="0"/>
                    <w:left w:val="single" w:color="auto" w:sz="4" w:space="0"/>
                    <w:bottom w:val="single" w:color="auto" w:sz="4" w:space="0"/>
                    <w:right w:val="single" w:color="auto" w:sz="4" w:space="0"/>
                  </w:tcBorders>
                  <w:vAlign w:val="center"/>
                </w:tcPr>
                <w:p w14:paraId="0A06896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废水性质</w:t>
                  </w:r>
                </w:p>
              </w:tc>
              <w:tc>
                <w:tcPr>
                  <w:tcW w:w="2079" w:type="dxa"/>
                  <w:gridSpan w:val="2"/>
                  <w:tcBorders>
                    <w:top w:val="single" w:color="auto" w:sz="4" w:space="0"/>
                    <w:left w:val="single" w:color="auto" w:sz="4" w:space="0"/>
                    <w:bottom w:val="single" w:color="auto" w:sz="4" w:space="0"/>
                    <w:right w:val="single" w:color="auto" w:sz="4" w:space="0"/>
                  </w:tcBorders>
                  <w:vAlign w:val="center"/>
                </w:tcPr>
                <w:p w14:paraId="688B1AA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废水量（万m</w:t>
                  </w:r>
                  <w:r>
                    <w:rPr>
                      <w:rFonts w:hint="default" w:ascii="Times New Roman" w:hAnsi="Times New Roman" w:cs="Times New Roman"/>
                      <w:color w:val="auto"/>
                      <w:sz w:val="21"/>
                      <w:szCs w:val="21"/>
                      <w:vertAlign w:val="superscript"/>
                    </w:rPr>
                    <w:t>3</w:t>
                  </w:r>
                  <w:r>
                    <w:rPr>
                      <w:rFonts w:hint="default" w:ascii="Times New Roman" w:hAnsi="Times New Roman" w:cs="Times New Roman"/>
                      <w:color w:val="auto"/>
                      <w:sz w:val="21"/>
                      <w:szCs w:val="21"/>
                    </w:rPr>
                    <w:t>/a）</w:t>
                  </w:r>
                </w:p>
              </w:tc>
              <w:tc>
                <w:tcPr>
                  <w:tcW w:w="1022" w:type="dxa"/>
                  <w:tcBorders>
                    <w:top w:val="single" w:color="auto" w:sz="4" w:space="0"/>
                    <w:left w:val="single" w:color="auto" w:sz="4" w:space="0"/>
                    <w:bottom w:val="single" w:color="auto" w:sz="4" w:space="0"/>
                    <w:right w:val="single" w:color="auto" w:sz="4" w:space="0"/>
                  </w:tcBorders>
                  <w:vAlign w:val="center"/>
                </w:tcPr>
                <w:p w14:paraId="63CCD46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COD</w:t>
                  </w:r>
                </w:p>
              </w:tc>
              <w:tc>
                <w:tcPr>
                  <w:tcW w:w="1025" w:type="dxa"/>
                  <w:tcBorders>
                    <w:top w:val="single" w:color="auto" w:sz="4" w:space="0"/>
                    <w:left w:val="single" w:color="auto" w:sz="4" w:space="0"/>
                    <w:bottom w:val="single" w:color="auto" w:sz="4" w:space="0"/>
                    <w:right w:val="single" w:color="auto" w:sz="4" w:space="0"/>
                  </w:tcBorders>
                  <w:vAlign w:val="center"/>
                </w:tcPr>
                <w:p w14:paraId="01B7449D">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BOD</w:t>
                  </w:r>
                  <w:r>
                    <w:rPr>
                      <w:rFonts w:hint="default" w:ascii="Times New Roman" w:hAnsi="Times New Roman" w:cs="Times New Roman"/>
                      <w:color w:val="auto"/>
                      <w:sz w:val="21"/>
                      <w:szCs w:val="21"/>
                      <w:vertAlign w:val="subscript"/>
                    </w:rPr>
                    <w:t>5</w:t>
                  </w:r>
                </w:p>
              </w:tc>
              <w:tc>
                <w:tcPr>
                  <w:tcW w:w="817" w:type="dxa"/>
                  <w:tcBorders>
                    <w:top w:val="single" w:color="auto" w:sz="4" w:space="0"/>
                    <w:left w:val="single" w:color="auto" w:sz="4" w:space="0"/>
                    <w:bottom w:val="single" w:color="auto" w:sz="4" w:space="0"/>
                    <w:right w:val="single" w:color="auto" w:sz="4" w:space="0"/>
                  </w:tcBorders>
                  <w:vAlign w:val="center"/>
                </w:tcPr>
                <w:p w14:paraId="465043BD">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SS</w:t>
                  </w:r>
                </w:p>
              </w:tc>
              <w:tc>
                <w:tcPr>
                  <w:tcW w:w="875" w:type="dxa"/>
                  <w:tcBorders>
                    <w:top w:val="single" w:color="auto" w:sz="4" w:space="0"/>
                    <w:left w:val="single" w:color="auto" w:sz="4" w:space="0"/>
                    <w:bottom w:val="single" w:color="auto" w:sz="4" w:space="0"/>
                    <w:right w:val="single" w:color="auto" w:sz="4" w:space="0"/>
                  </w:tcBorders>
                  <w:vAlign w:val="center"/>
                </w:tcPr>
                <w:p w14:paraId="3616E53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NH</w:t>
                  </w:r>
                  <w:r>
                    <w:rPr>
                      <w:rFonts w:hint="default" w:ascii="Times New Roman" w:hAnsi="Times New Roman" w:cs="Times New Roman"/>
                      <w:color w:val="auto"/>
                      <w:sz w:val="21"/>
                      <w:szCs w:val="21"/>
                      <w:vertAlign w:val="subscript"/>
                    </w:rPr>
                    <w:t>3</w:t>
                  </w:r>
                  <w:r>
                    <w:rPr>
                      <w:rFonts w:hint="default" w:ascii="Times New Roman" w:hAnsi="Times New Roman" w:cs="Times New Roman"/>
                      <w:color w:val="auto"/>
                      <w:sz w:val="21"/>
                      <w:szCs w:val="21"/>
                    </w:rPr>
                    <w:t>-N</w:t>
                  </w:r>
                </w:p>
              </w:tc>
              <w:tc>
                <w:tcPr>
                  <w:tcW w:w="1087" w:type="dxa"/>
                  <w:tcBorders>
                    <w:top w:val="single" w:color="auto" w:sz="4" w:space="0"/>
                    <w:left w:val="single" w:color="auto" w:sz="4" w:space="0"/>
                    <w:bottom w:val="single" w:color="auto" w:sz="4" w:space="0"/>
                    <w:right w:val="single" w:color="auto" w:sz="4" w:space="0"/>
                  </w:tcBorders>
                  <w:vAlign w:val="center"/>
                </w:tcPr>
                <w:p w14:paraId="52D3106D">
                  <w:pPr>
                    <w:spacing w:line="276" w:lineRule="auto"/>
                    <w:jc w:val="center"/>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eastAsia="zh-CN"/>
                    </w:rPr>
                    <w:t>动植物油</w:t>
                  </w:r>
                </w:p>
              </w:tc>
            </w:tr>
            <w:tr w14:paraId="125A13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404" w:type="dxa"/>
                  <w:vMerge w:val="restart"/>
                  <w:tcBorders>
                    <w:top w:val="single" w:color="auto" w:sz="4" w:space="0"/>
                    <w:left w:val="single" w:color="auto" w:sz="4" w:space="0"/>
                    <w:bottom w:val="single" w:color="auto" w:sz="4" w:space="0"/>
                    <w:right w:val="single" w:color="auto" w:sz="4" w:space="0"/>
                  </w:tcBorders>
                  <w:vAlign w:val="center"/>
                </w:tcPr>
                <w:p w14:paraId="7E5DADE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处理前</w:t>
                  </w:r>
                </w:p>
              </w:tc>
              <w:tc>
                <w:tcPr>
                  <w:tcW w:w="1668" w:type="dxa"/>
                  <w:tcBorders>
                    <w:top w:val="single" w:color="auto" w:sz="4" w:space="0"/>
                    <w:left w:val="single" w:color="auto" w:sz="4" w:space="0"/>
                    <w:bottom w:val="single" w:color="auto" w:sz="4" w:space="0"/>
                    <w:right w:val="single" w:color="auto" w:sz="4" w:space="0"/>
                  </w:tcBorders>
                  <w:vAlign w:val="center"/>
                </w:tcPr>
                <w:p w14:paraId="046C57CD">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浓度（mg/L）</w:t>
                  </w:r>
                </w:p>
              </w:tc>
              <w:tc>
                <w:tcPr>
                  <w:tcW w:w="2079" w:type="dxa"/>
                  <w:gridSpan w:val="2"/>
                  <w:vMerge w:val="restart"/>
                  <w:tcBorders>
                    <w:top w:val="single" w:color="auto" w:sz="4" w:space="0"/>
                    <w:left w:val="single" w:color="auto" w:sz="4" w:space="0"/>
                    <w:right w:val="single" w:color="auto" w:sz="4" w:space="0"/>
                  </w:tcBorders>
                  <w:vAlign w:val="center"/>
                </w:tcPr>
                <w:p w14:paraId="38405833">
                  <w:pPr>
                    <w:spacing w:line="276"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0.2124</w:t>
                  </w:r>
                </w:p>
              </w:tc>
              <w:tc>
                <w:tcPr>
                  <w:tcW w:w="1023" w:type="dxa"/>
                  <w:gridSpan w:val="2"/>
                  <w:tcBorders>
                    <w:top w:val="single" w:color="auto" w:sz="4" w:space="0"/>
                    <w:left w:val="single" w:color="auto" w:sz="4" w:space="0"/>
                    <w:bottom w:val="single" w:color="auto" w:sz="4" w:space="0"/>
                    <w:right w:val="single" w:color="auto" w:sz="4" w:space="0"/>
                  </w:tcBorders>
                  <w:vAlign w:val="center"/>
                </w:tcPr>
                <w:p w14:paraId="0B7682F3">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400</w:t>
                  </w:r>
                </w:p>
              </w:tc>
              <w:tc>
                <w:tcPr>
                  <w:tcW w:w="1025" w:type="dxa"/>
                  <w:tcBorders>
                    <w:top w:val="single" w:color="auto" w:sz="4" w:space="0"/>
                    <w:left w:val="single" w:color="auto" w:sz="4" w:space="0"/>
                    <w:bottom w:val="single" w:color="auto" w:sz="4" w:space="0"/>
                    <w:right w:val="single" w:color="auto" w:sz="4" w:space="0"/>
                  </w:tcBorders>
                  <w:vAlign w:val="center"/>
                </w:tcPr>
                <w:p w14:paraId="457EBFCF">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250</w:t>
                  </w:r>
                </w:p>
              </w:tc>
              <w:tc>
                <w:tcPr>
                  <w:tcW w:w="817" w:type="dxa"/>
                  <w:tcBorders>
                    <w:top w:val="single" w:color="auto" w:sz="4" w:space="0"/>
                    <w:left w:val="single" w:color="auto" w:sz="4" w:space="0"/>
                    <w:bottom w:val="single" w:color="auto" w:sz="4" w:space="0"/>
                    <w:right w:val="single" w:color="auto" w:sz="4" w:space="0"/>
                  </w:tcBorders>
                  <w:vAlign w:val="center"/>
                </w:tcPr>
                <w:p w14:paraId="7EF1A4DB">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350</w:t>
                  </w:r>
                </w:p>
              </w:tc>
              <w:tc>
                <w:tcPr>
                  <w:tcW w:w="875" w:type="dxa"/>
                  <w:tcBorders>
                    <w:top w:val="single" w:color="auto" w:sz="4" w:space="0"/>
                    <w:left w:val="single" w:color="auto" w:sz="4" w:space="0"/>
                    <w:bottom w:val="single" w:color="auto" w:sz="4" w:space="0"/>
                    <w:right w:val="single" w:color="auto" w:sz="4" w:space="0"/>
                  </w:tcBorders>
                  <w:vAlign w:val="center"/>
                </w:tcPr>
                <w:p w14:paraId="65E9B012">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35</w:t>
                  </w:r>
                </w:p>
              </w:tc>
              <w:tc>
                <w:tcPr>
                  <w:tcW w:w="1087" w:type="dxa"/>
                  <w:tcBorders>
                    <w:top w:val="single" w:color="auto" w:sz="4" w:space="0"/>
                    <w:left w:val="single" w:color="auto" w:sz="4" w:space="0"/>
                    <w:bottom w:val="single" w:color="auto" w:sz="4" w:space="0"/>
                    <w:right w:val="single" w:color="auto" w:sz="4" w:space="0"/>
                  </w:tcBorders>
                  <w:vAlign w:val="center"/>
                </w:tcPr>
                <w:p w14:paraId="0E8E345A">
                  <w:pPr>
                    <w:spacing w:line="276"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120</w:t>
                  </w:r>
                </w:p>
              </w:tc>
            </w:tr>
            <w:tr w14:paraId="4D3ACF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404" w:type="dxa"/>
                  <w:vMerge w:val="continue"/>
                  <w:tcBorders>
                    <w:top w:val="single" w:color="auto" w:sz="4" w:space="0"/>
                    <w:left w:val="single" w:color="auto" w:sz="4" w:space="0"/>
                    <w:bottom w:val="single" w:color="auto" w:sz="4" w:space="0"/>
                    <w:right w:val="single" w:color="auto" w:sz="4" w:space="0"/>
                  </w:tcBorders>
                  <w:vAlign w:val="center"/>
                </w:tcPr>
                <w:p w14:paraId="7AD79429">
                  <w:pPr>
                    <w:spacing w:line="276" w:lineRule="auto"/>
                    <w:jc w:val="center"/>
                    <w:rPr>
                      <w:rFonts w:hint="default" w:ascii="Times New Roman" w:hAnsi="Times New Roman" w:cs="Times New Roman"/>
                      <w:color w:val="auto"/>
                      <w:sz w:val="21"/>
                      <w:szCs w:val="21"/>
                    </w:rPr>
                  </w:pPr>
                </w:p>
              </w:tc>
              <w:tc>
                <w:tcPr>
                  <w:tcW w:w="1668" w:type="dxa"/>
                  <w:tcBorders>
                    <w:top w:val="single" w:color="auto" w:sz="4" w:space="0"/>
                    <w:left w:val="single" w:color="auto" w:sz="4" w:space="0"/>
                    <w:bottom w:val="single" w:color="auto" w:sz="4" w:space="0"/>
                    <w:right w:val="single" w:color="auto" w:sz="4" w:space="0"/>
                  </w:tcBorders>
                  <w:vAlign w:val="center"/>
                </w:tcPr>
                <w:p w14:paraId="424188D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产生量（t/a）</w:t>
                  </w:r>
                </w:p>
              </w:tc>
              <w:tc>
                <w:tcPr>
                  <w:tcW w:w="2079" w:type="dxa"/>
                  <w:gridSpan w:val="2"/>
                  <w:vMerge w:val="continue"/>
                  <w:tcBorders>
                    <w:left w:val="single" w:color="auto" w:sz="4" w:space="0"/>
                    <w:right w:val="single" w:color="auto" w:sz="4" w:space="0"/>
                  </w:tcBorders>
                  <w:vAlign w:val="center"/>
                </w:tcPr>
                <w:p w14:paraId="5C1C963E">
                  <w:pPr>
                    <w:spacing w:line="276" w:lineRule="auto"/>
                    <w:jc w:val="center"/>
                    <w:rPr>
                      <w:rFonts w:hint="default" w:ascii="Times New Roman" w:hAnsi="Times New Roman" w:cs="Times New Roman"/>
                      <w:color w:val="auto"/>
                      <w:sz w:val="21"/>
                      <w:szCs w:val="21"/>
                    </w:rPr>
                  </w:pPr>
                </w:p>
              </w:tc>
              <w:tc>
                <w:tcPr>
                  <w:tcW w:w="1023" w:type="dxa"/>
                  <w:gridSpan w:val="2"/>
                  <w:tcBorders>
                    <w:top w:val="single" w:color="auto" w:sz="4" w:space="0"/>
                    <w:left w:val="single" w:color="auto" w:sz="4" w:space="0"/>
                    <w:bottom w:val="single" w:color="auto" w:sz="4" w:space="0"/>
                    <w:right w:val="single" w:color="auto" w:sz="4" w:space="0"/>
                  </w:tcBorders>
                  <w:vAlign w:val="center"/>
                </w:tcPr>
                <w:p w14:paraId="5BB4F542">
                  <w:pPr>
                    <w:spacing w:line="276"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0.</w:t>
                  </w:r>
                  <w:r>
                    <w:rPr>
                      <w:rFonts w:hint="eastAsia" w:cs="Times New Roman"/>
                      <w:color w:val="auto"/>
                      <w:sz w:val="21"/>
                      <w:szCs w:val="21"/>
                      <w:lang w:val="en-US" w:eastAsia="zh-CN"/>
                    </w:rPr>
                    <w:t>850</w:t>
                  </w:r>
                </w:p>
              </w:tc>
              <w:tc>
                <w:tcPr>
                  <w:tcW w:w="1025" w:type="dxa"/>
                  <w:tcBorders>
                    <w:top w:val="single" w:color="auto" w:sz="4" w:space="0"/>
                    <w:left w:val="single" w:color="auto" w:sz="4" w:space="0"/>
                    <w:bottom w:val="single" w:color="auto" w:sz="4" w:space="0"/>
                    <w:right w:val="single" w:color="auto" w:sz="4" w:space="0"/>
                  </w:tcBorders>
                  <w:vAlign w:val="center"/>
                </w:tcPr>
                <w:p w14:paraId="3D0C4192">
                  <w:pPr>
                    <w:spacing w:line="276"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0.</w:t>
                  </w:r>
                  <w:r>
                    <w:rPr>
                      <w:rFonts w:hint="eastAsia" w:cs="Times New Roman"/>
                      <w:color w:val="auto"/>
                      <w:sz w:val="21"/>
                      <w:szCs w:val="21"/>
                      <w:lang w:val="en-US" w:eastAsia="zh-CN"/>
                    </w:rPr>
                    <w:t>531</w:t>
                  </w:r>
                </w:p>
              </w:tc>
              <w:tc>
                <w:tcPr>
                  <w:tcW w:w="817" w:type="dxa"/>
                  <w:tcBorders>
                    <w:top w:val="single" w:color="auto" w:sz="4" w:space="0"/>
                    <w:left w:val="single" w:color="auto" w:sz="4" w:space="0"/>
                    <w:bottom w:val="single" w:color="auto" w:sz="4" w:space="0"/>
                    <w:right w:val="single" w:color="auto" w:sz="4" w:space="0"/>
                  </w:tcBorders>
                  <w:vAlign w:val="center"/>
                </w:tcPr>
                <w:p w14:paraId="412E8E2B">
                  <w:pPr>
                    <w:spacing w:line="276"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0.</w:t>
                  </w:r>
                  <w:r>
                    <w:rPr>
                      <w:rFonts w:hint="eastAsia" w:cs="Times New Roman"/>
                      <w:color w:val="auto"/>
                      <w:sz w:val="21"/>
                      <w:szCs w:val="21"/>
                      <w:lang w:val="en-US" w:eastAsia="zh-CN"/>
                    </w:rPr>
                    <w:t>743</w:t>
                  </w:r>
                </w:p>
              </w:tc>
              <w:tc>
                <w:tcPr>
                  <w:tcW w:w="875" w:type="dxa"/>
                  <w:tcBorders>
                    <w:top w:val="single" w:color="auto" w:sz="4" w:space="0"/>
                    <w:left w:val="single" w:color="auto" w:sz="4" w:space="0"/>
                    <w:bottom w:val="single" w:color="auto" w:sz="4" w:space="0"/>
                    <w:right w:val="single" w:color="auto" w:sz="4" w:space="0"/>
                  </w:tcBorders>
                  <w:vAlign w:val="center"/>
                </w:tcPr>
                <w:p w14:paraId="0D295AAF">
                  <w:pPr>
                    <w:spacing w:line="276"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0.0</w:t>
                  </w:r>
                  <w:r>
                    <w:rPr>
                      <w:rFonts w:hint="eastAsia" w:cs="Times New Roman"/>
                      <w:color w:val="auto"/>
                      <w:sz w:val="21"/>
                      <w:szCs w:val="21"/>
                      <w:lang w:val="en-US" w:eastAsia="zh-CN"/>
                    </w:rPr>
                    <w:t>74</w:t>
                  </w:r>
                </w:p>
              </w:tc>
              <w:tc>
                <w:tcPr>
                  <w:tcW w:w="1087" w:type="dxa"/>
                  <w:tcBorders>
                    <w:top w:val="single" w:color="auto" w:sz="4" w:space="0"/>
                    <w:left w:val="single" w:color="auto" w:sz="4" w:space="0"/>
                    <w:bottom w:val="single" w:color="auto" w:sz="4" w:space="0"/>
                    <w:right w:val="single" w:color="auto" w:sz="4" w:space="0"/>
                  </w:tcBorders>
                  <w:vAlign w:val="center"/>
                </w:tcPr>
                <w:p w14:paraId="4B0D76BB">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0.</w:t>
                  </w:r>
                  <w:r>
                    <w:rPr>
                      <w:rFonts w:hint="eastAsia" w:cs="Times New Roman"/>
                      <w:color w:val="auto"/>
                      <w:sz w:val="21"/>
                      <w:szCs w:val="21"/>
                      <w:lang w:val="en-US" w:eastAsia="zh-CN"/>
                    </w:rPr>
                    <w:t>255</w:t>
                  </w:r>
                </w:p>
              </w:tc>
            </w:tr>
            <w:tr w14:paraId="3B16FA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404" w:type="dxa"/>
                  <w:vMerge w:val="restart"/>
                  <w:tcBorders>
                    <w:top w:val="single" w:color="auto" w:sz="4" w:space="0"/>
                    <w:left w:val="single" w:color="auto" w:sz="4" w:space="0"/>
                    <w:right w:val="single" w:color="auto" w:sz="4" w:space="0"/>
                  </w:tcBorders>
                  <w:vAlign w:val="center"/>
                </w:tcPr>
                <w:p w14:paraId="6EBD330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经</w:t>
                  </w:r>
                  <w:r>
                    <w:rPr>
                      <w:rFonts w:hint="default" w:ascii="Times New Roman" w:hAnsi="Times New Roman" w:cs="Times New Roman"/>
                      <w:color w:val="auto"/>
                      <w:sz w:val="21"/>
                      <w:szCs w:val="21"/>
                      <w:lang w:eastAsia="zh-CN"/>
                    </w:rPr>
                    <w:t>化粪池、隔油池</w:t>
                  </w:r>
                  <w:r>
                    <w:rPr>
                      <w:rFonts w:hint="default" w:ascii="Times New Roman" w:hAnsi="Times New Roman" w:cs="Times New Roman"/>
                      <w:color w:val="auto"/>
                      <w:sz w:val="21"/>
                      <w:szCs w:val="21"/>
                    </w:rPr>
                    <w:t>处理后</w:t>
                  </w:r>
                </w:p>
              </w:tc>
              <w:tc>
                <w:tcPr>
                  <w:tcW w:w="1668" w:type="dxa"/>
                  <w:tcBorders>
                    <w:top w:val="single" w:color="auto" w:sz="4" w:space="0"/>
                    <w:left w:val="single" w:color="auto" w:sz="4" w:space="0"/>
                    <w:bottom w:val="single" w:color="auto" w:sz="4" w:space="0"/>
                    <w:right w:val="single" w:color="auto" w:sz="4" w:space="0"/>
                  </w:tcBorders>
                  <w:vAlign w:val="center"/>
                </w:tcPr>
                <w:p w14:paraId="455AAF2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浓度（mg/L）</w:t>
                  </w:r>
                </w:p>
              </w:tc>
              <w:tc>
                <w:tcPr>
                  <w:tcW w:w="2079" w:type="dxa"/>
                  <w:gridSpan w:val="2"/>
                  <w:vMerge w:val="continue"/>
                  <w:tcBorders>
                    <w:left w:val="single" w:color="auto" w:sz="4" w:space="0"/>
                    <w:right w:val="single" w:color="auto" w:sz="4" w:space="0"/>
                  </w:tcBorders>
                  <w:vAlign w:val="center"/>
                </w:tcPr>
                <w:p w14:paraId="37683D4C">
                  <w:pPr>
                    <w:spacing w:line="276" w:lineRule="auto"/>
                    <w:jc w:val="center"/>
                    <w:rPr>
                      <w:rFonts w:hint="default" w:ascii="Times New Roman" w:hAnsi="Times New Roman" w:cs="Times New Roman"/>
                      <w:color w:val="auto"/>
                      <w:sz w:val="21"/>
                      <w:szCs w:val="21"/>
                    </w:rPr>
                  </w:pPr>
                </w:p>
              </w:tc>
              <w:tc>
                <w:tcPr>
                  <w:tcW w:w="1023" w:type="dxa"/>
                  <w:gridSpan w:val="2"/>
                  <w:tcBorders>
                    <w:top w:val="single" w:color="auto" w:sz="4" w:space="0"/>
                    <w:left w:val="single" w:color="auto" w:sz="4" w:space="0"/>
                    <w:bottom w:val="single" w:color="auto" w:sz="4" w:space="0"/>
                    <w:right w:val="single" w:color="auto" w:sz="4" w:space="0"/>
                  </w:tcBorders>
                  <w:vAlign w:val="center"/>
                </w:tcPr>
                <w:p w14:paraId="2425C7E0">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250</w:t>
                  </w:r>
                </w:p>
              </w:tc>
              <w:tc>
                <w:tcPr>
                  <w:tcW w:w="1025" w:type="dxa"/>
                  <w:tcBorders>
                    <w:top w:val="single" w:color="auto" w:sz="4" w:space="0"/>
                    <w:left w:val="single" w:color="auto" w:sz="4" w:space="0"/>
                    <w:bottom w:val="single" w:color="auto" w:sz="4" w:space="0"/>
                    <w:right w:val="single" w:color="auto" w:sz="4" w:space="0"/>
                  </w:tcBorders>
                  <w:vAlign w:val="center"/>
                </w:tcPr>
                <w:p w14:paraId="69043720">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200</w:t>
                  </w:r>
                </w:p>
              </w:tc>
              <w:tc>
                <w:tcPr>
                  <w:tcW w:w="817" w:type="dxa"/>
                  <w:tcBorders>
                    <w:top w:val="single" w:color="auto" w:sz="4" w:space="0"/>
                    <w:left w:val="single" w:color="auto" w:sz="4" w:space="0"/>
                    <w:bottom w:val="single" w:color="auto" w:sz="4" w:space="0"/>
                    <w:right w:val="single" w:color="auto" w:sz="4" w:space="0"/>
                  </w:tcBorders>
                  <w:vAlign w:val="center"/>
                </w:tcPr>
                <w:p w14:paraId="32F1D565">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220</w:t>
                  </w:r>
                </w:p>
              </w:tc>
              <w:tc>
                <w:tcPr>
                  <w:tcW w:w="875" w:type="dxa"/>
                  <w:tcBorders>
                    <w:top w:val="single" w:color="auto" w:sz="4" w:space="0"/>
                    <w:left w:val="single" w:color="auto" w:sz="4" w:space="0"/>
                    <w:bottom w:val="single" w:color="auto" w:sz="4" w:space="0"/>
                    <w:right w:val="single" w:color="auto" w:sz="4" w:space="0"/>
                  </w:tcBorders>
                  <w:vAlign w:val="center"/>
                </w:tcPr>
                <w:p w14:paraId="211E2195">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25</w:t>
                  </w:r>
                </w:p>
              </w:tc>
              <w:tc>
                <w:tcPr>
                  <w:tcW w:w="1087" w:type="dxa"/>
                  <w:tcBorders>
                    <w:top w:val="single" w:color="auto" w:sz="4" w:space="0"/>
                    <w:left w:val="single" w:color="auto" w:sz="4" w:space="0"/>
                    <w:bottom w:val="single" w:color="auto" w:sz="4" w:space="0"/>
                    <w:right w:val="single" w:color="auto" w:sz="4" w:space="0"/>
                  </w:tcBorders>
                  <w:vAlign w:val="center"/>
                </w:tcPr>
                <w:p w14:paraId="10558906">
                  <w:pPr>
                    <w:spacing w:line="276"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80</w:t>
                  </w:r>
                </w:p>
              </w:tc>
            </w:tr>
            <w:tr w14:paraId="5D4685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404" w:type="dxa"/>
                  <w:vMerge w:val="continue"/>
                  <w:tcBorders>
                    <w:left w:val="single" w:color="auto" w:sz="4" w:space="0"/>
                    <w:bottom w:val="single" w:color="auto" w:sz="4" w:space="0"/>
                    <w:right w:val="single" w:color="auto" w:sz="4" w:space="0"/>
                  </w:tcBorders>
                  <w:vAlign w:val="center"/>
                </w:tcPr>
                <w:p w14:paraId="2A73BCDD">
                  <w:pPr>
                    <w:spacing w:line="276" w:lineRule="auto"/>
                    <w:jc w:val="center"/>
                    <w:rPr>
                      <w:rFonts w:hint="default" w:ascii="Times New Roman" w:hAnsi="Times New Roman" w:cs="Times New Roman"/>
                      <w:color w:val="auto"/>
                      <w:sz w:val="21"/>
                      <w:szCs w:val="21"/>
                    </w:rPr>
                  </w:pPr>
                </w:p>
              </w:tc>
              <w:tc>
                <w:tcPr>
                  <w:tcW w:w="1668" w:type="dxa"/>
                  <w:tcBorders>
                    <w:top w:val="single" w:color="auto" w:sz="4" w:space="0"/>
                    <w:left w:val="single" w:color="auto" w:sz="4" w:space="0"/>
                    <w:bottom w:val="single" w:color="auto" w:sz="4" w:space="0"/>
                    <w:right w:val="single" w:color="auto" w:sz="4" w:space="0"/>
                  </w:tcBorders>
                  <w:vAlign w:val="center"/>
                </w:tcPr>
                <w:p w14:paraId="129E9F9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产生量（t/a）</w:t>
                  </w:r>
                </w:p>
              </w:tc>
              <w:tc>
                <w:tcPr>
                  <w:tcW w:w="2079" w:type="dxa"/>
                  <w:gridSpan w:val="2"/>
                  <w:vMerge w:val="continue"/>
                  <w:tcBorders>
                    <w:left w:val="single" w:color="auto" w:sz="4" w:space="0"/>
                    <w:bottom w:val="single" w:color="auto" w:sz="4" w:space="0"/>
                    <w:right w:val="single" w:color="auto" w:sz="4" w:space="0"/>
                  </w:tcBorders>
                  <w:vAlign w:val="center"/>
                </w:tcPr>
                <w:p w14:paraId="57216D90">
                  <w:pPr>
                    <w:spacing w:line="276" w:lineRule="auto"/>
                    <w:jc w:val="center"/>
                    <w:rPr>
                      <w:rFonts w:hint="default" w:ascii="Times New Roman" w:hAnsi="Times New Roman" w:cs="Times New Roman"/>
                      <w:color w:val="auto"/>
                      <w:sz w:val="21"/>
                      <w:szCs w:val="21"/>
                    </w:rPr>
                  </w:pPr>
                </w:p>
              </w:tc>
              <w:tc>
                <w:tcPr>
                  <w:tcW w:w="1023" w:type="dxa"/>
                  <w:gridSpan w:val="2"/>
                  <w:tcBorders>
                    <w:top w:val="single" w:color="auto" w:sz="4" w:space="0"/>
                    <w:left w:val="single" w:color="auto" w:sz="4" w:space="0"/>
                    <w:bottom w:val="single" w:color="auto" w:sz="4" w:space="0"/>
                    <w:right w:val="single" w:color="auto" w:sz="4" w:space="0"/>
                  </w:tcBorders>
                  <w:vAlign w:val="center"/>
                </w:tcPr>
                <w:p w14:paraId="0B35BC5A">
                  <w:pPr>
                    <w:spacing w:line="276"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0.531</w:t>
                  </w:r>
                </w:p>
              </w:tc>
              <w:tc>
                <w:tcPr>
                  <w:tcW w:w="1025" w:type="dxa"/>
                  <w:tcBorders>
                    <w:top w:val="single" w:color="auto" w:sz="4" w:space="0"/>
                    <w:left w:val="single" w:color="auto" w:sz="4" w:space="0"/>
                    <w:bottom w:val="single" w:color="auto" w:sz="4" w:space="0"/>
                    <w:right w:val="single" w:color="auto" w:sz="4" w:space="0"/>
                  </w:tcBorders>
                  <w:vAlign w:val="center"/>
                </w:tcPr>
                <w:p w14:paraId="62273534">
                  <w:pPr>
                    <w:spacing w:line="276"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0.425</w:t>
                  </w:r>
                </w:p>
              </w:tc>
              <w:tc>
                <w:tcPr>
                  <w:tcW w:w="817" w:type="dxa"/>
                  <w:tcBorders>
                    <w:top w:val="single" w:color="auto" w:sz="4" w:space="0"/>
                    <w:left w:val="single" w:color="auto" w:sz="4" w:space="0"/>
                    <w:bottom w:val="single" w:color="auto" w:sz="4" w:space="0"/>
                    <w:right w:val="single" w:color="auto" w:sz="4" w:space="0"/>
                  </w:tcBorders>
                  <w:vAlign w:val="center"/>
                </w:tcPr>
                <w:p w14:paraId="3B63D969">
                  <w:pPr>
                    <w:spacing w:line="276"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0.</w:t>
                  </w:r>
                  <w:r>
                    <w:rPr>
                      <w:rFonts w:hint="eastAsia" w:cs="Times New Roman"/>
                      <w:color w:val="auto"/>
                      <w:sz w:val="21"/>
                      <w:szCs w:val="21"/>
                      <w:lang w:val="en-US" w:eastAsia="zh-CN"/>
                    </w:rPr>
                    <w:t>467</w:t>
                  </w:r>
                </w:p>
              </w:tc>
              <w:tc>
                <w:tcPr>
                  <w:tcW w:w="875" w:type="dxa"/>
                  <w:tcBorders>
                    <w:top w:val="single" w:color="auto" w:sz="4" w:space="0"/>
                    <w:left w:val="single" w:color="auto" w:sz="4" w:space="0"/>
                    <w:bottom w:val="single" w:color="auto" w:sz="4" w:space="0"/>
                    <w:right w:val="single" w:color="auto" w:sz="4" w:space="0"/>
                  </w:tcBorders>
                  <w:vAlign w:val="center"/>
                </w:tcPr>
                <w:p w14:paraId="572E2AE8">
                  <w:pPr>
                    <w:spacing w:line="276" w:lineRule="auto"/>
                    <w:jc w:val="center"/>
                    <w:rPr>
                      <w:rFonts w:hint="default" w:ascii="Times New Roman" w:hAnsi="Times New Roman" w:cs="Times New Roman"/>
                      <w:color w:val="auto"/>
                      <w:sz w:val="21"/>
                      <w:szCs w:val="21"/>
                      <w:lang w:val="en-US"/>
                    </w:rPr>
                  </w:pPr>
                  <w:r>
                    <w:rPr>
                      <w:rFonts w:hint="default" w:ascii="Times New Roman" w:hAnsi="Times New Roman" w:cs="Times New Roman"/>
                      <w:color w:val="auto"/>
                      <w:sz w:val="21"/>
                      <w:szCs w:val="21"/>
                    </w:rPr>
                    <w:t>0.0</w:t>
                  </w:r>
                  <w:r>
                    <w:rPr>
                      <w:rFonts w:hint="eastAsia" w:cs="Times New Roman"/>
                      <w:color w:val="auto"/>
                      <w:sz w:val="21"/>
                      <w:szCs w:val="21"/>
                      <w:lang w:val="en-US" w:eastAsia="zh-CN"/>
                    </w:rPr>
                    <w:t>53</w:t>
                  </w:r>
                </w:p>
              </w:tc>
              <w:tc>
                <w:tcPr>
                  <w:tcW w:w="1087" w:type="dxa"/>
                  <w:tcBorders>
                    <w:top w:val="single" w:color="auto" w:sz="4" w:space="0"/>
                    <w:left w:val="single" w:color="auto" w:sz="4" w:space="0"/>
                    <w:bottom w:val="single" w:color="auto" w:sz="4" w:space="0"/>
                    <w:right w:val="single" w:color="auto" w:sz="4" w:space="0"/>
                  </w:tcBorders>
                  <w:vAlign w:val="center"/>
                </w:tcPr>
                <w:p w14:paraId="24666C5A">
                  <w:pPr>
                    <w:spacing w:line="276"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0.</w:t>
                  </w:r>
                  <w:r>
                    <w:rPr>
                      <w:rFonts w:hint="eastAsia" w:cs="Times New Roman"/>
                      <w:color w:val="auto"/>
                      <w:sz w:val="21"/>
                      <w:szCs w:val="21"/>
                      <w:lang w:val="en-US" w:eastAsia="zh-CN"/>
                    </w:rPr>
                    <w:t>170</w:t>
                  </w:r>
                </w:p>
              </w:tc>
            </w:tr>
            <w:tr w14:paraId="31739E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152" w:type="dxa"/>
                  <w:gridSpan w:val="5"/>
                  <w:tcBorders>
                    <w:top w:val="single" w:color="auto" w:sz="4" w:space="0"/>
                    <w:left w:val="single" w:color="auto" w:sz="4" w:space="0"/>
                    <w:bottom w:val="single" w:color="auto" w:sz="4" w:space="0"/>
                    <w:right w:val="single" w:color="auto" w:sz="4" w:space="0"/>
                  </w:tcBorders>
                  <w:vAlign w:val="center"/>
                </w:tcPr>
                <w:p w14:paraId="4C5E55E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《污水综合排放标准》（GB8978-1996）三级标准</w:t>
                  </w:r>
                </w:p>
              </w:tc>
              <w:tc>
                <w:tcPr>
                  <w:tcW w:w="1022" w:type="dxa"/>
                  <w:tcBorders>
                    <w:top w:val="single" w:color="auto" w:sz="4" w:space="0"/>
                    <w:left w:val="single" w:color="auto" w:sz="4" w:space="0"/>
                    <w:bottom w:val="single" w:color="auto" w:sz="4" w:space="0"/>
                    <w:right w:val="single" w:color="auto" w:sz="4" w:space="0"/>
                  </w:tcBorders>
                  <w:vAlign w:val="center"/>
                </w:tcPr>
                <w:p w14:paraId="7EB7A7B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500</w:t>
                  </w:r>
                </w:p>
              </w:tc>
              <w:tc>
                <w:tcPr>
                  <w:tcW w:w="1025" w:type="dxa"/>
                  <w:tcBorders>
                    <w:top w:val="single" w:color="auto" w:sz="4" w:space="0"/>
                    <w:left w:val="single" w:color="auto" w:sz="4" w:space="0"/>
                    <w:bottom w:val="single" w:color="auto" w:sz="4" w:space="0"/>
                    <w:right w:val="single" w:color="auto" w:sz="4" w:space="0"/>
                  </w:tcBorders>
                  <w:vAlign w:val="center"/>
                </w:tcPr>
                <w:p w14:paraId="1C7C56A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300</w:t>
                  </w:r>
                </w:p>
              </w:tc>
              <w:tc>
                <w:tcPr>
                  <w:tcW w:w="817" w:type="dxa"/>
                  <w:tcBorders>
                    <w:top w:val="single" w:color="auto" w:sz="4" w:space="0"/>
                    <w:left w:val="single" w:color="auto" w:sz="4" w:space="0"/>
                    <w:bottom w:val="single" w:color="auto" w:sz="4" w:space="0"/>
                    <w:right w:val="single" w:color="auto" w:sz="4" w:space="0"/>
                  </w:tcBorders>
                  <w:vAlign w:val="center"/>
                </w:tcPr>
                <w:p w14:paraId="0F34C49F">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400</w:t>
                  </w:r>
                </w:p>
              </w:tc>
              <w:tc>
                <w:tcPr>
                  <w:tcW w:w="875" w:type="dxa"/>
                  <w:tcBorders>
                    <w:top w:val="single" w:color="auto" w:sz="4" w:space="0"/>
                    <w:left w:val="single" w:color="auto" w:sz="4" w:space="0"/>
                    <w:bottom w:val="single" w:color="auto" w:sz="4" w:space="0"/>
                    <w:right w:val="single" w:color="auto" w:sz="4" w:space="0"/>
                  </w:tcBorders>
                  <w:vAlign w:val="center"/>
                </w:tcPr>
                <w:p w14:paraId="1C48D52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45</w:t>
                  </w:r>
                </w:p>
              </w:tc>
              <w:tc>
                <w:tcPr>
                  <w:tcW w:w="1087" w:type="dxa"/>
                  <w:tcBorders>
                    <w:top w:val="single" w:color="auto" w:sz="4" w:space="0"/>
                    <w:left w:val="single" w:color="auto" w:sz="4" w:space="0"/>
                    <w:bottom w:val="single" w:color="auto" w:sz="4" w:space="0"/>
                    <w:right w:val="single" w:color="auto" w:sz="4" w:space="0"/>
                  </w:tcBorders>
                  <w:vAlign w:val="center"/>
                </w:tcPr>
                <w:p w14:paraId="186F48B1">
                  <w:pPr>
                    <w:spacing w:line="276"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100</w:t>
                  </w:r>
                </w:p>
              </w:tc>
            </w:tr>
            <w:tr w14:paraId="70DAE1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404" w:type="dxa"/>
                  <w:vMerge w:val="restart"/>
                  <w:tcBorders>
                    <w:top w:val="single" w:color="auto" w:sz="4" w:space="0"/>
                    <w:left w:val="single" w:color="auto" w:sz="4" w:space="0"/>
                    <w:bottom w:val="single" w:color="auto" w:sz="4" w:space="0"/>
                    <w:right w:val="single" w:color="auto" w:sz="4" w:space="0"/>
                  </w:tcBorders>
                  <w:vAlign w:val="center"/>
                </w:tcPr>
                <w:p w14:paraId="618E0C5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污水处理厂处理后</w:t>
                  </w:r>
                </w:p>
              </w:tc>
              <w:tc>
                <w:tcPr>
                  <w:tcW w:w="1668" w:type="dxa"/>
                  <w:tcBorders>
                    <w:top w:val="single" w:color="auto" w:sz="4" w:space="0"/>
                    <w:left w:val="single" w:color="auto" w:sz="4" w:space="0"/>
                    <w:bottom w:val="single" w:color="auto" w:sz="4" w:space="0"/>
                    <w:right w:val="single" w:color="auto" w:sz="4" w:space="0"/>
                  </w:tcBorders>
                  <w:vAlign w:val="center"/>
                </w:tcPr>
                <w:p w14:paraId="7A63CB5F">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浓度（mg/L）</w:t>
                  </w:r>
                </w:p>
              </w:tc>
              <w:tc>
                <w:tcPr>
                  <w:tcW w:w="2079" w:type="dxa"/>
                  <w:gridSpan w:val="2"/>
                  <w:vMerge w:val="restart"/>
                  <w:tcBorders>
                    <w:top w:val="single" w:color="auto" w:sz="4" w:space="0"/>
                    <w:left w:val="single" w:color="auto" w:sz="4" w:space="0"/>
                    <w:bottom w:val="single" w:color="auto" w:sz="4" w:space="0"/>
                    <w:right w:val="single" w:color="auto" w:sz="4" w:space="0"/>
                  </w:tcBorders>
                  <w:vAlign w:val="center"/>
                </w:tcPr>
                <w:p w14:paraId="1263DE95">
                  <w:pPr>
                    <w:spacing w:line="276"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0.2124</w:t>
                  </w:r>
                </w:p>
              </w:tc>
              <w:tc>
                <w:tcPr>
                  <w:tcW w:w="1023" w:type="dxa"/>
                  <w:gridSpan w:val="2"/>
                  <w:tcBorders>
                    <w:top w:val="single" w:color="auto" w:sz="4" w:space="0"/>
                    <w:left w:val="single" w:color="auto" w:sz="4" w:space="0"/>
                    <w:bottom w:val="single" w:color="auto" w:sz="4" w:space="0"/>
                    <w:right w:val="single" w:color="auto" w:sz="4" w:space="0"/>
                  </w:tcBorders>
                  <w:vAlign w:val="center"/>
                </w:tcPr>
                <w:p w14:paraId="368C5C49">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50</w:t>
                  </w:r>
                </w:p>
              </w:tc>
              <w:tc>
                <w:tcPr>
                  <w:tcW w:w="1025" w:type="dxa"/>
                  <w:tcBorders>
                    <w:top w:val="single" w:color="auto" w:sz="4" w:space="0"/>
                    <w:left w:val="single" w:color="auto" w:sz="4" w:space="0"/>
                    <w:bottom w:val="single" w:color="auto" w:sz="4" w:space="0"/>
                    <w:right w:val="single" w:color="auto" w:sz="4" w:space="0"/>
                  </w:tcBorders>
                  <w:vAlign w:val="center"/>
                </w:tcPr>
                <w:p w14:paraId="6CBD81A9">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w:t>
                  </w:r>
                </w:p>
              </w:tc>
              <w:tc>
                <w:tcPr>
                  <w:tcW w:w="817" w:type="dxa"/>
                  <w:tcBorders>
                    <w:top w:val="single" w:color="auto" w:sz="4" w:space="0"/>
                    <w:left w:val="single" w:color="auto" w:sz="4" w:space="0"/>
                    <w:bottom w:val="single" w:color="auto" w:sz="4" w:space="0"/>
                    <w:right w:val="single" w:color="auto" w:sz="4" w:space="0"/>
                  </w:tcBorders>
                  <w:vAlign w:val="center"/>
                </w:tcPr>
                <w:p w14:paraId="3A341E49">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w:t>
                  </w:r>
                </w:p>
              </w:tc>
              <w:tc>
                <w:tcPr>
                  <w:tcW w:w="875" w:type="dxa"/>
                  <w:tcBorders>
                    <w:top w:val="single" w:color="auto" w:sz="4" w:space="0"/>
                    <w:left w:val="single" w:color="auto" w:sz="4" w:space="0"/>
                    <w:bottom w:val="single" w:color="auto" w:sz="4" w:space="0"/>
                    <w:right w:val="single" w:color="auto" w:sz="4" w:space="0"/>
                  </w:tcBorders>
                  <w:vAlign w:val="center"/>
                </w:tcPr>
                <w:p w14:paraId="4B21A61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5</w:t>
                  </w:r>
                </w:p>
              </w:tc>
              <w:tc>
                <w:tcPr>
                  <w:tcW w:w="1087" w:type="dxa"/>
                  <w:tcBorders>
                    <w:top w:val="single" w:color="auto" w:sz="4" w:space="0"/>
                    <w:left w:val="single" w:color="auto" w:sz="4" w:space="0"/>
                    <w:bottom w:val="single" w:color="auto" w:sz="4" w:space="0"/>
                    <w:right w:val="single" w:color="auto" w:sz="4" w:space="0"/>
                  </w:tcBorders>
                  <w:vAlign w:val="center"/>
                </w:tcPr>
                <w:p w14:paraId="2D43D640">
                  <w:pPr>
                    <w:spacing w:line="276"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1</w:t>
                  </w:r>
                </w:p>
              </w:tc>
            </w:tr>
            <w:tr w14:paraId="791E93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404" w:type="dxa"/>
                  <w:vMerge w:val="continue"/>
                  <w:tcBorders>
                    <w:top w:val="single" w:color="auto" w:sz="4" w:space="0"/>
                    <w:left w:val="single" w:color="auto" w:sz="4" w:space="0"/>
                    <w:bottom w:val="single" w:color="auto" w:sz="4" w:space="0"/>
                    <w:right w:val="single" w:color="auto" w:sz="4" w:space="0"/>
                  </w:tcBorders>
                  <w:vAlign w:val="center"/>
                </w:tcPr>
                <w:p w14:paraId="11CEE7D8">
                  <w:pPr>
                    <w:spacing w:line="276" w:lineRule="auto"/>
                    <w:jc w:val="center"/>
                    <w:rPr>
                      <w:rFonts w:hint="default" w:ascii="Times New Roman" w:hAnsi="Times New Roman" w:cs="Times New Roman"/>
                      <w:color w:val="auto"/>
                      <w:sz w:val="21"/>
                      <w:szCs w:val="21"/>
                    </w:rPr>
                  </w:pPr>
                </w:p>
              </w:tc>
              <w:tc>
                <w:tcPr>
                  <w:tcW w:w="1668" w:type="dxa"/>
                  <w:tcBorders>
                    <w:top w:val="single" w:color="auto" w:sz="4" w:space="0"/>
                    <w:left w:val="single" w:color="auto" w:sz="4" w:space="0"/>
                    <w:bottom w:val="single" w:color="auto" w:sz="4" w:space="0"/>
                    <w:right w:val="single" w:color="auto" w:sz="4" w:space="0"/>
                  </w:tcBorders>
                  <w:vAlign w:val="center"/>
                </w:tcPr>
                <w:p w14:paraId="2BEDDF6A">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排放量（t/a）</w:t>
                  </w:r>
                </w:p>
              </w:tc>
              <w:tc>
                <w:tcPr>
                  <w:tcW w:w="2079" w:type="dxa"/>
                  <w:gridSpan w:val="2"/>
                  <w:vMerge w:val="continue"/>
                  <w:tcBorders>
                    <w:top w:val="single" w:color="auto" w:sz="4" w:space="0"/>
                    <w:left w:val="single" w:color="auto" w:sz="4" w:space="0"/>
                    <w:bottom w:val="single" w:color="auto" w:sz="4" w:space="0"/>
                    <w:right w:val="single" w:color="auto" w:sz="4" w:space="0"/>
                  </w:tcBorders>
                  <w:vAlign w:val="center"/>
                </w:tcPr>
                <w:p w14:paraId="3DB5847C">
                  <w:pPr>
                    <w:spacing w:line="276" w:lineRule="auto"/>
                    <w:jc w:val="center"/>
                    <w:rPr>
                      <w:rFonts w:hint="default" w:ascii="Times New Roman" w:hAnsi="Times New Roman" w:cs="Times New Roman"/>
                      <w:color w:val="auto"/>
                      <w:sz w:val="21"/>
                      <w:szCs w:val="21"/>
                    </w:rPr>
                  </w:pPr>
                </w:p>
              </w:tc>
              <w:tc>
                <w:tcPr>
                  <w:tcW w:w="1023" w:type="dxa"/>
                  <w:gridSpan w:val="2"/>
                  <w:tcBorders>
                    <w:top w:val="single" w:color="auto" w:sz="4" w:space="0"/>
                    <w:left w:val="single" w:color="auto" w:sz="4" w:space="0"/>
                    <w:bottom w:val="single" w:color="auto" w:sz="4" w:space="0"/>
                    <w:right w:val="single" w:color="auto" w:sz="4" w:space="0"/>
                  </w:tcBorders>
                  <w:vAlign w:val="center"/>
                </w:tcPr>
                <w:p w14:paraId="44CCC6D0">
                  <w:pPr>
                    <w:spacing w:line="276"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0.</w:t>
                  </w:r>
                  <w:r>
                    <w:rPr>
                      <w:rFonts w:hint="eastAsia" w:cs="Times New Roman"/>
                      <w:color w:val="auto"/>
                      <w:sz w:val="21"/>
                      <w:szCs w:val="21"/>
                      <w:lang w:val="en-US" w:eastAsia="zh-CN"/>
                    </w:rPr>
                    <w:t>1062</w:t>
                  </w:r>
                </w:p>
              </w:tc>
              <w:tc>
                <w:tcPr>
                  <w:tcW w:w="1025" w:type="dxa"/>
                  <w:tcBorders>
                    <w:top w:val="single" w:color="auto" w:sz="4" w:space="0"/>
                    <w:left w:val="single" w:color="auto" w:sz="4" w:space="0"/>
                    <w:bottom w:val="single" w:color="auto" w:sz="4" w:space="0"/>
                    <w:right w:val="single" w:color="auto" w:sz="4" w:space="0"/>
                  </w:tcBorders>
                  <w:vAlign w:val="center"/>
                </w:tcPr>
                <w:p w14:paraId="16335369">
                  <w:pPr>
                    <w:spacing w:line="276"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0.</w:t>
                  </w:r>
                  <w:r>
                    <w:rPr>
                      <w:rFonts w:hint="eastAsia" w:cs="Times New Roman"/>
                      <w:color w:val="auto"/>
                      <w:sz w:val="21"/>
                      <w:szCs w:val="21"/>
                      <w:lang w:val="en-US" w:eastAsia="zh-CN"/>
                    </w:rPr>
                    <w:t>021</w:t>
                  </w:r>
                </w:p>
              </w:tc>
              <w:tc>
                <w:tcPr>
                  <w:tcW w:w="817" w:type="dxa"/>
                  <w:tcBorders>
                    <w:top w:val="single" w:color="auto" w:sz="4" w:space="0"/>
                    <w:left w:val="single" w:color="auto" w:sz="4" w:space="0"/>
                    <w:bottom w:val="single" w:color="auto" w:sz="4" w:space="0"/>
                    <w:right w:val="single" w:color="auto" w:sz="4" w:space="0"/>
                  </w:tcBorders>
                  <w:vAlign w:val="center"/>
                </w:tcPr>
                <w:p w14:paraId="0155BA69">
                  <w:pPr>
                    <w:spacing w:line="276"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0.</w:t>
                  </w:r>
                  <w:r>
                    <w:rPr>
                      <w:rFonts w:hint="eastAsia" w:cs="Times New Roman"/>
                      <w:color w:val="auto"/>
                      <w:sz w:val="21"/>
                      <w:szCs w:val="21"/>
                      <w:lang w:val="en-US" w:eastAsia="zh-CN"/>
                    </w:rPr>
                    <w:t>021</w:t>
                  </w:r>
                </w:p>
              </w:tc>
              <w:tc>
                <w:tcPr>
                  <w:tcW w:w="875" w:type="dxa"/>
                  <w:tcBorders>
                    <w:top w:val="single" w:color="auto" w:sz="4" w:space="0"/>
                    <w:left w:val="single" w:color="auto" w:sz="4" w:space="0"/>
                    <w:bottom w:val="single" w:color="auto" w:sz="4" w:space="0"/>
                    <w:right w:val="single" w:color="auto" w:sz="4" w:space="0"/>
                  </w:tcBorders>
                  <w:vAlign w:val="center"/>
                </w:tcPr>
                <w:p w14:paraId="21FF50E4">
                  <w:pPr>
                    <w:spacing w:line="276"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0.011</w:t>
                  </w:r>
                </w:p>
              </w:tc>
              <w:tc>
                <w:tcPr>
                  <w:tcW w:w="1087" w:type="dxa"/>
                  <w:tcBorders>
                    <w:top w:val="single" w:color="auto" w:sz="4" w:space="0"/>
                    <w:left w:val="single" w:color="auto" w:sz="4" w:space="0"/>
                    <w:bottom w:val="single" w:color="auto" w:sz="4" w:space="0"/>
                    <w:right w:val="single" w:color="auto" w:sz="4" w:space="0"/>
                  </w:tcBorders>
                  <w:vAlign w:val="center"/>
                </w:tcPr>
                <w:p w14:paraId="45EA7CB4">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0.00</w:t>
                  </w:r>
                  <w:r>
                    <w:rPr>
                      <w:rFonts w:hint="eastAsia" w:cs="Times New Roman"/>
                      <w:color w:val="auto"/>
                      <w:sz w:val="21"/>
                      <w:szCs w:val="21"/>
                      <w:lang w:val="en-US" w:eastAsia="zh-CN"/>
                    </w:rPr>
                    <w:t>2</w:t>
                  </w:r>
                </w:p>
              </w:tc>
            </w:tr>
            <w:tr w14:paraId="4C48A7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152" w:type="dxa"/>
                  <w:gridSpan w:val="5"/>
                  <w:tcBorders>
                    <w:top w:val="single" w:color="auto" w:sz="4" w:space="0"/>
                    <w:left w:val="single" w:color="auto" w:sz="4" w:space="0"/>
                    <w:bottom w:val="single" w:color="auto" w:sz="4" w:space="0"/>
                    <w:right w:val="single" w:color="auto" w:sz="4" w:space="0"/>
                  </w:tcBorders>
                  <w:vAlign w:val="center"/>
                </w:tcPr>
                <w:p w14:paraId="69B9B198">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《城镇污水处理厂污染物排放标准》</w:t>
                  </w:r>
                </w:p>
                <w:p w14:paraId="7936D81F">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（GB18918-2002）一级A标准</w:t>
                  </w:r>
                </w:p>
              </w:tc>
              <w:tc>
                <w:tcPr>
                  <w:tcW w:w="1022" w:type="dxa"/>
                  <w:tcBorders>
                    <w:top w:val="single" w:color="auto" w:sz="4" w:space="0"/>
                    <w:left w:val="single" w:color="auto" w:sz="4" w:space="0"/>
                    <w:bottom w:val="single" w:color="auto" w:sz="4" w:space="0"/>
                    <w:right w:val="single" w:color="auto" w:sz="4" w:space="0"/>
                  </w:tcBorders>
                  <w:vAlign w:val="center"/>
                </w:tcPr>
                <w:p w14:paraId="3A42F2C8">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50</w:t>
                  </w:r>
                </w:p>
              </w:tc>
              <w:tc>
                <w:tcPr>
                  <w:tcW w:w="1025" w:type="dxa"/>
                  <w:tcBorders>
                    <w:top w:val="single" w:color="auto" w:sz="4" w:space="0"/>
                    <w:left w:val="single" w:color="auto" w:sz="4" w:space="0"/>
                    <w:bottom w:val="single" w:color="auto" w:sz="4" w:space="0"/>
                    <w:right w:val="single" w:color="auto" w:sz="4" w:space="0"/>
                  </w:tcBorders>
                  <w:vAlign w:val="center"/>
                </w:tcPr>
                <w:p w14:paraId="718550AA">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w:t>
                  </w:r>
                </w:p>
              </w:tc>
              <w:tc>
                <w:tcPr>
                  <w:tcW w:w="817" w:type="dxa"/>
                  <w:tcBorders>
                    <w:top w:val="single" w:color="auto" w:sz="4" w:space="0"/>
                    <w:left w:val="single" w:color="auto" w:sz="4" w:space="0"/>
                    <w:bottom w:val="single" w:color="auto" w:sz="4" w:space="0"/>
                    <w:right w:val="single" w:color="auto" w:sz="4" w:space="0"/>
                  </w:tcBorders>
                  <w:vAlign w:val="center"/>
                </w:tcPr>
                <w:p w14:paraId="06AE8C8D">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10</w:t>
                  </w:r>
                </w:p>
              </w:tc>
              <w:tc>
                <w:tcPr>
                  <w:tcW w:w="875" w:type="dxa"/>
                  <w:tcBorders>
                    <w:top w:val="single" w:color="auto" w:sz="4" w:space="0"/>
                    <w:left w:val="single" w:color="auto" w:sz="4" w:space="0"/>
                    <w:bottom w:val="single" w:color="auto" w:sz="4" w:space="0"/>
                    <w:right w:val="single" w:color="auto" w:sz="4" w:space="0"/>
                  </w:tcBorders>
                  <w:vAlign w:val="center"/>
                </w:tcPr>
                <w:p w14:paraId="18848E29">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5</w:t>
                  </w:r>
                </w:p>
              </w:tc>
              <w:tc>
                <w:tcPr>
                  <w:tcW w:w="1087" w:type="dxa"/>
                  <w:tcBorders>
                    <w:top w:val="single" w:color="auto" w:sz="4" w:space="0"/>
                    <w:left w:val="single" w:color="auto" w:sz="4" w:space="0"/>
                    <w:bottom w:val="single" w:color="auto" w:sz="4" w:space="0"/>
                    <w:right w:val="single" w:color="auto" w:sz="4" w:space="0"/>
                  </w:tcBorders>
                  <w:vAlign w:val="center"/>
                </w:tcPr>
                <w:p w14:paraId="6A2EAD9D">
                  <w:pPr>
                    <w:spacing w:line="276"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1</w:t>
                  </w:r>
                </w:p>
              </w:tc>
            </w:tr>
          </w:tbl>
          <w:p w14:paraId="42DE2A89">
            <w:pPr>
              <w:pStyle w:val="8"/>
              <w:adjustRightInd w:val="0"/>
              <w:snapToGrid w:val="0"/>
              <w:spacing w:line="240" w:lineRule="auto"/>
              <w:ind w:left="0" w:leftChars="0" w:firstLine="0" w:firstLineChars="0"/>
              <w:jc w:val="both"/>
              <w:rPr>
                <w:rFonts w:hint="default" w:ascii="Times New Roman" w:hAnsi="Times New Roman" w:cs="Times New Roman"/>
                <w:b/>
                <w:bCs/>
                <w:color w:val="auto"/>
                <w:sz w:val="24"/>
                <w:szCs w:val="24"/>
                <w:lang w:val="en-US" w:eastAsia="zh-CN"/>
              </w:rPr>
            </w:pPr>
          </w:p>
          <w:p w14:paraId="553A6DEE">
            <w:pPr>
              <w:numPr>
                <w:ilvl w:val="0"/>
                <w:numId w:val="3"/>
              </w:numPr>
              <w:spacing w:line="360" w:lineRule="auto"/>
              <w:ind w:firstLine="48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大气污染物</w:t>
            </w:r>
          </w:p>
          <w:p w14:paraId="73183B74">
            <w:pPr>
              <w:pStyle w:val="28"/>
              <w:numPr>
                <w:ilvl w:val="0"/>
                <w:numId w:val="0"/>
              </w:numPr>
              <w:spacing w:line="360" w:lineRule="auto"/>
              <w:ind w:firstLine="480" w:firstLineChars="200"/>
              <w:rPr>
                <w:rFonts w:hint="default" w:ascii="Times New Roman" w:hAnsi="Times New Roman" w:cs="Times New Roman"/>
                <w:color w:val="auto"/>
                <w:lang w:eastAsia="zh-CN"/>
              </w:rPr>
            </w:pPr>
            <w:r>
              <w:rPr>
                <w:rFonts w:hint="default" w:ascii="Times New Roman" w:hAnsi="Times New Roman" w:cs="Times New Roman"/>
                <w:color w:val="auto"/>
                <w:lang w:eastAsia="zh-CN"/>
              </w:rPr>
              <w:t>本项目大气污染物主要为</w:t>
            </w:r>
            <w:r>
              <w:rPr>
                <w:rFonts w:hint="eastAsia" w:ascii="Times New Roman" w:cs="Times New Roman"/>
                <w:color w:val="auto"/>
                <w:lang w:val="en-US" w:eastAsia="zh-CN"/>
              </w:rPr>
              <w:t>破碎不合格注吹塑件和激光切割不锈钢板工序</w:t>
            </w:r>
            <w:r>
              <w:rPr>
                <w:rFonts w:hint="default" w:ascii="Times New Roman" w:hAnsi="Times New Roman" w:cs="Times New Roman"/>
                <w:color w:val="auto"/>
                <w:lang w:eastAsia="zh-CN"/>
              </w:rPr>
              <w:t>产生的粉尘</w:t>
            </w:r>
            <w:r>
              <w:rPr>
                <w:rFonts w:hint="eastAsia" w:ascii="Times New Roman" w:cs="Times New Roman"/>
                <w:color w:val="auto"/>
                <w:lang w:eastAsia="zh-CN"/>
              </w:rPr>
              <w:t>，</w:t>
            </w:r>
            <w:r>
              <w:rPr>
                <w:rFonts w:hint="eastAsia" w:ascii="Times New Roman" w:cs="Times New Roman"/>
                <w:color w:val="auto"/>
                <w:lang w:val="en-US" w:eastAsia="zh-CN"/>
              </w:rPr>
              <w:t>注塑、吹塑以及注胶工艺中产生的有机废气，焊接工序产生的焊接烟尘和</w:t>
            </w:r>
            <w:r>
              <w:rPr>
                <w:rFonts w:hint="default" w:ascii="Times New Roman" w:hAnsi="Times New Roman" w:cs="Times New Roman"/>
                <w:color w:val="auto"/>
                <w:lang w:eastAsia="zh-CN"/>
              </w:rPr>
              <w:t>食堂产生的油烟废气。</w:t>
            </w:r>
          </w:p>
          <w:p w14:paraId="22C705F7">
            <w:pPr>
              <w:pStyle w:val="28"/>
              <w:numPr>
                <w:ilvl w:val="0"/>
                <w:numId w:val="0"/>
              </w:numPr>
              <w:spacing w:line="360" w:lineRule="auto"/>
              <w:ind w:firstLine="480" w:firstLineChars="200"/>
              <w:rPr>
                <w:rFonts w:hint="default" w:ascii="Times New Roman" w:hAnsi="Times New Roman" w:cs="Times New Roman"/>
                <w:b w:val="0"/>
                <w:bCs/>
                <w:color w:val="auto"/>
                <w:sz w:val="24"/>
                <w:szCs w:val="24"/>
                <w:lang w:eastAsia="zh-CN"/>
              </w:rPr>
            </w:pPr>
            <w:r>
              <w:rPr>
                <w:rFonts w:hint="default" w:ascii="Times New Roman" w:hAnsi="Times New Roman" w:cs="Times New Roman"/>
                <w:b w:val="0"/>
                <w:bCs/>
                <w:color w:val="auto"/>
                <w:sz w:val="24"/>
                <w:szCs w:val="24"/>
                <w:lang w:eastAsia="zh-CN"/>
              </w:rPr>
              <w:fldChar w:fldCharType="begin"/>
            </w:r>
            <w:r>
              <w:rPr>
                <w:rFonts w:hint="default" w:ascii="Times New Roman" w:hAnsi="Times New Roman" w:cs="Times New Roman"/>
                <w:b w:val="0"/>
                <w:bCs/>
                <w:color w:val="auto"/>
                <w:sz w:val="24"/>
                <w:szCs w:val="24"/>
                <w:lang w:eastAsia="zh-CN"/>
              </w:rPr>
              <w:instrText xml:space="preserve"> = 1 \* GB3 </w:instrText>
            </w:r>
            <w:r>
              <w:rPr>
                <w:rFonts w:hint="default" w:ascii="Times New Roman" w:hAnsi="Times New Roman" w:cs="Times New Roman"/>
                <w:b w:val="0"/>
                <w:bCs/>
                <w:color w:val="auto"/>
                <w:sz w:val="24"/>
                <w:szCs w:val="24"/>
                <w:lang w:eastAsia="zh-CN"/>
              </w:rPr>
              <w:fldChar w:fldCharType="separate"/>
            </w:r>
            <w:r>
              <w:rPr>
                <w:rFonts w:hint="default" w:ascii="Times New Roman" w:hAnsi="Times New Roman" w:cs="Times New Roman"/>
                <w:b w:val="0"/>
                <w:bCs/>
                <w:color w:val="auto"/>
                <w:sz w:val="24"/>
                <w:szCs w:val="24"/>
                <w:lang w:eastAsia="zh-CN"/>
              </w:rPr>
              <w:t>①</w:t>
            </w:r>
            <w:r>
              <w:rPr>
                <w:rFonts w:hint="default" w:ascii="Times New Roman" w:hAnsi="Times New Roman" w:cs="Times New Roman"/>
                <w:b w:val="0"/>
                <w:bCs/>
                <w:color w:val="auto"/>
                <w:sz w:val="24"/>
                <w:szCs w:val="24"/>
                <w:lang w:eastAsia="zh-CN"/>
              </w:rPr>
              <w:fldChar w:fldCharType="end"/>
            </w:r>
            <w:r>
              <w:rPr>
                <w:rFonts w:hint="default" w:ascii="Times New Roman" w:hAnsi="Times New Roman" w:cs="Times New Roman"/>
                <w:b w:val="0"/>
                <w:bCs/>
                <w:color w:val="auto"/>
                <w:sz w:val="24"/>
                <w:szCs w:val="24"/>
                <w:lang w:eastAsia="zh-CN"/>
              </w:rPr>
              <w:t>有机废气</w:t>
            </w:r>
          </w:p>
          <w:p w14:paraId="33DAA805">
            <w:pPr>
              <w:pStyle w:val="28"/>
              <w:numPr>
                <w:ilvl w:val="0"/>
                <w:numId w:val="0"/>
              </w:numPr>
              <w:spacing w:line="360" w:lineRule="auto"/>
              <w:ind w:firstLine="480" w:firstLineChars="200"/>
              <w:rPr>
                <w:rFonts w:hint="eastAsia" w:ascii="Times New Roman" w:cs="Times New Roman"/>
                <w:bCs/>
                <w:color w:val="auto"/>
                <w:sz w:val="24"/>
                <w:szCs w:val="24"/>
                <w:lang w:val="en-US" w:eastAsia="zh-CN"/>
              </w:rPr>
            </w:pPr>
            <w:r>
              <w:rPr>
                <w:rFonts w:hint="eastAsia" w:ascii="Times New Roman" w:cs="Times New Roman"/>
                <w:bCs/>
                <w:color w:val="auto"/>
                <w:sz w:val="24"/>
                <w:szCs w:val="24"/>
                <w:lang w:val="en-US" w:eastAsia="zh-CN"/>
              </w:rPr>
              <w:t>本项目有机废气主要来源为：折纸上胶（热熔胶）工序产生的有机废气；注塑、吹塑以及注胶工艺中产生的有机废气；激光打码工序产生的有机废气。主要污染物为VOCs。</w:t>
            </w:r>
          </w:p>
          <w:p w14:paraId="4CEF9614">
            <w:pPr>
              <w:pStyle w:val="28"/>
              <w:numPr>
                <w:ilvl w:val="0"/>
                <w:numId w:val="0"/>
              </w:numPr>
              <w:spacing w:line="360" w:lineRule="auto"/>
              <w:ind w:firstLine="480" w:firstLineChars="200"/>
              <w:rPr>
                <w:rFonts w:hint="eastAsia" w:ascii="Times New Roman" w:cs="Times New Roman"/>
                <w:bCs/>
                <w:color w:val="auto"/>
                <w:sz w:val="24"/>
                <w:szCs w:val="24"/>
                <w:lang w:val="en-US" w:eastAsia="zh-CN"/>
              </w:rPr>
            </w:pPr>
            <w:r>
              <w:rPr>
                <w:rFonts w:hint="eastAsia" w:ascii="Times New Roman" w:cs="Times New Roman"/>
                <w:bCs/>
                <w:color w:val="auto"/>
                <w:sz w:val="24"/>
                <w:szCs w:val="24"/>
                <w:lang w:val="en-US" w:eastAsia="zh-CN"/>
              </w:rPr>
              <w:t>A、1#车间有机废气</w:t>
            </w:r>
          </w:p>
          <w:p w14:paraId="6F0CF63E">
            <w:pPr>
              <w:pStyle w:val="28"/>
              <w:numPr>
                <w:ilvl w:val="0"/>
                <w:numId w:val="0"/>
              </w:numPr>
              <w:spacing w:line="360" w:lineRule="auto"/>
              <w:ind w:firstLine="480" w:firstLineChars="200"/>
              <w:rPr>
                <w:rFonts w:hint="default" w:ascii="Times New Roman" w:hAnsi="Times New Roman" w:cs="Times New Roman"/>
                <w:b w:val="0"/>
                <w:bCs/>
                <w:color w:val="auto"/>
                <w:sz w:val="24"/>
                <w:szCs w:val="24"/>
                <w:lang w:val="en-US" w:eastAsia="zh-CN"/>
              </w:rPr>
            </w:pPr>
            <w:r>
              <w:rPr>
                <w:rFonts w:hint="eastAsia" w:ascii="Times New Roman" w:cs="Times New Roman"/>
                <w:b w:val="0"/>
                <w:bCs/>
                <w:color w:val="auto"/>
                <w:sz w:val="24"/>
                <w:szCs w:val="24"/>
                <w:lang w:val="en-US" w:eastAsia="zh-CN"/>
              </w:rPr>
              <w:t>折纸上胶（热熔胶）工序产生的有机废气</w:t>
            </w:r>
          </w:p>
          <w:p w14:paraId="4173BA80">
            <w:pPr>
              <w:pStyle w:val="28"/>
              <w:numPr>
                <w:ilvl w:val="0"/>
                <w:numId w:val="0"/>
              </w:numPr>
              <w:spacing w:line="360" w:lineRule="auto"/>
              <w:ind w:firstLine="480" w:firstLineChars="200"/>
              <w:rPr>
                <w:rFonts w:hint="default" w:ascii="Times New Roman" w:hAnsi="Times New Roman" w:cs="Times New Roman"/>
                <w:bCs/>
                <w:color w:val="auto"/>
                <w:sz w:val="24"/>
                <w:szCs w:val="24"/>
                <w:lang w:eastAsia="zh-CN"/>
              </w:rPr>
            </w:pPr>
            <w:r>
              <w:rPr>
                <w:rFonts w:hint="eastAsia" w:ascii="Times New Roman" w:cs="Times New Roman"/>
                <w:bCs/>
                <w:color w:val="auto"/>
                <w:sz w:val="24"/>
                <w:szCs w:val="24"/>
                <w:lang w:val="en-US" w:eastAsia="zh-CN"/>
              </w:rPr>
              <w:t>项目空滤器滤芯生产过程中折纸上胶工序使用到EVA热熔胶。热熔胶在使用加热过程中将产生一定的有机废气，本次评价以VOCs作为评价对象，EVA主要成分为乙烯和醋酸乙烯在高压下共聚而成，正常工作温度为150</w:t>
            </w:r>
            <w:r>
              <w:rPr>
                <w:rFonts w:hint="eastAsia" w:ascii="宋体" w:hAnsi="宋体" w:eastAsia="宋体" w:cs="宋体"/>
                <w:bCs/>
                <w:color w:val="auto"/>
                <w:sz w:val="24"/>
                <w:szCs w:val="24"/>
                <w:lang w:val="en-US" w:eastAsia="zh-CN"/>
              </w:rPr>
              <w:t>℃</w:t>
            </w:r>
            <w:r>
              <w:rPr>
                <w:rFonts w:hint="eastAsia" w:ascii="Times New Roman" w:cs="Times New Roman"/>
                <w:bCs/>
                <w:color w:val="auto"/>
                <w:sz w:val="24"/>
                <w:szCs w:val="24"/>
                <w:lang w:val="en-US" w:eastAsia="zh-CN"/>
              </w:rPr>
              <w:t>~180℃。本项目加热温度为120℃，低于正常工作温度，热熔胶使用过程会产生少量有机废气。VOCs的产生量参照</w:t>
            </w:r>
            <w:r>
              <w:rPr>
                <w:rFonts w:hint="default" w:ascii="Times New Roman" w:hAnsi="Times New Roman" w:cs="Times New Roman"/>
                <w:bCs/>
                <w:color w:val="auto"/>
                <w:sz w:val="24"/>
                <w:szCs w:val="24"/>
                <w:lang w:eastAsia="zh-CN"/>
              </w:rPr>
              <w:t>《空气污染物排放和控制手册》（美国国家环保局）中推荐的数据，</w:t>
            </w:r>
            <w:r>
              <w:rPr>
                <w:rFonts w:hint="eastAsia" w:ascii="Times New Roman" w:cs="Times New Roman"/>
                <w:bCs/>
                <w:color w:val="auto"/>
                <w:sz w:val="24"/>
                <w:szCs w:val="24"/>
                <w:lang w:val="en-US" w:eastAsia="zh-CN"/>
              </w:rPr>
              <w:t>有机废气的产生</w:t>
            </w:r>
            <w:r>
              <w:rPr>
                <w:rFonts w:hint="default" w:ascii="Times New Roman" w:hAnsi="Times New Roman" w:cs="Times New Roman"/>
                <w:bCs/>
                <w:color w:val="auto"/>
                <w:sz w:val="24"/>
                <w:szCs w:val="24"/>
                <w:lang w:eastAsia="zh-CN"/>
              </w:rPr>
              <w:t>系数为 0.35kg/t</w:t>
            </w:r>
            <w:r>
              <w:rPr>
                <w:rFonts w:hint="eastAsia" w:ascii="Times New Roman" w:cs="Times New Roman"/>
                <w:bCs/>
                <w:color w:val="auto"/>
                <w:sz w:val="24"/>
                <w:szCs w:val="24"/>
                <w:lang w:val="en-US" w:eastAsia="zh-CN"/>
              </w:rPr>
              <w:t>原料</w:t>
            </w:r>
            <w:r>
              <w:rPr>
                <w:rFonts w:hint="eastAsia" w:ascii="Times New Roman" w:cs="Times New Roman"/>
                <w:bCs/>
                <w:color w:val="auto"/>
                <w:sz w:val="24"/>
                <w:szCs w:val="24"/>
                <w:lang w:eastAsia="zh-CN"/>
              </w:rPr>
              <w:t>。</w:t>
            </w:r>
            <w:r>
              <w:rPr>
                <w:rFonts w:hint="eastAsia" w:ascii="Times New Roman" w:cs="Times New Roman"/>
                <w:bCs/>
                <w:color w:val="auto"/>
                <w:sz w:val="24"/>
                <w:szCs w:val="24"/>
                <w:lang w:val="en-US" w:eastAsia="zh-CN"/>
              </w:rPr>
              <w:t>根据业主提供的资料，热熔胶1#车间使用量为3.6t</w:t>
            </w:r>
            <w:r>
              <w:rPr>
                <w:rFonts w:hint="default" w:ascii="Times New Roman" w:hAnsi="Times New Roman" w:cs="Times New Roman"/>
                <w:bCs/>
                <w:color w:val="auto"/>
                <w:sz w:val="24"/>
                <w:szCs w:val="24"/>
                <w:lang w:eastAsia="zh-CN"/>
              </w:rPr>
              <w:t>，</w:t>
            </w:r>
            <w:r>
              <w:rPr>
                <w:rFonts w:hint="eastAsia" w:ascii="Times New Roman" w:cs="Times New Roman"/>
                <w:bCs/>
                <w:color w:val="auto"/>
                <w:sz w:val="24"/>
                <w:szCs w:val="24"/>
                <w:lang w:val="en-US" w:eastAsia="zh-CN"/>
              </w:rPr>
              <w:t>则VOCs产生量1.26</w:t>
            </w:r>
            <w:r>
              <w:rPr>
                <w:rFonts w:hint="default" w:ascii="Times New Roman" w:hAnsi="Times New Roman" w:cs="Times New Roman"/>
                <w:bCs/>
                <w:color w:val="auto"/>
                <w:sz w:val="24"/>
                <w:szCs w:val="24"/>
                <w:lang w:val="en-US" w:eastAsia="zh-CN"/>
              </w:rPr>
              <w:t>kg</w:t>
            </w:r>
            <w:r>
              <w:rPr>
                <w:rFonts w:hint="default" w:ascii="Times New Roman" w:hAnsi="Times New Roman" w:cs="Times New Roman"/>
                <w:bCs/>
                <w:color w:val="auto"/>
                <w:sz w:val="24"/>
                <w:szCs w:val="24"/>
                <w:lang w:eastAsia="zh-CN"/>
              </w:rPr>
              <w:t>/a</w:t>
            </w:r>
            <w:r>
              <w:rPr>
                <w:rFonts w:hint="eastAsia" w:ascii="Times New Roman" w:cs="Times New Roman"/>
                <w:bCs/>
                <w:color w:val="auto"/>
                <w:sz w:val="24"/>
                <w:szCs w:val="24"/>
                <w:lang w:eastAsia="zh-CN"/>
              </w:rPr>
              <w:t>，</w:t>
            </w:r>
            <w:r>
              <w:rPr>
                <w:rFonts w:hint="eastAsia" w:ascii="Times New Roman" w:cs="Times New Roman"/>
                <w:bCs/>
                <w:color w:val="auto"/>
                <w:sz w:val="24"/>
                <w:szCs w:val="24"/>
                <w:lang w:val="en-US" w:eastAsia="zh-CN"/>
              </w:rPr>
              <w:t>项目年生产时间为2400h/a，则VOCs产生速率为0.525g/h</w:t>
            </w:r>
            <w:r>
              <w:rPr>
                <w:rFonts w:hint="default" w:ascii="Times New Roman" w:hAnsi="Times New Roman" w:cs="Times New Roman"/>
                <w:bCs/>
                <w:color w:val="auto"/>
                <w:sz w:val="24"/>
                <w:szCs w:val="24"/>
                <w:lang w:eastAsia="zh-CN"/>
              </w:rPr>
              <w:t>。</w:t>
            </w:r>
          </w:p>
          <w:p w14:paraId="13EBC1B8">
            <w:pPr>
              <w:pStyle w:val="28"/>
              <w:numPr>
                <w:ilvl w:val="0"/>
                <w:numId w:val="0"/>
              </w:numPr>
              <w:spacing w:line="360" w:lineRule="auto"/>
              <w:ind w:firstLine="480" w:firstLineChars="200"/>
              <w:rPr>
                <w:rFonts w:hint="default" w:ascii="Times New Roman" w:hAnsi="Times New Roman" w:cs="Times New Roman"/>
                <w:b w:val="0"/>
                <w:bCs/>
                <w:color w:val="auto"/>
                <w:sz w:val="24"/>
                <w:szCs w:val="24"/>
                <w:lang w:val="en-US" w:eastAsia="zh-CN"/>
              </w:rPr>
            </w:pPr>
            <w:r>
              <w:rPr>
                <w:rFonts w:hint="eastAsia" w:ascii="Times New Roman" w:cs="Times New Roman"/>
                <w:b w:val="0"/>
                <w:bCs/>
                <w:color w:val="auto"/>
                <w:sz w:val="24"/>
                <w:szCs w:val="24"/>
                <w:lang w:val="en-US" w:eastAsia="zh-CN"/>
              </w:rPr>
              <w:t>注塑、吹塑以及注胶工艺中产生的有机废气</w:t>
            </w:r>
          </w:p>
          <w:p w14:paraId="0D09284F">
            <w:pPr>
              <w:pStyle w:val="28"/>
              <w:numPr>
                <w:ilvl w:val="0"/>
                <w:numId w:val="0"/>
              </w:numPr>
              <w:spacing w:line="360" w:lineRule="auto"/>
              <w:ind w:firstLine="480" w:firstLineChars="200"/>
              <w:rPr>
                <w:rFonts w:hint="eastAsia" w:ascii="Times New Roman" w:cs="Times New Roman"/>
                <w:bCs/>
                <w:color w:val="auto"/>
                <w:sz w:val="24"/>
                <w:szCs w:val="24"/>
                <w:lang w:val="en-US" w:eastAsia="zh-CN"/>
              </w:rPr>
            </w:pPr>
            <w:r>
              <w:rPr>
                <w:rFonts w:hint="default" w:ascii="Times New Roman" w:hAnsi="Times New Roman" w:cs="Times New Roman"/>
                <w:bCs/>
                <w:color w:val="auto"/>
                <w:sz w:val="24"/>
                <w:szCs w:val="24"/>
                <w:lang w:eastAsia="zh-CN"/>
              </w:rPr>
              <w:t>项目</w:t>
            </w:r>
            <w:r>
              <w:rPr>
                <w:rFonts w:hint="eastAsia" w:ascii="Times New Roman" w:cs="Times New Roman"/>
                <w:bCs/>
                <w:color w:val="auto"/>
                <w:sz w:val="24"/>
                <w:szCs w:val="24"/>
                <w:lang w:val="en-US" w:eastAsia="zh-CN"/>
              </w:rPr>
              <w:t>在注塑、吹塑和注胶工艺中</w:t>
            </w:r>
            <w:r>
              <w:rPr>
                <w:rFonts w:hint="default" w:ascii="Times New Roman" w:hAnsi="Times New Roman" w:cs="Times New Roman"/>
                <w:bCs/>
                <w:color w:val="auto"/>
                <w:sz w:val="24"/>
                <w:szCs w:val="24"/>
                <w:lang w:eastAsia="zh-CN"/>
              </w:rPr>
              <w:t>使用</w:t>
            </w:r>
            <w:r>
              <w:rPr>
                <w:rFonts w:hint="eastAsia" w:ascii="Times New Roman" w:cs="Times New Roman"/>
                <w:bCs/>
                <w:color w:val="auto"/>
                <w:sz w:val="24"/>
                <w:szCs w:val="24"/>
                <w:lang w:val="en-US" w:eastAsia="zh-CN"/>
              </w:rPr>
              <w:t>聚乙烯、聚丙烯和</w:t>
            </w:r>
            <w:r>
              <w:rPr>
                <w:rFonts w:hint="default" w:ascii="Times New Roman" w:hAnsi="Times New Roman" w:cs="Times New Roman"/>
                <w:bCs/>
                <w:color w:val="auto"/>
                <w:sz w:val="24"/>
                <w:szCs w:val="24"/>
                <w:lang w:eastAsia="zh-CN"/>
              </w:rPr>
              <w:t>聚氨酯AB</w:t>
            </w:r>
            <w:r>
              <w:rPr>
                <w:rFonts w:hint="eastAsia" w:ascii="Times New Roman" w:cs="Times New Roman"/>
                <w:bCs/>
                <w:color w:val="auto"/>
                <w:sz w:val="24"/>
                <w:szCs w:val="24"/>
                <w:lang w:val="en-US" w:eastAsia="zh-CN"/>
              </w:rPr>
              <w:t>料。由于在</w:t>
            </w:r>
            <w:r>
              <w:rPr>
                <w:rFonts w:hint="default" w:ascii="Times New Roman" w:hAnsi="Times New Roman" w:cs="Times New Roman"/>
                <w:bCs/>
                <w:color w:val="auto"/>
                <w:sz w:val="24"/>
                <w:szCs w:val="24"/>
                <w:lang w:eastAsia="zh-CN"/>
              </w:rPr>
              <w:t>受热</w:t>
            </w:r>
            <w:r>
              <w:rPr>
                <w:rFonts w:hint="eastAsia" w:ascii="Times New Roman" w:cs="Times New Roman"/>
                <w:bCs/>
                <w:color w:val="auto"/>
                <w:sz w:val="24"/>
                <w:szCs w:val="24"/>
                <w:lang w:val="en-US" w:eastAsia="zh-CN"/>
              </w:rPr>
              <w:t>固化</w:t>
            </w:r>
            <w:r>
              <w:rPr>
                <w:rFonts w:hint="default" w:ascii="Times New Roman" w:hAnsi="Times New Roman" w:cs="Times New Roman"/>
                <w:bCs/>
                <w:color w:val="auto"/>
                <w:sz w:val="24"/>
                <w:szCs w:val="24"/>
                <w:lang w:eastAsia="zh-CN"/>
              </w:rPr>
              <w:t>情况下</w:t>
            </w:r>
            <w:r>
              <w:rPr>
                <w:rFonts w:hint="eastAsia" w:ascii="Times New Roman" w:cs="Times New Roman"/>
                <w:bCs/>
                <w:color w:val="auto"/>
                <w:sz w:val="24"/>
                <w:szCs w:val="24"/>
                <w:lang w:val="en-US" w:eastAsia="zh-CN"/>
              </w:rPr>
              <w:t>加热温度一般控制在原料允许的范围内，分解和未聚合的单体量极少，主要为单体物质挥发（本次评价以VOCs计）。通过参考没过国家环保局EPA编写的《工业污染源调查与研究》等相关资料，有机废气产生量基本在原料量的0.01%~0.04%之间。本评价取最高值，即VOCs产生量以原料量的0.04%计。根据业主提供的资料，1#车间聚乙烯用量为40t/a，高浓度聚乙烯用量为12t/a，聚丙烯用量为51.3t/a，聚氨酯AB料用量为6t/a，产生的VOCs约为43.72kg/a。项目年生产时间为2400h/a，则VOCs产生速率为18.22g/h。</w:t>
            </w:r>
          </w:p>
          <w:p w14:paraId="351BB52F">
            <w:pPr>
              <w:pStyle w:val="28"/>
              <w:numPr>
                <w:ilvl w:val="0"/>
                <w:numId w:val="0"/>
              </w:numPr>
              <w:spacing w:line="360" w:lineRule="auto"/>
              <w:ind w:firstLine="480" w:firstLineChars="200"/>
              <w:rPr>
                <w:rFonts w:hint="default" w:ascii="Times New Roman" w:hAnsi="Times New Roman" w:cs="Times New Roman"/>
                <w:b w:val="0"/>
                <w:bCs/>
                <w:color w:val="auto"/>
                <w:sz w:val="24"/>
                <w:szCs w:val="24"/>
                <w:lang w:eastAsia="zh-CN"/>
              </w:rPr>
            </w:pPr>
            <w:r>
              <w:rPr>
                <w:rFonts w:hint="default" w:ascii="Times New Roman" w:hAnsi="Times New Roman" w:cs="Times New Roman"/>
                <w:b w:val="0"/>
                <w:bCs/>
                <w:color w:val="auto"/>
                <w:sz w:val="24"/>
                <w:szCs w:val="24"/>
                <w:lang w:val="en-US" w:eastAsia="zh-CN"/>
              </w:rPr>
              <w:t>激光打码工序产生的有机废气</w:t>
            </w:r>
          </w:p>
          <w:p w14:paraId="76282B45">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default" w:ascii="Times New Roman" w:hAnsi="Times New Roman" w:cs="Times New Roman"/>
                <w:bCs/>
                <w:color w:val="auto"/>
                <w:sz w:val="24"/>
                <w:szCs w:val="24"/>
                <w:lang w:val="en-US" w:eastAsia="zh-CN"/>
              </w:rPr>
              <w:t>项目使用激光刻字机在加工过程中由于塑胶件部分受热熔融会产生少量有机废气，主要成分为</w:t>
            </w:r>
            <w:r>
              <w:rPr>
                <w:rFonts w:hint="eastAsia" w:ascii="Times New Roman" w:cs="Times New Roman"/>
                <w:bCs/>
                <w:color w:val="auto"/>
                <w:sz w:val="24"/>
                <w:szCs w:val="24"/>
                <w:lang w:val="en-US" w:eastAsia="zh-CN"/>
              </w:rPr>
              <w:t>VOCs</w:t>
            </w:r>
            <w:r>
              <w:rPr>
                <w:rFonts w:hint="default" w:ascii="Times New Roman" w:hAnsi="Times New Roman" w:cs="Times New Roman"/>
                <w:bCs/>
                <w:color w:val="auto"/>
                <w:sz w:val="24"/>
                <w:szCs w:val="24"/>
                <w:lang w:val="en-US" w:eastAsia="zh-CN"/>
              </w:rPr>
              <w:t>，均为无组织排放，根据同类项目类比分析，最大产生浓度为0.05mg/m</w:t>
            </w:r>
            <w:r>
              <w:rPr>
                <w:rFonts w:hint="default" w:ascii="Times New Roman" w:hAnsi="Times New Roman" w:cs="Times New Roman"/>
                <w:bCs/>
                <w:color w:val="auto"/>
                <w:sz w:val="24"/>
                <w:szCs w:val="24"/>
                <w:vertAlign w:val="superscript"/>
                <w:lang w:val="en-US" w:eastAsia="zh-CN"/>
              </w:rPr>
              <w:t>3</w:t>
            </w:r>
            <w:r>
              <w:rPr>
                <w:rFonts w:hint="default" w:ascii="Times New Roman" w:hAnsi="Times New Roman" w:cs="Times New Roman"/>
                <w:bCs/>
                <w:color w:val="auto"/>
                <w:sz w:val="24"/>
                <w:szCs w:val="24"/>
                <w:lang w:val="en-US" w:eastAsia="zh-CN"/>
              </w:rPr>
              <w:t>，即周界外VOCs的最高浓度小于0.05mg/m</w:t>
            </w:r>
            <w:r>
              <w:rPr>
                <w:rFonts w:hint="default" w:ascii="Times New Roman" w:hAnsi="Times New Roman" w:cs="Times New Roman"/>
                <w:bCs/>
                <w:color w:val="auto"/>
                <w:sz w:val="24"/>
                <w:szCs w:val="24"/>
                <w:vertAlign w:val="superscript"/>
                <w:lang w:val="en-US" w:eastAsia="zh-CN"/>
              </w:rPr>
              <w:t>3</w:t>
            </w:r>
            <w:r>
              <w:rPr>
                <w:rFonts w:hint="default" w:ascii="Times New Roman" w:hAnsi="Times New Roman" w:cs="Times New Roman"/>
                <w:bCs/>
                <w:color w:val="auto"/>
                <w:sz w:val="24"/>
                <w:szCs w:val="24"/>
                <w:lang w:val="en-US" w:eastAsia="zh-CN"/>
              </w:rPr>
              <w:t>，远低于《四川省固定污染源大气挥发性有机物排放标准》（DB51/2377-2017）中表</w:t>
            </w:r>
            <w:r>
              <w:rPr>
                <w:rFonts w:hint="eastAsia" w:ascii="Times New Roman" w:cs="Times New Roman"/>
                <w:bCs/>
                <w:color w:val="auto"/>
                <w:sz w:val="24"/>
                <w:szCs w:val="24"/>
                <w:lang w:val="en-US" w:eastAsia="zh-CN"/>
              </w:rPr>
              <w:t>5</w:t>
            </w:r>
            <w:r>
              <w:rPr>
                <w:rFonts w:hint="default" w:ascii="Times New Roman" w:hAnsi="Times New Roman" w:cs="Times New Roman"/>
                <w:bCs/>
                <w:color w:val="auto"/>
                <w:sz w:val="24"/>
                <w:szCs w:val="24"/>
                <w:lang w:val="en-US" w:eastAsia="zh-CN"/>
              </w:rPr>
              <w:t>无组织排放监控浓度限值：</w:t>
            </w:r>
            <w:r>
              <w:rPr>
                <w:rFonts w:hint="eastAsia" w:ascii="Times New Roman" w:cs="Times New Roman"/>
                <w:bCs/>
                <w:color w:val="auto"/>
                <w:sz w:val="24"/>
                <w:szCs w:val="24"/>
                <w:lang w:val="en-US" w:eastAsia="zh-CN"/>
              </w:rPr>
              <w:t>2</w:t>
            </w:r>
            <w:r>
              <w:rPr>
                <w:rFonts w:hint="default" w:ascii="Times New Roman" w:hAnsi="Times New Roman" w:cs="Times New Roman"/>
                <w:bCs/>
                <w:color w:val="auto"/>
                <w:sz w:val="24"/>
                <w:szCs w:val="24"/>
                <w:lang w:val="en-US" w:eastAsia="zh-CN"/>
              </w:rPr>
              <w:t>.0mg/m</w:t>
            </w:r>
            <w:r>
              <w:rPr>
                <w:rFonts w:hint="default" w:ascii="Times New Roman" w:hAnsi="Times New Roman" w:cs="Times New Roman"/>
                <w:bCs/>
                <w:color w:val="auto"/>
                <w:sz w:val="24"/>
                <w:szCs w:val="24"/>
                <w:vertAlign w:val="superscript"/>
                <w:lang w:val="en-US" w:eastAsia="zh-CN"/>
              </w:rPr>
              <w:t>3</w:t>
            </w:r>
            <w:r>
              <w:rPr>
                <w:rFonts w:hint="default" w:ascii="Times New Roman" w:hAnsi="Times New Roman" w:cs="Times New Roman"/>
                <w:bCs/>
                <w:color w:val="auto"/>
                <w:sz w:val="24"/>
                <w:szCs w:val="24"/>
                <w:lang w:val="en-US" w:eastAsia="zh-CN"/>
              </w:rPr>
              <w:t>。</w:t>
            </w:r>
          </w:p>
          <w:p w14:paraId="7E30CEC1">
            <w:pPr>
              <w:pStyle w:val="28"/>
              <w:numPr>
                <w:ilvl w:val="0"/>
                <w:numId w:val="0"/>
              </w:numPr>
              <w:spacing w:line="360" w:lineRule="auto"/>
              <w:ind w:firstLine="480" w:firstLineChars="200"/>
              <w:rPr>
                <w:rFonts w:hint="eastAsia" w:ascii="Times New Roman" w:cs="Times New Roman"/>
                <w:bCs/>
                <w:color w:val="auto"/>
                <w:sz w:val="24"/>
                <w:szCs w:val="24"/>
                <w:lang w:val="en-US" w:eastAsia="zh-CN"/>
              </w:rPr>
            </w:pPr>
            <w:r>
              <w:rPr>
                <w:rFonts w:hint="eastAsia" w:ascii="Times New Roman" w:cs="Times New Roman"/>
                <w:bCs/>
                <w:color w:val="auto"/>
                <w:sz w:val="24"/>
                <w:szCs w:val="24"/>
                <w:lang w:val="en-US" w:eastAsia="zh-CN"/>
              </w:rPr>
              <w:t>综上所述，1#车间VOCs的产生总量为44.98kg/a，18.74g/h，3.75mg/m</w:t>
            </w:r>
            <w:r>
              <w:rPr>
                <w:rFonts w:hint="eastAsia" w:ascii="Times New Roman" w:cs="Times New Roman"/>
                <w:bCs/>
                <w:color w:val="auto"/>
                <w:sz w:val="24"/>
                <w:szCs w:val="24"/>
                <w:vertAlign w:val="superscript"/>
                <w:lang w:val="en-US" w:eastAsia="zh-CN"/>
              </w:rPr>
              <w:t>3</w:t>
            </w:r>
            <w:r>
              <w:rPr>
                <w:rFonts w:hint="eastAsia" w:ascii="Times New Roman" w:cs="Times New Roman"/>
                <w:bCs/>
                <w:color w:val="auto"/>
                <w:sz w:val="24"/>
                <w:szCs w:val="24"/>
                <w:lang w:val="en-US" w:eastAsia="zh-CN"/>
              </w:rPr>
              <w:t>。</w:t>
            </w:r>
          </w:p>
          <w:p w14:paraId="6F9707ED">
            <w:pPr>
              <w:pStyle w:val="28"/>
              <w:numPr>
                <w:ilvl w:val="0"/>
                <w:numId w:val="0"/>
              </w:numPr>
              <w:spacing w:line="360" w:lineRule="auto"/>
              <w:ind w:firstLine="480" w:firstLineChars="200"/>
              <w:rPr>
                <w:rFonts w:hint="eastAsia" w:ascii="Times New Roman" w:cs="Times New Roman"/>
                <w:bCs/>
                <w:color w:val="auto"/>
                <w:sz w:val="24"/>
                <w:szCs w:val="24"/>
                <w:lang w:val="en-US" w:eastAsia="zh-CN"/>
              </w:rPr>
            </w:pPr>
            <w:r>
              <w:rPr>
                <w:rFonts w:hint="eastAsia" w:ascii="Times New Roman" w:cs="Times New Roman"/>
                <w:bCs/>
                <w:color w:val="auto"/>
                <w:sz w:val="24"/>
                <w:szCs w:val="24"/>
                <w:lang w:val="en-US" w:eastAsia="zh-CN"/>
              </w:rPr>
              <w:t>治理措施：</w:t>
            </w:r>
          </w:p>
          <w:p w14:paraId="519C1DD7">
            <w:pPr>
              <w:pStyle w:val="28"/>
              <w:numPr>
                <w:ilvl w:val="0"/>
                <w:numId w:val="0"/>
              </w:numPr>
              <w:spacing w:line="360" w:lineRule="auto"/>
              <w:ind w:firstLine="480" w:firstLineChars="200"/>
              <w:rPr>
                <w:rFonts w:hint="default" w:ascii="Times New Roman" w:cs="Times New Roman"/>
                <w:bCs/>
                <w:color w:val="auto"/>
                <w:sz w:val="24"/>
                <w:szCs w:val="24"/>
                <w:lang w:val="en-US" w:eastAsia="zh-CN"/>
              </w:rPr>
            </w:pPr>
            <w:r>
              <w:rPr>
                <w:rFonts w:hint="eastAsia" w:ascii="Times New Roman" w:cs="Times New Roman"/>
                <w:bCs/>
                <w:color w:val="auto"/>
                <w:sz w:val="24"/>
                <w:szCs w:val="24"/>
                <w:lang w:val="en-US" w:eastAsia="zh-CN"/>
              </w:rPr>
              <w:t>有机废气通过“12个集气罩（不含激光打码工序）+1套UV光催化装置+1套活性炭吸附装置”进行处理，处理后经15m高的排气筒（1#）有组织排放。集气管道抽风系统捕集效率≥90%，光氧催化装置+活性炭吸附处理效率≥90%，风机风量按5000m</w:t>
            </w:r>
            <w:r>
              <w:rPr>
                <w:rFonts w:hint="eastAsia" w:ascii="Times New Roman" w:cs="Times New Roman"/>
                <w:bCs/>
                <w:color w:val="auto"/>
                <w:sz w:val="24"/>
                <w:szCs w:val="24"/>
                <w:vertAlign w:val="superscript"/>
                <w:lang w:val="en-US" w:eastAsia="zh-CN"/>
              </w:rPr>
              <w:t>3</w:t>
            </w:r>
            <w:r>
              <w:rPr>
                <w:rFonts w:hint="eastAsia" w:ascii="Times New Roman" w:cs="Times New Roman"/>
                <w:bCs/>
                <w:color w:val="auto"/>
                <w:sz w:val="24"/>
                <w:szCs w:val="24"/>
                <w:lang w:val="en-US" w:eastAsia="zh-CN"/>
              </w:rPr>
              <w:t>/h。经处理后，VOCs有组织排放量为4.048kg/a，排放速率1.687g/h，排放浓度为0.3374mg/m</w:t>
            </w:r>
            <w:r>
              <w:rPr>
                <w:rFonts w:hint="eastAsia" w:ascii="Times New Roman" w:cs="Times New Roman"/>
                <w:bCs/>
                <w:color w:val="auto"/>
                <w:sz w:val="24"/>
                <w:szCs w:val="24"/>
                <w:vertAlign w:val="superscript"/>
                <w:lang w:val="en-US" w:eastAsia="zh-CN"/>
              </w:rPr>
              <w:t>3</w:t>
            </w:r>
            <w:r>
              <w:rPr>
                <w:rFonts w:hint="eastAsia" w:ascii="Times New Roman" w:cs="Times New Roman"/>
                <w:bCs/>
                <w:color w:val="auto"/>
                <w:sz w:val="24"/>
                <w:szCs w:val="24"/>
                <w:lang w:val="en-US" w:eastAsia="zh-CN"/>
              </w:rPr>
              <w:t>；无组织排放的VOCs为4.5kg/a，1.87g/h，满足《四川省固定污染源大气挥发性有机物排放标准（DB51/2377-2017）》表3中汽车制造的要求（15m高排气筒，最高允许排放速率3.4kg/h，最高允许排放浓度60mg/m</w:t>
            </w:r>
            <w:r>
              <w:rPr>
                <w:rFonts w:hint="eastAsia" w:ascii="Times New Roman" w:cs="Times New Roman"/>
                <w:bCs/>
                <w:color w:val="auto"/>
                <w:sz w:val="24"/>
                <w:szCs w:val="24"/>
                <w:vertAlign w:val="superscript"/>
                <w:lang w:val="en-US" w:eastAsia="zh-CN"/>
              </w:rPr>
              <w:t>3</w:t>
            </w:r>
            <w:r>
              <w:rPr>
                <w:rFonts w:hint="eastAsia" w:ascii="Times New Roman" w:cs="Times New Roman"/>
                <w:bCs/>
                <w:color w:val="auto"/>
                <w:sz w:val="24"/>
                <w:szCs w:val="24"/>
                <w:lang w:val="en-US" w:eastAsia="zh-CN"/>
              </w:rPr>
              <w:t>）。</w:t>
            </w:r>
          </w:p>
          <w:p w14:paraId="57A93469">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eastAsia" w:ascii="Times New Roman" w:cs="Times New Roman"/>
                <w:bCs/>
                <w:color w:val="auto"/>
                <w:sz w:val="24"/>
                <w:szCs w:val="24"/>
                <w:lang w:val="en-US" w:eastAsia="zh-CN"/>
              </w:rPr>
              <w:t>B</w:t>
            </w:r>
            <w:r>
              <w:rPr>
                <w:rFonts w:hint="default" w:ascii="Times New Roman" w:hAnsi="Times New Roman" w:cs="Times New Roman"/>
                <w:bCs/>
                <w:color w:val="auto"/>
                <w:sz w:val="24"/>
                <w:szCs w:val="24"/>
                <w:lang w:val="en-US" w:eastAsia="zh-CN"/>
              </w:rPr>
              <w:t>、</w:t>
            </w:r>
            <w:r>
              <w:rPr>
                <w:rFonts w:hint="eastAsia" w:ascii="Times New Roman" w:cs="Times New Roman"/>
                <w:bCs/>
                <w:color w:val="auto"/>
                <w:sz w:val="24"/>
                <w:szCs w:val="24"/>
                <w:lang w:val="en-US" w:eastAsia="zh-CN"/>
              </w:rPr>
              <w:t>2</w:t>
            </w:r>
            <w:r>
              <w:rPr>
                <w:rFonts w:hint="default" w:ascii="Times New Roman" w:hAnsi="Times New Roman" w:cs="Times New Roman"/>
                <w:bCs/>
                <w:color w:val="auto"/>
                <w:sz w:val="24"/>
                <w:szCs w:val="24"/>
                <w:lang w:val="en-US" w:eastAsia="zh-CN"/>
              </w:rPr>
              <w:t>#车间有机废气</w:t>
            </w:r>
            <w:r>
              <w:rPr>
                <w:rFonts w:hint="eastAsia" w:ascii="Times New Roman" w:cs="Times New Roman"/>
                <w:bCs/>
                <w:color w:val="auto"/>
                <w:sz w:val="24"/>
                <w:szCs w:val="24"/>
                <w:lang w:val="en-US" w:eastAsia="zh-CN"/>
              </w:rPr>
              <w:t>（不含吹塑工艺）</w:t>
            </w:r>
          </w:p>
          <w:p w14:paraId="59F98F9B">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default" w:ascii="Times New Roman" w:hAnsi="Times New Roman" w:cs="Times New Roman"/>
                <w:bCs/>
                <w:color w:val="auto"/>
                <w:sz w:val="24"/>
                <w:szCs w:val="24"/>
                <w:lang w:val="en-US" w:eastAsia="zh-CN"/>
              </w:rPr>
              <w:t>折纸上胶（热熔胶）工序产生的有机废气</w:t>
            </w:r>
          </w:p>
          <w:p w14:paraId="0D68CE41">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default" w:ascii="Times New Roman" w:hAnsi="Times New Roman" w:cs="Times New Roman"/>
                <w:bCs/>
                <w:color w:val="auto"/>
                <w:sz w:val="24"/>
                <w:szCs w:val="24"/>
                <w:lang w:val="en-US" w:eastAsia="zh-CN"/>
              </w:rPr>
              <w:t>项目空滤器滤芯生产过程中折纸上胶工序使用到EVA热熔胶。热熔胶在使用加热过程中将产生一定的有机废气，本次评价以VOCs作为评价对象，EVA主要成分为乙烯和醋酸乙烯在高压下共聚而成，正常工作温度为150℃~180℃。本项目加热温度为120℃，低于正常工作温度，热熔胶使用过程会产生少量有机废气。VOCs的产生量参照《空气污染物排放和控制手册》（美国国家环保局）中推荐的数据，有机废气的产生系数为 0.35kg/t原料。根据业主提供的资料，热熔胶使用量为</w:t>
            </w:r>
            <w:r>
              <w:rPr>
                <w:rFonts w:hint="eastAsia" w:ascii="Times New Roman" w:cs="Times New Roman"/>
                <w:bCs/>
                <w:color w:val="auto"/>
                <w:sz w:val="24"/>
                <w:szCs w:val="24"/>
                <w:lang w:val="en-US" w:eastAsia="zh-CN"/>
              </w:rPr>
              <w:t>2.4</w:t>
            </w:r>
            <w:r>
              <w:rPr>
                <w:rFonts w:hint="default" w:ascii="Times New Roman" w:hAnsi="Times New Roman" w:cs="Times New Roman"/>
                <w:bCs/>
                <w:color w:val="auto"/>
                <w:sz w:val="24"/>
                <w:szCs w:val="24"/>
                <w:lang w:val="en-US" w:eastAsia="zh-CN"/>
              </w:rPr>
              <w:t>t，则VOCs产生量</w:t>
            </w:r>
            <w:r>
              <w:rPr>
                <w:rFonts w:hint="eastAsia" w:ascii="Times New Roman" w:cs="Times New Roman"/>
                <w:bCs/>
                <w:color w:val="auto"/>
                <w:sz w:val="24"/>
                <w:szCs w:val="24"/>
                <w:lang w:val="en-US" w:eastAsia="zh-CN"/>
              </w:rPr>
              <w:t>0.84</w:t>
            </w:r>
            <w:r>
              <w:rPr>
                <w:rFonts w:hint="default" w:ascii="Times New Roman" w:hAnsi="Times New Roman" w:cs="Times New Roman"/>
                <w:bCs/>
                <w:color w:val="auto"/>
                <w:sz w:val="24"/>
                <w:szCs w:val="24"/>
                <w:lang w:val="en-US" w:eastAsia="zh-CN"/>
              </w:rPr>
              <w:t>kg/a，项目年生产时间为2400h/a，则VOCs产生速率为0.</w:t>
            </w:r>
            <w:r>
              <w:rPr>
                <w:rFonts w:hint="eastAsia" w:ascii="Times New Roman" w:cs="Times New Roman"/>
                <w:bCs/>
                <w:color w:val="auto"/>
                <w:sz w:val="24"/>
                <w:szCs w:val="24"/>
                <w:lang w:val="en-US" w:eastAsia="zh-CN"/>
              </w:rPr>
              <w:t>35</w:t>
            </w:r>
            <w:r>
              <w:rPr>
                <w:rFonts w:hint="default" w:ascii="Times New Roman" w:hAnsi="Times New Roman" w:cs="Times New Roman"/>
                <w:bCs/>
                <w:color w:val="auto"/>
                <w:sz w:val="24"/>
                <w:szCs w:val="24"/>
                <w:lang w:val="en-US" w:eastAsia="zh-CN"/>
              </w:rPr>
              <w:t>g/h。</w:t>
            </w:r>
          </w:p>
          <w:p w14:paraId="23F6F3DC">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default" w:ascii="Times New Roman" w:hAnsi="Times New Roman" w:cs="Times New Roman"/>
                <w:bCs/>
                <w:color w:val="auto"/>
                <w:sz w:val="24"/>
                <w:szCs w:val="24"/>
                <w:lang w:val="en-US" w:eastAsia="zh-CN"/>
              </w:rPr>
              <w:t>注塑、注胶工艺中产生的有机废气</w:t>
            </w:r>
          </w:p>
          <w:p w14:paraId="5690C85A">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default" w:ascii="Times New Roman" w:hAnsi="Times New Roman" w:cs="Times New Roman"/>
                <w:bCs/>
                <w:color w:val="auto"/>
                <w:sz w:val="24"/>
                <w:szCs w:val="24"/>
                <w:lang w:val="en-US" w:eastAsia="zh-CN"/>
              </w:rPr>
              <w:t>项目在注塑、吹塑和注胶工艺中使用聚乙烯、聚丙烯和聚氨酯AB料。由于在受热固化情况下加热温度一般控制在原料允许的范围内，分解和未聚合的单体量极少，主要为单体物质挥发（本次评价以VOCs计）。通过参考没过国家环保局EPA编写的《工业污染源调查与研究》等相关资料，有机废气产生量基本在原料量的0.01%~0.04%之间。本评价取最高值，即VOCs产生量以原料量的0.04%计。根据业主提供的资料</w:t>
            </w:r>
            <w:r>
              <w:rPr>
                <w:rFonts w:hint="eastAsia" w:ascii="Times New Roman" w:cs="Times New Roman"/>
                <w:bCs/>
                <w:color w:val="auto"/>
                <w:sz w:val="24"/>
                <w:szCs w:val="24"/>
                <w:lang w:val="en-US" w:eastAsia="zh-CN"/>
              </w:rPr>
              <w:t>，</w:t>
            </w:r>
            <w:r>
              <w:rPr>
                <w:rFonts w:hint="default" w:ascii="Times New Roman" w:hAnsi="Times New Roman" w:cs="Times New Roman"/>
                <w:bCs/>
                <w:color w:val="auto"/>
                <w:sz w:val="24"/>
                <w:szCs w:val="24"/>
                <w:lang w:val="en-US" w:eastAsia="zh-CN"/>
              </w:rPr>
              <w:t>聚丙烯用量为</w:t>
            </w:r>
            <w:r>
              <w:rPr>
                <w:rFonts w:hint="eastAsia" w:ascii="Times New Roman" w:cs="Times New Roman"/>
                <w:bCs/>
                <w:color w:val="auto"/>
                <w:sz w:val="24"/>
                <w:szCs w:val="24"/>
                <w:lang w:val="en-US" w:eastAsia="zh-CN"/>
              </w:rPr>
              <w:t>34.2</w:t>
            </w:r>
            <w:r>
              <w:rPr>
                <w:rFonts w:hint="default" w:ascii="Times New Roman" w:hAnsi="Times New Roman" w:cs="Times New Roman"/>
                <w:bCs/>
                <w:color w:val="auto"/>
                <w:sz w:val="24"/>
                <w:szCs w:val="24"/>
                <w:lang w:val="en-US" w:eastAsia="zh-CN"/>
              </w:rPr>
              <w:t>t/a，聚氨酯AB料用量为</w:t>
            </w:r>
            <w:r>
              <w:rPr>
                <w:rFonts w:hint="eastAsia" w:ascii="Times New Roman" w:cs="Times New Roman"/>
                <w:bCs/>
                <w:color w:val="auto"/>
                <w:sz w:val="24"/>
                <w:szCs w:val="24"/>
                <w:lang w:val="en-US" w:eastAsia="zh-CN"/>
              </w:rPr>
              <w:t>4</w:t>
            </w:r>
            <w:r>
              <w:rPr>
                <w:rFonts w:hint="default" w:ascii="Times New Roman" w:hAnsi="Times New Roman" w:cs="Times New Roman"/>
                <w:bCs/>
                <w:color w:val="auto"/>
                <w:sz w:val="24"/>
                <w:szCs w:val="24"/>
                <w:lang w:val="en-US" w:eastAsia="zh-CN"/>
              </w:rPr>
              <w:t>t/a，产生的VOCs约为</w:t>
            </w:r>
            <w:r>
              <w:rPr>
                <w:rFonts w:hint="eastAsia" w:ascii="Times New Roman" w:cs="Times New Roman"/>
                <w:bCs/>
                <w:color w:val="auto"/>
                <w:sz w:val="24"/>
                <w:szCs w:val="24"/>
                <w:lang w:val="en-US" w:eastAsia="zh-CN"/>
              </w:rPr>
              <w:t>15.28</w:t>
            </w:r>
            <w:r>
              <w:rPr>
                <w:rFonts w:hint="default" w:ascii="Times New Roman" w:hAnsi="Times New Roman" w:cs="Times New Roman"/>
                <w:bCs/>
                <w:color w:val="auto"/>
                <w:sz w:val="24"/>
                <w:szCs w:val="24"/>
                <w:lang w:val="en-US" w:eastAsia="zh-CN"/>
              </w:rPr>
              <w:t>kg/a。项目年生产时间为2400h/a，则VOCs产生速率为</w:t>
            </w:r>
            <w:r>
              <w:rPr>
                <w:rFonts w:hint="eastAsia" w:ascii="Times New Roman" w:cs="Times New Roman"/>
                <w:bCs/>
                <w:color w:val="auto"/>
                <w:sz w:val="24"/>
                <w:szCs w:val="24"/>
                <w:lang w:val="en-US" w:eastAsia="zh-CN"/>
              </w:rPr>
              <w:t>6.36</w:t>
            </w:r>
            <w:r>
              <w:rPr>
                <w:rFonts w:hint="default" w:ascii="Times New Roman" w:hAnsi="Times New Roman" w:cs="Times New Roman"/>
                <w:bCs/>
                <w:color w:val="auto"/>
                <w:sz w:val="24"/>
                <w:szCs w:val="24"/>
                <w:lang w:val="en-US" w:eastAsia="zh-CN"/>
              </w:rPr>
              <w:t>g/h。</w:t>
            </w:r>
          </w:p>
          <w:p w14:paraId="78351D3A">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default" w:ascii="Times New Roman" w:hAnsi="Times New Roman" w:cs="Times New Roman"/>
                <w:bCs/>
                <w:color w:val="auto"/>
                <w:sz w:val="24"/>
                <w:szCs w:val="24"/>
                <w:lang w:val="en-US" w:eastAsia="zh-CN"/>
              </w:rPr>
              <w:t>激光打码工序产生的有机废气</w:t>
            </w:r>
          </w:p>
          <w:p w14:paraId="30830729">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default" w:ascii="Times New Roman" w:hAnsi="Times New Roman" w:cs="Times New Roman"/>
                <w:bCs/>
                <w:color w:val="auto"/>
                <w:sz w:val="24"/>
                <w:szCs w:val="24"/>
                <w:lang w:val="en-US" w:eastAsia="zh-CN"/>
              </w:rPr>
              <w:t>项目使用激光刻字机在加工过程中由于塑胶件部分受热熔融会产生少量有机废气，主要成分为VOCs，均为无组织排放，根据同类项目类比分析，最大产生浓度为0.05mg/m3，即周界外VOCs的最高浓度小于0.05mg/m3，远低于《四川省固定污染源大气挥发性有机物排放标准》（DB51/2377-2017）中表5无组织排放监控浓度限值：2.0mg/m</w:t>
            </w:r>
            <w:r>
              <w:rPr>
                <w:rFonts w:hint="default" w:ascii="Times New Roman" w:hAnsi="Times New Roman" w:cs="Times New Roman"/>
                <w:bCs/>
                <w:color w:val="auto"/>
                <w:sz w:val="24"/>
                <w:szCs w:val="24"/>
                <w:vertAlign w:val="superscript"/>
                <w:lang w:val="en-US" w:eastAsia="zh-CN"/>
              </w:rPr>
              <w:t>3</w:t>
            </w:r>
            <w:r>
              <w:rPr>
                <w:rFonts w:hint="default" w:ascii="Times New Roman" w:hAnsi="Times New Roman" w:cs="Times New Roman"/>
                <w:bCs/>
                <w:color w:val="auto"/>
                <w:sz w:val="24"/>
                <w:szCs w:val="24"/>
                <w:lang w:val="en-US" w:eastAsia="zh-CN"/>
              </w:rPr>
              <w:t>。</w:t>
            </w:r>
          </w:p>
          <w:p w14:paraId="4AFBBD76">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default" w:ascii="Times New Roman" w:hAnsi="Times New Roman" w:cs="Times New Roman"/>
                <w:bCs/>
                <w:color w:val="auto"/>
                <w:sz w:val="24"/>
                <w:szCs w:val="24"/>
                <w:lang w:val="en-US" w:eastAsia="zh-CN"/>
              </w:rPr>
              <w:t>综上所述，</w:t>
            </w:r>
            <w:r>
              <w:rPr>
                <w:rFonts w:hint="eastAsia" w:ascii="Times New Roman" w:cs="Times New Roman"/>
                <w:bCs/>
                <w:color w:val="auto"/>
                <w:sz w:val="24"/>
                <w:szCs w:val="24"/>
                <w:lang w:val="en-US" w:eastAsia="zh-CN"/>
              </w:rPr>
              <w:t>2</w:t>
            </w:r>
            <w:r>
              <w:rPr>
                <w:rFonts w:hint="default" w:ascii="Times New Roman" w:hAnsi="Times New Roman" w:cs="Times New Roman"/>
                <w:bCs/>
                <w:color w:val="auto"/>
                <w:sz w:val="24"/>
                <w:szCs w:val="24"/>
                <w:lang w:val="en-US" w:eastAsia="zh-CN"/>
              </w:rPr>
              <w:t>#车间VOCs的产生总量为</w:t>
            </w:r>
            <w:r>
              <w:rPr>
                <w:rFonts w:hint="eastAsia" w:ascii="Times New Roman" w:cs="Times New Roman"/>
                <w:bCs/>
                <w:color w:val="auto"/>
                <w:sz w:val="24"/>
                <w:szCs w:val="24"/>
                <w:lang w:val="en-US" w:eastAsia="zh-CN"/>
              </w:rPr>
              <w:t>16.12</w:t>
            </w:r>
            <w:r>
              <w:rPr>
                <w:rFonts w:hint="default" w:ascii="Times New Roman" w:hAnsi="Times New Roman" w:cs="Times New Roman"/>
                <w:bCs/>
                <w:color w:val="auto"/>
                <w:sz w:val="24"/>
                <w:szCs w:val="24"/>
                <w:lang w:val="en-US" w:eastAsia="zh-CN"/>
              </w:rPr>
              <w:t>kg/a，</w:t>
            </w:r>
            <w:r>
              <w:rPr>
                <w:rFonts w:hint="eastAsia" w:ascii="Times New Roman" w:cs="Times New Roman"/>
                <w:bCs/>
                <w:color w:val="auto"/>
                <w:sz w:val="24"/>
                <w:szCs w:val="24"/>
                <w:lang w:val="en-US" w:eastAsia="zh-CN"/>
              </w:rPr>
              <w:t>6.71</w:t>
            </w:r>
            <w:r>
              <w:rPr>
                <w:rFonts w:hint="default" w:ascii="Times New Roman" w:hAnsi="Times New Roman" w:cs="Times New Roman"/>
                <w:bCs/>
                <w:color w:val="auto"/>
                <w:sz w:val="24"/>
                <w:szCs w:val="24"/>
                <w:lang w:val="en-US" w:eastAsia="zh-CN"/>
              </w:rPr>
              <w:t>g/h</w:t>
            </w:r>
            <w:r>
              <w:rPr>
                <w:rFonts w:hint="eastAsia" w:ascii="Times New Roman" w:cs="Times New Roman"/>
                <w:bCs/>
                <w:color w:val="auto"/>
                <w:sz w:val="24"/>
                <w:szCs w:val="24"/>
                <w:lang w:val="en-US" w:eastAsia="zh-CN"/>
              </w:rPr>
              <w:t>，4.48mg/m</w:t>
            </w:r>
            <w:r>
              <w:rPr>
                <w:rFonts w:hint="eastAsia" w:ascii="Times New Roman" w:cs="Times New Roman"/>
                <w:bCs/>
                <w:color w:val="auto"/>
                <w:sz w:val="24"/>
                <w:szCs w:val="24"/>
                <w:vertAlign w:val="superscript"/>
                <w:lang w:val="en-US" w:eastAsia="zh-CN"/>
              </w:rPr>
              <w:t>3</w:t>
            </w:r>
            <w:r>
              <w:rPr>
                <w:rFonts w:hint="default" w:ascii="Times New Roman" w:hAnsi="Times New Roman" w:cs="Times New Roman"/>
                <w:bCs/>
                <w:color w:val="auto"/>
                <w:sz w:val="24"/>
                <w:szCs w:val="24"/>
                <w:lang w:val="en-US" w:eastAsia="zh-CN"/>
              </w:rPr>
              <w:t>。</w:t>
            </w:r>
          </w:p>
          <w:p w14:paraId="0CA6A649">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default" w:ascii="Times New Roman" w:hAnsi="Times New Roman" w:cs="Times New Roman"/>
                <w:bCs/>
                <w:color w:val="auto"/>
                <w:sz w:val="24"/>
                <w:szCs w:val="24"/>
                <w:lang w:val="en-US" w:eastAsia="zh-CN"/>
              </w:rPr>
              <w:t>治理措施：</w:t>
            </w:r>
          </w:p>
          <w:p w14:paraId="23C97A9D">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default" w:ascii="Times New Roman" w:hAnsi="Times New Roman" w:cs="Times New Roman"/>
                <w:bCs/>
                <w:color w:val="auto"/>
                <w:sz w:val="24"/>
                <w:szCs w:val="24"/>
                <w:lang w:val="en-US" w:eastAsia="zh-CN"/>
              </w:rPr>
              <w:t>有机废气通过“</w:t>
            </w:r>
            <w:r>
              <w:rPr>
                <w:rFonts w:hint="eastAsia" w:ascii="Times New Roman" w:cs="Times New Roman"/>
                <w:bCs/>
                <w:color w:val="auto"/>
                <w:sz w:val="24"/>
                <w:szCs w:val="24"/>
                <w:lang w:val="en-US" w:eastAsia="zh-CN"/>
              </w:rPr>
              <w:t>6</w:t>
            </w:r>
            <w:r>
              <w:rPr>
                <w:rFonts w:hint="default" w:ascii="Times New Roman" w:hAnsi="Times New Roman" w:cs="Times New Roman"/>
                <w:bCs/>
                <w:color w:val="auto"/>
                <w:sz w:val="24"/>
                <w:szCs w:val="24"/>
                <w:lang w:val="en-US" w:eastAsia="zh-CN"/>
              </w:rPr>
              <w:t>个集气罩（不含激光打码工序）+1套UV光催化装置+1套活性炭吸附装置”进行处理，处理后经15m高的排气筒（</w:t>
            </w:r>
            <w:r>
              <w:rPr>
                <w:rFonts w:hint="eastAsia" w:ascii="Times New Roman" w:cs="Times New Roman"/>
                <w:bCs/>
                <w:color w:val="auto"/>
                <w:sz w:val="24"/>
                <w:szCs w:val="24"/>
                <w:lang w:val="en-US" w:eastAsia="zh-CN"/>
              </w:rPr>
              <w:t>2</w:t>
            </w:r>
            <w:r>
              <w:rPr>
                <w:rFonts w:hint="default" w:ascii="Times New Roman" w:hAnsi="Times New Roman" w:cs="Times New Roman"/>
                <w:bCs/>
                <w:color w:val="auto"/>
                <w:sz w:val="24"/>
                <w:szCs w:val="24"/>
                <w:lang w:val="en-US" w:eastAsia="zh-CN"/>
              </w:rPr>
              <w:t>#）有组织排放。集气管道抽风系统捕集效率≥90%，光氧催化装置</w:t>
            </w:r>
            <w:r>
              <w:rPr>
                <w:rFonts w:hint="eastAsia" w:ascii="Times New Roman" w:cs="Times New Roman"/>
                <w:bCs/>
                <w:color w:val="auto"/>
                <w:sz w:val="24"/>
                <w:szCs w:val="24"/>
                <w:lang w:val="en-US" w:eastAsia="zh-CN"/>
              </w:rPr>
              <w:t>+</w:t>
            </w:r>
            <w:r>
              <w:rPr>
                <w:rFonts w:hint="default" w:ascii="Times New Roman" w:hAnsi="Times New Roman" w:cs="Times New Roman"/>
                <w:bCs/>
                <w:color w:val="auto"/>
                <w:sz w:val="24"/>
                <w:szCs w:val="24"/>
                <w:lang w:val="en-US" w:eastAsia="zh-CN"/>
              </w:rPr>
              <w:t>活性炭吸附</w:t>
            </w:r>
            <w:r>
              <w:rPr>
                <w:rFonts w:hint="eastAsia" w:ascii="Times New Roman" w:cs="Times New Roman"/>
                <w:bCs/>
                <w:color w:val="auto"/>
                <w:sz w:val="24"/>
                <w:szCs w:val="24"/>
                <w:lang w:val="en-US" w:eastAsia="zh-CN"/>
              </w:rPr>
              <w:t>处理</w:t>
            </w:r>
            <w:r>
              <w:rPr>
                <w:rFonts w:hint="default" w:ascii="Times New Roman" w:hAnsi="Times New Roman" w:cs="Times New Roman"/>
                <w:bCs/>
                <w:color w:val="auto"/>
                <w:sz w:val="24"/>
                <w:szCs w:val="24"/>
                <w:lang w:val="en-US" w:eastAsia="zh-CN"/>
              </w:rPr>
              <w:t>效率≥</w:t>
            </w:r>
            <w:r>
              <w:rPr>
                <w:rFonts w:hint="eastAsia" w:ascii="Times New Roman" w:cs="Times New Roman"/>
                <w:bCs/>
                <w:color w:val="auto"/>
                <w:sz w:val="24"/>
                <w:szCs w:val="24"/>
                <w:lang w:val="en-US" w:eastAsia="zh-CN"/>
              </w:rPr>
              <w:t>90</w:t>
            </w:r>
            <w:r>
              <w:rPr>
                <w:rFonts w:hint="default" w:ascii="Times New Roman" w:hAnsi="Times New Roman" w:cs="Times New Roman"/>
                <w:bCs/>
                <w:color w:val="auto"/>
                <w:sz w:val="24"/>
                <w:szCs w:val="24"/>
                <w:lang w:val="en-US" w:eastAsia="zh-CN"/>
              </w:rPr>
              <w:t>%，风机风量按</w:t>
            </w:r>
            <w:r>
              <w:rPr>
                <w:rFonts w:hint="eastAsia" w:ascii="Times New Roman" w:cs="Times New Roman"/>
                <w:bCs/>
                <w:color w:val="auto"/>
                <w:sz w:val="24"/>
                <w:szCs w:val="24"/>
                <w:lang w:val="en-US" w:eastAsia="zh-CN"/>
              </w:rPr>
              <w:t>15</w:t>
            </w:r>
            <w:r>
              <w:rPr>
                <w:rFonts w:hint="default" w:ascii="Times New Roman" w:hAnsi="Times New Roman" w:cs="Times New Roman"/>
                <w:bCs/>
                <w:color w:val="auto"/>
                <w:sz w:val="24"/>
                <w:szCs w:val="24"/>
                <w:lang w:val="en-US" w:eastAsia="zh-CN"/>
              </w:rPr>
              <w:t>00m</w:t>
            </w:r>
            <w:r>
              <w:rPr>
                <w:rFonts w:hint="default" w:ascii="Times New Roman" w:hAnsi="Times New Roman" w:cs="Times New Roman"/>
                <w:bCs/>
                <w:color w:val="auto"/>
                <w:sz w:val="24"/>
                <w:szCs w:val="24"/>
                <w:vertAlign w:val="superscript"/>
                <w:lang w:val="en-US" w:eastAsia="zh-CN"/>
              </w:rPr>
              <w:t>3</w:t>
            </w:r>
            <w:r>
              <w:rPr>
                <w:rFonts w:hint="default" w:ascii="Times New Roman" w:hAnsi="Times New Roman" w:cs="Times New Roman"/>
                <w:bCs/>
                <w:color w:val="auto"/>
                <w:sz w:val="24"/>
                <w:szCs w:val="24"/>
                <w:lang w:val="en-US" w:eastAsia="zh-CN"/>
              </w:rPr>
              <w:t>/h。经处理后，VOCs有组织排放量为</w:t>
            </w:r>
            <w:r>
              <w:rPr>
                <w:rFonts w:hint="eastAsia" w:ascii="Times New Roman" w:cs="Times New Roman"/>
                <w:bCs/>
                <w:color w:val="auto"/>
                <w:sz w:val="24"/>
                <w:szCs w:val="24"/>
                <w:lang w:val="en-US" w:eastAsia="zh-CN"/>
              </w:rPr>
              <w:t>1.451</w:t>
            </w:r>
            <w:r>
              <w:rPr>
                <w:rFonts w:hint="default" w:ascii="Times New Roman" w:hAnsi="Times New Roman" w:cs="Times New Roman"/>
                <w:bCs/>
                <w:color w:val="auto"/>
                <w:sz w:val="24"/>
                <w:szCs w:val="24"/>
                <w:lang w:val="en-US" w:eastAsia="zh-CN"/>
              </w:rPr>
              <w:t>kg/a，排放速率0.</w:t>
            </w:r>
            <w:r>
              <w:rPr>
                <w:rFonts w:hint="eastAsia" w:ascii="Times New Roman" w:cs="Times New Roman"/>
                <w:bCs/>
                <w:color w:val="auto"/>
                <w:sz w:val="24"/>
                <w:szCs w:val="24"/>
                <w:lang w:val="en-US" w:eastAsia="zh-CN"/>
              </w:rPr>
              <w:t>605</w:t>
            </w:r>
            <w:r>
              <w:rPr>
                <w:rFonts w:hint="default" w:ascii="Times New Roman" w:hAnsi="Times New Roman" w:cs="Times New Roman"/>
                <w:bCs/>
                <w:color w:val="auto"/>
                <w:sz w:val="24"/>
                <w:szCs w:val="24"/>
                <w:lang w:val="en-US" w:eastAsia="zh-CN"/>
              </w:rPr>
              <w:t>g/h，排放浓度为0.</w:t>
            </w:r>
            <w:r>
              <w:rPr>
                <w:rFonts w:hint="eastAsia" w:ascii="Times New Roman" w:cs="Times New Roman"/>
                <w:bCs/>
                <w:color w:val="auto"/>
                <w:sz w:val="24"/>
                <w:szCs w:val="24"/>
                <w:lang w:val="en-US" w:eastAsia="zh-CN"/>
              </w:rPr>
              <w:t>4</w:t>
            </w:r>
            <w:r>
              <w:rPr>
                <w:rFonts w:hint="default" w:ascii="Times New Roman" w:hAnsi="Times New Roman" w:cs="Times New Roman"/>
                <w:bCs/>
                <w:color w:val="auto"/>
                <w:sz w:val="24"/>
                <w:szCs w:val="24"/>
                <w:lang w:val="en-US" w:eastAsia="zh-CN"/>
              </w:rPr>
              <w:t>mg/m</w:t>
            </w:r>
            <w:r>
              <w:rPr>
                <w:rFonts w:hint="default" w:ascii="Times New Roman" w:hAnsi="Times New Roman" w:cs="Times New Roman"/>
                <w:bCs/>
                <w:color w:val="auto"/>
                <w:sz w:val="24"/>
                <w:szCs w:val="24"/>
                <w:vertAlign w:val="superscript"/>
                <w:lang w:val="en-US" w:eastAsia="zh-CN"/>
              </w:rPr>
              <w:t>3</w:t>
            </w:r>
            <w:r>
              <w:rPr>
                <w:rFonts w:hint="eastAsia" w:ascii="Times New Roman" w:cs="Times New Roman"/>
                <w:bCs/>
                <w:color w:val="auto"/>
                <w:sz w:val="24"/>
                <w:szCs w:val="24"/>
                <w:lang w:val="en-US" w:eastAsia="zh-CN"/>
              </w:rPr>
              <w:t>；</w:t>
            </w:r>
            <w:r>
              <w:rPr>
                <w:rFonts w:hint="default" w:ascii="Times New Roman" w:hAnsi="Times New Roman" w:cs="Times New Roman"/>
                <w:bCs/>
                <w:color w:val="auto"/>
                <w:sz w:val="24"/>
                <w:szCs w:val="24"/>
                <w:lang w:val="en-US" w:eastAsia="zh-CN"/>
              </w:rPr>
              <w:t>无组织排放的VOCs为</w:t>
            </w:r>
            <w:r>
              <w:rPr>
                <w:rFonts w:hint="eastAsia" w:ascii="Times New Roman" w:cs="Times New Roman"/>
                <w:bCs/>
                <w:color w:val="auto"/>
                <w:sz w:val="24"/>
                <w:szCs w:val="24"/>
                <w:lang w:val="en-US" w:eastAsia="zh-CN"/>
              </w:rPr>
              <w:t>1.612</w:t>
            </w:r>
            <w:r>
              <w:rPr>
                <w:rFonts w:hint="default" w:ascii="Times New Roman" w:hAnsi="Times New Roman" w:cs="Times New Roman"/>
                <w:bCs/>
                <w:color w:val="auto"/>
                <w:sz w:val="24"/>
                <w:szCs w:val="24"/>
                <w:lang w:val="en-US" w:eastAsia="zh-CN"/>
              </w:rPr>
              <w:t>kg/a，</w:t>
            </w:r>
            <w:r>
              <w:rPr>
                <w:rFonts w:hint="eastAsia" w:ascii="Times New Roman" w:cs="Times New Roman"/>
                <w:bCs/>
                <w:color w:val="auto"/>
                <w:sz w:val="24"/>
                <w:szCs w:val="24"/>
                <w:lang w:val="en-US" w:eastAsia="zh-CN"/>
              </w:rPr>
              <w:t>0.67</w:t>
            </w:r>
            <w:r>
              <w:rPr>
                <w:rFonts w:hint="default" w:ascii="Times New Roman" w:hAnsi="Times New Roman" w:cs="Times New Roman"/>
                <w:bCs/>
                <w:color w:val="auto"/>
                <w:sz w:val="24"/>
                <w:szCs w:val="24"/>
                <w:lang w:val="en-US" w:eastAsia="zh-CN"/>
              </w:rPr>
              <w:t>g/h，满足《四川省固定污染源大气挥发性有机物排放标准（DB51/2377-2017）》表3中汽车制造的要求（15m高排气筒，最高允许排放速率3.4kg/h，最高允许排放浓度60mg/m</w:t>
            </w:r>
            <w:r>
              <w:rPr>
                <w:rFonts w:hint="default" w:ascii="Times New Roman" w:hAnsi="Times New Roman" w:cs="Times New Roman"/>
                <w:bCs/>
                <w:color w:val="auto"/>
                <w:sz w:val="24"/>
                <w:szCs w:val="24"/>
                <w:vertAlign w:val="superscript"/>
                <w:lang w:val="en-US" w:eastAsia="zh-CN"/>
              </w:rPr>
              <w:t>3</w:t>
            </w:r>
            <w:r>
              <w:rPr>
                <w:rFonts w:hint="default" w:ascii="Times New Roman" w:hAnsi="Times New Roman" w:cs="Times New Roman"/>
                <w:bCs/>
                <w:color w:val="auto"/>
                <w:sz w:val="24"/>
                <w:szCs w:val="24"/>
                <w:lang w:val="en-US" w:eastAsia="zh-CN"/>
              </w:rPr>
              <w:t>）。</w:t>
            </w:r>
          </w:p>
          <w:p w14:paraId="3989132C">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default" w:ascii="Times New Roman" w:hAnsi="Times New Roman" w:cs="Times New Roman"/>
                <w:bCs/>
                <w:color w:val="auto"/>
                <w:sz w:val="24"/>
                <w:szCs w:val="24"/>
                <w:lang w:val="en-US" w:eastAsia="zh-CN"/>
              </w:rPr>
              <w:t>光氧催化是基于光催化剂在紫外线照射下具有的氧化还原能力而净化污染物。利用光催化净化技术去除空气中的有机污染物具有以下特点：直接用空气中的氧气做氧化剂，反应条件温和（常温常压）；可以将有机污染物分解为二氧化碳和水等无机小分子，净化效果彻底；半导体光催化剂化学性质稳定，氧化还原性强，成本低，不存在吸附饱和现象，使用寿命长。使用TiO2为光催化剂（半导体材料），由于其光吸收阈值与带隙具有式K=1240/Eg(eV)的关系，因此其吸收波长阈值大都在紫外区域。当光子能量高于半导体吸收阈值的光照射半导体时,半导体的价带电子发生带间跃迁，即从价带跃迁到导带，从而产生光生电子(e-)和空穴(h+)。此时吸附在纳米颗粒表面的溶解氧俘获电子形成超氧负离子，而空穴将吸附在催化剂表面的氢氧根离子和水氧化成氢氧自由基。而超氧负离子和氢氧自由基具有很强的氧化性，能将绝大多数的有机物氧化至最终产物CO</w:t>
            </w:r>
            <w:r>
              <w:rPr>
                <w:rFonts w:hint="default" w:ascii="Times New Roman" w:hAnsi="Times New Roman" w:cs="Times New Roman"/>
                <w:bCs/>
                <w:color w:val="auto"/>
                <w:sz w:val="24"/>
                <w:szCs w:val="24"/>
                <w:vertAlign w:val="subscript"/>
                <w:lang w:val="en-US" w:eastAsia="zh-CN"/>
              </w:rPr>
              <w:t>2</w:t>
            </w:r>
            <w:r>
              <w:rPr>
                <w:rFonts w:hint="default" w:ascii="Times New Roman" w:hAnsi="Times New Roman" w:cs="Times New Roman"/>
                <w:bCs/>
                <w:color w:val="auto"/>
                <w:sz w:val="24"/>
                <w:szCs w:val="24"/>
                <w:lang w:val="en-US" w:eastAsia="zh-CN"/>
              </w:rPr>
              <w:t>和H</w:t>
            </w:r>
            <w:r>
              <w:rPr>
                <w:rFonts w:hint="default" w:ascii="Times New Roman" w:hAnsi="Times New Roman" w:cs="Times New Roman"/>
                <w:bCs/>
                <w:color w:val="auto"/>
                <w:sz w:val="24"/>
                <w:szCs w:val="24"/>
                <w:vertAlign w:val="subscript"/>
                <w:lang w:val="en-US" w:eastAsia="zh-CN"/>
              </w:rPr>
              <w:t>2</w:t>
            </w:r>
            <w:r>
              <w:rPr>
                <w:rFonts w:hint="default" w:ascii="Times New Roman" w:hAnsi="Times New Roman" w:cs="Times New Roman"/>
                <w:bCs/>
                <w:color w:val="auto"/>
                <w:sz w:val="24"/>
                <w:szCs w:val="24"/>
                <w:lang w:val="en-US" w:eastAsia="zh-CN"/>
              </w:rPr>
              <w:t>O，甚至对一些无机物也能彻底分解。</w:t>
            </w:r>
          </w:p>
          <w:p w14:paraId="14CAEF18">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default" w:ascii="Times New Roman" w:hAnsi="Times New Roman" w:cs="Times New Roman"/>
                <w:bCs/>
                <w:color w:val="auto"/>
                <w:sz w:val="24"/>
                <w:szCs w:val="24"/>
                <w:lang w:val="en-US" w:eastAsia="zh-CN"/>
              </w:rPr>
              <w:t>类比已建项目，光氧催化装置对有机废气的处理效率可达90%以上。</w:t>
            </w:r>
          </w:p>
          <w:p w14:paraId="6B5CB9E8">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default" w:ascii="Times New Roman" w:hAnsi="Times New Roman" w:cs="Times New Roman"/>
                <w:bCs/>
                <w:color w:val="auto"/>
                <w:sz w:val="24"/>
                <w:szCs w:val="24"/>
                <w:lang w:val="en-US" w:eastAsia="zh-CN"/>
              </w:rPr>
              <w:t>项目</w:t>
            </w:r>
            <w:r>
              <w:rPr>
                <w:rFonts w:hint="eastAsia" w:ascii="Times New Roman" w:cs="Times New Roman"/>
                <w:bCs/>
                <w:color w:val="auto"/>
                <w:sz w:val="24"/>
                <w:szCs w:val="24"/>
                <w:lang w:val="en-US" w:eastAsia="zh-CN"/>
              </w:rPr>
              <w:t>有机</w:t>
            </w:r>
            <w:r>
              <w:rPr>
                <w:rFonts w:hint="default" w:ascii="Times New Roman" w:hAnsi="Times New Roman" w:cs="Times New Roman"/>
                <w:bCs/>
                <w:color w:val="auto"/>
                <w:sz w:val="24"/>
                <w:szCs w:val="24"/>
                <w:lang w:val="en-US" w:eastAsia="zh-CN"/>
              </w:rPr>
              <w:t>废气产生及排放情况见下表5-</w:t>
            </w:r>
            <w:r>
              <w:rPr>
                <w:rFonts w:hint="eastAsia" w:ascii="Times New Roman" w:cs="Times New Roman"/>
                <w:bCs/>
                <w:color w:val="auto"/>
                <w:sz w:val="24"/>
                <w:szCs w:val="24"/>
                <w:lang w:val="en-US" w:eastAsia="zh-CN"/>
              </w:rPr>
              <w:t>5，5-6。</w:t>
            </w:r>
          </w:p>
          <w:p w14:paraId="333E5FEF">
            <w:pPr>
              <w:spacing w:line="360" w:lineRule="auto"/>
              <w:jc w:val="center"/>
              <w:rPr>
                <w:rFonts w:hint="eastAsia" w:cs="Times New Roman" w:eastAsiaTheme="minorEastAsia"/>
                <w:b/>
                <w:bCs/>
                <w:color w:val="auto"/>
                <w:szCs w:val="21"/>
                <w:lang w:val="en-US" w:eastAsia="zh-CN"/>
              </w:rPr>
            </w:pPr>
            <w:r>
              <w:rPr>
                <w:rFonts w:hint="default" w:ascii="Times New Roman" w:hAnsi="Times New Roman" w:cs="Times New Roman" w:eastAsiaTheme="minorEastAsia"/>
                <w:b/>
                <w:bCs/>
                <w:color w:val="auto"/>
                <w:szCs w:val="21"/>
                <w:lang w:val="en-US" w:eastAsia="zh-CN"/>
              </w:rPr>
              <w:t>表5</w:t>
            </w:r>
            <w:r>
              <w:rPr>
                <w:rFonts w:hint="eastAsia" w:cs="Times New Roman" w:eastAsiaTheme="minorEastAsia"/>
                <w:b/>
                <w:bCs/>
                <w:color w:val="auto"/>
                <w:szCs w:val="21"/>
                <w:lang w:val="en-US" w:eastAsia="zh-CN"/>
              </w:rPr>
              <w:t>-</w:t>
            </w:r>
            <w:r>
              <w:rPr>
                <w:rFonts w:hint="eastAsia" w:ascii="Times New Roman" w:hAnsi="Times New Roman" w:cs="Times New Roman" w:eastAsiaTheme="minorEastAsia"/>
                <w:b/>
                <w:bCs/>
                <w:color w:val="auto"/>
                <w:szCs w:val="21"/>
                <w:lang w:val="en-US" w:eastAsia="zh-CN"/>
              </w:rPr>
              <w:t>5</w:t>
            </w:r>
            <w:r>
              <w:rPr>
                <w:rFonts w:hint="default" w:ascii="Times New Roman" w:hAnsi="Times New Roman" w:cs="Times New Roman" w:eastAsiaTheme="minorEastAsia"/>
                <w:b/>
                <w:bCs/>
                <w:color w:val="auto"/>
                <w:szCs w:val="21"/>
                <w:lang w:val="en-US" w:eastAsia="zh-CN"/>
              </w:rPr>
              <w:t xml:space="preserve"> 本项目有机废气产生及排放情况一览表</w:t>
            </w:r>
            <w:r>
              <w:rPr>
                <w:rFonts w:hint="eastAsia" w:cs="Times New Roman" w:eastAsiaTheme="minorEastAsia"/>
                <w:b/>
                <w:bCs/>
                <w:color w:val="auto"/>
                <w:szCs w:val="21"/>
                <w:lang w:val="en-US" w:eastAsia="zh-CN"/>
              </w:rPr>
              <w:t>（有组织）</w:t>
            </w:r>
          </w:p>
          <w:p w14:paraId="20E691DC">
            <w:pPr>
              <w:pStyle w:val="2"/>
              <w:rPr>
                <w:rFonts w:hint="default"/>
                <w:lang w:val="en-US" w:eastAsia="zh-CN"/>
              </w:rPr>
            </w:pPr>
          </w:p>
          <w:tbl>
            <w:tblPr>
              <w:tblStyle w:val="69"/>
              <w:tblW w:w="9973"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699"/>
              <w:gridCol w:w="894"/>
              <w:gridCol w:w="959"/>
              <w:gridCol w:w="916"/>
              <w:gridCol w:w="883"/>
              <w:gridCol w:w="916"/>
              <w:gridCol w:w="949"/>
              <w:gridCol w:w="721"/>
              <w:gridCol w:w="649"/>
              <w:gridCol w:w="917"/>
              <w:gridCol w:w="867"/>
              <w:gridCol w:w="603"/>
            </w:tblGrid>
            <w:tr w14:paraId="531771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83" w:hRule="atLeast"/>
              </w:trPr>
              <w:tc>
                <w:tcPr>
                  <w:tcW w:w="69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EF76A15">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废气种类</w:t>
                  </w:r>
                </w:p>
              </w:tc>
              <w:tc>
                <w:tcPr>
                  <w:tcW w:w="894" w:type="dxa"/>
                  <w:vMerge w:val="restart"/>
                  <w:tcBorders>
                    <w:top w:val="single" w:color="000000" w:sz="4" w:space="0"/>
                    <w:left w:val="nil"/>
                    <w:bottom w:val="single" w:color="000000" w:sz="4" w:space="0"/>
                    <w:right w:val="single" w:color="000000" w:sz="4" w:space="0"/>
                  </w:tcBorders>
                  <w:shd w:val="clear" w:color="auto" w:fill="auto"/>
                  <w:vAlign w:val="center"/>
                </w:tcPr>
                <w:p w14:paraId="1EFC0C6B">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排气总量</w:t>
                  </w:r>
                </w:p>
                <w:p w14:paraId="29183D61">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eastAsia" w:ascii="Times New Roman" w:hAnsi="Times New Roman" w:cs="Times New Roman"/>
                      <w:kern w:val="0"/>
                      <w:sz w:val="18"/>
                      <w:szCs w:val="18"/>
                      <w:lang w:val="en-US" w:eastAsia="zh-CN" w:bidi="ar"/>
                    </w:rPr>
                    <w:t>m</w:t>
                  </w:r>
                  <w:r>
                    <w:rPr>
                      <w:rFonts w:hint="eastAsia" w:ascii="Times New Roman" w:hAnsi="Times New Roman" w:cs="Times New Roman"/>
                      <w:kern w:val="0"/>
                      <w:sz w:val="18"/>
                      <w:szCs w:val="18"/>
                      <w:vertAlign w:val="superscript"/>
                      <w:lang w:val="en-US" w:eastAsia="zh-CN" w:bidi="ar"/>
                    </w:rPr>
                    <w:t>3</w:t>
                  </w:r>
                  <w:r>
                    <w:rPr>
                      <w:rFonts w:hint="default" w:ascii="Times New Roman" w:hAnsi="Times New Roman" w:eastAsia="宋体" w:cs="Times New Roman"/>
                      <w:kern w:val="0"/>
                      <w:sz w:val="18"/>
                      <w:szCs w:val="18"/>
                      <w:lang w:val="en-US" w:eastAsia="en-US" w:bidi="ar"/>
                    </w:rPr>
                    <w:t>/h</w:t>
                  </w:r>
                </w:p>
              </w:tc>
              <w:tc>
                <w:tcPr>
                  <w:tcW w:w="959" w:type="dxa"/>
                  <w:vMerge w:val="restart"/>
                  <w:tcBorders>
                    <w:top w:val="single" w:color="000000" w:sz="4" w:space="0"/>
                    <w:left w:val="nil"/>
                    <w:bottom w:val="single" w:color="000000" w:sz="4" w:space="0"/>
                    <w:right w:val="single" w:color="000000" w:sz="4" w:space="0"/>
                  </w:tcBorders>
                  <w:shd w:val="clear" w:color="auto" w:fill="auto"/>
                  <w:vAlign w:val="center"/>
                </w:tcPr>
                <w:p w14:paraId="1DCA7EE0">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污染物名称</w:t>
                  </w:r>
                </w:p>
              </w:tc>
              <w:tc>
                <w:tcPr>
                  <w:tcW w:w="1799" w:type="dxa"/>
                  <w:gridSpan w:val="2"/>
                  <w:tcBorders>
                    <w:top w:val="single" w:color="000000" w:sz="4" w:space="0"/>
                    <w:left w:val="nil"/>
                    <w:bottom w:val="single" w:color="000000" w:sz="4" w:space="0"/>
                    <w:right w:val="single" w:color="000000" w:sz="4" w:space="0"/>
                  </w:tcBorders>
                  <w:shd w:val="clear" w:color="auto" w:fill="auto"/>
                  <w:vAlign w:val="center"/>
                </w:tcPr>
                <w:p w14:paraId="44C872D4">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处理前</w:t>
                  </w:r>
                </w:p>
              </w:tc>
              <w:tc>
                <w:tcPr>
                  <w:tcW w:w="1865" w:type="dxa"/>
                  <w:gridSpan w:val="2"/>
                  <w:tcBorders>
                    <w:top w:val="single" w:color="000000" w:sz="4" w:space="0"/>
                    <w:left w:val="nil"/>
                    <w:bottom w:val="single" w:color="000000" w:sz="4" w:space="0"/>
                    <w:right w:val="single" w:color="000000" w:sz="4" w:space="0"/>
                  </w:tcBorders>
                  <w:shd w:val="clear" w:color="auto" w:fill="auto"/>
                  <w:vAlign w:val="center"/>
                </w:tcPr>
                <w:p w14:paraId="46891BFB">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处理后</w:t>
                  </w:r>
                </w:p>
              </w:tc>
              <w:tc>
                <w:tcPr>
                  <w:tcW w:w="721" w:type="dxa"/>
                  <w:vMerge w:val="restart"/>
                  <w:tcBorders>
                    <w:top w:val="single" w:color="000000" w:sz="4" w:space="0"/>
                    <w:left w:val="nil"/>
                    <w:bottom w:val="single" w:color="000000" w:sz="4" w:space="0"/>
                    <w:right w:val="single" w:color="000000" w:sz="4" w:space="0"/>
                  </w:tcBorders>
                  <w:shd w:val="clear" w:color="auto" w:fill="auto"/>
                  <w:vAlign w:val="center"/>
                </w:tcPr>
                <w:p w14:paraId="01745F4A">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处理效率</w:t>
                  </w:r>
                </w:p>
              </w:tc>
              <w:tc>
                <w:tcPr>
                  <w:tcW w:w="649" w:type="dxa"/>
                  <w:vMerge w:val="restart"/>
                  <w:tcBorders>
                    <w:top w:val="single" w:color="000000" w:sz="4" w:space="0"/>
                    <w:left w:val="nil"/>
                    <w:bottom w:val="single" w:color="000000" w:sz="4" w:space="0"/>
                    <w:right w:val="single" w:color="000000" w:sz="4" w:space="0"/>
                  </w:tcBorders>
                  <w:shd w:val="clear" w:color="auto" w:fill="auto"/>
                  <w:vAlign w:val="center"/>
                </w:tcPr>
                <w:p w14:paraId="41875C3E">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处理 措施</w:t>
                  </w:r>
                </w:p>
              </w:tc>
              <w:tc>
                <w:tcPr>
                  <w:tcW w:w="1784" w:type="dxa"/>
                  <w:gridSpan w:val="2"/>
                  <w:tcBorders>
                    <w:top w:val="single" w:color="000000" w:sz="4" w:space="0"/>
                    <w:left w:val="nil"/>
                    <w:bottom w:val="nil"/>
                    <w:right w:val="single" w:color="000000" w:sz="4" w:space="0"/>
                  </w:tcBorders>
                  <w:shd w:val="clear" w:color="auto" w:fill="auto"/>
                  <w:vAlign w:val="center"/>
                </w:tcPr>
                <w:p w14:paraId="62640BD2">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评价标准</w:t>
                  </w:r>
                </w:p>
              </w:tc>
              <w:tc>
                <w:tcPr>
                  <w:tcW w:w="603" w:type="dxa"/>
                  <w:vMerge w:val="restart"/>
                  <w:tcBorders>
                    <w:top w:val="single" w:color="000000" w:sz="4" w:space="0"/>
                    <w:left w:val="nil"/>
                    <w:bottom w:val="single" w:color="000000" w:sz="4" w:space="0"/>
                    <w:right w:val="single" w:color="000000" w:sz="4" w:space="0"/>
                  </w:tcBorders>
                  <w:shd w:val="clear" w:color="auto" w:fill="auto"/>
                  <w:vAlign w:val="center"/>
                </w:tcPr>
                <w:p w14:paraId="1E5AF950">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达标 情况</w:t>
                  </w:r>
                </w:p>
              </w:tc>
            </w:tr>
            <w:tr w14:paraId="3F00F8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9" w:hRule="atLeast"/>
              </w:trPr>
              <w:tc>
                <w:tcPr>
                  <w:tcW w:w="69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56DBC1">
                  <w:pPr>
                    <w:keepNext w:val="0"/>
                    <w:keepLines w:val="0"/>
                    <w:suppressLineNumbers w:val="0"/>
                    <w:spacing w:before="0" w:beforeAutospacing="0" w:after="0" w:afterAutospacing="0"/>
                    <w:ind w:left="0" w:right="0"/>
                    <w:rPr>
                      <w:rFonts w:hint="default" w:ascii="Calibri" w:hAnsi="Calibri" w:eastAsia="宋体" w:cs="Times New Roman"/>
                      <w:sz w:val="22"/>
                      <w:szCs w:val="22"/>
                      <w:lang w:eastAsia="en-US"/>
                    </w:rPr>
                  </w:pPr>
                </w:p>
              </w:tc>
              <w:tc>
                <w:tcPr>
                  <w:tcW w:w="894" w:type="dxa"/>
                  <w:vMerge w:val="continue"/>
                  <w:tcBorders>
                    <w:top w:val="single" w:color="000000" w:sz="4" w:space="0"/>
                    <w:left w:val="nil"/>
                    <w:bottom w:val="single" w:color="000000" w:sz="4" w:space="0"/>
                    <w:right w:val="single" w:color="000000" w:sz="4" w:space="0"/>
                  </w:tcBorders>
                  <w:shd w:val="clear" w:color="auto" w:fill="auto"/>
                  <w:vAlign w:val="center"/>
                </w:tcPr>
                <w:p w14:paraId="167C95CC">
                  <w:pPr>
                    <w:keepNext w:val="0"/>
                    <w:keepLines w:val="0"/>
                    <w:suppressLineNumbers w:val="0"/>
                    <w:spacing w:before="0" w:beforeAutospacing="0" w:after="0" w:afterAutospacing="0"/>
                    <w:ind w:left="0" w:right="0"/>
                    <w:rPr>
                      <w:rFonts w:hint="default" w:ascii="Calibri" w:hAnsi="Calibri" w:eastAsia="宋体" w:cs="Times New Roman"/>
                      <w:sz w:val="22"/>
                      <w:szCs w:val="22"/>
                      <w:lang w:eastAsia="en-US"/>
                    </w:rPr>
                  </w:pPr>
                </w:p>
              </w:tc>
              <w:tc>
                <w:tcPr>
                  <w:tcW w:w="959" w:type="dxa"/>
                  <w:vMerge w:val="continue"/>
                  <w:tcBorders>
                    <w:top w:val="single" w:color="000000" w:sz="4" w:space="0"/>
                    <w:left w:val="nil"/>
                    <w:bottom w:val="single" w:color="000000" w:sz="4" w:space="0"/>
                    <w:right w:val="single" w:color="000000" w:sz="4" w:space="0"/>
                  </w:tcBorders>
                  <w:shd w:val="clear" w:color="auto" w:fill="auto"/>
                  <w:vAlign w:val="center"/>
                </w:tcPr>
                <w:p w14:paraId="646363CA">
                  <w:pPr>
                    <w:keepNext w:val="0"/>
                    <w:keepLines w:val="0"/>
                    <w:suppressLineNumbers w:val="0"/>
                    <w:spacing w:before="0" w:beforeAutospacing="0" w:after="0" w:afterAutospacing="0"/>
                    <w:ind w:left="0" w:right="0"/>
                    <w:rPr>
                      <w:rFonts w:hint="default" w:ascii="Calibri" w:hAnsi="Calibri" w:eastAsia="宋体" w:cs="Times New Roman"/>
                      <w:sz w:val="22"/>
                      <w:szCs w:val="22"/>
                      <w:lang w:eastAsia="en-US"/>
                    </w:rPr>
                  </w:pPr>
                </w:p>
              </w:tc>
              <w:tc>
                <w:tcPr>
                  <w:tcW w:w="916" w:type="dxa"/>
                  <w:tcBorders>
                    <w:top w:val="single" w:color="000000" w:sz="4" w:space="0"/>
                    <w:left w:val="nil"/>
                    <w:bottom w:val="single" w:color="000000" w:sz="4" w:space="0"/>
                    <w:right w:val="single" w:color="000000" w:sz="4" w:space="0"/>
                  </w:tcBorders>
                  <w:shd w:val="clear" w:color="auto" w:fill="auto"/>
                  <w:vAlign w:val="center"/>
                </w:tcPr>
                <w:p w14:paraId="2970D670">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排放浓度</w:t>
                  </w:r>
                </w:p>
                <w:p w14:paraId="7D0424A4">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eastAsia" w:ascii="Times New Roman" w:hAnsi="Times New Roman" w:cs="Times New Roman"/>
                      <w:kern w:val="0"/>
                      <w:sz w:val="18"/>
                      <w:szCs w:val="18"/>
                      <w:lang w:val="en-US" w:eastAsia="zh-CN" w:bidi="ar"/>
                    </w:rPr>
                    <w:t>m</w:t>
                  </w:r>
                  <w:r>
                    <w:rPr>
                      <w:rFonts w:hint="eastAsia" w:ascii="Times New Roman" w:hAnsi="Times New Roman" w:eastAsia="宋体" w:cs="Times New Roman"/>
                      <w:kern w:val="0"/>
                      <w:sz w:val="18"/>
                      <w:szCs w:val="18"/>
                      <w:lang w:val="en-US" w:eastAsia="en-US" w:bidi="ar"/>
                    </w:rPr>
                    <w:t>g/m</w:t>
                  </w:r>
                  <w:r>
                    <w:rPr>
                      <w:rFonts w:hint="eastAsia" w:ascii="Times New Roman" w:hAnsi="Times New Roman" w:eastAsia="宋体" w:cs="Times New Roman"/>
                      <w:kern w:val="0"/>
                      <w:sz w:val="18"/>
                      <w:szCs w:val="18"/>
                      <w:vertAlign w:val="superscript"/>
                      <w:lang w:val="en-US" w:eastAsia="en-US" w:bidi="ar"/>
                    </w:rPr>
                    <w:t>3</w:t>
                  </w:r>
                </w:p>
              </w:tc>
              <w:tc>
                <w:tcPr>
                  <w:tcW w:w="883" w:type="dxa"/>
                  <w:tcBorders>
                    <w:top w:val="single" w:color="000000" w:sz="4" w:space="0"/>
                    <w:left w:val="nil"/>
                    <w:bottom w:val="single" w:color="000000" w:sz="4" w:space="0"/>
                    <w:right w:val="single" w:color="000000" w:sz="4" w:space="0"/>
                  </w:tcBorders>
                  <w:shd w:val="clear" w:color="auto" w:fill="auto"/>
                  <w:vAlign w:val="center"/>
                </w:tcPr>
                <w:p w14:paraId="501841EF">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排放速率</w:t>
                  </w:r>
                </w:p>
                <w:p w14:paraId="335457E1">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g/h</w:t>
                  </w:r>
                </w:p>
              </w:tc>
              <w:tc>
                <w:tcPr>
                  <w:tcW w:w="916" w:type="dxa"/>
                  <w:tcBorders>
                    <w:top w:val="single" w:color="000000" w:sz="4" w:space="0"/>
                    <w:left w:val="nil"/>
                    <w:bottom w:val="single" w:color="000000" w:sz="4" w:space="0"/>
                    <w:right w:val="single" w:color="000000" w:sz="4" w:space="0"/>
                  </w:tcBorders>
                  <w:shd w:val="clear" w:color="auto" w:fill="auto"/>
                  <w:vAlign w:val="center"/>
                </w:tcPr>
                <w:p w14:paraId="48CF13DD">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排放浓度</w:t>
                  </w:r>
                </w:p>
                <w:p w14:paraId="532BA205">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eastAsia" w:ascii="Times New Roman" w:hAnsi="Times New Roman" w:cs="Times New Roman"/>
                      <w:kern w:val="0"/>
                      <w:sz w:val="18"/>
                      <w:szCs w:val="18"/>
                      <w:lang w:val="en-US" w:eastAsia="zh-CN" w:bidi="ar"/>
                    </w:rPr>
                    <w:t>m</w:t>
                  </w:r>
                  <w:r>
                    <w:rPr>
                      <w:rFonts w:hint="eastAsia" w:ascii="Times New Roman" w:hAnsi="Times New Roman" w:eastAsia="宋体" w:cs="Times New Roman"/>
                      <w:kern w:val="0"/>
                      <w:sz w:val="18"/>
                      <w:szCs w:val="18"/>
                      <w:lang w:val="en-US" w:eastAsia="en-US" w:bidi="ar"/>
                    </w:rPr>
                    <w:t>g/m</w:t>
                  </w:r>
                  <w:r>
                    <w:rPr>
                      <w:rFonts w:hint="eastAsia" w:ascii="Times New Roman" w:hAnsi="Times New Roman" w:eastAsia="宋体" w:cs="Times New Roman"/>
                      <w:kern w:val="0"/>
                      <w:sz w:val="18"/>
                      <w:szCs w:val="18"/>
                      <w:vertAlign w:val="superscript"/>
                      <w:lang w:val="en-US" w:eastAsia="en-US" w:bidi="ar"/>
                    </w:rPr>
                    <w:t>3</w:t>
                  </w:r>
                </w:p>
              </w:tc>
              <w:tc>
                <w:tcPr>
                  <w:tcW w:w="949" w:type="dxa"/>
                  <w:tcBorders>
                    <w:top w:val="single" w:color="000000" w:sz="4" w:space="0"/>
                    <w:left w:val="nil"/>
                    <w:bottom w:val="single" w:color="000000" w:sz="4" w:space="0"/>
                    <w:right w:val="single" w:color="000000" w:sz="4" w:space="0"/>
                  </w:tcBorders>
                  <w:shd w:val="clear" w:color="auto" w:fill="auto"/>
                  <w:vAlign w:val="center"/>
                </w:tcPr>
                <w:p w14:paraId="6BF73587">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排放速率</w:t>
                  </w:r>
                </w:p>
                <w:p w14:paraId="6DE92E2E">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g/h</w:t>
                  </w:r>
                </w:p>
              </w:tc>
              <w:tc>
                <w:tcPr>
                  <w:tcW w:w="721" w:type="dxa"/>
                  <w:vMerge w:val="continue"/>
                  <w:tcBorders>
                    <w:top w:val="single" w:color="000000" w:sz="4" w:space="0"/>
                    <w:left w:val="nil"/>
                    <w:bottom w:val="single" w:color="000000" w:sz="4" w:space="0"/>
                    <w:right w:val="single" w:color="000000" w:sz="4" w:space="0"/>
                  </w:tcBorders>
                  <w:shd w:val="clear" w:color="auto" w:fill="auto"/>
                  <w:vAlign w:val="center"/>
                </w:tcPr>
                <w:p w14:paraId="58F00B47">
                  <w:pPr>
                    <w:keepNext w:val="0"/>
                    <w:keepLines w:val="0"/>
                    <w:suppressLineNumbers w:val="0"/>
                    <w:spacing w:before="0" w:beforeAutospacing="0" w:after="0" w:afterAutospacing="0"/>
                    <w:ind w:left="0" w:right="0"/>
                    <w:rPr>
                      <w:rFonts w:hint="default" w:ascii="Calibri" w:hAnsi="Calibri" w:eastAsia="宋体" w:cs="Times New Roman"/>
                      <w:sz w:val="22"/>
                      <w:szCs w:val="22"/>
                      <w:lang w:eastAsia="en-US"/>
                    </w:rPr>
                  </w:pPr>
                </w:p>
              </w:tc>
              <w:tc>
                <w:tcPr>
                  <w:tcW w:w="649" w:type="dxa"/>
                  <w:vMerge w:val="continue"/>
                  <w:tcBorders>
                    <w:top w:val="single" w:color="000000" w:sz="4" w:space="0"/>
                    <w:left w:val="nil"/>
                    <w:bottom w:val="single" w:color="000000" w:sz="4" w:space="0"/>
                    <w:right w:val="single" w:color="000000" w:sz="4" w:space="0"/>
                  </w:tcBorders>
                  <w:shd w:val="clear" w:color="auto" w:fill="auto"/>
                  <w:vAlign w:val="center"/>
                </w:tcPr>
                <w:p w14:paraId="48D87286">
                  <w:pPr>
                    <w:keepNext w:val="0"/>
                    <w:keepLines w:val="0"/>
                    <w:suppressLineNumbers w:val="0"/>
                    <w:spacing w:before="0" w:beforeAutospacing="0" w:after="0" w:afterAutospacing="0"/>
                    <w:ind w:left="0" w:right="0"/>
                    <w:rPr>
                      <w:rFonts w:hint="default" w:ascii="Calibri" w:hAnsi="Calibri" w:eastAsia="宋体" w:cs="Times New Roman"/>
                      <w:sz w:val="22"/>
                      <w:szCs w:val="22"/>
                      <w:lang w:eastAsia="en-US"/>
                    </w:rPr>
                  </w:pPr>
                </w:p>
              </w:tc>
              <w:tc>
                <w:tcPr>
                  <w:tcW w:w="917" w:type="dxa"/>
                  <w:tcBorders>
                    <w:top w:val="single" w:color="000000" w:sz="4" w:space="0"/>
                    <w:left w:val="nil"/>
                    <w:bottom w:val="single" w:color="000000" w:sz="4" w:space="0"/>
                    <w:right w:val="single" w:color="000000" w:sz="4" w:space="0"/>
                  </w:tcBorders>
                  <w:shd w:val="clear" w:color="auto" w:fill="auto"/>
                  <w:vAlign w:val="center"/>
                </w:tcPr>
                <w:p w14:paraId="44C04338">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排放浓度</w:t>
                  </w:r>
                </w:p>
                <w:p w14:paraId="4946CE34">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eastAsia" w:ascii="Times New Roman" w:hAnsi="Times New Roman" w:cs="Times New Roman"/>
                      <w:kern w:val="0"/>
                      <w:sz w:val="18"/>
                      <w:szCs w:val="18"/>
                      <w:lang w:val="en-US" w:eastAsia="zh-CN" w:bidi="ar"/>
                    </w:rPr>
                    <w:t>m</w:t>
                  </w:r>
                  <w:r>
                    <w:rPr>
                      <w:rFonts w:hint="eastAsia" w:ascii="Times New Roman" w:hAnsi="Times New Roman" w:eastAsia="宋体" w:cs="Times New Roman"/>
                      <w:kern w:val="0"/>
                      <w:sz w:val="18"/>
                      <w:szCs w:val="18"/>
                      <w:lang w:val="en-US" w:eastAsia="en-US" w:bidi="ar"/>
                    </w:rPr>
                    <w:t>g/m</w:t>
                  </w:r>
                  <w:r>
                    <w:rPr>
                      <w:rFonts w:hint="eastAsia" w:ascii="Times New Roman" w:hAnsi="Times New Roman" w:eastAsia="宋体" w:cs="Times New Roman"/>
                      <w:kern w:val="0"/>
                      <w:sz w:val="18"/>
                      <w:szCs w:val="18"/>
                      <w:vertAlign w:val="superscript"/>
                      <w:lang w:val="en-US" w:eastAsia="en-US" w:bidi="ar"/>
                    </w:rPr>
                    <w:t>3</w:t>
                  </w:r>
                </w:p>
              </w:tc>
              <w:tc>
                <w:tcPr>
                  <w:tcW w:w="867" w:type="dxa"/>
                  <w:tcBorders>
                    <w:top w:val="single" w:color="000000" w:sz="4" w:space="0"/>
                    <w:left w:val="nil"/>
                    <w:bottom w:val="single" w:color="000000" w:sz="4" w:space="0"/>
                    <w:right w:val="single" w:color="000000" w:sz="4" w:space="0"/>
                  </w:tcBorders>
                  <w:shd w:val="clear" w:color="auto" w:fill="auto"/>
                  <w:vAlign w:val="center"/>
                </w:tcPr>
                <w:p w14:paraId="1587FE1D">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排放速率</w:t>
                  </w:r>
                </w:p>
                <w:p w14:paraId="736F6979">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kg/h</w:t>
                  </w:r>
                </w:p>
              </w:tc>
              <w:tc>
                <w:tcPr>
                  <w:tcW w:w="603" w:type="dxa"/>
                  <w:vMerge w:val="continue"/>
                  <w:tcBorders>
                    <w:top w:val="single" w:color="000000" w:sz="4" w:space="0"/>
                    <w:left w:val="nil"/>
                    <w:bottom w:val="single" w:color="000000" w:sz="4" w:space="0"/>
                    <w:right w:val="single" w:color="000000" w:sz="4" w:space="0"/>
                  </w:tcBorders>
                  <w:shd w:val="clear" w:color="auto" w:fill="auto"/>
                  <w:vAlign w:val="center"/>
                </w:tcPr>
                <w:p w14:paraId="5CC1FF9E">
                  <w:pPr>
                    <w:keepNext w:val="0"/>
                    <w:keepLines w:val="0"/>
                    <w:suppressLineNumbers w:val="0"/>
                    <w:spacing w:before="0" w:beforeAutospacing="0" w:after="0" w:afterAutospacing="0"/>
                    <w:ind w:left="0" w:right="0"/>
                    <w:rPr>
                      <w:rFonts w:hint="default" w:ascii="Calibri" w:hAnsi="Calibri" w:eastAsia="宋体" w:cs="Times New Roman"/>
                      <w:sz w:val="22"/>
                      <w:szCs w:val="22"/>
                      <w:lang w:eastAsia="en-US"/>
                    </w:rPr>
                  </w:pPr>
                </w:p>
              </w:tc>
            </w:tr>
            <w:tr w14:paraId="2ACDB6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1" w:hRule="atLeast"/>
              </w:trPr>
              <w:tc>
                <w:tcPr>
                  <w:tcW w:w="699" w:type="dxa"/>
                  <w:tcBorders>
                    <w:top w:val="nil"/>
                    <w:left w:val="single" w:color="000000" w:sz="4" w:space="0"/>
                    <w:bottom w:val="single" w:color="000000" w:sz="4" w:space="0"/>
                    <w:right w:val="single" w:color="000000" w:sz="4" w:space="0"/>
                  </w:tcBorders>
                  <w:shd w:val="clear" w:color="auto" w:fill="auto"/>
                  <w:vAlign w:val="center"/>
                </w:tcPr>
                <w:p w14:paraId="081037D7">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eastAsia" w:ascii="Times New Roman" w:hAnsi="Times New Roman" w:cs="Times New Roman"/>
                      <w:kern w:val="0"/>
                      <w:sz w:val="18"/>
                      <w:szCs w:val="18"/>
                      <w:lang w:val="en-US" w:eastAsia="zh-CN" w:bidi="ar"/>
                    </w:rPr>
                    <w:t>1#车间</w:t>
                  </w:r>
                  <w:r>
                    <w:rPr>
                      <w:rFonts w:hint="eastAsia" w:ascii="Times New Roman" w:hAnsi="Times New Roman" w:eastAsia="宋体" w:cs="Times New Roman"/>
                      <w:kern w:val="0"/>
                      <w:sz w:val="18"/>
                      <w:szCs w:val="18"/>
                      <w:lang w:val="en-US" w:eastAsia="en-US" w:bidi="ar"/>
                    </w:rPr>
                    <w:t>有机</w:t>
                  </w:r>
                  <w:r>
                    <w:rPr>
                      <w:rFonts w:hint="default" w:ascii="Times New Roman" w:hAnsi="Times New Roman" w:eastAsia="宋体" w:cs="Times New Roman"/>
                      <w:kern w:val="0"/>
                      <w:sz w:val="18"/>
                      <w:szCs w:val="18"/>
                      <w:lang w:val="en-US" w:eastAsia="en-US" w:bidi="ar"/>
                    </w:rPr>
                    <w:t>废气</w:t>
                  </w:r>
                </w:p>
              </w:tc>
              <w:tc>
                <w:tcPr>
                  <w:tcW w:w="894" w:type="dxa"/>
                  <w:tcBorders>
                    <w:top w:val="nil"/>
                    <w:left w:val="nil"/>
                    <w:bottom w:val="single" w:color="000000" w:sz="4" w:space="0"/>
                    <w:right w:val="single" w:color="000000" w:sz="4" w:space="0"/>
                  </w:tcBorders>
                  <w:shd w:val="clear" w:color="auto" w:fill="auto"/>
                  <w:vAlign w:val="center"/>
                </w:tcPr>
                <w:p w14:paraId="6F4767B6">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rPr>
                  </w:pPr>
                  <w:r>
                    <w:rPr>
                      <w:rFonts w:hint="eastAsia" w:ascii="Times New Roman" w:hAnsi="Times New Roman" w:cs="Times New Roman"/>
                      <w:kern w:val="0"/>
                      <w:sz w:val="18"/>
                      <w:szCs w:val="18"/>
                      <w:lang w:val="en-US" w:eastAsia="zh-CN" w:bidi="ar"/>
                    </w:rPr>
                    <w:t>5000</w:t>
                  </w:r>
                </w:p>
              </w:tc>
              <w:tc>
                <w:tcPr>
                  <w:tcW w:w="959" w:type="dxa"/>
                  <w:vMerge w:val="restart"/>
                  <w:tcBorders>
                    <w:top w:val="single" w:color="000000" w:sz="4" w:space="0"/>
                    <w:left w:val="nil"/>
                    <w:right w:val="single" w:color="000000" w:sz="4" w:space="0"/>
                  </w:tcBorders>
                  <w:shd w:val="clear" w:color="auto" w:fill="auto"/>
                  <w:vAlign w:val="center"/>
                </w:tcPr>
                <w:p w14:paraId="68654846">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VOCs</w:t>
                  </w:r>
                </w:p>
              </w:tc>
              <w:tc>
                <w:tcPr>
                  <w:tcW w:w="916" w:type="dxa"/>
                  <w:tcBorders>
                    <w:top w:val="single" w:color="000000" w:sz="4" w:space="0"/>
                    <w:left w:val="nil"/>
                    <w:bottom w:val="single" w:color="000000" w:sz="4" w:space="0"/>
                    <w:right w:val="single" w:color="000000" w:sz="4" w:space="0"/>
                  </w:tcBorders>
                  <w:shd w:val="clear" w:color="auto" w:fill="auto"/>
                  <w:vAlign w:val="center"/>
                </w:tcPr>
                <w:p w14:paraId="04694A41">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rPr>
                  </w:pPr>
                  <w:r>
                    <w:rPr>
                      <w:rFonts w:hint="eastAsia" w:ascii="Times New Roman" w:hAnsi="Times New Roman" w:cs="Times New Roman"/>
                      <w:kern w:val="0"/>
                      <w:sz w:val="18"/>
                      <w:szCs w:val="18"/>
                      <w:lang w:val="en-US" w:eastAsia="zh-CN" w:bidi="ar"/>
                    </w:rPr>
                    <w:t>3.75</w:t>
                  </w:r>
                </w:p>
              </w:tc>
              <w:tc>
                <w:tcPr>
                  <w:tcW w:w="883" w:type="dxa"/>
                  <w:tcBorders>
                    <w:top w:val="single" w:color="000000" w:sz="4" w:space="0"/>
                    <w:left w:val="nil"/>
                    <w:bottom w:val="single" w:color="000000" w:sz="4" w:space="0"/>
                    <w:right w:val="single" w:color="000000" w:sz="4" w:space="0"/>
                  </w:tcBorders>
                  <w:shd w:val="clear" w:color="auto" w:fill="auto"/>
                  <w:vAlign w:val="center"/>
                </w:tcPr>
                <w:p w14:paraId="2A6355DB">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eastAsia" w:ascii="Times New Roman" w:hAnsi="Times New Roman" w:eastAsia="宋体" w:cs="Times New Roman"/>
                      <w:kern w:val="0"/>
                      <w:sz w:val="18"/>
                      <w:szCs w:val="18"/>
                      <w:lang w:val="en-US" w:eastAsia="en-US" w:bidi="ar"/>
                    </w:rPr>
                    <w:t>18.74</w:t>
                  </w:r>
                </w:p>
              </w:tc>
              <w:tc>
                <w:tcPr>
                  <w:tcW w:w="916" w:type="dxa"/>
                  <w:tcBorders>
                    <w:top w:val="single" w:color="000000" w:sz="4" w:space="0"/>
                    <w:left w:val="nil"/>
                    <w:bottom w:val="single" w:color="000000" w:sz="4" w:space="0"/>
                    <w:right w:val="single" w:color="000000" w:sz="4" w:space="0"/>
                  </w:tcBorders>
                  <w:shd w:val="clear" w:color="auto" w:fill="auto"/>
                  <w:vAlign w:val="center"/>
                </w:tcPr>
                <w:p w14:paraId="59F5F582">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eastAsia" w:ascii="Times New Roman" w:hAnsi="Times New Roman" w:eastAsia="宋体" w:cs="Times New Roman"/>
                      <w:kern w:val="0"/>
                      <w:sz w:val="18"/>
                      <w:szCs w:val="18"/>
                      <w:lang w:val="en-US" w:eastAsia="en-US" w:bidi="ar"/>
                    </w:rPr>
                    <w:t>0.3374</w:t>
                  </w:r>
                </w:p>
              </w:tc>
              <w:tc>
                <w:tcPr>
                  <w:tcW w:w="949" w:type="dxa"/>
                  <w:tcBorders>
                    <w:top w:val="single" w:color="000000" w:sz="4" w:space="0"/>
                    <w:left w:val="nil"/>
                    <w:bottom w:val="single" w:color="000000" w:sz="4" w:space="0"/>
                    <w:right w:val="single" w:color="000000" w:sz="4" w:space="0"/>
                  </w:tcBorders>
                  <w:shd w:val="clear" w:color="auto" w:fill="auto"/>
                  <w:vAlign w:val="center"/>
                </w:tcPr>
                <w:p w14:paraId="6E6A7D46">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eastAsia" w:ascii="Times New Roman" w:hAnsi="Times New Roman" w:eastAsia="宋体" w:cs="Times New Roman"/>
                      <w:kern w:val="0"/>
                      <w:sz w:val="18"/>
                      <w:szCs w:val="18"/>
                      <w:lang w:val="en-US" w:eastAsia="en-US" w:bidi="ar"/>
                    </w:rPr>
                    <w:t>1.687</w:t>
                  </w:r>
                </w:p>
              </w:tc>
              <w:tc>
                <w:tcPr>
                  <w:tcW w:w="721" w:type="dxa"/>
                  <w:tcBorders>
                    <w:top w:val="single" w:color="000000" w:sz="4" w:space="0"/>
                    <w:left w:val="nil"/>
                    <w:bottom w:val="single" w:color="000000" w:sz="4" w:space="0"/>
                    <w:right w:val="single" w:color="000000" w:sz="4" w:space="0"/>
                  </w:tcBorders>
                  <w:shd w:val="clear" w:color="auto" w:fill="auto"/>
                  <w:vAlign w:val="center"/>
                </w:tcPr>
                <w:p w14:paraId="2CAEF6B0">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9</w:t>
                  </w:r>
                  <w:r>
                    <w:rPr>
                      <w:rFonts w:hint="eastAsia" w:ascii="Times New Roman" w:hAnsi="Times New Roman" w:cs="Times New Roman"/>
                      <w:kern w:val="0"/>
                      <w:sz w:val="18"/>
                      <w:szCs w:val="18"/>
                      <w:lang w:val="en-US" w:eastAsia="zh-CN" w:bidi="ar"/>
                    </w:rPr>
                    <w:t>1</w:t>
                  </w:r>
                  <w:r>
                    <w:rPr>
                      <w:rFonts w:hint="default" w:ascii="Times New Roman" w:hAnsi="Times New Roman" w:eastAsia="宋体" w:cs="Times New Roman"/>
                      <w:kern w:val="0"/>
                      <w:sz w:val="18"/>
                      <w:szCs w:val="18"/>
                      <w:lang w:val="en-US" w:eastAsia="en-US" w:bidi="ar"/>
                    </w:rPr>
                    <w:t>%</w:t>
                  </w:r>
                </w:p>
              </w:tc>
              <w:tc>
                <w:tcPr>
                  <w:tcW w:w="649" w:type="dxa"/>
                  <w:vMerge w:val="restart"/>
                  <w:tcBorders>
                    <w:top w:val="single" w:color="000000" w:sz="4" w:space="0"/>
                    <w:left w:val="nil"/>
                    <w:right w:val="single" w:color="000000" w:sz="4" w:space="0"/>
                  </w:tcBorders>
                  <w:shd w:val="clear" w:color="auto" w:fill="auto"/>
                  <w:vAlign w:val="center"/>
                </w:tcPr>
                <w:p w14:paraId="290DDF10">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光氧催化</w:t>
                  </w:r>
                  <w:r>
                    <w:rPr>
                      <w:rFonts w:hint="eastAsia" w:ascii="Times New Roman" w:hAnsi="Times New Roman" w:eastAsia="宋体" w:cs="Times New Roman"/>
                      <w:kern w:val="0"/>
                      <w:sz w:val="18"/>
                      <w:szCs w:val="18"/>
                      <w:lang w:val="en-US" w:eastAsia="en-US" w:bidi="ar"/>
                    </w:rPr>
                    <w:t>+</w:t>
                  </w:r>
                  <w:r>
                    <w:rPr>
                      <w:rFonts w:hint="eastAsia" w:ascii="宋体" w:hAnsi="宋体" w:eastAsia="宋体" w:cs="宋体"/>
                      <w:kern w:val="0"/>
                      <w:sz w:val="18"/>
                      <w:szCs w:val="18"/>
                      <w:lang w:val="en-US" w:eastAsia="en-US" w:bidi="ar"/>
                    </w:rPr>
                    <w:t>活性炭吸附</w:t>
                  </w:r>
                </w:p>
              </w:tc>
              <w:tc>
                <w:tcPr>
                  <w:tcW w:w="917" w:type="dxa"/>
                  <w:vMerge w:val="restart"/>
                  <w:tcBorders>
                    <w:top w:val="single" w:color="000000" w:sz="4" w:space="0"/>
                    <w:left w:val="nil"/>
                    <w:right w:val="single" w:color="000000" w:sz="4" w:space="0"/>
                  </w:tcBorders>
                  <w:shd w:val="clear" w:color="auto" w:fill="auto"/>
                  <w:vAlign w:val="center"/>
                </w:tcPr>
                <w:p w14:paraId="7EC5B780">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60</w:t>
                  </w:r>
                </w:p>
              </w:tc>
              <w:tc>
                <w:tcPr>
                  <w:tcW w:w="867" w:type="dxa"/>
                  <w:vMerge w:val="restart"/>
                  <w:tcBorders>
                    <w:top w:val="single" w:color="000000" w:sz="4" w:space="0"/>
                    <w:left w:val="nil"/>
                    <w:right w:val="single" w:color="000000" w:sz="4" w:space="0"/>
                  </w:tcBorders>
                  <w:shd w:val="clear" w:color="auto" w:fill="auto"/>
                  <w:vAlign w:val="center"/>
                </w:tcPr>
                <w:p w14:paraId="6411A6D8">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3.4</w:t>
                  </w:r>
                </w:p>
              </w:tc>
              <w:tc>
                <w:tcPr>
                  <w:tcW w:w="603" w:type="dxa"/>
                  <w:tcBorders>
                    <w:top w:val="single" w:color="000000" w:sz="4" w:space="0"/>
                    <w:left w:val="nil"/>
                    <w:bottom w:val="single" w:color="000000" w:sz="4" w:space="0"/>
                    <w:right w:val="single" w:color="000000" w:sz="4" w:space="0"/>
                  </w:tcBorders>
                  <w:shd w:val="clear" w:color="auto" w:fill="auto"/>
                  <w:vAlign w:val="center"/>
                </w:tcPr>
                <w:p w14:paraId="7C7B1C75">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达标</w:t>
                  </w:r>
                </w:p>
              </w:tc>
            </w:tr>
            <w:tr w14:paraId="7C6F51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96" w:hRule="atLeast"/>
              </w:trPr>
              <w:tc>
                <w:tcPr>
                  <w:tcW w:w="699" w:type="dxa"/>
                  <w:tcBorders>
                    <w:top w:val="nil"/>
                    <w:left w:val="single" w:color="000000" w:sz="4" w:space="0"/>
                    <w:bottom w:val="single" w:color="000000" w:sz="4" w:space="0"/>
                    <w:right w:val="single" w:color="000000" w:sz="4" w:space="0"/>
                  </w:tcBorders>
                  <w:shd w:val="clear" w:color="auto" w:fill="auto"/>
                  <w:vAlign w:val="center"/>
                </w:tcPr>
                <w:p w14:paraId="009CAC5B">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val="en-US" w:eastAsia="en-US" w:bidi="ar"/>
                    </w:rPr>
                  </w:pPr>
                  <w:r>
                    <w:rPr>
                      <w:rFonts w:hint="eastAsia" w:ascii="Times New Roman" w:hAnsi="Times New Roman" w:cs="Times New Roman"/>
                      <w:kern w:val="0"/>
                      <w:sz w:val="18"/>
                      <w:szCs w:val="18"/>
                      <w:lang w:val="en-US" w:eastAsia="zh-CN" w:bidi="ar"/>
                    </w:rPr>
                    <w:t>2</w:t>
                  </w:r>
                  <w:r>
                    <w:rPr>
                      <w:rFonts w:hint="default" w:ascii="Times New Roman" w:hAnsi="Times New Roman" w:eastAsia="宋体" w:cs="Times New Roman"/>
                      <w:kern w:val="0"/>
                      <w:sz w:val="18"/>
                      <w:szCs w:val="18"/>
                      <w:lang w:val="en-US" w:eastAsia="en-US" w:bidi="ar"/>
                    </w:rPr>
                    <w:t>#车间有机废气</w:t>
                  </w:r>
                </w:p>
              </w:tc>
              <w:tc>
                <w:tcPr>
                  <w:tcW w:w="894" w:type="dxa"/>
                  <w:tcBorders>
                    <w:top w:val="nil"/>
                    <w:left w:val="nil"/>
                    <w:bottom w:val="single" w:color="000000" w:sz="4" w:space="0"/>
                    <w:right w:val="single" w:color="000000" w:sz="4" w:space="0"/>
                  </w:tcBorders>
                  <w:shd w:val="clear" w:color="auto" w:fill="auto"/>
                  <w:vAlign w:val="center"/>
                </w:tcPr>
                <w:p w14:paraId="1042F70E">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1500</w:t>
                  </w:r>
                </w:p>
              </w:tc>
              <w:tc>
                <w:tcPr>
                  <w:tcW w:w="959" w:type="dxa"/>
                  <w:vMerge w:val="continue"/>
                  <w:tcBorders>
                    <w:left w:val="nil"/>
                    <w:bottom w:val="single" w:color="000000" w:sz="4" w:space="0"/>
                    <w:right w:val="single" w:color="000000" w:sz="4" w:space="0"/>
                  </w:tcBorders>
                  <w:shd w:val="clear" w:color="auto" w:fill="auto"/>
                  <w:vAlign w:val="center"/>
                </w:tcPr>
                <w:p w14:paraId="584157C6">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val="en-US" w:eastAsia="en-US" w:bidi="ar"/>
                    </w:rPr>
                  </w:pPr>
                </w:p>
              </w:tc>
              <w:tc>
                <w:tcPr>
                  <w:tcW w:w="916" w:type="dxa"/>
                  <w:tcBorders>
                    <w:top w:val="single" w:color="000000" w:sz="4" w:space="0"/>
                    <w:left w:val="nil"/>
                    <w:bottom w:val="single" w:color="000000" w:sz="4" w:space="0"/>
                    <w:right w:val="single" w:color="000000" w:sz="4" w:space="0"/>
                  </w:tcBorders>
                  <w:shd w:val="clear" w:color="auto" w:fill="auto"/>
                  <w:vAlign w:val="center"/>
                </w:tcPr>
                <w:p w14:paraId="33EC4AFC">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4.48</w:t>
                  </w:r>
                </w:p>
              </w:tc>
              <w:tc>
                <w:tcPr>
                  <w:tcW w:w="883" w:type="dxa"/>
                  <w:tcBorders>
                    <w:top w:val="single" w:color="000000" w:sz="4" w:space="0"/>
                    <w:left w:val="nil"/>
                    <w:bottom w:val="single" w:color="000000" w:sz="4" w:space="0"/>
                    <w:right w:val="single" w:color="000000" w:sz="4" w:space="0"/>
                  </w:tcBorders>
                  <w:shd w:val="clear" w:color="auto" w:fill="auto"/>
                  <w:vAlign w:val="center"/>
                </w:tcPr>
                <w:p w14:paraId="5B4BE4CA">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val="en-US" w:eastAsia="en-US" w:bidi="ar"/>
                    </w:rPr>
                  </w:pPr>
                  <w:r>
                    <w:rPr>
                      <w:rFonts w:hint="eastAsia" w:ascii="Times New Roman" w:hAnsi="Times New Roman" w:eastAsia="宋体" w:cs="Times New Roman"/>
                      <w:kern w:val="0"/>
                      <w:sz w:val="18"/>
                      <w:szCs w:val="18"/>
                      <w:lang w:val="en-US" w:eastAsia="en-US" w:bidi="ar"/>
                    </w:rPr>
                    <w:t>6.71</w:t>
                  </w:r>
                </w:p>
              </w:tc>
              <w:tc>
                <w:tcPr>
                  <w:tcW w:w="916" w:type="dxa"/>
                  <w:tcBorders>
                    <w:top w:val="single" w:color="000000" w:sz="4" w:space="0"/>
                    <w:left w:val="nil"/>
                    <w:bottom w:val="single" w:color="000000" w:sz="4" w:space="0"/>
                    <w:right w:val="single" w:color="000000" w:sz="4" w:space="0"/>
                  </w:tcBorders>
                  <w:shd w:val="clear" w:color="auto" w:fill="auto"/>
                  <w:vAlign w:val="center"/>
                </w:tcPr>
                <w:p w14:paraId="44E727BF">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color w:val="auto"/>
                      <w:kern w:val="0"/>
                      <w:sz w:val="18"/>
                      <w:szCs w:val="18"/>
                      <w:lang w:val="en-US" w:eastAsia="zh-CN" w:bidi="ar"/>
                    </w:rPr>
                  </w:pPr>
                  <w:r>
                    <w:rPr>
                      <w:rFonts w:hint="eastAsia" w:ascii="Times New Roman" w:hAnsi="Times New Roman" w:eastAsia="宋体" w:cs="Times New Roman"/>
                      <w:color w:val="auto"/>
                      <w:kern w:val="0"/>
                      <w:sz w:val="18"/>
                      <w:szCs w:val="18"/>
                      <w:lang w:val="en-US" w:eastAsia="en-US" w:bidi="ar"/>
                    </w:rPr>
                    <w:t>0.</w:t>
                  </w:r>
                  <w:r>
                    <w:rPr>
                      <w:rFonts w:hint="eastAsia" w:ascii="Times New Roman" w:hAnsi="Times New Roman" w:cs="Times New Roman"/>
                      <w:color w:val="auto"/>
                      <w:kern w:val="0"/>
                      <w:sz w:val="18"/>
                      <w:szCs w:val="18"/>
                      <w:lang w:val="en-US" w:eastAsia="zh-CN" w:bidi="ar"/>
                    </w:rPr>
                    <w:t>4</w:t>
                  </w:r>
                </w:p>
              </w:tc>
              <w:tc>
                <w:tcPr>
                  <w:tcW w:w="949" w:type="dxa"/>
                  <w:tcBorders>
                    <w:top w:val="single" w:color="000000" w:sz="4" w:space="0"/>
                    <w:left w:val="nil"/>
                    <w:bottom w:val="single" w:color="000000" w:sz="4" w:space="0"/>
                    <w:right w:val="single" w:color="000000" w:sz="4" w:space="0"/>
                  </w:tcBorders>
                  <w:shd w:val="clear" w:color="auto" w:fill="auto"/>
                  <w:vAlign w:val="center"/>
                </w:tcPr>
                <w:p w14:paraId="1E3C5B6F">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kern w:val="0"/>
                      <w:sz w:val="18"/>
                      <w:szCs w:val="18"/>
                      <w:lang w:val="en-US" w:eastAsia="en-US" w:bidi="ar"/>
                    </w:rPr>
                  </w:pPr>
                  <w:r>
                    <w:rPr>
                      <w:rFonts w:hint="eastAsia" w:ascii="Times New Roman" w:hAnsi="Times New Roman" w:eastAsia="宋体" w:cs="Times New Roman"/>
                      <w:color w:val="auto"/>
                      <w:kern w:val="0"/>
                      <w:sz w:val="18"/>
                      <w:szCs w:val="18"/>
                      <w:lang w:val="en-US" w:eastAsia="en-US" w:bidi="ar"/>
                    </w:rPr>
                    <w:t>0.605</w:t>
                  </w:r>
                </w:p>
              </w:tc>
              <w:tc>
                <w:tcPr>
                  <w:tcW w:w="721" w:type="dxa"/>
                  <w:tcBorders>
                    <w:top w:val="single" w:color="000000" w:sz="4" w:space="0"/>
                    <w:left w:val="nil"/>
                    <w:bottom w:val="single" w:color="000000" w:sz="4" w:space="0"/>
                    <w:right w:val="single" w:color="000000" w:sz="4" w:space="0"/>
                  </w:tcBorders>
                  <w:shd w:val="clear" w:color="auto" w:fill="auto"/>
                  <w:vAlign w:val="center"/>
                </w:tcPr>
                <w:p w14:paraId="700EF533">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9</w:t>
                  </w:r>
                  <w:r>
                    <w:rPr>
                      <w:rFonts w:hint="eastAsia" w:ascii="Times New Roman" w:hAnsi="Times New Roman" w:cs="Times New Roman"/>
                      <w:kern w:val="0"/>
                      <w:sz w:val="18"/>
                      <w:szCs w:val="18"/>
                      <w:lang w:val="en-US" w:eastAsia="zh-CN" w:bidi="ar"/>
                    </w:rPr>
                    <w:t>1</w:t>
                  </w:r>
                  <w:r>
                    <w:rPr>
                      <w:rFonts w:hint="default" w:ascii="Times New Roman" w:hAnsi="Times New Roman" w:eastAsia="宋体" w:cs="Times New Roman"/>
                      <w:kern w:val="0"/>
                      <w:sz w:val="18"/>
                      <w:szCs w:val="18"/>
                      <w:lang w:val="en-US" w:eastAsia="en-US" w:bidi="ar"/>
                    </w:rPr>
                    <w:t>%</w:t>
                  </w:r>
                </w:p>
              </w:tc>
              <w:tc>
                <w:tcPr>
                  <w:tcW w:w="649" w:type="dxa"/>
                  <w:vMerge w:val="continue"/>
                  <w:tcBorders>
                    <w:left w:val="nil"/>
                    <w:bottom w:val="single" w:color="000000" w:sz="4" w:space="0"/>
                    <w:right w:val="single" w:color="000000" w:sz="4" w:space="0"/>
                  </w:tcBorders>
                  <w:shd w:val="clear" w:color="auto" w:fill="auto"/>
                  <w:vAlign w:val="center"/>
                </w:tcPr>
                <w:p w14:paraId="7F405CF3">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p>
              </w:tc>
              <w:tc>
                <w:tcPr>
                  <w:tcW w:w="917" w:type="dxa"/>
                  <w:vMerge w:val="continue"/>
                  <w:tcBorders>
                    <w:left w:val="nil"/>
                    <w:bottom w:val="single" w:color="000000" w:sz="4" w:space="0"/>
                    <w:right w:val="single" w:color="000000" w:sz="4" w:space="0"/>
                  </w:tcBorders>
                  <w:shd w:val="clear" w:color="auto" w:fill="auto"/>
                  <w:vAlign w:val="center"/>
                </w:tcPr>
                <w:p w14:paraId="6B76178D">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p>
              </w:tc>
              <w:tc>
                <w:tcPr>
                  <w:tcW w:w="867" w:type="dxa"/>
                  <w:vMerge w:val="continue"/>
                  <w:tcBorders>
                    <w:left w:val="nil"/>
                    <w:bottom w:val="single" w:color="000000" w:sz="4" w:space="0"/>
                    <w:right w:val="single" w:color="000000" w:sz="4" w:space="0"/>
                  </w:tcBorders>
                  <w:shd w:val="clear" w:color="auto" w:fill="auto"/>
                  <w:vAlign w:val="center"/>
                </w:tcPr>
                <w:p w14:paraId="5E26D6A9">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p>
              </w:tc>
              <w:tc>
                <w:tcPr>
                  <w:tcW w:w="603" w:type="dxa"/>
                  <w:tcBorders>
                    <w:top w:val="single" w:color="000000" w:sz="4" w:space="0"/>
                    <w:left w:val="nil"/>
                    <w:bottom w:val="single" w:color="000000" w:sz="4" w:space="0"/>
                    <w:right w:val="single" w:color="000000" w:sz="4" w:space="0"/>
                  </w:tcBorders>
                  <w:shd w:val="clear" w:color="auto" w:fill="auto"/>
                  <w:vAlign w:val="center"/>
                </w:tcPr>
                <w:p w14:paraId="0AFB1682">
                  <w:pPr>
                    <w:pStyle w:val="20"/>
                    <w:keepNext w:val="0"/>
                    <w:keepLines w:val="0"/>
                    <w:widowControl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18"/>
                      <w:szCs w:val="18"/>
                      <w:lang w:eastAsia="en-US"/>
                    </w:rPr>
                  </w:pPr>
                  <w:r>
                    <w:rPr>
                      <w:rFonts w:hint="default" w:ascii="Times New Roman" w:hAnsi="Times New Roman" w:eastAsia="宋体" w:cs="Times New Roman"/>
                      <w:kern w:val="0"/>
                      <w:sz w:val="18"/>
                      <w:szCs w:val="18"/>
                      <w:lang w:val="en-US" w:eastAsia="en-US" w:bidi="ar"/>
                    </w:rPr>
                    <w:t>达标</w:t>
                  </w:r>
                </w:p>
              </w:tc>
            </w:tr>
          </w:tbl>
          <w:p w14:paraId="233FC3E0">
            <w:pPr>
              <w:pStyle w:val="28"/>
              <w:rPr>
                <w:rFonts w:hint="default" w:ascii="Times New Roman" w:hAnsi="Times New Roman" w:cs="Times New Roman" w:eastAsiaTheme="minorEastAsia"/>
                <w:b/>
                <w:bCs/>
                <w:color w:val="auto"/>
                <w:szCs w:val="21"/>
                <w:lang w:val="en-US" w:eastAsia="zh-CN"/>
              </w:rPr>
            </w:pPr>
          </w:p>
          <w:p w14:paraId="7CB4A1A3">
            <w:pPr>
              <w:pStyle w:val="28"/>
              <w:jc w:val="center"/>
              <w:rPr>
                <w:rFonts w:hint="default" w:ascii="Times New Roman" w:hAnsi="Times New Roman" w:cs="Times New Roman" w:eastAsiaTheme="minorEastAsia"/>
                <w:b/>
                <w:bCs/>
                <w:color w:val="auto"/>
                <w:kern w:val="2"/>
                <w:sz w:val="21"/>
                <w:szCs w:val="21"/>
                <w:lang w:val="en-US" w:eastAsia="zh-CN" w:bidi="ar-SA"/>
              </w:rPr>
            </w:pPr>
            <w:r>
              <w:rPr>
                <w:rFonts w:hint="default" w:ascii="Times New Roman" w:hAnsi="Times New Roman" w:cs="Times New Roman" w:eastAsiaTheme="minorEastAsia"/>
                <w:b/>
                <w:bCs/>
                <w:color w:val="auto"/>
                <w:kern w:val="2"/>
                <w:sz w:val="21"/>
                <w:szCs w:val="21"/>
                <w:lang w:val="en-US" w:eastAsia="zh-CN" w:bidi="ar-SA"/>
              </w:rPr>
              <w:t>表5-</w:t>
            </w:r>
            <w:r>
              <w:rPr>
                <w:rFonts w:hint="eastAsia" w:ascii="Times New Roman" w:cs="Times New Roman" w:eastAsiaTheme="minorEastAsia"/>
                <w:b/>
                <w:bCs/>
                <w:color w:val="auto"/>
                <w:kern w:val="2"/>
                <w:sz w:val="21"/>
                <w:szCs w:val="21"/>
                <w:lang w:val="en-US" w:eastAsia="zh-CN" w:bidi="ar-SA"/>
              </w:rPr>
              <w:t>6</w:t>
            </w:r>
            <w:r>
              <w:rPr>
                <w:rFonts w:hint="default" w:ascii="Times New Roman" w:hAnsi="Times New Roman" w:cs="Times New Roman" w:eastAsiaTheme="minorEastAsia"/>
                <w:b/>
                <w:bCs/>
                <w:color w:val="auto"/>
                <w:kern w:val="2"/>
                <w:sz w:val="21"/>
                <w:szCs w:val="21"/>
                <w:lang w:val="en-US" w:eastAsia="zh-CN" w:bidi="ar-SA"/>
              </w:rPr>
              <w:t xml:space="preserve"> 本项目有机废气</w:t>
            </w:r>
            <w:r>
              <w:rPr>
                <w:rFonts w:hint="eastAsia" w:ascii="Times New Roman" w:hAnsi="Times New Roman" w:cs="Times New Roman" w:eastAsiaTheme="minorEastAsia"/>
                <w:b/>
                <w:bCs/>
                <w:color w:val="auto"/>
                <w:kern w:val="2"/>
                <w:sz w:val="21"/>
                <w:szCs w:val="21"/>
                <w:lang w:val="en-US" w:eastAsia="zh-CN" w:bidi="ar-SA"/>
              </w:rPr>
              <w:t>无组织排放情况</w:t>
            </w:r>
            <w:r>
              <w:rPr>
                <w:rFonts w:hint="default" w:ascii="Times New Roman" w:hAnsi="Times New Roman" w:cs="Times New Roman" w:eastAsiaTheme="minorEastAsia"/>
                <w:b/>
                <w:bCs/>
                <w:color w:val="auto"/>
                <w:kern w:val="2"/>
                <w:sz w:val="21"/>
                <w:szCs w:val="21"/>
                <w:lang w:val="en-US" w:eastAsia="zh-CN" w:bidi="ar-SA"/>
              </w:rPr>
              <w:t>一览表</w:t>
            </w:r>
          </w:p>
          <w:tbl>
            <w:tblPr>
              <w:tblStyle w:val="23"/>
              <w:tblW w:w="99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2206"/>
              <w:gridCol w:w="2877"/>
              <w:gridCol w:w="2253"/>
              <w:gridCol w:w="2632"/>
            </w:tblGrid>
            <w:tr w14:paraId="6B7B75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3" w:hRule="atLeast"/>
                <w:jc w:val="center"/>
              </w:trPr>
              <w:tc>
                <w:tcPr>
                  <w:tcW w:w="2206" w:type="dxa"/>
                  <w:shd w:val="clear" w:color="auto" w:fill="auto"/>
                  <w:vAlign w:val="center"/>
                </w:tcPr>
                <w:p w14:paraId="3113A8B8">
                  <w:pPr>
                    <w:pStyle w:val="28"/>
                    <w:keepNext w:val="0"/>
                    <w:keepLines w:val="0"/>
                    <w:suppressLineNumbers w:val="0"/>
                    <w:spacing w:before="0" w:beforeAutospacing="0" w:after="0" w:afterAutospacing="0" w:line="240" w:lineRule="auto"/>
                    <w:ind w:left="0" w:right="0"/>
                    <w:jc w:val="center"/>
                    <w:rPr>
                      <w:rFonts w:hint="eastAsia" w:hAnsi="宋体" w:cs="宋体"/>
                      <w:b w:val="0"/>
                      <w:bCs/>
                      <w:color w:val="auto"/>
                      <w:w w:val="100"/>
                      <w:kern w:val="2"/>
                      <w:sz w:val="21"/>
                      <w:szCs w:val="21"/>
                      <w:vertAlign w:val="baseline"/>
                      <w:lang w:val="en-US" w:eastAsia="zh-CN"/>
                    </w:rPr>
                  </w:pPr>
                  <w:r>
                    <w:rPr>
                      <w:rFonts w:hint="eastAsia" w:hAnsi="宋体" w:cs="宋体"/>
                      <w:b w:val="0"/>
                      <w:bCs/>
                      <w:color w:val="auto"/>
                      <w:w w:val="100"/>
                      <w:kern w:val="2"/>
                      <w:sz w:val="21"/>
                      <w:szCs w:val="21"/>
                      <w:vertAlign w:val="baseline"/>
                      <w:lang w:val="en-US" w:eastAsia="zh-CN"/>
                    </w:rPr>
                    <w:t>污染物</w:t>
                  </w:r>
                </w:p>
              </w:tc>
              <w:tc>
                <w:tcPr>
                  <w:tcW w:w="2877" w:type="dxa"/>
                  <w:shd w:val="clear" w:color="auto" w:fill="auto"/>
                  <w:vAlign w:val="center"/>
                </w:tcPr>
                <w:p w14:paraId="63D0A8B2">
                  <w:pPr>
                    <w:pStyle w:val="28"/>
                    <w:keepNext w:val="0"/>
                    <w:keepLines w:val="0"/>
                    <w:suppressLineNumbers w:val="0"/>
                    <w:spacing w:before="0" w:beforeAutospacing="0" w:after="0" w:afterAutospacing="0" w:line="240" w:lineRule="auto"/>
                    <w:ind w:left="0" w:right="0"/>
                    <w:jc w:val="center"/>
                    <w:rPr>
                      <w:rFonts w:hint="eastAsia" w:hAnsi="宋体" w:cs="宋体"/>
                      <w:b w:val="0"/>
                      <w:bCs/>
                      <w:color w:val="auto"/>
                      <w:w w:val="100"/>
                      <w:kern w:val="2"/>
                      <w:sz w:val="21"/>
                      <w:szCs w:val="21"/>
                      <w:vertAlign w:val="baseline"/>
                      <w:lang w:val="en-US" w:eastAsia="zh-CN"/>
                    </w:rPr>
                  </w:pPr>
                  <w:r>
                    <w:rPr>
                      <w:rFonts w:hint="eastAsia" w:hAnsi="宋体" w:cs="宋体"/>
                      <w:b w:val="0"/>
                      <w:bCs/>
                      <w:color w:val="auto"/>
                      <w:w w:val="100"/>
                      <w:kern w:val="2"/>
                      <w:sz w:val="21"/>
                      <w:szCs w:val="21"/>
                      <w:vertAlign w:val="baseline"/>
                      <w:lang w:val="en-US" w:eastAsia="zh-CN"/>
                    </w:rPr>
                    <w:t>产生工序</w:t>
                  </w:r>
                </w:p>
              </w:tc>
              <w:tc>
                <w:tcPr>
                  <w:tcW w:w="2253" w:type="dxa"/>
                  <w:shd w:val="clear" w:color="auto" w:fill="auto"/>
                  <w:vAlign w:val="center"/>
                </w:tcPr>
                <w:p w14:paraId="64D19D42">
                  <w:pPr>
                    <w:pStyle w:val="28"/>
                    <w:keepNext w:val="0"/>
                    <w:keepLines w:val="0"/>
                    <w:suppressLineNumbers w:val="0"/>
                    <w:spacing w:before="0" w:beforeAutospacing="0" w:after="0" w:afterAutospacing="0" w:line="240" w:lineRule="auto"/>
                    <w:ind w:left="0" w:right="0"/>
                    <w:jc w:val="center"/>
                    <w:rPr>
                      <w:rFonts w:hint="eastAsia" w:hAnsi="宋体" w:cs="宋体"/>
                      <w:b w:val="0"/>
                      <w:bCs/>
                      <w:color w:val="auto"/>
                      <w:w w:val="100"/>
                      <w:kern w:val="2"/>
                      <w:sz w:val="21"/>
                      <w:szCs w:val="21"/>
                      <w:vertAlign w:val="baseline"/>
                      <w:lang w:val="en-US" w:eastAsia="zh-CN"/>
                    </w:rPr>
                  </w:pPr>
                  <w:r>
                    <w:rPr>
                      <w:rFonts w:hint="eastAsia" w:hAnsi="宋体" w:cs="宋体"/>
                      <w:b w:val="0"/>
                      <w:bCs/>
                      <w:color w:val="auto"/>
                      <w:w w:val="100"/>
                      <w:kern w:val="2"/>
                      <w:sz w:val="21"/>
                      <w:szCs w:val="21"/>
                      <w:vertAlign w:val="baseline"/>
                      <w:lang w:val="en-US" w:eastAsia="zh-CN"/>
                    </w:rPr>
                    <w:t>排放量</w:t>
                  </w:r>
                </w:p>
                <w:p w14:paraId="1B2514D4">
                  <w:pPr>
                    <w:pStyle w:val="28"/>
                    <w:keepNext w:val="0"/>
                    <w:keepLines w:val="0"/>
                    <w:suppressLineNumbers w:val="0"/>
                    <w:spacing w:before="0" w:beforeAutospacing="0" w:after="0" w:afterAutospacing="0" w:line="240" w:lineRule="auto"/>
                    <w:ind w:left="0" w:right="0"/>
                    <w:jc w:val="center"/>
                    <w:rPr>
                      <w:rFonts w:hint="eastAsia" w:hAnsi="宋体" w:cs="宋体"/>
                      <w:b w:val="0"/>
                      <w:bCs/>
                      <w:color w:val="auto"/>
                      <w:w w:val="100"/>
                      <w:kern w:val="2"/>
                      <w:sz w:val="21"/>
                      <w:szCs w:val="21"/>
                      <w:vertAlign w:val="baseline"/>
                      <w:lang w:val="en-US" w:eastAsia="zh-CN"/>
                    </w:rPr>
                  </w:pPr>
                  <w:r>
                    <w:rPr>
                      <w:rFonts w:hint="eastAsia" w:hAnsi="宋体" w:cs="宋体"/>
                      <w:b w:val="0"/>
                      <w:bCs/>
                      <w:color w:val="auto"/>
                      <w:w w:val="100"/>
                      <w:kern w:val="2"/>
                      <w:sz w:val="21"/>
                      <w:szCs w:val="21"/>
                      <w:vertAlign w:val="baseline"/>
                      <w:lang w:val="en-US" w:eastAsia="zh-CN"/>
                    </w:rPr>
                    <w:t>（kg/a）</w:t>
                  </w:r>
                </w:p>
              </w:tc>
              <w:tc>
                <w:tcPr>
                  <w:tcW w:w="2632" w:type="dxa"/>
                  <w:shd w:val="clear" w:color="auto" w:fill="auto"/>
                  <w:vAlign w:val="center"/>
                </w:tcPr>
                <w:p w14:paraId="7E701748">
                  <w:pPr>
                    <w:pStyle w:val="28"/>
                    <w:keepNext w:val="0"/>
                    <w:keepLines w:val="0"/>
                    <w:suppressLineNumbers w:val="0"/>
                    <w:spacing w:before="0" w:beforeAutospacing="0" w:after="0" w:afterAutospacing="0" w:line="240" w:lineRule="auto"/>
                    <w:ind w:left="0" w:right="0"/>
                    <w:jc w:val="center"/>
                    <w:rPr>
                      <w:rFonts w:hint="eastAsia" w:hAnsi="宋体" w:cs="宋体"/>
                      <w:b w:val="0"/>
                      <w:bCs/>
                      <w:color w:val="auto"/>
                      <w:w w:val="100"/>
                      <w:kern w:val="2"/>
                      <w:sz w:val="21"/>
                      <w:szCs w:val="21"/>
                      <w:vertAlign w:val="baseline"/>
                      <w:lang w:val="en-US" w:eastAsia="zh-CN"/>
                    </w:rPr>
                  </w:pPr>
                  <w:r>
                    <w:rPr>
                      <w:rFonts w:hint="eastAsia" w:hAnsi="宋体" w:cs="宋体"/>
                      <w:b w:val="0"/>
                      <w:bCs/>
                      <w:color w:val="auto"/>
                      <w:w w:val="100"/>
                      <w:kern w:val="2"/>
                      <w:sz w:val="21"/>
                      <w:szCs w:val="21"/>
                      <w:vertAlign w:val="baseline"/>
                      <w:lang w:val="en-US" w:eastAsia="zh-CN"/>
                    </w:rPr>
                    <w:t>排放源强</w:t>
                  </w:r>
                </w:p>
                <w:p w14:paraId="32A46D2D">
                  <w:pPr>
                    <w:pStyle w:val="28"/>
                    <w:keepNext w:val="0"/>
                    <w:keepLines w:val="0"/>
                    <w:suppressLineNumbers w:val="0"/>
                    <w:spacing w:before="0" w:beforeAutospacing="0" w:after="0" w:afterAutospacing="0" w:line="240" w:lineRule="auto"/>
                    <w:ind w:left="0" w:right="0"/>
                    <w:jc w:val="center"/>
                    <w:rPr>
                      <w:rFonts w:hint="eastAsia" w:hAnsi="宋体" w:cs="宋体"/>
                      <w:b w:val="0"/>
                      <w:bCs/>
                      <w:color w:val="auto"/>
                      <w:w w:val="100"/>
                      <w:kern w:val="2"/>
                      <w:sz w:val="21"/>
                      <w:szCs w:val="21"/>
                      <w:vertAlign w:val="baseline"/>
                      <w:lang w:val="en-US" w:eastAsia="zh-CN"/>
                    </w:rPr>
                  </w:pPr>
                  <w:r>
                    <w:rPr>
                      <w:rFonts w:hint="eastAsia" w:hAnsi="宋体" w:cs="宋体"/>
                      <w:b w:val="0"/>
                      <w:bCs/>
                      <w:color w:val="auto"/>
                      <w:w w:val="100"/>
                      <w:kern w:val="2"/>
                      <w:sz w:val="21"/>
                      <w:szCs w:val="21"/>
                      <w:vertAlign w:val="baseline"/>
                      <w:lang w:val="en-US" w:eastAsia="zh-CN"/>
                    </w:rPr>
                    <w:t>（g/h）</w:t>
                  </w:r>
                </w:p>
              </w:tc>
            </w:tr>
            <w:tr w14:paraId="214126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1" w:hRule="atLeast"/>
                <w:jc w:val="center"/>
              </w:trPr>
              <w:tc>
                <w:tcPr>
                  <w:tcW w:w="2206" w:type="dxa"/>
                  <w:vMerge w:val="restart"/>
                  <w:vAlign w:val="center"/>
                </w:tcPr>
                <w:p w14:paraId="44D1973A">
                  <w:pPr>
                    <w:pStyle w:val="28"/>
                    <w:keepNext w:val="0"/>
                    <w:keepLines w:val="0"/>
                    <w:suppressLineNumbers w:val="0"/>
                    <w:spacing w:before="0" w:beforeAutospacing="0" w:after="0" w:afterAutospacing="0" w:line="240" w:lineRule="auto"/>
                    <w:ind w:left="0" w:right="0"/>
                    <w:jc w:val="center"/>
                    <w:rPr>
                      <w:rFonts w:hint="eastAsia" w:hAnsi="宋体" w:cs="宋体"/>
                      <w:b w:val="0"/>
                      <w:bCs/>
                      <w:color w:val="auto"/>
                      <w:w w:val="100"/>
                      <w:kern w:val="2"/>
                      <w:sz w:val="21"/>
                      <w:szCs w:val="21"/>
                      <w:vertAlign w:val="baseline"/>
                      <w:lang w:val="en-US" w:eastAsia="zh-CN"/>
                    </w:rPr>
                  </w:pPr>
                  <w:r>
                    <w:rPr>
                      <w:rFonts w:hint="eastAsia" w:hAnsi="宋体" w:cs="宋体"/>
                      <w:b w:val="0"/>
                      <w:bCs/>
                      <w:color w:val="auto"/>
                      <w:w w:val="100"/>
                      <w:kern w:val="2"/>
                      <w:sz w:val="21"/>
                      <w:szCs w:val="21"/>
                      <w:vertAlign w:val="baseline"/>
                      <w:lang w:val="en-US" w:eastAsia="zh-CN"/>
                    </w:rPr>
                    <w:t>VOCs</w:t>
                  </w:r>
                </w:p>
              </w:tc>
              <w:tc>
                <w:tcPr>
                  <w:tcW w:w="2877" w:type="dxa"/>
                  <w:vAlign w:val="center"/>
                </w:tcPr>
                <w:p w14:paraId="0DAA66D1">
                  <w:pPr>
                    <w:pStyle w:val="28"/>
                    <w:keepNext w:val="0"/>
                    <w:keepLines w:val="0"/>
                    <w:suppressLineNumbers w:val="0"/>
                    <w:spacing w:before="0" w:beforeAutospacing="0" w:after="0" w:afterAutospacing="0" w:line="240" w:lineRule="auto"/>
                    <w:ind w:left="0" w:right="0"/>
                    <w:jc w:val="center"/>
                    <w:rPr>
                      <w:rFonts w:hint="eastAsia" w:hAnsi="宋体" w:cs="宋体"/>
                      <w:b w:val="0"/>
                      <w:bCs/>
                      <w:color w:val="auto"/>
                      <w:w w:val="100"/>
                      <w:kern w:val="2"/>
                      <w:sz w:val="21"/>
                      <w:szCs w:val="21"/>
                      <w:vertAlign w:val="baseline"/>
                      <w:lang w:val="en-US" w:eastAsia="zh-CN"/>
                    </w:rPr>
                  </w:pPr>
                  <w:r>
                    <w:rPr>
                      <w:rFonts w:hint="eastAsia" w:hAnsi="宋体" w:cs="宋体"/>
                      <w:b w:val="0"/>
                      <w:bCs/>
                      <w:color w:val="auto"/>
                      <w:w w:val="100"/>
                      <w:kern w:val="2"/>
                      <w:sz w:val="21"/>
                      <w:szCs w:val="21"/>
                      <w:vertAlign w:val="baseline"/>
                      <w:lang w:val="en-US" w:eastAsia="zh-CN"/>
                    </w:rPr>
                    <w:t>1#车间</w:t>
                  </w:r>
                </w:p>
              </w:tc>
              <w:tc>
                <w:tcPr>
                  <w:tcW w:w="2253" w:type="dxa"/>
                  <w:vAlign w:val="center"/>
                </w:tcPr>
                <w:p w14:paraId="54D6A934">
                  <w:pPr>
                    <w:pStyle w:val="28"/>
                    <w:keepNext w:val="0"/>
                    <w:keepLines w:val="0"/>
                    <w:suppressLineNumbers w:val="0"/>
                    <w:spacing w:before="0" w:beforeAutospacing="0" w:after="0" w:afterAutospacing="0" w:line="240" w:lineRule="auto"/>
                    <w:ind w:left="0" w:right="0"/>
                    <w:jc w:val="center"/>
                    <w:rPr>
                      <w:rFonts w:hint="eastAsia" w:hAnsi="宋体" w:cs="宋体"/>
                      <w:b w:val="0"/>
                      <w:bCs/>
                      <w:color w:val="auto"/>
                      <w:w w:val="100"/>
                      <w:kern w:val="2"/>
                      <w:sz w:val="21"/>
                      <w:szCs w:val="21"/>
                      <w:vertAlign w:val="baseline"/>
                      <w:lang w:val="en-US" w:eastAsia="zh-CN"/>
                    </w:rPr>
                  </w:pPr>
                  <w:r>
                    <w:rPr>
                      <w:rFonts w:hint="eastAsia" w:hAnsi="宋体" w:cs="宋体"/>
                      <w:b w:val="0"/>
                      <w:bCs/>
                      <w:color w:val="auto"/>
                      <w:w w:val="100"/>
                      <w:kern w:val="2"/>
                      <w:sz w:val="21"/>
                      <w:szCs w:val="21"/>
                      <w:vertAlign w:val="baseline"/>
                      <w:lang w:val="en-US" w:eastAsia="zh-CN"/>
                    </w:rPr>
                    <w:t>4.5</w:t>
                  </w:r>
                </w:p>
              </w:tc>
              <w:tc>
                <w:tcPr>
                  <w:tcW w:w="2632" w:type="dxa"/>
                  <w:vAlign w:val="center"/>
                </w:tcPr>
                <w:p w14:paraId="43725C20">
                  <w:pPr>
                    <w:pStyle w:val="28"/>
                    <w:keepNext w:val="0"/>
                    <w:keepLines w:val="0"/>
                    <w:suppressLineNumbers w:val="0"/>
                    <w:spacing w:before="0" w:beforeAutospacing="0" w:after="0" w:afterAutospacing="0" w:line="240" w:lineRule="auto"/>
                    <w:ind w:left="0" w:right="0"/>
                    <w:jc w:val="center"/>
                    <w:rPr>
                      <w:rFonts w:hint="eastAsia" w:hAnsi="宋体" w:cs="宋体"/>
                      <w:b w:val="0"/>
                      <w:bCs/>
                      <w:color w:val="auto"/>
                      <w:w w:val="100"/>
                      <w:kern w:val="2"/>
                      <w:sz w:val="21"/>
                      <w:szCs w:val="21"/>
                      <w:vertAlign w:val="baseline"/>
                      <w:lang w:val="en-US" w:eastAsia="zh-CN"/>
                    </w:rPr>
                  </w:pPr>
                  <w:r>
                    <w:rPr>
                      <w:rFonts w:hint="eastAsia" w:hAnsi="宋体" w:cs="宋体"/>
                      <w:b w:val="0"/>
                      <w:bCs/>
                      <w:color w:val="auto"/>
                      <w:w w:val="100"/>
                      <w:kern w:val="2"/>
                      <w:sz w:val="21"/>
                      <w:szCs w:val="21"/>
                      <w:vertAlign w:val="baseline"/>
                      <w:lang w:val="en-US" w:eastAsia="zh-CN"/>
                    </w:rPr>
                    <w:t>1.87</w:t>
                  </w:r>
                </w:p>
              </w:tc>
            </w:tr>
            <w:tr w14:paraId="39AA0F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1" w:hRule="atLeast"/>
                <w:jc w:val="center"/>
              </w:trPr>
              <w:tc>
                <w:tcPr>
                  <w:tcW w:w="2206" w:type="dxa"/>
                  <w:vMerge w:val="continue"/>
                  <w:vAlign w:val="center"/>
                </w:tcPr>
                <w:p w14:paraId="0164181E">
                  <w:pPr>
                    <w:pStyle w:val="28"/>
                    <w:keepNext w:val="0"/>
                    <w:keepLines w:val="0"/>
                    <w:suppressLineNumbers w:val="0"/>
                    <w:spacing w:before="0" w:beforeAutospacing="0" w:after="0" w:afterAutospacing="0" w:line="240" w:lineRule="auto"/>
                    <w:ind w:left="0" w:right="0"/>
                    <w:jc w:val="center"/>
                    <w:rPr>
                      <w:rFonts w:hint="eastAsia" w:hAnsi="宋体" w:cs="宋体"/>
                      <w:b w:val="0"/>
                      <w:bCs/>
                      <w:color w:val="auto"/>
                      <w:w w:val="100"/>
                      <w:kern w:val="2"/>
                      <w:sz w:val="21"/>
                      <w:szCs w:val="21"/>
                      <w:vertAlign w:val="baseline"/>
                      <w:lang w:val="en-US" w:eastAsia="zh-CN"/>
                    </w:rPr>
                  </w:pPr>
                </w:p>
              </w:tc>
              <w:tc>
                <w:tcPr>
                  <w:tcW w:w="2877" w:type="dxa"/>
                  <w:vAlign w:val="center"/>
                </w:tcPr>
                <w:p w14:paraId="73E43549">
                  <w:pPr>
                    <w:pStyle w:val="28"/>
                    <w:keepNext w:val="0"/>
                    <w:keepLines w:val="0"/>
                    <w:suppressLineNumbers w:val="0"/>
                    <w:spacing w:before="0" w:beforeAutospacing="0" w:after="0" w:afterAutospacing="0" w:line="240" w:lineRule="auto"/>
                    <w:ind w:left="0" w:right="0"/>
                    <w:jc w:val="center"/>
                    <w:rPr>
                      <w:rFonts w:hint="eastAsia" w:hAnsi="宋体" w:cs="宋体"/>
                      <w:b w:val="0"/>
                      <w:bCs/>
                      <w:color w:val="auto"/>
                      <w:w w:val="100"/>
                      <w:kern w:val="2"/>
                      <w:sz w:val="21"/>
                      <w:szCs w:val="21"/>
                      <w:vertAlign w:val="baseline"/>
                      <w:lang w:val="en-US" w:eastAsia="zh-CN"/>
                    </w:rPr>
                  </w:pPr>
                  <w:r>
                    <w:rPr>
                      <w:rFonts w:hint="eastAsia" w:hAnsi="宋体" w:cs="宋体"/>
                      <w:b w:val="0"/>
                      <w:bCs/>
                      <w:color w:val="auto"/>
                      <w:w w:val="100"/>
                      <w:kern w:val="2"/>
                      <w:sz w:val="21"/>
                      <w:szCs w:val="21"/>
                      <w:vertAlign w:val="baseline"/>
                      <w:lang w:val="en-US" w:eastAsia="zh-CN"/>
                    </w:rPr>
                    <w:t>2#车间</w:t>
                  </w:r>
                </w:p>
              </w:tc>
              <w:tc>
                <w:tcPr>
                  <w:tcW w:w="2253" w:type="dxa"/>
                  <w:vAlign w:val="center"/>
                </w:tcPr>
                <w:p w14:paraId="6696B2A0">
                  <w:pPr>
                    <w:pStyle w:val="28"/>
                    <w:keepNext w:val="0"/>
                    <w:keepLines w:val="0"/>
                    <w:suppressLineNumbers w:val="0"/>
                    <w:spacing w:before="0" w:beforeAutospacing="0" w:after="0" w:afterAutospacing="0" w:line="240" w:lineRule="auto"/>
                    <w:ind w:left="0" w:right="0"/>
                    <w:jc w:val="center"/>
                    <w:rPr>
                      <w:rFonts w:hint="eastAsia" w:hAnsi="宋体" w:cs="宋体"/>
                      <w:b w:val="0"/>
                      <w:bCs/>
                      <w:color w:val="auto"/>
                      <w:w w:val="100"/>
                      <w:kern w:val="2"/>
                      <w:sz w:val="21"/>
                      <w:szCs w:val="21"/>
                      <w:vertAlign w:val="baseline"/>
                      <w:lang w:val="en-US" w:eastAsia="zh-CN"/>
                    </w:rPr>
                  </w:pPr>
                  <w:r>
                    <w:rPr>
                      <w:rFonts w:hint="eastAsia" w:hAnsi="宋体" w:cs="宋体"/>
                      <w:b w:val="0"/>
                      <w:bCs/>
                      <w:color w:val="auto"/>
                      <w:w w:val="100"/>
                      <w:kern w:val="2"/>
                      <w:sz w:val="21"/>
                      <w:szCs w:val="21"/>
                      <w:vertAlign w:val="baseline"/>
                      <w:lang w:val="en-US" w:eastAsia="zh-CN"/>
                    </w:rPr>
                    <w:t>1.612</w:t>
                  </w:r>
                </w:p>
              </w:tc>
              <w:tc>
                <w:tcPr>
                  <w:tcW w:w="2632" w:type="dxa"/>
                  <w:vAlign w:val="center"/>
                </w:tcPr>
                <w:p w14:paraId="691E622F">
                  <w:pPr>
                    <w:pStyle w:val="28"/>
                    <w:keepNext w:val="0"/>
                    <w:keepLines w:val="0"/>
                    <w:suppressLineNumbers w:val="0"/>
                    <w:spacing w:before="0" w:beforeAutospacing="0" w:after="0" w:afterAutospacing="0" w:line="240" w:lineRule="auto"/>
                    <w:ind w:left="0" w:right="0"/>
                    <w:jc w:val="center"/>
                    <w:rPr>
                      <w:rFonts w:hint="eastAsia" w:hAnsi="宋体" w:cs="宋体"/>
                      <w:b w:val="0"/>
                      <w:bCs/>
                      <w:color w:val="auto"/>
                      <w:w w:val="100"/>
                      <w:kern w:val="2"/>
                      <w:sz w:val="21"/>
                      <w:szCs w:val="21"/>
                      <w:vertAlign w:val="baseline"/>
                      <w:lang w:val="en-US" w:eastAsia="zh-CN"/>
                    </w:rPr>
                  </w:pPr>
                  <w:r>
                    <w:rPr>
                      <w:rFonts w:hint="eastAsia" w:hAnsi="宋体" w:cs="宋体"/>
                      <w:b w:val="0"/>
                      <w:bCs/>
                      <w:color w:val="auto"/>
                      <w:w w:val="100"/>
                      <w:kern w:val="2"/>
                      <w:sz w:val="21"/>
                      <w:szCs w:val="21"/>
                      <w:vertAlign w:val="baseline"/>
                      <w:lang w:val="en-US" w:eastAsia="zh-CN"/>
                    </w:rPr>
                    <w:t>0.67</w:t>
                  </w:r>
                </w:p>
              </w:tc>
            </w:tr>
          </w:tbl>
          <w:p w14:paraId="0191DF85">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default" w:ascii="Times New Roman" w:hAnsi="Times New Roman" w:cs="Times New Roman"/>
                <w:bCs/>
                <w:color w:val="auto"/>
                <w:sz w:val="24"/>
                <w:szCs w:val="24"/>
                <w:lang w:val="en-US" w:eastAsia="zh-CN"/>
              </w:rPr>
              <w:t>活性炭吸附装置建议使用多层抽屉式结构，并以DY3型活性炭作为净化剂（吸附能力约为40kg(废气）/100kg（活性炭）)，该活性炭适宜于净化浓度低于1000mg/m</w:t>
            </w:r>
            <w:r>
              <w:rPr>
                <w:rFonts w:hint="default" w:ascii="Times New Roman" w:hAnsi="Times New Roman" w:cs="Times New Roman"/>
                <w:bCs/>
                <w:color w:val="auto"/>
                <w:sz w:val="24"/>
                <w:szCs w:val="24"/>
                <w:vertAlign w:val="superscript"/>
                <w:lang w:val="en-US" w:eastAsia="zh-CN"/>
              </w:rPr>
              <w:t>3</w:t>
            </w:r>
            <w:r>
              <w:rPr>
                <w:rFonts w:hint="default" w:ascii="Times New Roman" w:hAnsi="Times New Roman" w:cs="Times New Roman"/>
                <w:bCs/>
                <w:color w:val="auto"/>
                <w:sz w:val="24"/>
                <w:szCs w:val="24"/>
                <w:lang w:val="en-US" w:eastAsia="zh-CN"/>
              </w:rPr>
              <w:t>的有机废气。根据估算项目废气吸附量约</w:t>
            </w:r>
            <w:r>
              <w:rPr>
                <w:rFonts w:hint="eastAsia" w:ascii="Times New Roman" w:cs="Times New Roman"/>
                <w:bCs/>
                <w:color w:val="auto"/>
                <w:sz w:val="24"/>
                <w:szCs w:val="24"/>
                <w:lang w:val="en-US" w:eastAsia="zh-CN"/>
              </w:rPr>
              <w:t>55</w:t>
            </w:r>
            <w:r>
              <w:rPr>
                <w:rFonts w:hint="default" w:ascii="Times New Roman" w:hAnsi="Times New Roman" w:cs="Times New Roman"/>
                <w:bCs/>
                <w:color w:val="auto"/>
                <w:sz w:val="24"/>
                <w:szCs w:val="24"/>
                <w:lang w:val="en-US" w:eastAsia="zh-CN"/>
              </w:rPr>
              <w:t>kg/a，项目每年活性炭用量约为</w:t>
            </w:r>
            <w:r>
              <w:rPr>
                <w:rFonts w:hint="eastAsia" w:ascii="Times New Roman" w:cs="Times New Roman"/>
                <w:bCs/>
                <w:color w:val="auto"/>
                <w:sz w:val="24"/>
                <w:szCs w:val="24"/>
                <w:lang w:val="en-US" w:eastAsia="zh-CN"/>
              </w:rPr>
              <w:t>140</w:t>
            </w:r>
            <w:r>
              <w:rPr>
                <w:rFonts w:hint="default" w:ascii="Times New Roman" w:hAnsi="Times New Roman" w:cs="Times New Roman"/>
                <w:bCs/>
                <w:color w:val="auto"/>
                <w:sz w:val="24"/>
                <w:szCs w:val="24"/>
                <w:lang w:val="en-US" w:eastAsia="zh-CN"/>
              </w:rPr>
              <w:t>kg/a。</w:t>
            </w:r>
          </w:p>
          <w:p w14:paraId="29744A14">
            <w:pPr>
              <w:pStyle w:val="28"/>
              <w:numPr>
                <w:ilvl w:val="0"/>
                <w:numId w:val="0"/>
              </w:numPr>
              <w:spacing w:line="360" w:lineRule="auto"/>
              <w:ind w:firstLine="480" w:firstLineChars="200"/>
              <w:rPr>
                <w:rFonts w:hint="default" w:ascii="Times New Roman" w:hAnsi="Times New Roman" w:cs="Times New Roman"/>
                <w:bCs/>
                <w:color w:val="auto"/>
                <w:sz w:val="24"/>
                <w:szCs w:val="24"/>
                <w:lang w:val="en-US" w:eastAsia="zh-CN"/>
              </w:rPr>
            </w:pPr>
            <w:r>
              <w:rPr>
                <w:rFonts w:hint="default" w:ascii="Times New Roman" w:hAnsi="Times New Roman" w:cs="Times New Roman"/>
                <w:bCs/>
                <w:color w:val="auto"/>
                <w:sz w:val="24"/>
                <w:szCs w:val="24"/>
                <w:lang w:val="en-US" w:eastAsia="zh-CN"/>
              </w:rPr>
              <w:t>本项目设置的活性炭吸附装置</w:t>
            </w:r>
            <w:r>
              <w:rPr>
                <w:rFonts w:hint="eastAsia" w:ascii="Times New Roman" w:cs="Times New Roman"/>
                <w:bCs/>
                <w:color w:val="auto"/>
                <w:sz w:val="24"/>
                <w:szCs w:val="24"/>
                <w:lang w:val="en-US" w:eastAsia="zh-CN"/>
              </w:rPr>
              <w:t>（2套）</w:t>
            </w:r>
            <w:r>
              <w:rPr>
                <w:rFonts w:hint="default" w:ascii="Times New Roman" w:hAnsi="Times New Roman" w:cs="Times New Roman"/>
                <w:bCs/>
                <w:color w:val="auto"/>
                <w:sz w:val="24"/>
                <w:szCs w:val="24"/>
                <w:lang w:val="en-US" w:eastAsia="zh-CN"/>
              </w:rPr>
              <w:t>，每次</w:t>
            </w:r>
            <w:r>
              <w:rPr>
                <w:rFonts w:hint="eastAsia" w:ascii="Times New Roman" w:cs="Times New Roman"/>
                <w:bCs/>
                <w:color w:val="auto"/>
                <w:sz w:val="24"/>
                <w:szCs w:val="24"/>
                <w:lang w:val="en-US" w:eastAsia="zh-CN"/>
              </w:rPr>
              <w:t>每套</w:t>
            </w:r>
            <w:r>
              <w:rPr>
                <w:rFonts w:hint="default" w:ascii="Times New Roman" w:hAnsi="Times New Roman" w:cs="Times New Roman"/>
                <w:bCs/>
                <w:color w:val="auto"/>
                <w:sz w:val="24"/>
                <w:szCs w:val="24"/>
                <w:lang w:val="en-US" w:eastAsia="zh-CN"/>
              </w:rPr>
              <w:t>活性炭装填量约</w:t>
            </w:r>
            <w:r>
              <w:rPr>
                <w:rFonts w:hint="eastAsia" w:ascii="Times New Roman" w:cs="Times New Roman"/>
                <w:bCs/>
                <w:color w:val="auto"/>
                <w:sz w:val="24"/>
                <w:szCs w:val="24"/>
                <w:lang w:val="en-US" w:eastAsia="zh-CN"/>
              </w:rPr>
              <w:t>35</w:t>
            </w:r>
            <w:r>
              <w:rPr>
                <w:rFonts w:hint="default" w:ascii="Times New Roman" w:hAnsi="Times New Roman" w:cs="Times New Roman"/>
                <w:bCs/>
                <w:color w:val="auto"/>
                <w:sz w:val="24"/>
                <w:szCs w:val="24"/>
                <w:lang w:val="en-US" w:eastAsia="zh-CN"/>
              </w:rPr>
              <w:t>kg，环评要求</w:t>
            </w:r>
            <w:r>
              <w:rPr>
                <w:rFonts w:hint="eastAsia" w:ascii="Times New Roman" w:cs="Times New Roman"/>
                <w:bCs/>
                <w:color w:val="auto"/>
                <w:sz w:val="24"/>
                <w:szCs w:val="24"/>
                <w:lang w:val="en-US" w:eastAsia="zh-CN"/>
              </w:rPr>
              <w:t>每套装置</w:t>
            </w:r>
            <w:r>
              <w:rPr>
                <w:rFonts w:hint="default" w:ascii="Times New Roman" w:hAnsi="Times New Roman" w:cs="Times New Roman"/>
                <w:bCs/>
                <w:color w:val="auto"/>
                <w:sz w:val="24"/>
                <w:szCs w:val="24"/>
                <w:lang w:val="en-US" w:eastAsia="zh-CN"/>
              </w:rPr>
              <w:t>每年更换</w:t>
            </w:r>
            <w:r>
              <w:rPr>
                <w:rFonts w:hint="eastAsia" w:ascii="Times New Roman" w:cs="Times New Roman"/>
                <w:bCs/>
                <w:color w:val="auto"/>
                <w:sz w:val="24"/>
                <w:szCs w:val="24"/>
                <w:lang w:val="en-US" w:eastAsia="zh-CN"/>
              </w:rPr>
              <w:t>2</w:t>
            </w:r>
            <w:r>
              <w:rPr>
                <w:rFonts w:hint="default" w:ascii="Times New Roman" w:hAnsi="Times New Roman" w:cs="Times New Roman"/>
                <w:bCs/>
                <w:color w:val="auto"/>
                <w:sz w:val="24"/>
                <w:szCs w:val="24"/>
                <w:lang w:val="en-US" w:eastAsia="zh-CN"/>
              </w:rPr>
              <w:t>次。</w:t>
            </w:r>
          </w:p>
          <w:p w14:paraId="243448AF">
            <w:pPr>
              <w:pStyle w:val="28"/>
              <w:numPr>
                <w:ilvl w:val="0"/>
                <w:numId w:val="0"/>
              </w:numPr>
              <w:spacing w:line="360" w:lineRule="auto"/>
              <w:ind w:firstLine="480" w:firstLineChars="200"/>
              <w:rPr>
                <w:rFonts w:hint="eastAsia" w:ascii="Times New Roman" w:cs="Times New Roman"/>
                <w:bCs/>
                <w:color w:val="auto"/>
                <w:sz w:val="24"/>
                <w:szCs w:val="24"/>
                <w:lang w:val="en-US" w:eastAsia="zh-CN"/>
              </w:rPr>
            </w:pPr>
            <w:r>
              <w:rPr>
                <w:rFonts w:hint="eastAsia" w:ascii="Times New Roman" w:cs="Times New Roman"/>
                <w:bCs/>
                <w:color w:val="auto"/>
                <w:sz w:val="24"/>
                <w:szCs w:val="24"/>
                <w:lang w:val="en-US" w:eastAsia="zh-CN"/>
              </w:rPr>
              <w:t>②焊接烟尘</w:t>
            </w:r>
          </w:p>
          <w:p w14:paraId="210A5C3E">
            <w:pPr>
              <w:pStyle w:val="28"/>
              <w:numPr>
                <w:ilvl w:val="0"/>
                <w:numId w:val="0"/>
              </w:numPr>
              <w:spacing w:line="360" w:lineRule="auto"/>
              <w:ind w:firstLine="480" w:firstLineChars="200"/>
              <w:rPr>
                <w:rFonts w:hint="eastAsia" w:ascii="Times New Roman" w:cs="Times New Roman"/>
                <w:bCs/>
                <w:color w:val="auto"/>
                <w:sz w:val="24"/>
                <w:szCs w:val="24"/>
                <w:lang w:val="en-US" w:eastAsia="zh-CN"/>
              </w:rPr>
            </w:pPr>
            <w:r>
              <w:rPr>
                <w:rFonts w:hint="eastAsia" w:ascii="Times New Roman" w:cs="Times New Roman"/>
                <w:bCs/>
                <w:color w:val="auto"/>
                <w:sz w:val="24"/>
                <w:szCs w:val="24"/>
                <w:lang w:val="en-US" w:eastAsia="zh-CN"/>
              </w:rPr>
              <w:t>本项目只在2#厂房SCR生产车间中设置机器人氩弧焊工作站。氩弧焊利用氩气对金属焊材的保护，通过高电流使焊材在被焊基材上融化成液态形成熔池，使被焊金属和焊材达到冶金结合的一种</w:t>
            </w:r>
            <w:r>
              <w:rPr>
                <w:rFonts w:hint="eastAsia" w:ascii="Times New Roman" w:cs="Times New Roman"/>
                <w:bCs/>
                <w:color w:val="auto"/>
                <w:sz w:val="24"/>
                <w:szCs w:val="24"/>
                <w:lang w:val="en-US" w:eastAsia="zh-CN"/>
              </w:rPr>
              <w:fldChar w:fldCharType="begin"/>
            </w:r>
            <w:r>
              <w:rPr>
                <w:rFonts w:hint="eastAsia" w:ascii="Times New Roman" w:cs="Times New Roman"/>
                <w:bCs/>
                <w:color w:val="auto"/>
                <w:sz w:val="24"/>
                <w:szCs w:val="24"/>
                <w:lang w:val="en-US" w:eastAsia="zh-CN"/>
              </w:rPr>
              <w:instrText xml:space="preserve"> HYPERLINK "https://baike.baidu.com/item/%E7%84%8A%E6%8E%A5%E6%8A%80%E6%9C%AF" \t "https://baike.baidu.com/item/%E6%B0%A9%E5%BC%A7%E7%84%8A/_blank" </w:instrText>
            </w:r>
            <w:r>
              <w:rPr>
                <w:rFonts w:hint="eastAsia" w:ascii="Times New Roman" w:cs="Times New Roman"/>
                <w:bCs/>
                <w:color w:val="auto"/>
                <w:sz w:val="24"/>
                <w:szCs w:val="24"/>
                <w:lang w:val="en-US" w:eastAsia="zh-CN"/>
              </w:rPr>
              <w:fldChar w:fldCharType="separate"/>
            </w:r>
            <w:r>
              <w:rPr>
                <w:rFonts w:hint="eastAsia" w:ascii="Times New Roman" w:cs="Times New Roman"/>
                <w:bCs/>
                <w:color w:val="auto"/>
                <w:sz w:val="24"/>
                <w:szCs w:val="24"/>
                <w:lang w:val="en-US" w:eastAsia="zh-CN"/>
              </w:rPr>
              <w:t>焊接技术</w:t>
            </w:r>
            <w:r>
              <w:rPr>
                <w:rFonts w:hint="eastAsia" w:ascii="Times New Roman" w:cs="Times New Roman"/>
                <w:bCs/>
                <w:color w:val="auto"/>
                <w:sz w:val="24"/>
                <w:szCs w:val="24"/>
                <w:lang w:val="en-US" w:eastAsia="zh-CN"/>
              </w:rPr>
              <w:fldChar w:fldCharType="end"/>
            </w:r>
            <w:r>
              <w:rPr>
                <w:rFonts w:hint="eastAsia" w:ascii="Times New Roman" w:cs="Times New Roman"/>
                <w:bCs/>
                <w:color w:val="auto"/>
                <w:sz w:val="24"/>
                <w:szCs w:val="24"/>
                <w:lang w:val="en-US" w:eastAsia="zh-CN"/>
              </w:rPr>
              <w:t>，由于在高温熔融焊接中不断送上氩气，使焊材不能和空气中的氧气接触，从而防止了焊材的氧化利用氩气对金属焊材的保护。在焊接过程中会有少量的焊接烟尘产生，在每个氩弧焊工作台都设置吸尘管道连接集气罩到焊接烟尘净化器装置上（除尘效率90%）处理后的废气通过一根15m的排气筒厂房外排放。氩弧焊产生焊接烟尘参考，《焊接技术手册》（王文瀚主编，河南科技技术出版社，2000年），焊料发生量为2~5g/kg（本项目取值5g/kg），项目焊丝使用量为6t/a，计算得焊接烟尘中烟尘量为3kg/a，焊接工序按年工作小时600小时计算，速率为0.005kg/h，浓度为5mg/m</w:t>
            </w:r>
            <w:r>
              <w:rPr>
                <w:rFonts w:hint="eastAsia" w:ascii="Times New Roman" w:cs="Times New Roman"/>
                <w:bCs/>
                <w:color w:val="auto"/>
                <w:sz w:val="24"/>
                <w:szCs w:val="24"/>
                <w:vertAlign w:val="superscript"/>
                <w:lang w:val="en-US" w:eastAsia="zh-CN"/>
              </w:rPr>
              <w:t>3</w:t>
            </w:r>
            <w:r>
              <w:rPr>
                <w:rFonts w:hint="eastAsia" w:ascii="Times New Roman" w:cs="Times New Roman"/>
                <w:bCs/>
                <w:color w:val="auto"/>
                <w:sz w:val="24"/>
                <w:szCs w:val="24"/>
                <w:lang w:val="en-US" w:eastAsia="zh-CN"/>
              </w:rPr>
              <w:t>。</w:t>
            </w:r>
          </w:p>
          <w:p w14:paraId="118E37CD">
            <w:pPr>
              <w:pStyle w:val="28"/>
              <w:numPr>
                <w:ilvl w:val="0"/>
                <w:numId w:val="0"/>
              </w:numPr>
              <w:spacing w:line="360" w:lineRule="auto"/>
              <w:ind w:firstLine="480" w:firstLineChars="200"/>
              <w:rPr>
                <w:rFonts w:hint="eastAsia" w:ascii="Times New Roman" w:cs="Times New Roman"/>
                <w:bCs/>
                <w:color w:val="auto"/>
                <w:sz w:val="24"/>
                <w:szCs w:val="24"/>
                <w:lang w:val="en-US" w:eastAsia="zh-CN"/>
              </w:rPr>
            </w:pPr>
            <w:r>
              <w:rPr>
                <w:rFonts w:hint="eastAsia" w:ascii="Times New Roman" w:cs="Times New Roman"/>
                <w:bCs/>
                <w:color w:val="auto"/>
                <w:sz w:val="24"/>
                <w:szCs w:val="24"/>
                <w:lang w:val="en-US" w:eastAsia="zh-CN"/>
              </w:rPr>
              <w:t>本项目拟采取集气罩+焊接烟尘净化器处置，将焊接过程中产生的焊接烟气经集气设施（收集效率按90%计）收集并经焊接烟尘净化器（净化效率按90%计）净化后通过15排气筒（2#）排放。设计风量为1000m</w:t>
            </w:r>
            <w:r>
              <w:rPr>
                <w:rFonts w:hint="eastAsia" w:ascii="Times New Roman" w:cs="Times New Roman"/>
                <w:bCs/>
                <w:color w:val="auto"/>
                <w:sz w:val="24"/>
                <w:szCs w:val="24"/>
                <w:vertAlign w:val="superscript"/>
                <w:lang w:val="en-US" w:eastAsia="zh-CN"/>
              </w:rPr>
              <w:t>3</w:t>
            </w:r>
            <w:r>
              <w:rPr>
                <w:rFonts w:hint="eastAsia" w:ascii="Times New Roman" w:cs="Times New Roman"/>
                <w:bCs/>
                <w:color w:val="auto"/>
                <w:sz w:val="24"/>
                <w:szCs w:val="24"/>
                <w:lang w:val="en-US" w:eastAsia="zh-CN"/>
              </w:rPr>
              <w:t>/h。本项目的焊接烟尘（按颗粒物计）产生量共约为3kg/a、0.625mg/m</w:t>
            </w:r>
            <w:r>
              <w:rPr>
                <w:rFonts w:hint="eastAsia" w:ascii="Times New Roman" w:cs="Times New Roman"/>
                <w:bCs/>
                <w:color w:val="auto"/>
                <w:sz w:val="24"/>
                <w:szCs w:val="24"/>
                <w:vertAlign w:val="superscript"/>
                <w:lang w:val="en-US" w:eastAsia="zh-CN"/>
              </w:rPr>
              <w:t>3</w:t>
            </w:r>
            <w:r>
              <w:rPr>
                <w:rFonts w:hint="eastAsia" w:ascii="Times New Roman" w:cs="Times New Roman"/>
                <w:bCs/>
                <w:color w:val="auto"/>
                <w:sz w:val="24"/>
                <w:szCs w:val="24"/>
                <w:lang w:val="en-US" w:eastAsia="zh-CN"/>
              </w:rPr>
              <w:t>,其中烟尘收集量为2.7kg/a，吸附净化后有组织排放量为0.27kg/a，排放浓度为0.45mg/m</w:t>
            </w:r>
            <w:r>
              <w:rPr>
                <w:rFonts w:hint="eastAsia" w:ascii="Times New Roman" w:cs="Times New Roman"/>
                <w:bCs/>
                <w:color w:val="auto"/>
                <w:sz w:val="24"/>
                <w:szCs w:val="24"/>
                <w:vertAlign w:val="superscript"/>
                <w:lang w:val="en-US" w:eastAsia="zh-CN"/>
              </w:rPr>
              <w:t>3</w:t>
            </w:r>
            <w:r>
              <w:rPr>
                <w:rFonts w:hint="eastAsia" w:ascii="Times New Roman" w:cs="Times New Roman"/>
                <w:bCs/>
                <w:color w:val="auto"/>
                <w:sz w:val="24"/>
                <w:szCs w:val="24"/>
                <w:lang w:val="en-US" w:eastAsia="zh-CN"/>
              </w:rPr>
              <w:t>，排放速率为0.45g/h。本项目焊接烟尘无组织排放量为0.3kg/a，排放速率为0.1875g/h。满足《大气污染综合排放标准标准（GB16297-1996）》表2中颗粒物的要求（15m高排气筒，最高允许排放速率3.5kg/h，最高允许排放浓度120mg/m</w:t>
            </w:r>
            <w:r>
              <w:rPr>
                <w:rFonts w:hint="eastAsia" w:ascii="Times New Roman" w:cs="Times New Roman"/>
                <w:bCs/>
                <w:color w:val="auto"/>
                <w:sz w:val="24"/>
                <w:szCs w:val="24"/>
                <w:vertAlign w:val="superscript"/>
                <w:lang w:val="en-US" w:eastAsia="zh-CN"/>
              </w:rPr>
              <w:t>3</w:t>
            </w:r>
            <w:r>
              <w:rPr>
                <w:rFonts w:hint="eastAsia" w:ascii="Times New Roman" w:cs="Times New Roman"/>
                <w:bCs/>
                <w:color w:val="auto"/>
                <w:sz w:val="24"/>
                <w:szCs w:val="24"/>
                <w:lang w:val="en-US" w:eastAsia="zh-CN"/>
              </w:rPr>
              <w:t>）</w:t>
            </w:r>
          </w:p>
          <w:p w14:paraId="47BB52CD">
            <w:pPr>
              <w:pStyle w:val="28"/>
              <w:numPr>
                <w:ilvl w:val="0"/>
                <w:numId w:val="0"/>
              </w:numPr>
              <w:spacing w:line="360" w:lineRule="auto"/>
              <w:ind w:firstLine="480" w:firstLineChars="200"/>
              <w:rPr>
                <w:rFonts w:hint="eastAsia" w:ascii="Times New Roman" w:cs="Times New Roman"/>
                <w:bCs/>
                <w:color w:val="auto"/>
                <w:sz w:val="24"/>
                <w:szCs w:val="24"/>
                <w:lang w:val="en-US" w:eastAsia="zh-CN"/>
              </w:rPr>
            </w:pPr>
            <w:r>
              <w:rPr>
                <w:rFonts w:hint="eastAsia" w:ascii="Times New Roman" w:cs="Times New Roman"/>
                <w:bCs/>
                <w:color w:val="auto"/>
                <w:sz w:val="24"/>
                <w:szCs w:val="24"/>
                <w:lang w:val="en-US" w:eastAsia="zh-CN"/>
              </w:rPr>
              <w:t>③破碎粉尘</w:t>
            </w:r>
          </w:p>
          <w:p w14:paraId="62557747">
            <w:pPr>
              <w:pStyle w:val="28"/>
              <w:numPr>
                <w:ilvl w:val="0"/>
                <w:numId w:val="0"/>
              </w:numPr>
              <w:spacing w:line="360" w:lineRule="auto"/>
              <w:ind w:firstLine="480" w:firstLineChars="200"/>
              <w:rPr>
                <w:rFonts w:hint="eastAsia" w:ascii="Times New Roman" w:cs="Times New Roman"/>
                <w:bCs/>
                <w:color w:val="auto"/>
                <w:sz w:val="24"/>
                <w:szCs w:val="24"/>
                <w:lang w:val="en-US" w:eastAsia="zh-CN"/>
              </w:rPr>
            </w:pPr>
            <w:r>
              <w:rPr>
                <w:rFonts w:hint="eastAsia" w:ascii="Times New Roman" w:cs="Times New Roman"/>
                <w:bCs/>
                <w:color w:val="auto"/>
                <w:sz w:val="24"/>
                <w:szCs w:val="24"/>
                <w:lang w:val="en-US" w:eastAsia="zh-CN"/>
              </w:rPr>
              <w:t>本项目1#厂房西南角设置密封破碎间，内设破碎机1台，用于吹注塑不合格产品的破碎，破碎后的碎料作为原料继续使用。作业时，将不合格产品送进破碎机，破碎成颗粒后从出口进入原料桶。根据业主提供的资料，产品的不合格率为2%，吹塑原料聚乙烯用量为40t/a，高密度聚乙烯12t/a，注塑原料聚丙烯用量为85.5t/a，可知不合格产品产生量为2.75t/a，此工序年工作时间600小时。类比同类型企业，粉尘产生量按照破碎量的0.01%计算，本项目破碎工序产生的粉尘量为0.275kg/a，速率为0.0005kg/h。因产生量极少，且在密闭环境中工作，因此不会对周边大气产生影响。</w:t>
            </w:r>
          </w:p>
          <w:p w14:paraId="12185F50">
            <w:pPr>
              <w:pStyle w:val="28"/>
              <w:numPr>
                <w:ilvl w:val="0"/>
                <w:numId w:val="0"/>
              </w:numPr>
              <w:spacing w:line="360" w:lineRule="auto"/>
              <w:ind w:firstLine="480" w:firstLineChars="200"/>
              <w:rPr>
                <w:rFonts w:hint="default" w:ascii="Times New Roman" w:hAnsi="Times New Roman" w:cs="Times New Roman"/>
                <w:bCs/>
                <w:color w:val="auto"/>
                <w:sz w:val="24"/>
                <w:szCs w:val="24"/>
                <w:lang w:eastAsia="zh-CN"/>
              </w:rPr>
            </w:pPr>
            <w:r>
              <w:rPr>
                <w:rFonts w:hint="default" w:ascii="Times New Roman" w:hAnsi="Times New Roman" w:cs="Times New Roman"/>
                <w:bCs/>
                <w:color w:val="auto"/>
                <w:sz w:val="24"/>
                <w:szCs w:val="24"/>
              </w:rPr>
              <w:fldChar w:fldCharType="begin"/>
            </w:r>
            <w:r>
              <w:rPr>
                <w:rFonts w:hint="default" w:ascii="Times New Roman" w:hAnsi="Times New Roman" w:cs="Times New Roman"/>
                <w:bCs/>
                <w:color w:val="auto"/>
                <w:sz w:val="24"/>
                <w:szCs w:val="24"/>
              </w:rPr>
              <w:instrText xml:space="preserve"> = 4 \* GB3 \* MERGEFORMAT </w:instrText>
            </w:r>
            <w:r>
              <w:rPr>
                <w:rFonts w:hint="default" w:ascii="Times New Roman" w:hAnsi="Times New Roman" w:cs="Times New Roman"/>
                <w:bCs/>
                <w:color w:val="auto"/>
                <w:sz w:val="24"/>
                <w:szCs w:val="24"/>
              </w:rPr>
              <w:fldChar w:fldCharType="separate"/>
            </w:r>
            <w:r>
              <w:rPr>
                <w:rFonts w:hint="default" w:ascii="Times New Roman" w:hAnsi="Times New Roman" w:cs="Times New Roman"/>
                <w:color w:val="auto"/>
              </w:rPr>
              <w:t>④</w:t>
            </w:r>
            <w:r>
              <w:rPr>
                <w:rFonts w:hint="default" w:ascii="Times New Roman" w:hAnsi="Times New Roman" w:cs="Times New Roman"/>
                <w:bCs/>
                <w:color w:val="auto"/>
                <w:sz w:val="24"/>
                <w:szCs w:val="24"/>
              </w:rPr>
              <w:fldChar w:fldCharType="end"/>
            </w:r>
            <w:r>
              <w:rPr>
                <w:rFonts w:hint="default" w:ascii="Times New Roman" w:hAnsi="Times New Roman" w:cs="Times New Roman"/>
                <w:bCs/>
                <w:color w:val="auto"/>
                <w:sz w:val="24"/>
                <w:szCs w:val="24"/>
                <w:lang w:eastAsia="zh-CN"/>
              </w:rPr>
              <w:t>食堂油烟</w:t>
            </w:r>
          </w:p>
          <w:p w14:paraId="4557DBEA">
            <w:pPr>
              <w:pageBreakBefore w:val="0"/>
              <w:kinsoku/>
              <w:wordWrap/>
              <w:overflowPunct/>
              <w:topLinePunct w:val="0"/>
              <w:bidi w:val="0"/>
              <w:spacing w:line="360" w:lineRule="auto"/>
              <w:ind w:firstLine="510"/>
              <w:rPr>
                <w:rFonts w:hint="default" w:ascii="Times New Roman" w:hAnsi="Times New Roman" w:eastAsia="宋体" w:cs="Times New Roman"/>
                <w:color w:val="auto"/>
                <w:sz w:val="24"/>
                <w:szCs w:val="24"/>
              </w:rPr>
            </w:pPr>
            <w:r>
              <w:rPr>
                <w:rFonts w:hint="default" w:ascii="Times New Roman" w:hAnsi="Times New Roman" w:cs="Times New Roman"/>
                <w:color w:val="auto"/>
                <w:sz w:val="24"/>
                <w:szCs w:val="24"/>
                <w:lang w:eastAsia="zh-CN"/>
              </w:rPr>
              <w:t>本</w:t>
            </w:r>
            <w:r>
              <w:rPr>
                <w:rFonts w:hint="default" w:ascii="Times New Roman" w:hAnsi="Times New Roman" w:eastAsia="宋体" w:cs="Times New Roman"/>
                <w:color w:val="auto"/>
                <w:sz w:val="24"/>
                <w:szCs w:val="24"/>
              </w:rPr>
              <w:t>项目设置</w:t>
            </w:r>
            <w:r>
              <w:rPr>
                <w:rFonts w:hint="eastAsia" w:cs="Times New Roman"/>
                <w:color w:val="auto"/>
                <w:sz w:val="24"/>
                <w:szCs w:val="24"/>
                <w:lang w:val="en-US" w:eastAsia="zh-CN"/>
              </w:rPr>
              <w:t>2</w:t>
            </w:r>
            <w:r>
              <w:rPr>
                <w:rFonts w:hint="default" w:ascii="Times New Roman" w:hAnsi="Times New Roman" w:eastAsia="宋体" w:cs="Times New Roman"/>
                <w:color w:val="auto"/>
                <w:sz w:val="24"/>
                <w:szCs w:val="24"/>
              </w:rPr>
              <w:t>个灶台，采用</w:t>
            </w:r>
            <w:r>
              <w:rPr>
                <w:rFonts w:hint="default" w:ascii="Times New Roman" w:hAnsi="Times New Roman" w:eastAsia="宋体" w:cs="Times New Roman"/>
                <w:color w:val="auto"/>
                <w:sz w:val="24"/>
                <w:szCs w:val="24"/>
                <w:lang w:eastAsia="zh-CN"/>
              </w:rPr>
              <w:t>天然气</w:t>
            </w:r>
            <w:r>
              <w:rPr>
                <w:rFonts w:hint="default" w:ascii="Times New Roman" w:hAnsi="Times New Roman" w:cs="Times New Roman"/>
                <w:color w:val="auto"/>
                <w:sz w:val="24"/>
                <w:szCs w:val="24"/>
                <w:lang w:eastAsia="zh-CN"/>
              </w:rPr>
              <w:t>作为能源</w:t>
            </w:r>
            <w:r>
              <w:rPr>
                <w:rFonts w:hint="default" w:ascii="Times New Roman" w:hAnsi="Times New Roman" w:eastAsia="宋体" w:cs="Times New Roman"/>
                <w:color w:val="auto"/>
                <w:sz w:val="24"/>
                <w:szCs w:val="24"/>
              </w:rPr>
              <w:t>，</w:t>
            </w:r>
            <w:r>
              <w:rPr>
                <w:rFonts w:hint="default" w:ascii="Times New Roman" w:hAnsi="Times New Roman" w:cs="Times New Roman"/>
                <w:color w:val="auto"/>
                <w:sz w:val="24"/>
                <w:szCs w:val="24"/>
                <w:lang w:eastAsia="zh-CN"/>
              </w:rPr>
              <w:t>天然气作为国家推荐使用的清洁能源，在充分燃烧的过程中几乎不产生污染物，食堂废气主要是</w:t>
            </w:r>
            <w:r>
              <w:rPr>
                <w:rFonts w:hint="default" w:ascii="Times New Roman" w:hAnsi="Times New Roman" w:eastAsia="宋体" w:cs="Times New Roman"/>
                <w:color w:val="auto"/>
                <w:sz w:val="24"/>
                <w:szCs w:val="24"/>
              </w:rPr>
              <w:t>烹饪过程中会产生一定量的油烟废气。</w:t>
            </w:r>
          </w:p>
          <w:p w14:paraId="754E48CA">
            <w:pPr>
              <w:pageBreakBefore w:val="0"/>
              <w:kinsoku/>
              <w:wordWrap/>
              <w:overflowPunct/>
              <w:topLinePunct w:val="0"/>
              <w:bidi w:val="0"/>
              <w:spacing w:line="360" w:lineRule="auto"/>
              <w:ind w:firstLine="510"/>
              <w:rPr>
                <w:rFonts w:hint="default" w:ascii="Times New Roman" w:hAnsi="Times New Roman" w:eastAsia="宋体" w:cs="Times New Roman"/>
                <w:color w:val="auto"/>
                <w:spacing w:val="-2"/>
                <w:sz w:val="24"/>
                <w:szCs w:val="24"/>
              </w:rPr>
            </w:pPr>
            <w:r>
              <w:rPr>
                <w:rFonts w:hint="default" w:ascii="Times New Roman" w:hAnsi="Times New Roman" w:eastAsia="宋体" w:cs="Times New Roman"/>
                <w:color w:val="auto"/>
                <w:sz w:val="24"/>
                <w:szCs w:val="24"/>
              </w:rPr>
              <w:t>项目定员</w:t>
            </w:r>
            <w:r>
              <w:rPr>
                <w:rFonts w:hint="eastAsia" w:cs="Times New Roman"/>
                <w:color w:val="auto"/>
                <w:sz w:val="24"/>
                <w:szCs w:val="24"/>
                <w:lang w:val="en-US" w:eastAsia="zh-CN"/>
              </w:rPr>
              <w:t>59</w:t>
            </w:r>
            <w:r>
              <w:rPr>
                <w:rFonts w:hint="default" w:ascii="Times New Roman" w:hAnsi="Times New Roman" w:eastAsia="宋体" w:cs="Times New Roman"/>
                <w:color w:val="auto"/>
                <w:sz w:val="24"/>
                <w:szCs w:val="24"/>
              </w:rPr>
              <w:t>人，</w:t>
            </w:r>
            <w:r>
              <w:rPr>
                <w:rFonts w:hint="default" w:ascii="Times New Roman" w:hAnsi="Times New Roman" w:eastAsia="宋体" w:cs="Times New Roman"/>
                <w:color w:val="auto"/>
                <w:sz w:val="24"/>
                <w:szCs w:val="24"/>
                <w:lang w:eastAsia="zh-CN"/>
              </w:rPr>
              <w:t>其中在厂区食宿</w:t>
            </w:r>
            <w:r>
              <w:rPr>
                <w:rFonts w:hint="eastAsia" w:cs="Times New Roman"/>
                <w:color w:val="auto"/>
                <w:sz w:val="24"/>
                <w:szCs w:val="24"/>
                <w:lang w:val="en-US" w:eastAsia="zh-CN"/>
              </w:rPr>
              <w:t>59</w:t>
            </w:r>
            <w:r>
              <w:rPr>
                <w:rFonts w:hint="default" w:ascii="Times New Roman" w:hAnsi="Times New Roman" w:eastAsia="宋体" w:cs="Times New Roman"/>
                <w:color w:val="auto"/>
                <w:sz w:val="24"/>
                <w:szCs w:val="24"/>
                <w:lang w:val="en-US" w:eastAsia="zh-CN"/>
              </w:rPr>
              <w:t>人，</w:t>
            </w:r>
            <w:r>
              <w:rPr>
                <w:rFonts w:hint="default" w:ascii="Times New Roman" w:hAnsi="Times New Roman" w:eastAsia="宋体" w:cs="Times New Roman"/>
                <w:color w:val="auto"/>
                <w:sz w:val="24"/>
                <w:szCs w:val="24"/>
              </w:rPr>
              <w:t>其食用油用量平均按30g/人·天计，日耗油量为</w:t>
            </w:r>
            <w:r>
              <w:rPr>
                <w:rFonts w:hint="eastAsia" w:cs="Times New Roman"/>
                <w:color w:val="auto"/>
                <w:sz w:val="24"/>
                <w:szCs w:val="24"/>
                <w:lang w:val="en-US" w:eastAsia="zh-CN"/>
              </w:rPr>
              <w:t>1.77</w:t>
            </w:r>
            <w:r>
              <w:rPr>
                <w:rFonts w:hint="default" w:ascii="Times New Roman" w:hAnsi="Times New Roman" w:eastAsia="宋体" w:cs="Times New Roman"/>
                <w:color w:val="auto"/>
                <w:sz w:val="24"/>
                <w:szCs w:val="24"/>
              </w:rPr>
              <w:t>kg/d。</w:t>
            </w:r>
            <w:r>
              <w:rPr>
                <w:rFonts w:hint="default" w:ascii="Times New Roman" w:hAnsi="Times New Roman" w:eastAsia="宋体" w:cs="Times New Roman"/>
                <w:color w:val="auto"/>
                <w:spacing w:val="-2"/>
                <w:sz w:val="24"/>
                <w:szCs w:val="24"/>
              </w:rPr>
              <w:t>据类比调查，不同的烧炸工况，油烟气中烟气浓度及挥发量均有所不同，油的平均挥发量为总耗油量的3%，经估算，本项目日产生油烟量为0.0</w:t>
            </w:r>
            <w:r>
              <w:rPr>
                <w:rFonts w:hint="eastAsia" w:cs="Times New Roman"/>
                <w:color w:val="auto"/>
                <w:spacing w:val="-2"/>
                <w:sz w:val="24"/>
                <w:szCs w:val="24"/>
                <w:lang w:val="en-US" w:eastAsia="zh-CN"/>
              </w:rPr>
              <w:t>53</w:t>
            </w:r>
            <w:r>
              <w:rPr>
                <w:rFonts w:hint="default" w:ascii="Times New Roman" w:hAnsi="Times New Roman" w:eastAsia="宋体" w:cs="Times New Roman"/>
                <w:color w:val="auto"/>
                <w:spacing w:val="-2"/>
                <w:sz w:val="24"/>
                <w:szCs w:val="24"/>
              </w:rPr>
              <w:t>kg/d，年产生油烟量为</w:t>
            </w:r>
            <w:r>
              <w:rPr>
                <w:rFonts w:hint="eastAsia" w:cs="Times New Roman"/>
                <w:color w:val="auto"/>
                <w:spacing w:val="-2"/>
                <w:sz w:val="24"/>
                <w:szCs w:val="24"/>
                <w:lang w:val="en-US" w:eastAsia="zh-CN"/>
              </w:rPr>
              <w:t>15.9</w:t>
            </w:r>
            <w:r>
              <w:rPr>
                <w:rFonts w:hint="default" w:ascii="Times New Roman" w:hAnsi="Times New Roman" w:eastAsia="宋体" w:cs="Times New Roman"/>
                <w:color w:val="auto"/>
                <w:spacing w:val="-2"/>
                <w:sz w:val="24"/>
                <w:szCs w:val="24"/>
              </w:rPr>
              <w:t>kg/a。按日高峰期</w:t>
            </w:r>
            <w:r>
              <w:rPr>
                <w:rFonts w:hint="default" w:ascii="Times New Roman" w:hAnsi="Times New Roman" w:eastAsia="宋体" w:cs="Times New Roman"/>
                <w:color w:val="auto"/>
                <w:spacing w:val="-2"/>
                <w:sz w:val="24"/>
                <w:szCs w:val="24"/>
                <w:lang w:val="en-US" w:eastAsia="zh-CN"/>
              </w:rPr>
              <w:t>2</w:t>
            </w:r>
            <w:r>
              <w:rPr>
                <w:rFonts w:hint="default" w:ascii="Times New Roman" w:hAnsi="Times New Roman" w:eastAsia="宋体" w:cs="Times New Roman"/>
                <w:color w:val="auto"/>
                <w:spacing w:val="-2"/>
                <w:sz w:val="24"/>
                <w:szCs w:val="24"/>
              </w:rPr>
              <w:t>小时计，则高峰期该项目所产生的油烟量为0.</w:t>
            </w:r>
            <w:r>
              <w:rPr>
                <w:rFonts w:hint="eastAsia" w:cs="Times New Roman"/>
                <w:color w:val="auto"/>
                <w:spacing w:val="-2"/>
                <w:sz w:val="24"/>
                <w:szCs w:val="24"/>
                <w:lang w:val="en-US" w:eastAsia="zh-CN"/>
              </w:rPr>
              <w:t>0265</w:t>
            </w:r>
            <w:r>
              <w:rPr>
                <w:rFonts w:hint="default" w:ascii="Times New Roman" w:hAnsi="Times New Roman" w:eastAsia="宋体" w:cs="Times New Roman"/>
                <w:color w:val="auto"/>
                <w:spacing w:val="-2"/>
                <w:sz w:val="24"/>
                <w:szCs w:val="24"/>
              </w:rPr>
              <w:t>kg/h。</w:t>
            </w:r>
          </w:p>
          <w:p w14:paraId="557AB42A">
            <w:pPr>
              <w:pageBreakBefore w:val="0"/>
              <w:kinsoku/>
              <w:wordWrap/>
              <w:overflowPunct/>
              <w:topLinePunct w:val="0"/>
              <w:bidi w:val="0"/>
              <w:spacing w:line="360" w:lineRule="auto"/>
              <w:ind w:firstLine="510"/>
              <w:rPr>
                <w:rFonts w:hint="default" w:ascii="Times New Roman" w:hAnsi="Times New Roman" w:eastAsia="宋体" w:cs="Times New Roman"/>
                <w:color w:val="auto"/>
                <w:sz w:val="24"/>
                <w:szCs w:val="24"/>
              </w:rPr>
            </w:pPr>
            <w:r>
              <w:rPr>
                <w:rFonts w:hint="default" w:ascii="Times New Roman" w:hAnsi="Times New Roman" w:cs="Times New Roman"/>
                <w:b w:val="0"/>
                <w:bCs w:val="0"/>
                <w:color w:val="auto"/>
                <w:sz w:val="24"/>
                <w:szCs w:val="24"/>
                <w:lang w:eastAsia="zh-CN"/>
              </w:rPr>
              <w:t>本次评价</w:t>
            </w:r>
            <w:r>
              <w:rPr>
                <w:rFonts w:hint="default" w:ascii="Times New Roman" w:hAnsi="Times New Roman" w:cs="Times New Roman"/>
                <w:color w:val="auto"/>
                <w:sz w:val="24"/>
                <w:szCs w:val="24"/>
                <w:lang w:eastAsia="zh-CN"/>
              </w:rPr>
              <w:t>要求</w:t>
            </w:r>
            <w:r>
              <w:rPr>
                <w:rFonts w:hint="default" w:ascii="Times New Roman" w:hAnsi="Times New Roman" w:eastAsia="宋体" w:cs="Times New Roman"/>
                <w:color w:val="auto"/>
                <w:sz w:val="24"/>
                <w:szCs w:val="24"/>
              </w:rPr>
              <w:t>食堂</w:t>
            </w:r>
            <w:r>
              <w:rPr>
                <w:rFonts w:hint="eastAsia" w:cs="Times New Roman"/>
                <w:color w:val="auto"/>
                <w:sz w:val="24"/>
                <w:szCs w:val="24"/>
                <w:lang w:val="en-US" w:eastAsia="zh-CN"/>
              </w:rPr>
              <w:t>设置2</w:t>
            </w:r>
            <w:r>
              <w:rPr>
                <w:rFonts w:hint="default" w:ascii="Times New Roman" w:hAnsi="Times New Roman" w:cs="Times New Roman"/>
                <w:color w:val="auto"/>
                <w:sz w:val="24"/>
                <w:szCs w:val="24"/>
                <w:lang w:val="en-US" w:eastAsia="zh-CN"/>
              </w:rPr>
              <w:t>个油烟收集罩及1套</w:t>
            </w:r>
            <w:r>
              <w:rPr>
                <w:rFonts w:hint="default" w:ascii="Times New Roman" w:hAnsi="Times New Roman" w:eastAsia="宋体" w:cs="Times New Roman"/>
                <w:color w:val="auto"/>
                <w:sz w:val="24"/>
                <w:szCs w:val="24"/>
              </w:rPr>
              <w:t>油烟净化设备进行净化处理</w:t>
            </w:r>
            <w:r>
              <w:rPr>
                <w:rFonts w:hint="default" w:ascii="Times New Roman" w:hAnsi="Times New Roman" w:eastAsia="宋体" w:cs="Times New Roman"/>
                <w:color w:val="auto"/>
                <w:spacing w:val="-2"/>
                <w:sz w:val="24"/>
                <w:szCs w:val="24"/>
              </w:rPr>
              <w:t>（基准灶头风量为</w:t>
            </w:r>
            <w:r>
              <w:rPr>
                <w:rFonts w:hint="eastAsia" w:cs="Times New Roman"/>
                <w:color w:val="auto"/>
                <w:spacing w:val="-2"/>
                <w:sz w:val="24"/>
                <w:szCs w:val="24"/>
                <w:lang w:val="en-US" w:eastAsia="zh-CN"/>
              </w:rPr>
              <w:t>2</w:t>
            </w:r>
            <w:r>
              <w:rPr>
                <w:rFonts w:hint="default" w:ascii="Times New Roman" w:hAnsi="Times New Roman" w:eastAsia="宋体" w:cs="Times New Roman"/>
                <w:color w:val="auto"/>
                <w:spacing w:val="-2"/>
                <w:sz w:val="24"/>
                <w:szCs w:val="24"/>
              </w:rPr>
              <w:t>000m</w:t>
            </w:r>
            <w:r>
              <w:rPr>
                <w:rFonts w:hint="default" w:ascii="Times New Roman" w:hAnsi="Times New Roman" w:eastAsia="宋体" w:cs="Times New Roman"/>
                <w:color w:val="auto"/>
                <w:spacing w:val="-2"/>
                <w:sz w:val="24"/>
                <w:szCs w:val="24"/>
                <w:vertAlign w:val="superscript"/>
              </w:rPr>
              <w:t>3</w:t>
            </w:r>
            <w:r>
              <w:rPr>
                <w:rFonts w:hint="default" w:ascii="Times New Roman" w:hAnsi="Times New Roman" w:eastAsia="宋体" w:cs="Times New Roman"/>
                <w:color w:val="auto"/>
                <w:spacing w:val="-2"/>
                <w:sz w:val="24"/>
                <w:szCs w:val="24"/>
              </w:rPr>
              <w:t>/h）</w:t>
            </w:r>
            <w:r>
              <w:rPr>
                <w:rFonts w:hint="default" w:ascii="Times New Roman" w:hAnsi="Times New Roman" w:eastAsia="宋体" w:cs="Times New Roman"/>
                <w:color w:val="auto"/>
                <w:sz w:val="24"/>
                <w:szCs w:val="24"/>
              </w:rPr>
              <w:t>，净化效率达</w:t>
            </w:r>
            <w:r>
              <w:rPr>
                <w:rFonts w:hint="eastAsia" w:cs="Times New Roman"/>
                <w:color w:val="auto"/>
                <w:sz w:val="24"/>
                <w:szCs w:val="24"/>
                <w:lang w:val="en-US" w:eastAsia="zh-CN"/>
              </w:rPr>
              <w:t>9</w:t>
            </w:r>
            <w:r>
              <w:rPr>
                <w:rFonts w:hint="default" w:ascii="Times New Roman" w:hAnsi="Times New Roman" w:eastAsia="宋体" w:cs="Times New Roman"/>
                <w:color w:val="auto"/>
                <w:sz w:val="24"/>
                <w:szCs w:val="24"/>
              </w:rPr>
              <w:t>0%，经油烟净化设施处理后，排放浓度</w:t>
            </w:r>
            <w:r>
              <w:rPr>
                <w:rFonts w:hint="eastAsia" w:cs="Times New Roman"/>
                <w:color w:val="auto"/>
                <w:sz w:val="24"/>
                <w:szCs w:val="24"/>
                <w:lang w:val="en-US" w:eastAsia="zh-CN"/>
              </w:rPr>
              <w:t>1.33</w:t>
            </w:r>
            <w:r>
              <w:rPr>
                <w:rFonts w:hint="default" w:ascii="Times New Roman" w:hAnsi="Times New Roman" w:eastAsia="宋体" w:cs="Times New Roman"/>
                <w:color w:val="auto"/>
                <w:sz w:val="24"/>
                <w:szCs w:val="24"/>
              </w:rPr>
              <w:t>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，排放量为</w:t>
            </w:r>
            <w:r>
              <w:rPr>
                <w:rFonts w:hint="eastAsia" w:cs="Times New Roman"/>
                <w:color w:val="auto"/>
                <w:sz w:val="24"/>
                <w:szCs w:val="24"/>
                <w:lang w:val="en-US" w:eastAsia="zh-CN"/>
              </w:rPr>
              <w:t>1.59</w:t>
            </w:r>
            <w:r>
              <w:rPr>
                <w:rFonts w:hint="default" w:ascii="Times New Roman" w:hAnsi="Times New Roman" w:eastAsia="宋体" w:cs="Times New Roman"/>
                <w:color w:val="auto"/>
                <w:sz w:val="24"/>
                <w:szCs w:val="24"/>
              </w:rPr>
              <w:t>kg/a，满足《饮食业油烟排放标准（试行）》（GB18483-2001）中最高允许排放浓度2.0mg/m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的要求。</w:t>
            </w:r>
            <w:r>
              <w:rPr>
                <w:rFonts w:hint="default" w:ascii="Times New Roman" w:hAnsi="Times New Roman" w:eastAsia="黑体" w:cs="Times New Roman"/>
                <w:color w:val="auto"/>
                <w:sz w:val="24"/>
                <w:szCs w:val="24"/>
                <w:lang w:eastAsia="zh-CN"/>
              </w:rPr>
              <w:t>另环评要求净化后的食堂油烟通过专用烟道由食堂楼顶排出。</w:t>
            </w:r>
          </w:p>
          <w:p w14:paraId="333FA94A">
            <w:pPr>
              <w:pageBreakBefore w:val="0"/>
              <w:kinsoku/>
              <w:wordWrap/>
              <w:overflowPunct/>
              <w:topLinePunct w:val="0"/>
              <w:bidi w:val="0"/>
              <w:spacing w:line="360" w:lineRule="auto"/>
              <w:ind w:firstLine="510"/>
              <w:rPr>
                <w:rFonts w:hint="default" w:ascii="Times New Roman" w:hAnsi="Times New Roman" w:cs="Times New Roman"/>
                <w:color w:val="auto"/>
                <w:sz w:val="24"/>
                <w:szCs w:val="24"/>
                <w:lang w:eastAsia="zh-CN"/>
              </w:rPr>
            </w:pPr>
            <w:r>
              <w:rPr>
                <w:rFonts w:hint="default" w:ascii="Times New Roman" w:hAnsi="Times New Roman" w:cs="Times New Roman"/>
                <w:color w:val="auto"/>
                <w:sz w:val="24"/>
                <w:szCs w:val="24"/>
                <w:lang w:eastAsia="zh-CN"/>
              </w:rPr>
              <w:t>综上所述，项目所产生的废气在严格按照评价提出的整改措施后能做到妥善处理，达标排放，对周围环境影响较小。</w:t>
            </w:r>
          </w:p>
          <w:p w14:paraId="1DD555F6">
            <w:pPr>
              <w:pageBreakBefore w:val="0"/>
              <w:kinsoku/>
              <w:wordWrap/>
              <w:overflowPunct/>
              <w:topLinePunct w:val="0"/>
              <w:bidi w:val="0"/>
              <w:spacing w:line="360" w:lineRule="auto"/>
              <w:ind w:firstLine="510"/>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⑤有组织排放情况汇总</w:t>
            </w:r>
          </w:p>
          <w:p w14:paraId="2F7D9A7F">
            <w:pPr>
              <w:pageBreakBefore w:val="0"/>
              <w:kinsoku/>
              <w:wordWrap/>
              <w:overflowPunct/>
              <w:topLinePunct w:val="0"/>
              <w:bidi w:val="0"/>
              <w:spacing w:line="360" w:lineRule="auto"/>
              <w:ind w:firstLine="510"/>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根据前文所述，本项目产生的工艺废气主要有</w:t>
            </w:r>
            <w:r>
              <w:rPr>
                <w:rFonts w:hint="eastAsia" w:cs="Times New Roman"/>
                <w:color w:val="auto"/>
                <w:sz w:val="24"/>
                <w:szCs w:val="24"/>
                <w:lang w:val="en-US" w:eastAsia="zh-CN"/>
              </w:rPr>
              <w:t>破碎粉尘</w:t>
            </w:r>
            <w:r>
              <w:rPr>
                <w:rFonts w:hint="eastAsia" w:ascii="Times New Roman" w:hAnsi="Times New Roman" w:cs="Times New Roman"/>
                <w:color w:val="auto"/>
                <w:sz w:val="24"/>
                <w:szCs w:val="24"/>
                <w:lang w:val="en-US" w:eastAsia="zh-CN"/>
              </w:rPr>
              <w:t>、</w:t>
            </w:r>
            <w:r>
              <w:rPr>
                <w:rFonts w:hint="eastAsia" w:cs="Times New Roman"/>
                <w:color w:val="auto"/>
                <w:sz w:val="24"/>
                <w:szCs w:val="24"/>
                <w:lang w:val="en-US" w:eastAsia="zh-CN"/>
              </w:rPr>
              <w:t>有机废气</w:t>
            </w:r>
            <w:r>
              <w:rPr>
                <w:rFonts w:hint="eastAsia" w:ascii="Times New Roman" w:hAnsi="Times New Roman" w:cs="Times New Roman"/>
                <w:color w:val="auto"/>
                <w:sz w:val="24"/>
                <w:szCs w:val="24"/>
                <w:lang w:val="en-US" w:eastAsia="zh-CN"/>
              </w:rPr>
              <w:t>、</w:t>
            </w:r>
            <w:r>
              <w:rPr>
                <w:rFonts w:hint="eastAsia" w:cs="Times New Roman"/>
                <w:color w:val="auto"/>
                <w:sz w:val="24"/>
                <w:szCs w:val="24"/>
                <w:lang w:val="en-US" w:eastAsia="zh-CN"/>
              </w:rPr>
              <w:t>焊接烟尘、食堂油烟</w:t>
            </w:r>
            <w:r>
              <w:rPr>
                <w:rFonts w:hint="eastAsia" w:ascii="Times New Roman" w:hAnsi="Times New Roman" w:cs="Times New Roman"/>
                <w:color w:val="auto"/>
                <w:sz w:val="24"/>
                <w:szCs w:val="24"/>
                <w:lang w:val="en-US" w:eastAsia="zh-CN"/>
              </w:rPr>
              <w:t>，排放参数及排放情况汇总如下：</w:t>
            </w:r>
          </w:p>
          <w:p w14:paraId="161D6EA1">
            <w:pPr>
              <w:pStyle w:val="2"/>
              <w:ind w:firstLine="422" w:firstLineChars="200"/>
              <w:jc w:val="center"/>
              <w:rPr>
                <w:rFonts w:hint="eastAsia" w:ascii="Times New Roman" w:hAnsi="Times New Roman" w:cs="Times New Roman" w:eastAsiaTheme="minorEastAsia"/>
                <w:b/>
                <w:bCs/>
                <w:color w:val="auto"/>
                <w:kern w:val="2"/>
                <w:sz w:val="21"/>
                <w:szCs w:val="21"/>
                <w:lang w:val="en-US" w:eastAsia="zh-CN" w:bidi="ar-SA"/>
              </w:rPr>
            </w:pPr>
            <w:r>
              <w:rPr>
                <w:rFonts w:hint="eastAsia" w:ascii="Times New Roman" w:hAnsi="Times New Roman" w:cs="Times New Roman" w:eastAsiaTheme="minorEastAsia"/>
                <w:b/>
                <w:bCs/>
                <w:color w:val="auto"/>
                <w:kern w:val="2"/>
                <w:sz w:val="21"/>
                <w:szCs w:val="21"/>
                <w:lang w:val="en-US" w:eastAsia="zh-CN" w:bidi="ar-SA"/>
              </w:rPr>
              <w:t>表5-</w:t>
            </w:r>
            <w:r>
              <w:rPr>
                <w:rFonts w:hint="eastAsia" w:ascii="Times New Roman" w:cs="Times New Roman" w:eastAsiaTheme="minorEastAsia"/>
                <w:b/>
                <w:bCs/>
                <w:color w:val="auto"/>
                <w:kern w:val="2"/>
                <w:sz w:val="21"/>
                <w:szCs w:val="21"/>
                <w:lang w:val="en-US" w:eastAsia="zh-CN" w:bidi="ar-SA"/>
              </w:rPr>
              <w:t>7</w:t>
            </w:r>
            <w:r>
              <w:rPr>
                <w:rFonts w:hint="eastAsia" w:ascii="Times New Roman" w:hAnsi="Times New Roman" w:cs="Times New Roman" w:eastAsiaTheme="minorEastAsia"/>
                <w:b/>
                <w:bCs/>
                <w:color w:val="auto"/>
                <w:kern w:val="2"/>
                <w:sz w:val="21"/>
                <w:szCs w:val="21"/>
                <w:lang w:val="en-US" w:eastAsia="zh-CN" w:bidi="ar-SA"/>
              </w:rPr>
              <w:t xml:space="preserve"> 本项目废气有组织排放情况汇总表</w:t>
            </w:r>
          </w:p>
          <w:tbl>
            <w:tblPr>
              <w:tblStyle w:val="69"/>
              <w:tblW w:w="9968"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84"/>
              <w:gridCol w:w="1245"/>
              <w:gridCol w:w="1384"/>
              <w:gridCol w:w="935"/>
              <w:gridCol w:w="1084"/>
              <w:gridCol w:w="1089"/>
              <w:gridCol w:w="933"/>
              <w:gridCol w:w="1026"/>
              <w:gridCol w:w="788"/>
            </w:tblGrid>
            <w:tr w14:paraId="3273EA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3" w:hRule="exact"/>
              </w:trPr>
              <w:tc>
                <w:tcPr>
                  <w:tcW w:w="1484" w:type="dxa"/>
                  <w:vMerge w:val="restart"/>
                  <w:vAlign w:val="center"/>
                </w:tcPr>
                <w:p w14:paraId="41466B73">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排气筒名称</w:t>
                  </w:r>
                </w:p>
              </w:tc>
              <w:tc>
                <w:tcPr>
                  <w:tcW w:w="1245" w:type="dxa"/>
                  <w:vMerge w:val="restart"/>
                  <w:vAlign w:val="center"/>
                </w:tcPr>
                <w:p w14:paraId="04B09E85">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排气筒位置</w:t>
                  </w:r>
                </w:p>
              </w:tc>
              <w:tc>
                <w:tcPr>
                  <w:tcW w:w="1384" w:type="dxa"/>
                  <w:vMerge w:val="restart"/>
                  <w:vAlign w:val="center"/>
                </w:tcPr>
                <w:p w14:paraId="7A24B729">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污染物</w:t>
                  </w:r>
                </w:p>
              </w:tc>
              <w:tc>
                <w:tcPr>
                  <w:tcW w:w="935" w:type="dxa"/>
                  <w:vMerge w:val="restart"/>
                  <w:vAlign w:val="center"/>
                </w:tcPr>
                <w:p w14:paraId="3839ACE8">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排气量</w:t>
                  </w:r>
                </w:p>
                <w:p w14:paraId="52FAB794">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（m³/h）</w:t>
                  </w:r>
                </w:p>
              </w:tc>
              <w:tc>
                <w:tcPr>
                  <w:tcW w:w="2173" w:type="dxa"/>
                  <w:gridSpan w:val="2"/>
                  <w:vAlign w:val="center"/>
                </w:tcPr>
                <w:p w14:paraId="25A13833">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处理前</w:t>
                  </w:r>
                </w:p>
              </w:tc>
              <w:tc>
                <w:tcPr>
                  <w:tcW w:w="1959" w:type="dxa"/>
                  <w:gridSpan w:val="2"/>
                  <w:vAlign w:val="center"/>
                </w:tcPr>
                <w:p w14:paraId="710BC016">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处理后</w:t>
                  </w:r>
                </w:p>
              </w:tc>
              <w:tc>
                <w:tcPr>
                  <w:tcW w:w="788" w:type="dxa"/>
                  <w:vMerge w:val="restart"/>
                  <w:vAlign w:val="center"/>
                </w:tcPr>
                <w:p w14:paraId="72DE487D">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处理效率</w:t>
                  </w:r>
                </w:p>
              </w:tc>
            </w:tr>
            <w:tr w14:paraId="1084AC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4" w:hRule="exact"/>
              </w:trPr>
              <w:tc>
                <w:tcPr>
                  <w:tcW w:w="1484" w:type="dxa"/>
                  <w:vMerge w:val="continue"/>
                  <w:vAlign w:val="center"/>
                </w:tcPr>
                <w:p w14:paraId="14FD02D5">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p>
              </w:tc>
              <w:tc>
                <w:tcPr>
                  <w:tcW w:w="1245" w:type="dxa"/>
                  <w:vMerge w:val="continue"/>
                  <w:vAlign w:val="center"/>
                </w:tcPr>
                <w:p w14:paraId="17ECC945">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p>
              </w:tc>
              <w:tc>
                <w:tcPr>
                  <w:tcW w:w="1384" w:type="dxa"/>
                  <w:vMerge w:val="continue"/>
                  <w:vAlign w:val="center"/>
                </w:tcPr>
                <w:p w14:paraId="188B7003">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p>
              </w:tc>
              <w:tc>
                <w:tcPr>
                  <w:tcW w:w="935" w:type="dxa"/>
                  <w:vMerge w:val="continue"/>
                  <w:vAlign w:val="center"/>
                </w:tcPr>
                <w:p w14:paraId="54A8B539">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p>
              </w:tc>
              <w:tc>
                <w:tcPr>
                  <w:tcW w:w="1084" w:type="dxa"/>
                  <w:vAlign w:val="center"/>
                </w:tcPr>
                <w:p w14:paraId="4A233563">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速率</w:t>
                  </w:r>
                </w:p>
                <w:p w14:paraId="3EA44A8F">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(g/h)</w:t>
                  </w:r>
                </w:p>
              </w:tc>
              <w:tc>
                <w:tcPr>
                  <w:tcW w:w="1089" w:type="dxa"/>
                  <w:vAlign w:val="center"/>
                </w:tcPr>
                <w:p w14:paraId="00CCF717">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浓度</w:t>
                  </w:r>
                </w:p>
                <w:p w14:paraId="64040DD0">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(mg/m</w:t>
                  </w:r>
                  <w:r>
                    <w:rPr>
                      <w:rFonts w:hint="eastAsia" w:ascii="Times New Roman" w:hAnsi="Times New Roman" w:eastAsia="宋体" w:cs="Times New Roman"/>
                      <w:kern w:val="0"/>
                      <w:sz w:val="18"/>
                      <w:szCs w:val="18"/>
                      <w:vertAlign w:val="superscript"/>
                      <w:lang w:val="en-US" w:eastAsia="zh-CN" w:bidi="ar"/>
                    </w:rPr>
                    <w:t>3</w:t>
                  </w:r>
                  <w:r>
                    <w:rPr>
                      <w:rFonts w:hint="eastAsia" w:ascii="Times New Roman" w:hAnsi="Times New Roman" w:eastAsia="宋体" w:cs="Times New Roman"/>
                      <w:kern w:val="0"/>
                      <w:sz w:val="18"/>
                      <w:szCs w:val="18"/>
                      <w:lang w:val="en-US" w:eastAsia="zh-CN" w:bidi="ar"/>
                    </w:rPr>
                    <w:t>)</w:t>
                  </w:r>
                </w:p>
              </w:tc>
              <w:tc>
                <w:tcPr>
                  <w:tcW w:w="933" w:type="dxa"/>
                  <w:vAlign w:val="center"/>
                </w:tcPr>
                <w:p w14:paraId="018175F9">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速率</w:t>
                  </w:r>
                </w:p>
                <w:p w14:paraId="6DA13D4D">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(g/h)</w:t>
                  </w:r>
                </w:p>
              </w:tc>
              <w:tc>
                <w:tcPr>
                  <w:tcW w:w="1026" w:type="dxa"/>
                  <w:vAlign w:val="center"/>
                </w:tcPr>
                <w:p w14:paraId="653ACAA2">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浓度</w:t>
                  </w:r>
                </w:p>
                <w:p w14:paraId="73CA72FC">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(mg/m</w:t>
                  </w:r>
                  <w:r>
                    <w:rPr>
                      <w:rFonts w:hint="eastAsia" w:ascii="Times New Roman" w:hAnsi="Times New Roman" w:eastAsia="宋体" w:cs="Times New Roman"/>
                      <w:kern w:val="0"/>
                      <w:sz w:val="18"/>
                      <w:szCs w:val="18"/>
                      <w:vertAlign w:val="superscript"/>
                      <w:lang w:val="en-US" w:eastAsia="zh-CN" w:bidi="ar"/>
                    </w:rPr>
                    <w:t>3</w:t>
                  </w:r>
                  <w:r>
                    <w:rPr>
                      <w:rFonts w:hint="eastAsia" w:ascii="Times New Roman" w:hAnsi="Times New Roman" w:eastAsia="宋体" w:cs="Times New Roman"/>
                      <w:kern w:val="0"/>
                      <w:sz w:val="18"/>
                      <w:szCs w:val="18"/>
                      <w:lang w:val="en-US" w:eastAsia="zh-CN" w:bidi="ar"/>
                    </w:rPr>
                    <w:t>)</w:t>
                  </w:r>
                </w:p>
              </w:tc>
              <w:tc>
                <w:tcPr>
                  <w:tcW w:w="788" w:type="dxa"/>
                  <w:vMerge w:val="continue"/>
                  <w:vAlign w:val="center"/>
                </w:tcPr>
                <w:p w14:paraId="6B9D419D">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p>
              </w:tc>
            </w:tr>
            <w:tr w14:paraId="090300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4" w:hRule="exact"/>
              </w:trPr>
              <w:tc>
                <w:tcPr>
                  <w:tcW w:w="1484" w:type="dxa"/>
                  <w:vAlign w:val="center"/>
                </w:tcPr>
                <w:p w14:paraId="6D4AFBBF">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1#（</w:t>
                  </w:r>
                  <w:r>
                    <w:rPr>
                      <w:rFonts w:hint="eastAsia" w:ascii="Times New Roman" w:hAnsi="Times New Roman" w:cs="Times New Roman"/>
                      <w:kern w:val="0"/>
                      <w:sz w:val="18"/>
                      <w:szCs w:val="18"/>
                      <w:lang w:val="en-US" w:eastAsia="zh-CN" w:bidi="ar"/>
                    </w:rPr>
                    <w:t>有机废气</w:t>
                  </w:r>
                  <w:r>
                    <w:rPr>
                      <w:rFonts w:hint="eastAsia" w:ascii="Times New Roman" w:hAnsi="Times New Roman" w:eastAsia="宋体" w:cs="Times New Roman"/>
                      <w:kern w:val="0"/>
                      <w:sz w:val="18"/>
                      <w:szCs w:val="18"/>
                      <w:lang w:val="en-US" w:eastAsia="zh-CN" w:bidi="ar"/>
                    </w:rPr>
                    <w:t>）</w:t>
                  </w:r>
                </w:p>
              </w:tc>
              <w:tc>
                <w:tcPr>
                  <w:tcW w:w="1245" w:type="dxa"/>
                  <w:vAlign w:val="center"/>
                </w:tcPr>
                <w:p w14:paraId="428B9048">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厂房</w:t>
                  </w:r>
                  <w:r>
                    <w:rPr>
                      <w:rFonts w:hint="eastAsia" w:ascii="Times New Roman" w:hAnsi="Times New Roman" w:cs="Times New Roman"/>
                      <w:kern w:val="0"/>
                      <w:sz w:val="18"/>
                      <w:szCs w:val="18"/>
                      <w:lang w:val="en-US" w:eastAsia="zh-CN" w:bidi="ar"/>
                    </w:rPr>
                    <w:t>南</w:t>
                  </w:r>
                  <w:r>
                    <w:rPr>
                      <w:rFonts w:hint="eastAsia" w:ascii="Times New Roman" w:hAnsi="Times New Roman" w:eastAsia="宋体" w:cs="Times New Roman"/>
                      <w:kern w:val="0"/>
                      <w:sz w:val="18"/>
                      <w:szCs w:val="18"/>
                      <w:lang w:val="en-US" w:eastAsia="zh-CN" w:bidi="ar"/>
                    </w:rPr>
                    <w:t>侧</w:t>
                  </w:r>
                </w:p>
              </w:tc>
              <w:tc>
                <w:tcPr>
                  <w:tcW w:w="1384" w:type="dxa"/>
                  <w:vAlign w:val="center"/>
                </w:tcPr>
                <w:p w14:paraId="4491299A">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VOCs</w:t>
                  </w:r>
                </w:p>
              </w:tc>
              <w:tc>
                <w:tcPr>
                  <w:tcW w:w="935" w:type="dxa"/>
                  <w:vAlign w:val="center"/>
                </w:tcPr>
                <w:p w14:paraId="66230C8B">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5000</w:t>
                  </w:r>
                </w:p>
              </w:tc>
              <w:tc>
                <w:tcPr>
                  <w:tcW w:w="1084" w:type="dxa"/>
                  <w:vAlign w:val="center"/>
                </w:tcPr>
                <w:p w14:paraId="14C0B435">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18.74</w:t>
                  </w:r>
                </w:p>
              </w:tc>
              <w:tc>
                <w:tcPr>
                  <w:tcW w:w="1089" w:type="dxa"/>
                  <w:vAlign w:val="center"/>
                </w:tcPr>
                <w:p w14:paraId="054521B9">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3.75</w:t>
                  </w:r>
                </w:p>
              </w:tc>
              <w:tc>
                <w:tcPr>
                  <w:tcW w:w="933" w:type="dxa"/>
                  <w:vAlign w:val="center"/>
                </w:tcPr>
                <w:p w14:paraId="5E1F9583">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1.687</w:t>
                  </w:r>
                </w:p>
              </w:tc>
              <w:tc>
                <w:tcPr>
                  <w:tcW w:w="1026" w:type="dxa"/>
                  <w:vAlign w:val="center"/>
                </w:tcPr>
                <w:p w14:paraId="1BA86346">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0.3374</w:t>
                  </w:r>
                </w:p>
              </w:tc>
              <w:tc>
                <w:tcPr>
                  <w:tcW w:w="788" w:type="dxa"/>
                  <w:vAlign w:val="center"/>
                </w:tcPr>
                <w:p w14:paraId="382ECC66">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91</w:t>
                  </w:r>
                  <w:r>
                    <w:rPr>
                      <w:rFonts w:hint="eastAsia" w:ascii="Times New Roman" w:hAnsi="Times New Roman" w:eastAsia="宋体" w:cs="Times New Roman"/>
                      <w:kern w:val="0"/>
                      <w:sz w:val="18"/>
                      <w:szCs w:val="18"/>
                      <w:lang w:val="en-US" w:eastAsia="zh-CN" w:bidi="ar"/>
                    </w:rPr>
                    <w:t>%</w:t>
                  </w:r>
                </w:p>
              </w:tc>
            </w:tr>
            <w:tr w14:paraId="3411BA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1" w:hRule="exact"/>
              </w:trPr>
              <w:tc>
                <w:tcPr>
                  <w:tcW w:w="1484" w:type="dxa"/>
                  <w:vAlign w:val="center"/>
                </w:tcPr>
                <w:p w14:paraId="06272DA0">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2</w:t>
                  </w:r>
                  <w:r>
                    <w:rPr>
                      <w:rFonts w:hint="eastAsia" w:ascii="Times New Roman" w:hAnsi="Times New Roman" w:eastAsia="宋体" w:cs="Times New Roman"/>
                      <w:kern w:val="0"/>
                      <w:sz w:val="18"/>
                      <w:szCs w:val="18"/>
                      <w:lang w:val="en-US" w:eastAsia="zh-CN" w:bidi="ar"/>
                    </w:rPr>
                    <w:t>#（</w:t>
                  </w:r>
                  <w:r>
                    <w:rPr>
                      <w:rFonts w:hint="eastAsia" w:ascii="Times New Roman" w:hAnsi="Times New Roman" w:cs="Times New Roman"/>
                      <w:kern w:val="0"/>
                      <w:sz w:val="18"/>
                      <w:szCs w:val="18"/>
                      <w:lang w:val="en-US" w:eastAsia="zh-CN" w:bidi="ar"/>
                    </w:rPr>
                    <w:t>焊接烟尘</w:t>
                  </w:r>
                  <w:r>
                    <w:rPr>
                      <w:rFonts w:hint="eastAsia" w:ascii="Times New Roman" w:hAnsi="Times New Roman" w:eastAsia="宋体" w:cs="Times New Roman"/>
                      <w:kern w:val="0"/>
                      <w:sz w:val="18"/>
                      <w:szCs w:val="18"/>
                      <w:lang w:val="en-US" w:eastAsia="zh-CN" w:bidi="ar"/>
                    </w:rPr>
                    <w:t>）</w:t>
                  </w:r>
                </w:p>
              </w:tc>
              <w:tc>
                <w:tcPr>
                  <w:tcW w:w="1245" w:type="dxa"/>
                  <w:vMerge w:val="restart"/>
                  <w:vAlign w:val="center"/>
                </w:tcPr>
                <w:p w14:paraId="4DCA16C9">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厂区东侧</w:t>
                  </w:r>
                </w:p>
              </w:tc>
              <w:tc>
                <w:tcPr>
                  <w:tcW w:w="1384" w:type="dxa"/>
                  <w:vAlign w:val="center"/>
                </w:tcPr>
                <w:p w14:paraId="5A88C77E">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颗粒物</w:t>
                  </w:r>
                </w:p>
              </w:tc>
              <w:tc>
                <w:tcPr>
                  <w:tcW w:w="935" w:type="dxa"/>
                  <w:vAlign w:val="center"/>
                </w:tcPr>
                <w:p w14:paraId="6A011949">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1000</w:t>
                  </w:r>
                </w:p>
              </w:tc>
              <w:tc>
                <w:tcPr>
                  <w:tcW w:w="1084" w:type="dxa"/>
                  <w:vAlign w:val="center"/>
                </w:tcPr>
                <w:p w14:paraId="5028E5C6">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5</w:t>
                  </w:r>
                </w:p>
              </w:tc>
              <w:tc>
                <w:tcPr>
                  <w:tcW w:w="1089" w:type="dxa"/>
                  <w:vAlign w:val="center"/>
                </w:tcPr>
                <w:p w14:paraId="3F84A915">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5</w:t>
                  </w:r>
                </w:p>
              </w:tc>
              <w:tc>
                <w:tcPr>
                  <w:tcW w:w="933" w:type="dxa"/>
                  <w:vAlign w:val="center"/>
                </w:tcPr>
                <w:p w14:paraId="25EE7269">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0.45</w:t>
                  </w:r>
                </w:p>
              </w:tc>
              <w:tc>
                <w:tcPr>
                  <w:tcW w:w="1026" w:type="dxa"/>
                  <w:vAlign w:val="center"/>
                </w:tcPr>
                <w:p w14:paraId="5DB854ED">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0.45</w:t>
                  </w:r>
                </w:p>
              </w:tc>
              <w:tc>
                <w:tcPr>
                  <w:tcW w:w="788" w:type="dxa"/>
                  <w:vAlign w:val="center"/>
                </w:tcPr>
                <w:p w14:paraId="71F72C5B">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9</w:t>
                  </w:r>
                  <w:r>
                    <w:rPr>
                      <w:rFonts w:hint="eastAsia" w:ascii="Times New Roman" w:hAnsi="Times New Roman" w:cs="Times New Roman"/>
                      <w:kern w:val="0"/>
                      <w:sz w:val="18"/>
                      <w:szCs w:val="18"/>
                      <w:lang w:val="en-US" w:eastAsia="zh-CN" w:bidi="ar"/>
                    </w:rPr>
                    <w:t>1</w:t>
                  </w:r>
                  <w:r>
                    <w:rPr>
                      <w:rFonts w:hint="eastAsia" w:ascii="Times New Roman" w:hAnsi="Times New Roman" w:eastAsia="宋体" w:cs="Times New Roman"/>
                      <w:kern w:val="0"/>
                      <w:sz w:val="18"/>
                      <w:szCs w:val="18"/>
                      <w:lang w:val="en-US" w:eastAsia="zh-CN" w:bidi="ar"/>
                    </w:rPr>
                    <w:t>%</w:t>
                  </w:r>
                </w:p>
              </w:tc>
            </w:tr>
            <w:tr w14:paraId="79D528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6" w:hRule="exact"/>
              </w:trPr>
              <w:tc>
                <w:tcPr>
                  <w:tcW w:w="1484" w:type="dxa"/>
                  <w:vAlign w:val="center"/>
                </w:tcPr>
                <w:p w14:paraId="5901876B">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2#（有机废气）</w:t>
                  </w:r>
                </w:p>
              </w:tc>
              <w:tc>
                <w:tcPr>
                  <w:tcW w:w="1245" w:type="dxa"/>
                  <w:vMerge w:val="continue"/>
                  <w:vAlign w:val="center"/>
                </w:tcPr>
                <w:p w14:paraId="7139AF68">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p>
              </w:tc>
              <w:tc>
                <w:tcPr>
                  <w:tcW w:w="1384" w:type="dxa"/>
                  <w:vAlign w:val="center"/>
                </w:tcPr>
                <w:p w14:paraId="35FF0EB7">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VOCs</w:t>
                  </w:r>
                </w:p>
              </w:tc>
              <w:tc>
                <w:tcPr>
                  <w:tcW w:w="935" w:type="dxa"/>
                  <w:vAlign w:val="center"/>
                </w:tcPr>
                <w:p w14:paraId="113C5EFD">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1500</w:t>
                  </w:r>
                </w:p>
              </w:tc>
              <w:tc>
                <w:tcPr>
                  <w:tcW w:w="1084" w:type="dxa"/>
                  <w:vAlign w:val="center"/>
                </w:tcPr>
                <w:p w14:paraId="6185E6A8">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6.71</w:t>
                  </w:r>
                </w:p>
              </w:tc>
              <w:tc>
                <w:tcPr>
                  <w:tcW w:w="1089" w:type="dxa"/>
                  <w:vAlign w:val="center"/>
                </w:tcPr>
                <w:p w14:paraId="63C72E0D">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4.48</w:t>
                  </w:r>
                </w:p>
              </w:tc>
              <w:tc>
                <w:tcPr>
                  <w:tcW w:w="933" w:type="dxa"/>
                  <w:vAlign w:val="center"/>
                </w:tcPr>
                <w:p w14:paraId="73A2F462">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0.605</w:t>
                  </w:r>
                </w:p>
              </w:tc>
              <w:tc>
                <w:tcPr>
                  <w:tcW w:w="1026" w:type="dxa"/>
                  <w:vAlign w:val="center"/>
                </w:tcPr>
                <w:p w14:paraId="5A49F82C">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0.4</w:t>
                  </w:r>
                </w:p>
              </w:tc>
              <w:tc>
                <w:tcPr>
                  <w:tcW w:w="788" w:type="dxa"/>
                  <w:vAlign w:val="center"/>
                </w:tcPr>
                <w:p w14:paraId="24DB915E">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9</w:t>
                  </w:r>
                  <w:r>
                    <w:rPr>
                      <w:rFonts w:hint="eastAsia" w:ascii="Times New Roman" w:hAnsi="Times New Roman" w:cs="Times New Roman"/>
                      <w:kern w:val="0"/>
                      <w:sz w:val="18"/>
                      <w:szCs w:val="18"/>
                      <w:lang w:val="en-US" w:eastAsia="zh-CN" w:bidi="ar"/>
                    </w:rPr>
                    <w:t>1</w:t>
                  </w:r>
                  <w:r>
                    <w:rPr>
                      <w:rFonts w:hint="eastAsia" w:ascii="Times New Roman" w:hAnsi="Times New Roman" w:eastAsia="宋体" w:cs="Times New Roman"/>
                      <w:kern w:val="0"/>
                      <w:sz w:val="18"/>
                      <w:szCs w:val="18"/>
                      <w:lang w:val="en-US" w:eastAsia="zh-CN" w:bidi="ar"/>
                    </w:rPr>
                    <w:t>%</w:t>
                  </w:r>
                </w:p>
              </w:tc>
            </w:tr>
            <w:tr w14:paraId="1A654A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06" w:hRule="exact"/>
              </w:trPr>
              <w:tc>
                <w:tcPr>
                  <w:tcW w:w="1484" w:type="dxa"/>
                  <w:vAlign w:val="center"/>
                </w:tcPr>
                <w:p w14:paraId="33681C81">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3#（食堂油烟）</w:t>
                  </w:r>
                </w:p>
              </w:tc>
              <w:tc>
                <w:tcPr>
                  <w:tcW w:w="1245" w:type="dxa"/>
                  <w:vAlign w:val="center"/>
                </w:tcPr>
                <w:p w14:paraId="55D1AE89">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办公楼南侧</w:t>
                  </w:r>
                </w:p>
              </w:tc>
              <w:tc>
                <w:tcPr>
                  <w:tcW w:w="1384" w:type="dxa"/>
                  <w:vAlign w:val="center"/>
                </w:tcPr>
                <w:p w14:paraId="7C1AF08D">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油烟</w:t>
                  </w:r>
                </w:p>
              </w:tc>
              <w:tc>
                <w:tcPr>
                  <w:tcW w:w="935" w:type="dxa"/>
                  <w:vAlign w:val="center"/>
                </w:tcPr>
                <w:p w14:paraId="412BAF0C">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cs="Times New Roman"/>
                      <w:kern w:val="0"/>
                      <w:sz w:val="18"/>
                      <w:szCs w:val="18"/>
                      <w:lang w:val="en-US" w:eastAsia="zh-CN" w:bidi="ar"/>
                    </w:rPr>
                  </w:pPr>
                  <w:r>
                    <w:rPr>
                      <w:rFonts w:hint="eastAsia" w:ascii="Times New Roman" w:hAnsi="Times New Roman" w:cs="Times New Roman"/>
                      <w:kern w:val="0"/>
                      <w:sz w:val="18"/>
                      <w:szCs w:val="18"/>
                      <w:lang w:val="en-US" w:eastAsia="zh-CN" w:bidi="ar"/>
                    </w:rPr>
                    <w:t>2000</w:t>
                  </w:r>
                </w:p>
              </w:tc>
              <w:tc>
                <w:tcPr>
                  <w:tcW w:w="1084" w:type="dxa"/>
                  <w:vAlign w:val="center"/>
                </w:tcPr>
                <w:p w14:paraId="2C361253">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cs="Times New Roman"/>
                      <w:kern w:val="0"/>
                      <w:sz w:val="18"/>
                      <w:szCs w:val="18"/>
                      <w:lang w:val="en-US" w:eastAsia="zh-CN" w:bidi="ar"/>
                    </w:rPr>
                  </w:pPr>
                  <w:r>
                    <w:rPr>
                      <w:rFonts w:hint="eastAsia" w:ascii="Times New Roman" w:hAnsi="Times New Roman" w:cs="Times New Roman"/>
                      <w:kern w:val="0"/>
                      <w:sz w:val="18"/>
                      <w:szCs w:val="18"/>
                      <w:lang w:val="en-US" w:eastAsia="zh-CN" w:bidi="ar"/>
                    </w:rPr>
                    <w:t>26.5</w:t>
                  </w:r>
                </w:p>
              </w:tc>
              <w:tc>
                <w:tcPr>
                  <w:tcW w:w="1089" w:type="dxa"/>
                  <w:vAlign w:val="center"/>
                </w:tcPr>
                <w:p w14:paraId="5378A016">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cs="Times New Roman"/>
                      <w:kern w:val="0"/>
                      <w:sz w:val="18"/>
                      <w:szCs w:val="18"/>
                      <w:lang w:val="en-US" w:eastAsia="zh-CN" w:bidi="ar"/>
                    </w:rPr>
                  </w:pPr>
                  <w:r>
                    <w:rPr>
                      <w:rFonts w:hint="eastAsia" w:ascii="Times New Roman" w:hAnsi="Times New Roman" w:cs="Times New Roman"/>
                      <w:kern w:val="0"/>
                      <w:sz w:val="18"/>
                      <w:szCs w:val="18"/>
                      <w:lang w:val="en-US" w:eastAsia="zh-CN" w:bidi="ar"/>
                    </w:rPr>
                    <w:t>13.25</w:t>
                  </w:r>
                </w:p>
              </w:tc>
              <w:tc>
                <w:tcPr>
                  <w:tcW w:w="933" w:type="dxa"/>
                  <w:vAlign w:val="center"/>
                </w:tcPr>
                <w:p w14:paraId="6DB1751C">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cs="Times New Roman"/>
                      <w:kern w:val="0"/>
                      <w:sz w:val="18"/>
                      <w:szCs w:val="18"/>
                      <w:lang w:val="en-US" w:eastAsia="zh-CN" w:bidi="ar"/>
                    </w:rPr>
                  </w:pPr>
                  <w:r>
                    <w:rPr>
                      <w:rFonts w:hint="eastAsia" w:ascii="Times New Roman" w:hAnsi="Times New Roman" w:cs="Times New Roman"/>
                      <w:kern w:val="0"/>
                      <w:sz w:val="18"/>
                      <w:szCs w:val="18"/>
                      <w:lang w:val="en-US" w:eastAsia="zh-CN" w:bidi="ar"/>
                    </w:rPr>
                    <w:t>2.65</w:t>
                  </w:r>
                </w:p>
              </w:tc>
              <w:tc>
                <w:tcPr>
                  <w:tcW w:w="1026" w:type="dxa"/>
                  <w:vAlign w:val="center"/>
                </w:tcPr>
                <w:p w14:paraId="635C4E41">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cs="Times New Roman"/>
                      <w:kern w:val="0"/>
                      <w:sz w:val="18"/>
                      <w:szCs w:val="18"/>
                      <w:lang w:val="en-US" w:eastAsia="zh-CN" w:bidi="ar"/>
                    </w:rPr>
                  </w:pPr>
                  <w:r>
                    <w:rPr>
                      <w:rFonts w:hint="eastAsia" w:ascii="Times New Roman" w:hAnsi="Times New Roman" w:cs="Times New Roman"/>
                      <w:kern w:val="0"/>
                      <w:sz w:val="18"/>
                      <w:szCs w:val="18"/>
                      <w:lang w:val="en-US" w:eastAsia="zh-CN" w:bidi="ar"/>
                    </w:rPr>
                    <w:t>1.33</w:t>
                  </w:r>
                </w:p>
              </w:tc>
              <w:tc>
                <w:tcPr>
                  <w:tcW w:w="788" w:type="dxa"/>
                  <w:vAlign w:val="center"/>
                </w:tcPr>
                <w:p w14:paraId="3F59D51D">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90%</w:t>
                  </w:r>
                </w:p>
              </w:tc>
            </w:tr>
          </w:tbl>
          <w:p w14:paraId="3DA0014F">
            <w:pPr>
              <w:pStyle w:val="2"/>
              <w:ind w:firstLine="480" w:firstLineChars="200"/>
              <w:rPr>
                <w:rFonts w:hint="eastAsia"/>
                <w:lang w:val="en-US" w:eastAsia="zh-CN"/>
              </w:rPr>
            </w:pPr>
          </w:p>
          <w:p w14:paraId="2FC07FF4">
            <w:pPr>
              <w:pStyle w:val="28"/>
              <w:spacing w:line="360" w:lineRule="auto"/>
              <w:ind w:firstLine="480" w:firstLineChars="200"/>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⑥无组织排放情况汇总</w:t>
            </w:r>
          </w:p>
          <w:p w14:paraId="586DDD22">
            <w:pPr>
              <w:pStyle w:val="28"/>
              <w:spacing w:line="360" w:lineRule="auto"/>
              <w:ind w:firstLine="480" w:firstLineChars="200"/>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根据前文所述，经对厂区各工序进行优化调整后，本项目无组织排放主要考虑：</w:t>
            </w:r>
          </w:p>
          <w:p w14:paraId="33CC28E9">
            <w:pPr>
              <w:pStyle w:val="28"/>
              <w:spacing w:line="360" w:lineRule="auto"/>
              <w:ind w:firstLine="480" w:firstLineChars="200"/>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1、</w:t>
            </w:r>
            <w:r>
              <w:rPr>
                <w:rFonts w:hint="eastAsia" w:ascii="Times New Roman" w:cs="Times New Roman"/>
                <w:color w:val="auto"/>
                <w:lang w:val="en-US" w:eastAsia="zh-CN"/>
              </w:rPr>
              <w:t>焊接</w:t>
            </w:r>
            <w:r>
              <w:rPr>
                <w:rFonts w:hint="eastAsia" w:ascii="Times New Roman" w:hAnsi="Times New Roman" w:cs="Times New Roman"/>
                <w:color w:val="auto"/>
                <w:lang w:val="en-US" w:eastAsia="zh-CN"/>
              </w:rPr>
              <w:t>过程中未被集气罩捕集的</w:t>
            </w:r>
            <w:r>
              <w:rPr>
                <w:rFonts w:hint="eastAsia" w:ascii="Times New Roman" w:cs="Times New Roman"/>
                <w:color w:val="auto"/>
                <w:lang w:val="en-US" w:eastAsia="zh-CN"/>
              </w:rPr>
              <w:t>焊接烟尘</w:t>
            </w:r>
            <w:r>
              <w:rPr>
                <w:rFonts w:hint="eastAsia" w:ascii="Times New Roman" w:hAnsi="Times New Roman" w:cs="Times New Roman"/>
                <w:color w:val="auto"/>
                <w:lang w:val="en-US" w:eastAsia="zh-CN"/>
              </w:rPr>
              <w:t>。</w:t>
            </w:r>
          </w:p>
          <w:p w14:paraId="37DEDDA2">
            <w:pPr>
              <w:pStyle w:val="28"/>
              <w:spacing w:line="360" w:lineRule="auto"/>
              <w:ind w:firstLine="480" w:firstLineChars="200"/>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2、</w:t>
            </w:r>
            <w:r>
              <w:rPr>
                <w:rFonts w:hint="eastAsia" w:ascii="Times New Roman" w:cs="Times New Roman"/>
                <w:color w:val="auto"/>
                <w:lang w:val="en-US" w:eastAsia="zh-CN"/>
              </w:rPr>
              <w:t>注胶、吹塑、注塑和热熔胶上胶</w:t>
            </w:r>
            <w:r>
              <w:rPr>
                <w:rFonts w:hint="eastAsia" w:ascii="Times New Roman" w:hAnsi="Times New Roman" w:cs="Times New Roman"/>
                <w:color w:val="auto"/>
                <w:lang w:val="en-US" w:eastAsia="zh-CN"/>
              </w:rPr>
              <w:t>工序未被集气罩捕集的</w:t>
            </w:r>
            <w:r>
              <w:rPr>
                <w:rFonts w:hint="eastAsia" w:ascii="Times New Roman" w:cs="Times New Roman"/>
                <w:color w:val="auto"/>
                <w:lang w:val="en-US" w:eastAsia="zh-CN"/>
              </w:rPr>
              <w:t>有机废气</w:t>
            </w:r>
            <w:r>
              <w:rPr>
                <w:rFonts w:hint="eastAsia" w:ascii="Times New Roman" w:hAnsi="Times New Roman" w:cs="Times New Roman"/>
                <w:color w:val="auto"/>
                <w:lang w:val="en-US" w:eastAsia="zh-CN"/>
              </w:rPr>
              <w:t>。</w:t>
            </w:r>
          </w:p>
          <w:p w14:paraId="2F59F22B">
            <w:pPr>
              <w:pStyle w:val="28"/>
              <w:spacing w:line="360" w:lineRule="auto"/>
              <w:ind w:firstLine="480" w:firstLineChars="200"/>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结合项目的物料平衡情况，本项目无组织排放产生情况见下表：</w:t>
            </w:r>
          </w:p>
          <w:p w14:paraId="09AF3376">
            <w:pPr>
              <w:pStyle w:val="2"/>
              <w:ind w:firstLine="422" w:firstLineChars="200"/>
              <w:jc w:val="center"/>
              <w:rPr>
                <w:rFonts w:hint="eastAsia" w:ascii="Times New Roman" w:hAnsi="Times New Roman" w:cs="Times New Roman" w:eastAsiaTheme="minorEastAsia"/>
                <w:b/>
                <w:bCs/>
                <w:color w:val="auto"/>
                <w:kern w:val="2"/>
                <w:sz w:val="21"/>
                <w:szCs w:val="21"/>
                <w:lang w:val="en-US" w:eastAsia="zh-CN" w:bidi="ar-SA"/>
              </w:rPr>
            </w:pPr>
            <w:r>
              <w:rPr>
                <w:rFonts w:hint="eastAsia" w:ascii="Times New Roman" w:hAnsi="Times New Roman" w:cs="Times New Roman" w:eastAsiaTheme="minorEastAsia"/>
                <w:b/>
                <w:bCs/>
                <w:color w:val="auto"/>
                <w:kern w:val="2"/>
                <w:sz w:val="21"/>
                <w:szCs w:val="21"/>
                <w:lang w:val="en-US" w:eastAsia="zh-CN" w:bidi="ar-SA"/>
              </w:rPr>
              <w:t>表5-6 项目废气无组织排放情况统计表</w:t>
            </w:r>
          </w:p>
          <w:tbl>
            <w:tblPr>
              <w:tblStyle w:val="69"/>
              <w:tblW w:w="9968"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267"/>
              <w:gridCol w:w="2324"/>
              <w:gridCol w:w="5377"/>
            </w:tblGrid>
            <w:tr w14:paraId="6D4CA1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trPr>
              <w:tc>
                <w:tcPr>
                  <w:tcW w:w="2267" w:type="dxa"/>
                  <w:vMerge w:val="restart"/>
                  <w:vAlign w:val="center"/>
                </w:tcPr>
                <w:p w14:paraId="5BB783D1">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无组织源</w:t>
                  </w:r>
                </w:p>
              </w:tc>
              <w:tc>
                <w:tcPr>
                  <w:tcW w:w="7701" w:type="dxa"/>
                  <w:gridSpan w:val="2"/>
                  <w:vAlign w:val="center"/>
                </w:tcPr>
                <w:p w14:paraId="6329D6B8">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污染物排放情况</w:t>
                  </w:r>
                </w:p>
              </w:tc>
            </w:tr>
            <w:tr w14:paraId="3ABBF8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trPr>
              <w:tc>
                <w:tcPr>
                  <w:tcW w:w="2267" w:type="dxa"/>
                  <w:vMerge w:val="continue"/>
                  <w:vAlign w:val="center"/>
                </w:tcPr>
                <w:p w14:paraId="37B6AFF5">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p>
              </w:tc>
              <w:tc>
                <w:tcPr>
                  <w:tcW w:w="2324" w:type="dxa"/>
                  <w:vAlign w:val="center"/>
                </w:tcPr>
                <w:p w14:paraId="46589725">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污染物</w:t>
                  </w:r>
                </w:p>
              </w:tc>
              <w:tc>
                <w:tcPr>
                  <w:tcW w:w="5377" w:type="dxa"/>
                  <w:vAlign w:val="center"/>
                </w:tcPr>
                <w:p w14:paraId="533CB161">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排放速率</w:t>
                  </w:r>
                </w:p>
              </w:tc>
            </w:tr>
            <w:tr w14:paraId="1FB69B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trPr>
              <w:tc>
                <w:tcPr>
                  <w:tcW w:w="2267" w:type="dxa"/>
                  <w:vAlign w:val="center"/>
                </w:tcPr>
                <w:p w14:paraId="56134F79">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2#车间焊接</w:t>
                  </w:r>
                </w:p>
              </w:tc>
              <w:tc>
                <w:tcPr>
                  <w:tcW w:w="2324" w:type="dxa"/>
                  <w:vAlign w:val="center"/>
                </w:tcPr>
                <w:p w14:paraId="46D2F22D">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焊接烟尘</w:t>
                  </w:r>
                </w:p>
              </w:tc>
              <w:tc>
                <w:tcPr>
                  <w:tcW w:w="5377" w:type="dxa"/>
                  <w:vAlign w:val="center"/>
                </w:tcPr>
                <w:p w14:paraId="362088B1">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0.1875g/h</w:t>
                  </w:r>
                </w:p>
              </w:tc>
            </w:tr>
            <w:tr w14:paraId="4064B8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9" w:hRule="exact"/>
              </w:trPr>
              <w:tc>
                <w:tcPr>
                  <w:tcW w:w="2267" w:type="dxa"/>
                  <w:vAlign w:val="center"/>
                </w:tcPr>
                <w:p w14:paraId="0749ACD0">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1#车间注胶、吹塑、注塑和热熔胶上胶工序</w:t>
                  </w:r>
                </w:p>
              </w:tc>
              <w:tc>
                <w:tcPr>
                  <w:tcW w:w="2324" w:type="dxa"/>
                  <w:vAlign w:val="center"/>
                </w:tcPr>
                <w:p w14:paraId="5FBF94DE">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VOCs</w:t>
                  </w:r>
                </w:p>
              </w:tc>
              <w:tc>
                <w:tcPr>
                  <w:tcW w:w="5377" w:type="dxa"/>
                  <w:vAlign w:val="center"/>
                </w:tcPr>
                <w:p w14:paraId="2DC73837">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1.87g/h</w:t>
                  </w:r>
                </w:p>
              </w:tc>
            </w:tr>
            <w:tr w14:paraId="534CF6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5" w:hRule="exact"/>
              </w:trPr>
              <w:tc>
                <w:tcPr>
                  <w:tcW w:w="2267" w:type="dxa"/>
                  <w:vAlign w:val="center"/>
                </w:tcPr>
                <w:p w14:paraId="3BD75BD2">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cs="Times New Roman"/>
                      <w:kern w:val="0"/>
                      <w:sz w:val="18"/>
                      <w:szCs w:val="18"/>
                      <w:lang w:val="en-US" w:eastAsia="zh-CN" w:bidi="ar"/>
                    </w:rPr>
                    <w:t>2</w:t>
                  </w:r>
                  <w:r>
                    <w:rPr>
                      <w:rFonts w:hint="eastAsia" w:ascii="Times New Roman" w:hAnsi="Times New Roman" w:eastAsia="宋体" w:cs="Times New Roman"/>
                      <w:kern w:val="0"/>
                      <w:sz w:val="18"/>
                      <w:szCs w:val="18"/>
                      <w:lang w:val="en-US" w:eastAsia="zh-CN" w:bidi="ar"/>
                    </w:rPr>
                    <w:t>#车间注胶、注塑和热熔胶上胶工序</w:t>
                  </w:r>
                </w:p>
              </w:tc>
              <w:tc>
                <w:tcPr>
                  <w:tcW w:w="2324" w:type="dxa"/>
                  <w:vAlign w:val="center"/>
                </w:tcPr>
                <w:p w14:paraId="64FB0B8B">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VOCs</w:t>
                  </w:r>
                </w:p>
              </w:tc>
              <w:tc>
                <w:tcPr>
                  <w:tcW w:w="5377" w:type="dxa"/>
                  <w:vAlign w:val="center"/>
                </w:tcPr>
                <w:p w14:paraId="15BA5999">
                  <w:pPr>
                    <w:pStyle w:val="20"/>
                    <w:keepNext w:val="0"/>
                    <w:keepLines w:val="0"/>
                    <w:widowControl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18"/>
                      <w:szCs w:val="18"/>
                      <w:lang w:val="en-US" w:eastAsia="zh-CN" w:bidi="ar"/>
                    </w:rPr>
                  </w:pPr>
                  <w:r>
                    <w:rPr>
                      <w:rFonts w:hint="eastAsia" w:ascii="Times New Roman" w:hAnsi="Times New Roman" w:eastAsia="宋体" w:cs="Times New Roman"/>
                      <w:kern w:val="0"/>
                      <w:sz w:val="18"/>
                      <w:szCs w:val="18"/>
                      <w:lang w:val="en-US" w:eastAsia="zh-CN" w:bidi="ar"/>
                    </w:rPr>
                    <w:t>0.67g/h</w:t>
                  </w:r>
                </w:p>
              </w:tc>
            </w:tr>
          </w:tbl>
          <w:p w14:paraId="30CAA28A">
            <w:pPr>
              <w:pStyle w:val="28"/>
              <w:spacing w:line="360" w:lineRule="auto"/>
              <w:ind w:firstLine="480" w:firstLineChars="200"/>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经预测，无组织排放VOCs 的最大落地浓度为0.0</w:t>
            </w:r>
            <w:r>
              <w:rPr>
                <w:rFonts w:hint="eastAsia" w:ascii="Times New Roman" w:cs="Times New Roman"/>
                <w:color w:val="auto"/>
                <w:lang w:val="en-US" w:eastAsia="zh-CN"/>
              </w:rPr>
              <w:t>2886</w:t>
            </w:r>
            <w:r>
              <w:rPr>
                <w:rFonts w:hint="eastAsia" w:ascii="Times New Roman" w:hAnsi="Times New Roman" w:cs="Times New Roman"/>
                <w:color w:val="auto"/>
                <w:lang w:val="en-US" w:eastAsia="zh-CN"/>
              </w:rPr>
              <w:t>mg/m</w:t>
            </w:r>
            <w:r>
              <w:rPr>
                <w:rFonts w:hint="eastAsia" w:ascii="Times New Roman" w:hAnsi="Times New Roman" w:cs="Times New Roman"/>
                <w:color w:val="auto"/>
                <w:vertAlign w:val="superscript"/>
                <w:lang w:val="en-US" w:eastAsia="zh-CN"/>
              </w:rPr>
              <w:t>3</w:t>
            </w:r>
            <w:r>
              <w:rPr>
                <w:rFonts w:hint="eastAsia" w:ascii="Times New Roman" w:hAnsi="Times New Roman" w:cs="Times New Roman"/>
                <w:color w:val="auto"/>
                <w:lang w:val="en-US" w:eastAsia="zh-CN"/>
              </w:rPr>
              <w:t>，满足四川省地方标准《固定污染源大气挥发性有机物排放标准》表5 中的标准。经预测无组织排放</w:t>
            </w:r>
            <w:r>
              <w:rPr>
                <w:rFonts w:hint="eastAsia" w:ascii="Times New Roman" w:cs="Times New Roman"/>
                <w:color w:val="auto"/>
                <w:lang w:val="en-US" w:eastAsia="zh-CN"/>
              </w:rPr>
              <w:t>烟尘</w:t>
            </w:r>
            <w:r>
              <w:rPr>
                <w:rFonts w:hint="eastAsia" w:ascii="Times New Roman" w:hAnsi="Times New Roman" w:cs="Times New Roman"/>
                <w:color w:val="auto"/>
                <w:lang w:val="en-US" w:eastAsia="zh-CN"/>
              </w:rPr>
              <w:t>最大落地浓度为0.00289mg/m</w:t>
            </w:r>
            <w:r>
              <w:rPr>
                <w:rFonts w:hint="eastAsia" w:ascii="Times New Roman" w:hAnsi="Times New Roman" w:cs="Times New Roman"/>
                <w:color w:val="auto"/>
                <w:vertAlign w:val="superscript"/>
                <w:lang w:val="en-US" w:eastAsia="zh-CN"/>
              </w:rPr>
              <w:t>3</w:t>
            </w:r>
            <w:r>
              <w:rPr>
                <w:rFonts w:hint="eastAsia" w:ascii="Times New Roman" w:hAnsi="Times New Roman" w:cs="Times New Roman"/>
                <w:color w:val="auto"/>
                <w:lang w:val="en-US" w:eastAsia="zh-CN"/>
              </w:rPr>
              <w:t>，满足《大气污染物综合排放标准》（GB 16297-1996）表2 的要求。</w:t>
            </w:r>
          </w:p>
          <w:p w14:paraId="49F6BC8A">
            <w:pPr>
              <w:spacing w:line="360" w:lineRule="auto"/>
              <w:ind w:firstLine="48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lang w:val="en-US" w:eastAsia="zh-CN"/>
              </w:rPr>
              <w:t>3</w:t>
            </w:r>
            <w:r>
              <w:rPr>
                <w:rFonts w:hint="default" w:ascii="Times New Roman" w:hAnsi="Times New Roman" w:cs="Times New Roman"/>
                <w:b/>
                <w:color w:val="auto"/>
                <w:sz w:val="24"/>
                <w:szCs w:val="24"/>
              </w:rPr>
              <w:t>、固体废物</w:t>
            </w:r>
          </w:p>
          <w:p w14:paraId="440F2D93">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本项目营运期固体废物主要包括生产过程中产生的</w:t>
            </w:r>
            <w:r>
              <w:rPr>
                <w:rFonts w:hint="default" w:ascii="Times New Roman" w:hAnsi="Times New Roman" w:cs="Times New Roman"/>
                <w:color w:val="auto"/>
                <w:sz w:val="24"/>
                <w:szCs w:val="24"/>
                <w:lang w:val="en-US" w:eastAsia="zh-CN"/>
              </w:rPr>
              <w:t>金属废料、PP和PE废料、不合格注塑吹塑产品</w:t>
            </w:r>
            <w:r>
              <w:rPr>
                <w:rFonts w:hint="eastAsia" w:cs="Times New Roman"/>
                <w:color w:val="auto"/>
                <w:sz w:val="24"/>
                <w:szCs w:val="24"/>
                <w:lang w:val="en-US" w:eastAsia="zh-CN"/>
              </w:rPr>
              <w:t>、</w:t>
            </w:r>
            <w:r>
              <w:rPr>
                <w:rFonts w:hint="default" w:ascii="Times New Roman" w:hAnsi="Times New Roman" w:cs="Times New Roman"/>
                <w:color w:val="auto"/>
                <w:sz w:val="24"/>
                <w:szCs w:val="24"/>
                <w:lang w:val="en-US" w:eastAsia="zh-CN"/>
              </w:rPr>
              <w:t>隔油池废油、包装弃料、生活垃圾以及污泥等</w:t>
            </w:r>
            <w:r>
              <w:rPr>
                <w:rFonts w:hint="default" w:ascii="Times New Roman" w:hAnsi="Times New Roman" w:cs="Times New Roman"/>
                <w:color w:val="auto"/>
                <w:sz w:val="24"/>
                <w:szCs w:val="24"/>
              </w:rPr>
              <w:t>一般废物</w:t>
            </w:r>
            <w:r>
              <w:rPr>
                <w:rFonts w:hint="default" w:ascii="Times New Roman" w:hAnsi="Times New Roman" w:cs="Times New Roman"/>
                <w:color w:val="auto"/>
                <w:sz w:val="24"/>
                <w:szCs w:val="24"/>
                <w:lang w:eastAsia="zh-CN"/>
              </w:rPr>
              <w:t>；</w:t>
            </w:r>
            <w:r>
              <w:rPr>
                <w:rFonts w:hint="default" w:ascii="Times New Roman" w:hAnsi="Times New Roman" w:cs="Times New Roman"/>
                <w:color w:val="auto"/>
                <w:sz w:val="24"/>
                <w:szCs w:val="24"/>
                <w:lang w:val="en-US" w:eastAsia="zh-CN"/>
              </w:rPr>
              <w:t>废机油、废液压油、废含油手套抹布、废</w:t>
            </w:r>
            <w:r>
              <w:rPr>
                <w:rFonts w:hint="eastAsia" w:cs="Times New Roman"/>
                <w:color w:val="auto"/>
                <w:sz w:val="24"/>
                <w:szCs w:val="24"/>
                <w:lang w:val="en-US" w:eastAsia="zh-CN"/>
              </w:rPr>
              <w:t>原料</w:t>
            </w:r>
            <w:r>
              <w:rPr>
                <w:rFonts w:hint="default" w:ascii="Times New Roman" w:hAnsi="Times New Roman" w:cs="Times New Roman"/>
                <w:color w:val="auto"/>
                <w:sz w:val="24"/>
                <w:szCs w:val="24"/>
                <w:lang w:val="en-US" w:eastAsia="zh-CN"/>
              </w:rPr>
              <w:t>桶、废活性炭</w:t>
            </w:r>
            <w:r>
              <w:rPr>
                <w:rFonts w:hint="default" w:ascii="Times New Roman" w:hAnsi="Times New Roman" w:cs="Times New Roman"/>
                <w:color w:val="auto"/>
                <w:sz w:val="24"/>
                <w:szCs w:val="24"/>
                <w:lang w:eastAsia="zh-CN"/>
              </w:rPr>
              <w:t>等</w:t>
            </w:r>
            <w:r>
              <w:rPr>
                <w:rFonts w:hint="default" w:ascii="Times New Roman" w:hAnsi="Times New Roman" w:cs="Times New Roman"/>
                <w:color w:val="auto"/>
                <w:sz w:val="24"/>
                <w:szCs w:val="24"/>
              </w:rPr>
              <w:t>危险废物。</w:t>
            </w:r>
          </w:p>
          <w:p w14:paraId="0B74A5FE">
            <w:pPr>
              <w:spacing w:line="360" w:lineRule="auto"/>
              <w:ind w:firstLine="360" w:firstLineChars="15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（1）一般废物</w:t>
            </w:r>
          </w:p>
          <w:p w14:paraId="5E954F95">
            <w:pPr>
              <w:spacing w:line="360" w:lineRule="auto"/>
              <w:ind w:firstLine="48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w:t>①</w:t>
            </w:r>
            <w:r>
              <w:rPr>
                <w:rFonts w:hint="eastAsia" w:cs="Times New Roman"/>
                <w:color w:val="auto"/>
                <w:sz w:val="24"/>
                <w:szCs w:val="24"/>
                <w:lang w:val="en-US" w:eastAsia="zh-CN"/>
              </w:rPr>
              <w:t>PP、PE废料及不合格注塑吹塑产品</w:t>
            </w:r>
          </w:p>
          <w:p w14:paraId="6DF57C70">
            <w:pPr>
              <w:spacing w:line="360" w:lineRule="auto"/>
              <w:ind w:firstLine="480"/>
              <w:rPr>
                <w:rFonts w:hint="default" w:ascii="Times New Roman" w:hAnsi="Times New Roman" w:cs="Times New Roman"/>
                <w:color w:val="auto"/>
                <w:sz w:val="24"/>
                <w:szCs w:val="24"/>
              </w:rPr>
            </w:pPr>
            <w:r>
              <w:rPr>
                <w:rFonts w:hint="eastAsia" w:cs="Times New Roman"/>
                <w:color w:val="auto"/>
                <w:sz w:val="24"/>
                <w:szCs w:val="24"/>
                <w:lang w:val="en-US" w:eastAsia="zh-CN"/>
              </w:rPr>
              <w:t>PP和PE废料产生于吹塑注塑下料、裁料、修边、打包工序。根据业主提供的资料，</w:t>
            </w:r>
            <w:r>
              <w:rPr>
                <w:rFonts w:hint="default" w:ascii="Times New Roman" w:hAnsi="Times New Roman" w:cs="Times New Roman"/>
                <w:color w:val="auto"/>
                <w:sz w:val="24"/>
                <w:szCs w:val="24"/>
                <w:lang w:val="en-US" w:eastAsia="zh-CN"/>
              </w:rPr>
              <w:t>PP、PE</w:t>
            </w:r>
            <w:r>
              <w:rPr>
                <w:rFonts w:hint="default" w:ascii="Times New Roman" w:hAnsi="Times New Roman" w:cs="Times New Roman"/>
                <w:color w:val="auto"/>
                <w:sz w:val="24"/>
                <w:szCs w:val="24"/>
              </w:rPr>
              <w:t>等非金属物质</w:t>
            </w:r>
            <w:r>
              <w:rPr>
                <w:rFonts w:hint="eastAsia" w:cs="Times New Roman"/>
                <w:color w:val="auto"/>
                <w:sz w:val="24"/>
                <w:szCs w:val="24"/>
                <w:lang w:val="en-US" w:eastAsia="zh-CN"/>
              </w:rPr>
              <w:t>和不合格注塑吹塑产品</w:t>
            </w:r>
            <w:r>
              <w:rPr>
                <w:rFonts w:hint="default" w:ascii="Times New Roman" w:hAnsi="Times New Roman" w:cs="Times New Roman"/>
                <w:color w:val="auto"/>
                <w:sz w:val="24"/>
                <w:szCs w:val="24"/>
              </w:rPr>
              <w:t>集中收集</w:t>
            </w:r>
            <w:r>
              <w:rPr>
                <w:rFonts w:hint="eastAsia" w:cs="Times New Roman"/>
                <w:color w:val="auto"/>
                <w:sz w:val="24"/>
                <w:szCs w:val="24"/>
                <w:lang w:val="en-US" w:eastAsia="zh-CN"/>
              </w:rPr>
              <w:t>后返回破碎工序再次破碎后回用于生产</w:t>
            </w:r>
            <w:r>
              <w:rPr>
                <w:rFonts w:hint="default" w:ascii="Times New Roman" w:hAnsi="Times New Roman" w:cs="Times New Roman"/>
                <w:color w:val="auto"/>
                <w:sz w:val="24"/>
                <w:szCs w:val="24"/>
              </w:rPr>
              <w:t>。</w:t>
            </w:r>
          </w:p>
          <w:p w14:paraId="2D20B04E">
            <w:pPr>
              <w:spacing w:line="360" w:lineRule="auto"/>
              <w:ind w:firstLine="480"/>
              <w:rPr>
                <w:rFonts w:hint="eastAsia"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②金属废料、包装弃料等</w:t>
            </w:r>
          </w:p>
          <w:p w14:paraId="4206071A">
            <w:pPr>
              <w:spacing w:line="360" w:lineRule="auto"/>
              <w:ind w:firstLine="480"/>
              <w:rPr>
                <w:rFonts w:hint="eastAsia" w:ascii="Times New Roman" w:hAnsi="Times New Roman" w:eastAsia="宋体" w:cs="Times New Roman"/>
                <w:color w:val="auto"/>
                <w:sz w:val="24"/>
                <w:szCs w:val="24"/>
                <w:lang w:eastAsia="zh-CN"/>
              </w:rPr>
            </w:pPr>
            <w:r>
              <w:rPr>
                <w:rFonts w:hint="default" w:ascii="Times New Roman" w:hAnsi="Times New Roman" w:cs="Times New Roman"/>
                <w:color w:val="auto"/>
                <w:sz w:val="24"/>
                <w:szCs w:val="24"/>
              </w:rPr>
              <w:t>机加工过程中产生的金属废料与包装弃料一起外卖废品收购站</w:t>
            </w:r>
            <w:r>
              <w:rPr>
                <w:rFonts w:hint="eastAsia" w:cs="Times New Roman"/>
                <w:color w:val="auto"/>
                <w:sz w:val="24"/>
                <w:szCs w:val="24"/>
                <w:lang w:eastAsia="zh-CN"/>
              </w:rPr>
              <w:t>。</w:t>
            </w:r>
          </w:p>
          <w:p w14:paraId="1CDF5413">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③生活垃圾</w:t>
            </w:r>
          </w:p>
          <w:p w14:paraId="332A161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本项目劳动定员</w:t>
            </w:r>
            <w:r>
              <w:rPr>
                <w:rFonts w:hint="eastAsia" w:cs="Times New Roman"/>
                <w:color w:val="auto"/>
                <w:sz w:val="24"/>
                <w:szCs w:val="24"/>
                <w:lang w:val="en-US" w:eastAsia="zh-CN"/>
              </w:rPr>
              <w:t>59</w:t>
            </w:r>
            <w:r>
              <w:rPr>
                <w:rFonts w:hint="default" w:ascii="Times New Roman" w:hAnsi="Times New Roman" w:cs="Times New Roman"/>
                <w:color w:val="auto"/>
                <w:sz w:val="24"/>
                <w:szCs w:val="24"/>
              </w:rPr>
              <w:t>人，生活垃圾产生量按0.</w:t>
            </w:r>
            <w:r>
              <w:rPr>
                <w:rFonts w:hint="default" w:ascii="Times New Roman" w:hAnsi="Times New Roman" w:cs="Times New Roman"/>
                <w:color w:val="auto"/>
                <w:sz w:val="24"/>
                <w:szCs w:val="24"/>
                <w:lang w:val="en-US" w:eastAsia="zh-CN"/>
              </w:rPr>
              <w:t>5</w:t>
            </w:r>
            <w:r>
              <w:rPr>
                <w:rFonts w:hint="default" w:ascii="Times New Roman" w:hAnsi="Times New Roman" w:cs="Times New Roman"/>
                <w:color w:val="auto"/>
                <w:sz w:val="24"/>
                <w:szCs w:val="24"/>
              </w:rPr>
              <w:t>kg/人·d计，则生活垃圾总量为</w:t>
            </w:r>
            <w:r>
              <w:rPr>
                <w:rFonts w:hint="eastAsia" w:cs="Times New Roman"/>
                <w:color w:val="auto"/>
                <w:sz w:val="24"/>
                <w:szCs w:val="24"/>
                <w:lang w:val="en-US" w:eastAsia="zh-CN"/>
              </w:rPr>
              <w:t>29.5</w:t>
            </w:r>
            <w:r>
              <w:rPr>
                <w:rFonts w:hint="default" w:ascii="Times New Roman" w:hAnsi="Times New Roman" w:cs="Times New Roman"/>
                <w:color w:val="auto"/>
                <w:sz w:val="24"/>
                <w:szCs w:val="24"/>
              </w:rPr>
              <w:t>kg/d。生活垃圾经分类收集后存放于厂区内垃圾桶内，交由环卫部门进行</w:t>
            </w:r>
            <w:r>
              <w:rPr>
                <w:rFonts w:hint="default" w:ascii="Times New Roman" w:hAnsi="Times New Roman" w:cs="Times New Roman"/>
                <w:color w:val="auto"/>
                <w:sz w:val="24"/>
                <w:szCs w:val="24"/>
                <w:lang w:eastAsia="zh-CN"/>
              </w:rPr>
              <w:t>清运</w:t>
            </w:r>
            <w:r>
              <w:rPr>
                <w:rFonts w:hint="default" w:ascii="Times New Roman" w:hAnsi="Times New Roman" w:cs="Times New Roman"/>
                <w:color w:val="auto"/>
                <w:sz w:val="24"/>
                <w:szCs w:val="24"/>
              </w:rPr>
              <w:t>处理。</w:t>
            </w:r>
          </w:p>
          <w:p w14:paraId="51B7DC68">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⑤</w:t>
            </w:r>
            <w:r>
              <w:rPr>
                <w:rFonts w:hint="default" w:ascii="Times New Roman" w:hAnsi="Times New Roman" w:cs="Times New Roman"/>
                <w:color w:val="auto"/>
                <w:sz w:val="24"/>
                <w:szCs w:val="24"/>
                <w:lang w:eastAsia="zh-CN"/>
              </w:rPr>
              <w:t>化粪</w:t>
            </w:r>
            <w:r>
              <w:rPr>
                <w:rFonts w:hint="default" w:ascii="Times New Roman" w:hAnsi="Times New Roman" w:cs="Times New Roman"/>
                <w:color w:val="auto"/>
                <w:sz w:val="24"/>
                <w:szCs w:val="24"/>
              </w:rPr>
              <w:t>池污泥</w:t>
            </w:r>
          </w:p>
          <w:p w14:paraId="69907F5A">
            <w:pPr>
              <w:pStyle w:val="28"/>
              <w:spacing w:beforeLines="0" w:afterLines="0" w:line="360" w:lineRule="auto"/>
              <w:ind w:left="0" w:leftChars="0" w:firstLine="480" w:firstLineChars="200"/>
              <w:rPr>
                <w:rFonts w:hint="default" w:ascii="Times New Roman" w:hAnsi="Times New Roman" w:cs="Times New Roman"/>
                <w:color w:val="auto"/>
                <w:lang w:val="en-US" w:eastAsia="zh-CN"/>
              </w:rPr>
            </w:pPr>
            <w:r>
              <w:rPr>
                <w:rFonts w:hint="default" w:ascii="Times New Roman" w:hAnsi="Times New Roman" w:cs="Times New Roman"/>
                <w:color w:val="auto"/>
                <w:sz w:val="24"/>
                <w:szCs w:val="24"/>
              </w:rPr>
              <w:t>本项目污水产生量为</w:t>
            </w:r>
            <w:r>
              <w:rPr>
                <w:rFonts w:hint="eastAsia" w:ascii="Times New Roman" w:cs="Times New Roman"/>
                <w:color w:val="auto"/>
                <w:sz w:val="24"/>
                <w:szCs w:val="24"/>
                <w:lang w:val="en-US" w:eastAsia="zh-CN"/>
              </w:rPr>
              <w:t>0.2124</w:t>
            </w:r>
            <w:r>
              <w:rPr>
                <w:rFonts w:hint="default" w:ascii="Times New Roman" w:hAnsi="Times New Roman" w:cs="Times New Roman"/>
                <w:color w:val="auto"/>
                <w:sz w:val="24"/>
                <w:szCs w:val="24"/>
              </w:rPr>
              <w:t>万m</w:t>
            </w:r>
            <w:r>
              <w:rPr>
                <w:rFonts w:hint="default" w:ascii="Times New Roman" w:hAnsi="Times New Roman" w:cs="Times New Roman"/>
                <w:color w:val="auto"/>
                <w:sz w:val="24"/>
                <w:szCs w:val="24"/>
                <w:vertAlign w:val="superscript"/>
              </w:rPr>
              <w:t>3</w:t>
            </w:r>
            <w:r>
              <w:rPr>
                <w:rFonts w:hint="default" w:ascii="Times New Roman" w:hAnsi="Times New Roman" w:cs="Times New Roman"/>
                <w:color w:val="auto"/>
                <w:sz w:val="24"/>
                <w:szCs w:val="24"/>
              </w:rPr>
              <w:t>/a，</w:t>
            </w:r>
            <w:r>
              <w:rPr>
                <w:rFonts w:hint="default" w:ascii="Times New Roman" w:hAnsi="Times New Roman" w:cs="Times New Roman"/>
                <w:color w:val="auto"/>
                <w:sz w:val="24"/>
                <w:szCs w:val="24"/>
                <w:lang w:eastAsia="zh-CN"/>
              </w:rPr>
              <w:t>化粪</w:t>
            </w:r>
            <w:r>
              <w:rPr>
                <w:rFonts w:hint="default" w:ascii="Times New Roman" w:hAnsi="Times New Roman" w:cs="Times New Roman"/>
                <w:color w:val="auto"/>
                <w:sz w:val="24"/>
                <w:szCs w:val="24"/>
              </w:rPr>
              <w:t>池污泥产生量按8kg/100m</w:t>
            </w:r>
            <w:r>
              <w:rPr>
                <w:rFonts w:hint="default" w:ascii="Times New Roman" w:hAnsi="Times New Roman" w:cs="Times New Roman"/>
                <w:color w:val="auto"/>
                <w:sz w:val="24"/>
                <w:szCs w:val="24"/>
                <w:vertAlign w:val="superscript"/>
              </w:rPr>
              <w:t>3</w:t>
            </w:r>
            <w:r>
              <w:rPr>
                <w:rFonts w:hint="default" w:ascii="Times New Roman" w:hAnsi="Times New Roman" w:cs="Times New Roman"/>
                <w:color w:val="auto"/>
                <w:sz w:val="24"/>
                <w:szCs w:val="24"/>
              </w:rPr>
              <w:t>·d（废水）计，本项目营运期污泥产生总量约为</w:t>
            </w:r>
            <w:r>
              <w:rPr>
                <w:rFonts w:hint="eastAsia" w:ascii="Times New Roman" w:cs="Times New Roman"/>
                <w:color w:val="auto"/>
                <w:sz w:val="24"/>
                <w:szCs w:val="24"/>
                <w:lang w:val="en-US" w:eastAsia="zh-CN"/>
              </w:rPr>
              <w:t>170</w:t>
            </w:r>
            <w:r>
              <w:rPr>
                <w:rFonts w:hint="default" w:ascii="Times New Roman" w:hAnsi="Times New Roman" w:cs="Times New Roman"/>
                <w:color w:val="auto"/>
                <w:sz w:val="24"/>
                <w:szCs w:val="24"/>
              </w:rPr>
              <w:t>kg/a，交由环卫部门定期清掏处理。</w:t>
            </w:r>
            <w:r>
              <w:rPr>
                <w:rFonts w:hint="default" w:ascii="Times New Roman" w:hAnsi="Times New Roman" w:cs="Times New Roman"/>
                <w:color w:val="auto"/>
                <w:lang w:val="en-US" w:eastAsia="zh-CN"/>
              </w:rPr>
              <w:t xml:space="preserve">  </w:t>
            </w:r>
          </w:p>
          <w:p w14:paraId="79008E7D">
            <w:pPr>
              <w:pStyle w:val="28"/>
              <w:spacing w:line="360" w:lineRule="auto"/>
              <w:ind w:firstLine="480" w:firstLineChars="200"/>
              <w:rPr>
                <w:rFonts w:hint="default" w:ascii="Times New Roman" w:hAnsi="Times New Roman" w:cs="Times New Roman"/>
                <w:color w:val="auto"/>
                <w:lang w:eastAsia="zh-CN"/>
              </w:rPr>
            </w:pP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 6 \* GB3 \* MERGEFORMAT </w:instrText>
            </w:r>
            <w:r>
              <w:rPr>
                <w:rFonts w:hint="default" w:ascii="Times New Roman" w:hAnsi="Times New Roman" w:cs="Times New Roman"/>
                <w:color w:val="auto"/>
              </w:rPr>
              <w:fldChar w:fldCharType="separate"/>
            </w:r>
            <w:r>
              <w:rPr>
                <w:rFonts w:hint="default" w:ascii="Times New Roman" w:hAnsi="Times New Roman" w:cs="Times New Roman"/>
                <w:color w:val="auto"/>
              </w:rPr>
              <w:t>⑥</w:t>
            </w:r>
            <w:r>
              <w:rPr>
                <w:rFonts w:hint="default" w:ascii="Times New Roman" w:hAnsi="Times New Roman" w:cs="Times New Roman"/>
                <w:color w:val="auto"/>
              </w:rPr>
              <w:fldChar w:fldCharType="end"/>
            </w:r>
            <w:r>
              <w:rPr>
                <w:rFonts w:hint="default" w:ascii="Times New Roman" w:hAnsi="Times New Roman" w:cs="Times New Roman"/>
                <w:color w:val="auto"/>
                <w:lang w:eastAsia="zh-CN"/>
              </w:rPr>
              <w:t>隔油池废油脂</w:t>
            </w:r>
          </w:p>
          <w:p w14:paraId="4950B7E6">
            <w:pPr>
              <w:pStyle w:val="28"/>
              <w:spacing w:line="360" w:lineRule="auto"/>
              <w:ind w:firstLine="480" w:firstLineChars="200"/>
              <w:rPr>
                <w:rFonts w:hint="default" w:ascii="Times New Roman" w:hAnsi="Times New Roman" w:cs="Times New Roman"/>
                <w:color w:val="auto"/>
                <w:lang w:val="en-US" w:eastAsia="zh-CN"/>
              </w:rPr>
            </w:pPr>
            <w:r>
              <w:rPr>
                <w:rFonts w:hint="default" w:ascii="Times New Roman" w:hAnsi="Times New Roman" w:cs="Times New Roman"/>
                <w:color w:val="auto"/>
                <w:lang w:eastAsia="zh-CN"/>
              </w:rPr>
              <w:t>根据类比资料，本项目隔油池废油脂的产生量为</w:t>
            </w:r>
            <w:r>
              <w:rPr>
                <w:rFonts w:hint="default" w:ascii="Times New Roman" w:hAnsi="Times New Roman" w:cs="Times New Roman"/>
                <w:color w:val="auto"/>
                <w:lang w:val="en-US" w:eastAsia="zh-CN"/>
              </w:rPr>
              <w:t>0.003t/a，根据《中华人民共和国固体废物污染环境防治法》第八十八条第三项关于</w:t>
            </w:r>
            <w:r>
              <w:rPr>
                <w:rFonts w:hint="eastAsia" w:ascii="Times New Roman" w:hAnsi="Times New Roman" w:cs="Times New Roman"/>
                <w:color w:val="auto"/>
                <w:lang w:val="en-US" w:eastAsia="zh-CN"/>
              </w:rPr>
              <w:t>“</w:t>
            </w:r>
            <w:r>
              <w:rPr>
                <w:rFonts w:hint="default" w:ascii="Times New Roman" w:hAnsi="Times New Roman" w:cs="Times New Roman"/>
                <w:color w:val="auto"/>
                <w:lang w:val="en-US" w:eastAsia="zh-CN"/>
              </w:rPr>
              <w:t>生活垃圾，是指在日常生活中或者为日常生活提供服务的活动中产生的固体废物以及法律、行政法规规定视为生活垃圾的固体废物</w:t>
            </w:r>
            <w:r>
              <w:rPr>
                <w:rFonts w:hint="eastAsia" w:ascii="Times New Roman" w:hAnsi="Times New Roman" w:cs="Times New Roman"/>
                <w:color w:val="auto"/>
                <w:lang w:val="en-US" w:eastAsia="zh-CN"/>
              </w:rPr>
              <w:t>”</w:t>
            </w:r>
            <w:r>
              <w:rPr>
                <w:rFonts w:hint="default" w:ascii="Times New Roman" w:hAnsi="Times New Roman" w:cs="Times New Roman"/>
                <w:color w:val="auto"/>
                <w:lang w:val="en-US" w:eastAsia="zh-CN"/>
              </w:rPr>
              <w:t>的规定，宾馆、饭店、企（事）业单位食堂等餐饮行业的活动属于为日常生活提供服务的活动，其产生的餐厨垃圾，包括废弃食用油脂属于生活垃圾范畴；其处理处置必须符合环境保护有关要求，防止对环境的污染。故本项目隔油池废油脂属于一般废物，评价要求企业将废油脂定期交由取得经营许可的餐厨垃圾收运单位清运处理。</w:t>
            </w:r>
          </w:p>
          <w:p w14:paraId="1B2F5E48">
            <w:pPr>
              <w:pStyle w:val="28"/>
              <w:spacing w:line="360" w:lineRule="auto"/>
              <w:ind w:firstLine="480" w:firstLineChars="200"/>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同时，根据国务院办公厅发布的《关于加强地沟油整治和餐厨废弃物管理的意见》 (国办发[2010]36号)的相关要求：餐厨垃圾收集采取集中配置、集中管理，隔油设施定期清掏，隔油设施上层浮油、池底污泥以及餐厨垃圾由桶装封闭收集后，暂存于单独区域，与其它办公生活垃圾分开收集，日产日清，在餐厨垃圾产生后24小时内将其交给收运单位，不得将餐厨垃圾交由未在城管部门建档备查的餐厨垃圾收运单位或个人收运、处理；应当与餐厨垃圾收运者签订餐厨垃圾收运合同或者协议，相关合同或者协议不得违反《中华人民共和国食品安全法》相关规定，不得将餐厨垃圾回收作为食品原料；厨垃圾收运者发生变更的，餐饮服务提供者应当及时向当地卫生和城管部门报告，更改档案记录；在装卸、运输过程中一定要防止滴、漏，采取封闭运输，以防产生二次污染。</w:t>
            </w:r>
          </w:p>
          <w:p w14:paraId="084D0CD4">
            <w:pPr>
              <w:spacing w:line="360" w:lineRule="auto"/>
              <w:ind w:firstLine="360" w:firstLineChars="15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（2）危险废物</w:t>
            </w:r>
          </w:p>
          <w:p w14:paraId="0674BDFF">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①废</w:t>
            </w:r>
            <w:r>
              <w:rPr>
                <w:rFonts w:hint="default" w:ascii="Times New Roman" w:hAnsi="Times New Roman" w:cs="Times New Roman"/>
                <w:color w:val="auto"/>
                <w:sz w:val="24"/>
                <w:szCs w:val="24"/>
                <w:lang w:eastAsia="zh-CN"/>
              </w:rPr>
              <w:t>液压油</w:t>
            </w:r>
          </w:p>
          <w:p w14:paraId="5A37AD1C">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b w:val="0"/>
                <w:bCs w:val="0"/>
                <w:color w:val="auto"/>
                <w:sz w:val="24"/>
                <w:lang w:val="en-US" w:eastAsia="zh-CN"/>
              </w:rPr>
              <w:t>本项目设备维护产生的废液压油属危险废物，废液压油的产生量为0.0</w:t>
            </w:r>
            <w:r>
              <w:rPr>
                <w:rFonts w:hint="eastAsia" w:cs="Times New Roman"/>
                <w:b w:val="0"/>
                <w:bCs w:val="0"/>
                <w:color w:val="auto"/>
                <w:sz w:val="24"/>
                <w:lang w:val="en-US" w:eastAsia="zh-CN"/>
              </w:rPr>
              <w:t>4</w:t>
            </w:r>
            <w:r>
              <w:rPr>
                <w:rFonts w:hint="default" w:ascii="Times New Roman" w:hAnsi="Times New Roman" w:cs="Times New Roman"/>
                <w:b w:val="0"/>
                <w:bCs w:val="0"/>
                <w:color w:val="auto"/>
                <w:sz w:val="24"/>
                <w:lang w:val="en-US" w:eastAsia="zh-CN"/>
              </w:rPr>
              <w:t>t/a，</w:t>
            </w:r>
            <w:r>
              <w:rPr>
                <w:rFonts w:hint="eastAsia" w:ascii="Times New Roman" w:hAnsi="Times New Roman" w:cs="Times New Roman"/>
                <w:b w:val="0"/>
                <w:bCs w:val="0"/>
                <w:color w:val="auto"/>
                <w:sz w:val="24"/>
                <w:lang w:val="en-US" w:eastAsia="zh-CN"/>
              </w:rPr>
              <w:t>属于《国家危险废物名录》中“HW08废矿物油与含矿物油废物/非特定行业/900-21</w:t>
            </w:r>
            <w:r>
              <w:rPr>
                <w:rFonts w:hint="eastAsia" w:cs="Times New Roman"/>
                <w:b w:val="0"/>
                <w:bCs w:val="0"/>
                <w:color w:val="auto"/>
                <w:sz w:val="24"/>
                <w:lang w:val="en-US" w:eastAsia="zh-CN"/>
              </w:rPr>
              <w:t>8</w:t>
            </w:r>
            <w:r>
              <w:rPr>
                <w:rFonts w:hint="eastAsia" w:ascii="Times New Roman" w:hAnsi="Times New Roman" w:cs="Times New Roman"/>
                <w:b w:val="0"/>
                <w:bCs w:val="0"/>
                <w:color w:val="auto"/>
                <w:sz w:val="24"/>
                <w:lang w:val="en-US" w:eastAsia="zh-CN"/>
              </w:rPr>
              <w:t>-08”。应统一收集后暂存于危废暂存间，交由有资质的单位进行处理。</w:t>
            </w:r>
          </w:p>
          <w:p w14:paraId="5E942898">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②废</w:t>
            </w:r>
            <w:r>
              <w:rPr>
                <w:rFonts w:hint="default" w:ascii="Times New Roman" w:hAnsi="Times New Roman" w:cs="Times New Roman"/>
                <w:color w:val="auto"/>
                <w:sz w:val="24"/>
                <w:szCs w:val="24"/>
                <w:lang w:eastAsia="zh-CN"/>
              </w:rPr>
              <w:t>抹布和手套</w:t>
            </w:r>
          </w:p>
          <w:p w14:paraId="258BFD7A">
            <w:pPr>
              <w:pStyle w:val="28"/>
              <w:spacing w:line="360" w:lineRule="auto"/>
              <w:ind w:firstLine="480" w:firstLineChars="200"/>
              <w:rPr>
                <w:rFonts w:hint="default" w:ascii="Times New Roman" w:hAnsi="Times New Roman" w:cs="Times New Roman"/>
                <w:color w:val="auto"/>
                <w:lang w:eastAsia="zh-CN"/>
              </w:rPr>
            </w:pPr>
            <w:r>
              <w:rPr>
                <w:rFonts w:hint="default" w:ascii="Times New Roman" w:hAnsi="Times New Roman" w:cs="Times New Roman"/>
                <w:b w:val="0"/>
                <w:bCs w:val="0"/>
                <w:color w:val="auto"/>
                <w:sz w:val="24"/>
                <w:szCs w:val="24"/>
                <w:lang w:val="en-US" w:eastAsia="zh-CN"/>
              </w:rPr>
              <w:t>营运期在注塑、注胶、吹塑工序和机械维护中会产生，产生量约为0.0</w:t>
            </w:r>
            <w:r>
              <w:rPr>
                <w:rFonts w:hint="eastAsia" w:ascii="Times New Roman" w:cs="Times New Roman"/>
                <w:b w:val="0"/>
                <w:bCs w:val="0"/>
                <w:color w:val="auto"/>
                <w:sz w:val="24"/>
                <w:szCs w:val="24"/>
                <w:lang w:val="en-US" w:eastAsia="zh-CN"/>
              </w:rPr>
              <w:t>2</w:t>
            </w:r>
            <w:r>
              <w:rPr>
                <w:rFonts w:hint="default" w:ascii="Times New Roman" w:hAnsi="Times New Roman" w:cs="Times New Roman"/>
                <w:b w:val="0"/>
                <w:bCs w:val="0"/>
                <w:color w:val="auto"/>
                <w:sz w:val="24"/>
                <w:szCs w:val="24"/>
                <w:lang w:val="en-US" w:eastAsia="zh-CN"/>
              </w:rPr>
              <w:t>t/a。属于《国家危险废物名录》中</w:t>
            </w:r>
            <w:r>
              <w:rPr>
                <w:rFonts w:hint="eastAsia" w:ascii="Times New Roman" w:hAnsi="Times New Roman" w:cs="Times New Roman"/>
                <w:b w:val="0"/>
                <w:bCs w:val="0"/>
                <w:color w:val="auto"/>
                <w:sz w:val="24"/>
                <w:szCs w:val="24"/>
                <w:lang w:val="en-US" w:eastAsia="zh-CN"/>
              </w:rPr>
              <w:t>“</w:t>
            </w:r>
            <w:r>
              <w:rPr>
                <w:rFonts w:hint="default" w:ascii="Times New Roman" w:hAnsi="Times New Roman" w:cs="Times New Roman"/>
                <w:b w:val="0"/>
                <w:bCs w:val="0"/>
                <w:color w:val="auto"/>
                <w:sz w:val="24"/>
                <w:szCs w:val="24"/>
                <w:lang w:val="en-US" w:eastAsia="zh-CN"/>
              </w:rPr>
              <w:t>HW49 其他废物/非特定行业/900-041-49 含有或直接沾染危险废物的废弃包装物、容器、清洗杂物</w:t>
            </w:r>
            <w:r>
              <w:rPr>
                <w:rFonts w:hint="eastAsia" w:ascii="Times New Roman" w:hAnsi="Times New Roman" w:cs="Times New Roman"/>
                <w:b w:val="0"/>
                <w:bCs w:val="0"/>
                <w:color w:val="auto"/>
                <w:sz w:val="24"/>
                <w:szCs w:val="24"/>
                <w:lang w:val="en-US" w:eastAsia="zh-CN"/>
              </w:rPr>
              <w:t>”</w:t>
            </w:r>
            <w:r>
              <w:rPr>
                <w:rFonts w:hint="default" w:ascii="Times New Roman" w:hAnsi="Times New Roman" w:cs="Times New Roman"/>
                <w:b w:val="0"/>
                <w:bCs w:val="0"/>
                <w:color w:val="auto"/>
                <w:sz w:val="24"/>
                <w:szCs w:val="24"/>
                <w:lang w:val="en-US" w:eastAsia="zh-CN"/>
              </w:rPr>
              <w:t>，经分类收集后暂存于危废暂存间，定期交由有资质的单位进行处置</w:t>
            </w:r>
            <w:r>
              <w:rPr>
                <w:rFonts w:hint="default" w:ascii="Times New Roman" w:hAnsi="Times New Roman" w:cs="Times New Roman"/>
                <w:color w:val="auto"/>
                <w:lang w:eastAsia="zh-CN"/>
              </w:rPr>
              <w:t>。</w:t>
            </w:r>
          </w:p>
          <w:p w14:paraId="6DA47B6C">
            <w:pPr>
              <w:pStyle w:val="28"/>
              <w:spacing w:line="360" w:lineRule="auto"/>
              <w:ind w:firstLine="480" w:firstLineChars="200"/>
              <w:rPr>
                <w:rFonts w:hint="eastAsia" w:ascii="Times New Roman" w:cs="Times New Roman"/>
                <w:color w:val="auto"/>
                <w:lang w:val="en-US" w:eastAsia="zh-CN"/>
              </w:rPr>
            </w:pPr>
            <w:r>
              <w:rPr>
                <w:rFonts w:hint="eastAsia" w:ascii="Times New Roman" w:cs="Times New Roman"/>
                <w:color w:val="auto"/>
                <w:lang w:val="en-US" w:eastAsia="zh-CN"/>
              </w:rPr>
              <w:t>③废润滑油</w:t>
            </w:r>
          </w:p>
          <w:p w14:paraId="39C8BDCD">
            <w:pPr>
              <w:pStyle w:val="28"/>
              <w:spacing w:line="360" w:lineRule="auto"/>
              <w:ind w:firstLine="480" w:firstLineChars="200"/>
              <w:rPr>
                <w:rFonts w:hint="eastAsia" w:ascii="Times New Roman" w:cs="Times New Roman"/>
                <w:color w:val="auto"/>
                <w:lang w:val="en-US" w:eastAsia="zh-CN"/>
              </w:rPr>
            </w:pPr>
            <w:r>
              <w:rPr>
                <w:rFonts w:hint="eastAsia" w:ascii="Times New Roman" w:cs="Times New Roman"/>
                <w:color w:val="auto"/>
                <w:lang w:val="en-US" w:eastAsia="zh-CN"/>
              </w:rPr>
              <w:t>本项目设备维护产生的废液压油属危险废物，废机油的产生量为0.04t/a，属于《国家危险废物名录》中“HW08废矿物油与含矿物油废物/非特定行业/900-214-08”。应统一收集后暂存于危废暂存间，交由有资质的单位进行处理。</w:t>
            </w:r>
          </w:p>
          <w:p w14:paraId="17B6CEE0">
            <w:pPr>
              <w:pStyle w:val="28"/>
              <w:spacing w:line="360" w:lineRule="auto"/>
              <w:ind w:firstLine="480" w:firstLineChars="200"/>
              <w:rPr>
                <w:rFonts w:hint="eastAsia" w:ascii="Times New Roman" w:cs="Times New Roman"/>
                <w:color w:val="auto"/>
                <w:lang w:val="en-US" w:eastAsia="zh-CN"/>
              </w:rPr>
            </w:pPr>
            <w:r>
              <w:rPr>
                <w:rFonts w:hint="eastAsia" w:ascii="Times New Roman" w:cs="Times New Roman"/>
                <w:color w:val="auto"/>
                <w:lang w:val="en-US" w:eastAsia="zh-CN"/>
              </w:rPr>
              <w:t>④废活性炭</w:t>
            </w:r>
          </w:p>
          <w:p w14:paraId="5631CC53">
            <w:pPr>
              <w:pStyle w:val="28"/>
              <w:spacing w:line="360" w:lineRule="auto"/>
              <w:ind w:firstLine="480" w:firstLineChars="200"/>
              <w:rPr>
                <w:rFonts w:hint="eastAsia" w:ascii="Times New Roman" w:cs="Times New Roman"/>
                <w:color w:val="auto"/>
                <w:lang w:val="en-US" w:eastAsia="zh-CN"/>
              </w:rPr>
            </w:pPr>
            <w:r>
              <w:rPr>
                <w:rFonts w:hint="eastAsia" w:ascii="Times New Roman" w:cs="Times New Roman"/>
                <w:color w:val="auto"/>
                <w:lang w:val="en-US" w:eastAsia="zh-CN"/>
              </w:rPr>
              <w:t>主要产生在活性炭吸附过程后，属危险废物，本项目活性炭每6个月更换一次，每次更换量约为35kg（每套），废活性炭产生量为140kg/a，本项目产生的废活性炭属于危险废物，HW49：900-041-49类，暂存于拟设置的危废暂存间，定期交由有资质的单位处理。</w:t>
            </w:r>
          </w:p>
          <w:p w14:paraId="0B1449C5">
            <w:pPr>
              <w:pStyle w:val="28"/>
              <w:spacing w:line="360" w:lineRule="auto"/>
              <w:ind w:firstLine="480" w:firstLineChars="200"/>
              <w:rPr>
                <w:rFonts w:hint="eastAsia" w:ascii="Times New Roman" w:cs="Times New Roman"/>
                <w:color w:val="auto"/>
                <w:lang w:val="en-US" w:eastAsia="zh-CN"/>
              </w:rPr>
            </w:pPr>
            <w:r>
              <w:rPr>
                <w:rFonts w:hint="eastAsia" w:ascii="Times New Roman" w:cs="Times New Roman"/>
                <w:color w:val="auto"/>
                <w:lang w:val="en-US" w:eastAsia="zh-CN"/>
              </w:rPr>
              <w:t>⑤废原料桶</w:t>
            </w:r>
          </w:p>
          <w:p w14:paraId="77CB1803">
            <w:pPr>
              <w:pStyle w:val="28"/>
              <w:spacing w:line="360" w:lineRule="auto"/>
              <w:ind w:firstLine="480" w:firstLineChars="200"/>
              <w:rPr>
                <w:rFonts w:hint="eastAsia" w:ascii="Times New Roman" w:cs="Times New Roman"/>
                <w:color w:val="auto"/>
                <w:lang w:val="en-US" w:eastAsia="zh-CN"/>
              </w:rPr>
            </w:pPr>
            <w:r>
              <w:rPr>
                <w:rFonts w:hint="eastAsia" w:ascii="Times New Roman" w:cs="Times New Roman"/>
                <w:color w:val="auto"/>
                <w:lang w:val="en-US" w:eastAsia="zh-CN"/>
              </w:rPr>
              <w:t>项目注胶用A、B料均是桶装，原料使用过后会产生废原料桶，根据业主提供资料，其产生量约为1t/a，属于《国家危险废物名录》中“HW49 其他废物/非特定行业/900-041-49 ”，应分类收集后暂存于危废暂存间，交由有资质的单位进行处理。</w:t>
            </w:r>
          </w:p>
          <w:p w14:paraId="35836575">
            <w:pPr>
              <w:pStyle w:val="28"/>
              <w:spacing w:line="360" w:lineRule="auto"/>
              <w:ind w:firstLine="480" w:firstLineChars="200"/>
              <w:rPr>
                <w:rFonts w:hint="default" w:ascii="Times New Roman" w:hAnsi="Times New Roman" w:cs="Times New Roman"/>
                <w:b w:val="0"/>
                <w:bCs/>
              </w:rPr>
            </w:pPr>
            <w:r>
              <w:rPr>
                <w:rFonts w:hint="default" w:ascii="Times New Roman" w:hAnsi="Times New Roman" w:cs="Times New Roman"/>
                <w:b w:val="0"/>
                <w:bCs/>
              </w:rPr>
              <w:t>本项目</w:t>
            </w:r>
            <w:r>
              <w:rPr>
                <w:rFonts w:hint="default" w:ascii="Times New Roman" w:hAnsi="Times New Roman" w:cs="Times New Roman"/>
                <w:b w:val="0"/>
                <w:bCs/>
                <w:lang w:eastAsia="zh-CN"/>
              </w:rPr>
              <w:t>拟</w:t>
            </w:r>
            <w:r>
              <w:rPr>
                <w:rFonts w:hint="default" w:ascii="Times New Roman" w:hAnsi="Times New Roman" w:cs="Times New Roman"/>
                <w:b w:val="0"/>
                <w:bCs/>
              </w:rPr>
              <w:t>设置一个</w:t>
            </w:r>
            <w:r>
              <w:rPr>
                <w:rFonts w:hint="default" w:ascii="Times New Roman" w:hAnsi="Times New Roman" w:cs="Times New Roman"/>
                <w:b w:val="0"/>
                <w:bCs/>
                <w:lang w:eastAsia="zh-CN"/>
              </w:rPr>
              <w:t>占地面积为</w:t>
            </w:r>
            <w:r>
              <w:rPr>
                <w:rFonts w:hint="eastAsia" w:ascii="Times New Roman" w:cs="Times New Roman"/>
                <w:b w:val="0"/>
                <w:bCs/>
                <w:color w:val="auto"/>
                <w:lang w:val="en-US" w:eastAsia="zh-CN"/>
              </w:rPr>
              <w:t>40</w:t>
            </w:r>
            <w:r>
              <w:rPr>
                <w:rFonts w:hint="default" w:ascii="Times New Roman" w:hAnsi="Times New Roman" w:cs="Times New Roman"/>
                <w:b w:val="0"/>
                <w:bCs/>
                <w:color w:val="auto"/>
                <w:lang w:val="en-US" w:eastAsia="zh-CN"/>
              </w:rPr>
              <w:t>m</w:t>
            </w:r>
            <w:r>
              <w:rPr>
                <w:rFonts w:hint="default" w:ascii="Times New Roman" w:hAnsi="Times New Roman" w:cs="Times New Roman"/>
                <w:b w:val="0"/>
                <w:bCs/>
                <w:color w:val="auto"/>
                <w:vertAlign w:val="superscript"/>
                <w:lang w:val="en-US" w:eastAsia="zh-CN"/>
              </w:rPr>
              <w:t>2</w:t>
            </w:r>
            <w:r>
              <w:rPr>
                <w:rFonts w:hint="default" w:ascii="Times New Roman" w:hAnsi="Times New Roman" w:cs="Times New Roman"/>
                <w:b w:val="0"/>
                <w:bCs/>
              </w:rPr>
              <w:t>危废暂存间，用于</w:t>
            </w:r>
            <w:r>
              <w:rPr>
                <w:rFonts w:hint="default" w:ascii="Times New Roman" w:hAnsi="Times New Roman" w:cs="Times New Roman"/>
                <w:b w:val="0"/>
                <w:bCs/>
                <w:lang w:eastAsia="zh-CN"/>
              </w:rPr>
              <w:t>分类</w:t>
            </w:r>
            <w:r>
              <w:rPr>
                <w:rFonts w:hint="default" w:ascii="Times New Roman" w:hAnsi="Times New Roman" w:cs="Times New Roman"/>
                <w:b w:val="0"/>
                <w:bCs/>
              </w:rPr>
              <w:t>暂存</w:t>
            </w:r>
            <w:r>
              <w:rPr>
                <w:rFonts w:hint="default" w:ascii="Times New Roman" w:hAnsi="Times New Roman" w:cs="Times New Roman"/>
                <w:b w:val="0"/>
                <w:bCs/>
                <w:lang w:eastAsia="zh-CN"/>
              </w:rPr>
              <w:t>项目产生的各种危险废物，</w:t>
            </w:r>
            <w:r>
              <w:rPr>
                <w:rFonts w:hint="default" w:ascii="Times New Roman" w:hAnsi="Times New Roman" w:cs="Times New Roman"/>
                <w:b w:val="0"/>
                <w:bCs/>
              </w:rPr>
              <w:t>最终交由有资质的单位进行处理。</w:t>
            </w:r>
            <w:r>
              <w:rPr>
                <w:rFonts w:hint="default" w:ascii="Times New Roman" w:hAnsi="Times New Roman" w:cs="Times New Roman"/>
                <w:b w:val="0"/>
                <w:bCs/>
                <w:lang w:eastAsia="zh-CN"/>
              </w:rPr>
              <w:t>同时</w:t>
            </w:r>
            <w:r>
              <w:rPr>
                <w:rFonts w:hint="default" w:ascii="Times New Roman" w:hAnsi="Times New Roman" w:cs="Times New Roman"/>
                <w:b w:val="0"/>
                <w:bCs/>
              </w:rPr>
              <w:t>，环评要求建设单位</w:t>
            </w:r>
            <w:r>
              <w:rPr>
                <w:rFonts w:hint="default" w:ascii="Times New Roman" w:hAnsi="Times New Roman" w:cs="Times New Roman"/>
                <w:b w:val="0"/>
                <w:bCs/>
                <w:lang w:eastAsia="zh-CN"/>
              </w:rPr>
              <w:t>对危废暂存间进行“</w:t>
            </w:r>
            <w:r>
              <w:rPr>
                <w:rFonts w:hint="eastAsia" w:ascii="Times New Roman" w:cs="Times New Roman"/>
                <w:b w:val="0"/>
                <w:bCs/>
                <w:lang w:val="en-US" w:eastAsia="zh-CN"/>
              </w:rPr>
              <w:t>四</w:t>
            </w:r>
            <w:r>
              <w:rPr>
                <w:rFonts w:hint="default" w:ascii="Times New Roman" w:hAnsi="Times New Roman" w:cs="Times New Roman"/>
                <w:b w:val="0"/>
                <w:bCs/>
                <w:lang w:eastAsia="zh-CN"/>
              </w:rPr>
              <w:t>防”处理（防风、防雨、防晒、防渗漏），</w:t>
            </w:r>
            <w:r>
              <w:rPr>
                <w:rFonts w:hint="default" w:ascii="Times New Roman" w:hAnsi="Times New Roman" w:cs="Times New Roman"/>
                <w:b w:val="0"/>
                <w:bCs/>
              </w:rPr>
              <w:t>在危废暂存间设置和转运过程中，需严格按照下列要求进行：</w:t>
            </w:r>
          </w:p>
          <w:p w14:paraId="460DB6A7">
            <w:pPr>
              <w:pStyle w:val="28"/>
              <w:spacing w:line="360" w:lineRule="auto"/>
              <w:ind w:firstLine="480" w:firstLineChars="200"/>
              <w:rPr>
                <w:rFonts w:hint="default" w:ascii="Times New Roman" w:hAnsi="Times New Roman" w:cs="Times New Roman"/>
                <w:b w:val="0"/>
                <w:bCs/>
              </w:rPr>
            </w:pPr>
            <w:r>
              <w:rPr>
                <w:rFonts w:hint="default" w:ascii="Times New Roman" w:hAnsi="Times New Roman" w:cs="Times New Roman"/>
                <w:b w:val="0"/>
                <w:bCs/>
              </w:rPr>
              <w:t>a.严格按照《危险废物贮存污染控制标准》（GB18597-2001）设计要求，对危废暂存间设防渗层，防渗层为环氧树脂或其它人工材料，并严格做好防雨、防腐措施，防止造成地下水污染。</w:t>
            </w:r>
          </w:p>
          <w:p w14:paraId="5D32A599">
            <w:pPr>
              <w:pStyle w:val="28"/>
              <w:spacing w:line="360" w:lineRule="auto"/>
              <w:ind w:firstLine="480" w:firstLineChars="200"/>
              <w:rPr>
                <w:rFonts w:hint="default" w:ascii="Times New Roman" w:hAnsi="Times New Roman" w:cs="Times New Roman"/>
                <w:b w:val="0"/>
                <w:bCs/>
              </w:rPr>
            </w:pPr>
            <w:r>
              <w:rPr>
                <w:rFonts w:hint="default" w:ascii="Times New Roman" w:hAnsi="Times New Roman" w:cs="Times New Roman"/>
                <w:b w:val="0"/>
                <w:bCs/>
              </w:rPr>
              <w:t>b.危险废物的收集必须按照相关规定进行，禁止在非贮存地点（容器）倾倒、堆放危险废物或者将危险废物混入其他一般工业固体废物和生活垃圾，各废物贮存需按照国家相应要求处置，贮存场所按照《环境保护图形标志——固体废物贮存（处置）场》（GB15562.2-1995）设置警示标识。</w:t>
            </w:r>
          </w:p>
          <w:p w14:paraId="63E30440">
            <w:pPr>
              <w:pStyle w:val="28"/>
              <w:spacing w:line="360" w:lineRule="auto"/>
              <w:ind w:firstLine="480" w:firstLineChars="200"/>
              <w:rPr>
                <w:rFonts w:hint="default" w:ascii="Times New Roman" w:hAnsi="Times New Roman" w:cs="Times New Roman"/>
                <w:b w:val="0"/>
                <w:bCs/>
              </w:rPr>
            </w:pPr>
            <w:r>
              <w:rPr>
                <w:rFonts w:hint="default" w:ascii="Times New Roman" w:hAnsi="Times New Roman" w:cs="Times New Roman"/>
                <w:b w:val="0"/>
                <w:bCs/>
              </w:rPr>
              <w:t>c.危险废物转运时必须安全转移，防止撒漏，且由具处理资质的单位接手。危险废物的处置需严格按照《危险废物转移联单管理办法》规定办理危险废物转移手续，并严格执行《危险废物转移联单管理办法》规定，防止二次污染。</w:t>
            </w:r>
          </w:p>
          <w:p w14:paraId="00E5EFAA">
            <w:pPr>
              <w:pStyle w:val="28"/>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rPr>
              <w:t>综上，经整改后项目各类固废的产生及治理措施见下表</w:t>
            </w:r>
            <w:r>
              <w:rPr>
                <w:rFonts w:hint="default" w:ascii="Times New Roman" w:hAnsi="Times New Roman" w:cs="Times New Roman"/>
                <w:color w:val="auto"/>
                <w:sz w:val="24"/>
                <w:szCs w:val="24"/>
              </w:rPr>
              <w:t>表5-</w:t>
            </w:r>
            <w:r>
              <w:rPr>
                <w:rFonts w:hint="eastAsia" w:ascii="Times New Roman" w:cs="Times New Roman"/>
                <w:color w:val="auto"/>
                <w:sz w:val="24"/>
                <w:szCs w:val="24"/>
                <w:lang w:val="en-US" w:eastAsia="zh-CN"/>
              </w:rPr>
              <w:t>7</w:t>
            </w:r>
            <w:r>
              <w:rPr>
                <w:rFonts w:hint="default" w:ascii="Times New Roman" w:hAnsi="Times New Roman" w:cs="Times New Roman"/>
                <w:color w:val="auto"/>
                <w:sz w:val="24"/>
                <w:szCs w:val="24"/>
              </w:rPr>
              <w:t>。</w:t>
            </w:r>
          </w:p>
          <w:p w14:paraId="605BD4B5">
            <w:pPr>
              <w:spacing w:line="360" w:lineRule="auto"/>
              <w:jc w:val="center"/>
              <w:rPr>
                <w:rFonts w:hint="default" w:ascii="Times New Roman" w:hAnsi="Times New Roman" w:cs="Times New Roman" w:eastAsiaTheme="minorEastAsia"/>
                <w:b/>
                <w:bCs/>
                <w:color w:val="auto"/>
                <w:szCs w:val="21"/>
              </w:rPr>
            </w:pPr>
            <w:r>
              <w:rPr>
                <w:rFonts w:hint="default" w:ascii="Times New Roman" w:hAnsi="Times New Roman" w:cs="Times New Roman" w:eastAsiaTheme="minorEastAsia"/>
                <w:b/>
                <w:bCs/>
                <w:color w:val="auto"/>
                <w:szCs w:val="21"/>
              </w:rPr>
              <w:t>表5-</w:t>
            </w:r>
            <w:r>
              <w:rPr>
                <w:rFonts w:hint="eastAsia" w:cs="Times New Roman" w:eastAsiaTheme="minorEastAsia"/>
                <w:b/>
                <w:bCs/>
                <w:color w:val="auto"/>
                <w:szCs w:val="21"/>
                <w:lang w:val="en-US" w:eastAsia="zh-CN"/>
              </w:rPr>
              <w:t>7</w:t>
            </w:r>
            <w:r>
              <w:rPr>
                <w:rFonts w:hint="default" w:ascii="Times New Roman" w:hAnsi="Times New Roman" w:cs="Times New Roman" w:eastAsiaTheme="minorEastAsia"/>
                <w:b/>
                <w:bCs/>
                <w:color w:val="auto"/>
                <w:szCs w:val="21"/>
              </w:rPr>
              <w:t xml:space="preserve">  固体废物产生及治理措施</w:t>
            </w:r>
          </w:p>
          <w:tbl>
            <w:tblPr>
              <w:tblStyle w:val="23"/>
              <w:tblW w:w="99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93"/>
              <w:gridCol w:w="735"/>
              <w:gridCol w:w="855"/>
              <w:gridCol w:w="1305"/>
              <w:gridCol w:w="1144"/>
              <w:gridCol w:w="2881"/>
              <w:gridCol w:w="1055"/>
            </w:tblGrid>
            <w:tr w14:paraId="431F15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3" w:type="dxa"/>
                  <w:shd w:val="clear" w:color="auto" w:fill="auto"/>
                  <w:vAlign w:val="center"/>
                </w:tcPr>
                <w:p w14:paraId="0BF9244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废物名称</w:t>
                  </w:r>
                </w:p>
              </w:tc>
              <w:tc>
                <w:tcPr>
                  <w:tcW w:w="735" w:type="dxa"/>
                  <w:shd w:val="clear" w:color="auto" w:fill="auto"/>
                  <w:vAlign w:val="center"/>
                </w:tcPr>
                <w:p w14:paraId="1FB162F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属性</w:t>
                  </w:r>
                </w:p>
              </w:tc>
              <w:tc>
                <w:tcPr>
                  <w:tcW w:w="855" w:type="dxa"/>
                  <w:shd w:val="clear" w:color="auto" w:fill="auto"/>
                  <w:vAlign w:val="center"/>
                </w:tcPr>
                <w:p w14:paraId="702EB17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废物</w:t>
                  </w:r>
                </w:p>
                <w:p w14:paraId="2AA1C4F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类别</w:t>
                  </w:r>
                </w:p>
              </w:tc>
              <w:tc>
                <w:tcPr>
                  <w:tcW w:w="1305" w:type="dxa"/>
                  <w:shd w:val="clear" w:color="auto" w:fill="auto"/>
                  <w:vAlign w:val="center"/>
                </w:tcPr>
                <w:p w14:paraId="19A8899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废物代码</w:t>
                  </w:r>
                </w:p>
              </w:tc>
              <w:tc>
                <w:tcPr>
                  <w:tcW w:w="1144" w:type="dxa"/>
                  <w:shd w:val="clear" w:color="auto" w:fill="auto"/>
                  <w:vAlign w:val="center"/>
                </w:tcPr>
                <w:p w14:paraId="2F10EAE8">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产生量</w:t>
                  </w:r>
                </w:p>
              </w:tc>
              <w:tc>
                <w:tcPr>
                  <w:tcW w:w="2881" w:type="dxa"/>
                  <w:shd w:val="clear" w:color="auto" w:fill="auto"/>
                  <w:vAlign w:val="center"/>
                </w:tcPr>
                <w:p w14:paraId="7A6CBD3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处置方式</w:t>
                  </w:r>
                </w:p>
              </w:tc>
              <w:tc>
                <w:tcPr>
                  <w:tcW w:w="1055" w:type="dxa"/>
                  <w:shd w:val="clear" w:color="auto" w:fill="auto"/>
                  <w:vAlign w:val="center"/>
                </w:tcPr>
                <w:p w14:paraId="6B73B3C9">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是否符合要求</w:t>
                  </w:r>
                </w:p>
              </w:tc>
            </w:tr>
            <w:tr w14:paraId="606401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3" w:type="dxa"/>
                  <w:shd w:val="clear" w:color="auto" w:fill="auto"/>
                  <w:vAlign w:val="center"/>
                </w:tcPr>
                <w:p w14:paraId="77F8D6A5">
                  <w:pPr>
                    <w:spacing w:line="276" w:lineRule="auto"/>
                    <w:jc w:val="center"/>
                    <w:rPr>
                      <w:rFonts w:hint="default" w:ascii="Times New Roman" w:hAnsi="Times New Roman" w:cs="Times New Roman"/>
                      <w:color w:val="auto"/>
                      <w:sz w:val="21"/>
                      <w:szCs w:val="21"/>
                      <w:lang w:val="en-US"/>
                    </w:rPr>
                  </w:pPr>
                  <w:r>
                    <w:rPr>
                      <w:rFonts w:hint="default" w:ascii="Times New Roman" w:hAnsi="Times New Roman" w:cs="Times New Roman"/>
                      <w:color w:val="auto"/>
                      <w:sz w:val="21"/>
                      <w:szCs w:val="21"/>
                      <w:lang w:val="en-US" w:eastAsia="zh-CN"/>
                    </w:rPr>
                    <w:t>PP、PE废料</w:t>
                  </w:r>
                  <w:r>
                    <w:rPr>
                      <w:rFonts w:hint="eastAsia" w:cs="Times New Roman"/>
                      <w:color w:val="auto"/>
                      <w:sz w:val="21"/>
                      <w:szCs w:val="21"/>
                      <w:lang w:val="en-US" w:eastAsia="zh-CN"/>
                    </w:rPr>
                    <w:t>及不合格注塑吹塑产品</w:t>
                  </w:r>
                </w:p>
              </w:tc>
              <w:tc>
                <w:tcPr>
                  <w:tcW w:w="735" w:type="dxa"/>
                  <w:vMerge w:val="restart"/>
                  <w:shd w:val="clear" w:color="auto" w:fill="auto"/>
                  <w:vAlign w:val="center"/>
                </w:tcPr>
                <w:p w14:paraId="72F1052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一般</w:t>
                  </w:r>
                </w:p>
                <w:p w14:paraId="30F80C68">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废物</w:t>
                  </w:r>
                </w:p>
              </w:tc>
              <w:tc>
                <w:tcPr>
                  <w:tcW w:w="855" w:type="dxa"/>
                  <w:shd w:val="clear" w:color="auto" w:fill="auto"/>
                  <w:vAlign w:val="center"/>
                </w:tcPr>
                <w:p w14:paraId="6A10CBE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1305" w:type="dxa"/>
                  <w:shd w:val="clear" w:color="auto" w:fill="auto"/>
                  <w:vAlign w:val="center"/>
                </w:tcPr>
                <w:p w14:paraId="2C7FB49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1144" w:type="dxa"/>
                  <w:shd w:val="clear" w:color="auto" w:fill="auto"/>
                  <w:vAlign w:val="center"/>
                </w:tcPr>
                <w:p w14:paraId="4F84012A">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3t</w:t>
                  </w:r>
                  <w:r>
                    <w:rPr>
                      <w:rFonts w:hint="default" w:ascii="Times New Roman" w:hAnsi="Times New Roman" w:cs="Times New Roman"/>
                      <w:color w:val="auto"/>
                      <w:sz w:val="21"/>
                      <w:szCs w:val="21"/>
                    </w:rPr>
                    <w:t>/a</w:t>
                  </w:r>
                </w:p>
              </w:tc>
              <w:tc>
                <w:tcPr>
                  <w:tcW w:w="2881" w:type="dxa"/>
                  <w:shd w:val="clear" w:color="auto" w:fill="auto"/>
                  <w:vAlign w:val="center"/>
                </w:tcPr>
                <w:p w14:paraId="00444DF1">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破碎后回用</w:t>
                  </w:r>
                </w:p>
              </w:tc>
              <w:tc>
                <w:tcPr>
                  <w:tcW w:w="1055" w:type="dxa"/>
                  <w:shd w:val="clear" w:color="auto" w:fill="auto"/>
                  <w:vAlign w:val="center"/>
                </w:tcPr>
                <w:p w14:paraId="11AAD31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符合</w:t>
                  </w:r>
                </w:p>
              </w:tc>
            </w:tr>
            <w:tr w14:paraId="1143E9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3" w:type="dxa"/>
                  <w:shd w:val="clear" w:color="auto" w:fill="auto"/>
                  <w:vAlign w:val="center"/>
                </w:tcPr>
                <w:p w14:paraId="4D785B2B">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金属废料、包装弃料</w:t>
                  </w:r>
                </w:p>
              </w:tc>
              <w:tc>
                <w:tcPr>
                  <w:tcW w:w="735" w:type="dxa"/>
                  <w:vMerge w:val="continue"/>
                  <w:shd w:val="clear" w:color="auto" w:fill="auto"/>
                  <w:vAlign w:val="center"/>
                </w:tcPr>
                <w:p w14:paraId="41B901D8">
                  <w:pPr>
                    <w:spacing w:line="276" w:lineRule="auto"/>
                    <w:jc w:val="center"/>
                    <w:rPr>
                      <w:rFonts w:hint="default" w:ascii="Times New Roman" w:hAnsi="Times New Roman" w:cs="Times New Roman"/>
                      <w:color w:val="auto"/>
                      <w:sz w:val="21"/>
                      <w:szCs w:val="21"/>
                    </w:rPr>
                  </w:pPr>
                </w:p>
              </w:tc>
              <w:tc>
                <w:tcPr>
                  <w:tcW w:w="855" w:type="dxa"/>
                  <w:shd w:val="clear" w:color="auto" w:fill="auto"/>
                  <w:vAlign w:val="center"/>
                </w:tcPr>
                <w:p w14:paraId="2D8114E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1305" w:type="dxa"/>
                  <w:shd w:val="clear" w:color="auto" w:fill="auto"/>
                  <w:vAlign w:val="center"/>
                </w:tcPr>
                <w:p w14:paraId="16FAE49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1144" w:type="dxa"/>
                  <w:shd w:val="clear" w:color="auto" w:fill="auto"/>
                  <w:vAlign w:val="center"/>
                </w:tcPr>
                <w:p w14:paraId="5408C0EF">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2</w:t>
                  </w:r>
                  <w:r>
                    <w:rPr>
                      <w:rFonts w:hint="default" w:ascii="Times New Roman" w:hAnsi="Times New Roman" w:cs="Times New Roman"/>
                      <w:color w:val="auto"/>
                      <w:sz w:val="21"/>
                      <w:szCs w:val="21"/>
                      <w:lang w:val="en-US" w:eastAsia="zh-CN"/>
                    </w:rPr>
                    <w:t>t</w:t>
                  </w:r>
                  <w:r>
                    <w:rPr>
                      <w:rFonts w:hint="default" w:ascii="Times New Roman" w:hAnsi="Times New Roman" w:cs="Times New Roman"/>
                      <w:color w:val="auto"/>
                      <w:sz w:val="21"/>
                      <w:szCs w:val="21"/>
                    </w:rPr>
                    <w:t>/a</w:t>
                  </w:r>
                </w:p>
              </w:tc>
              <w:tc>
                <w:tcPr>
                  <w:tcW w:w="2881" w:type="dxa"/>
                  <w:shd w:val="clear" w:color="auto" w:fill="auto"/>
                  <w:vAlign w:val="center"/>
                </w:tcPr>
                <w:p w14:paraId="02E36C8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外卖废品收购站</w:t>
                  </w:r>
                </w:p>
              </w:tc>
              <w:tc>
                <w:tcPr>
                  <w:tcW w:w="1055" w:type="dxa"/>
                  <w:shd w:val="clear" w:color="auto" w:fill="auto"/>
                  <w:vAlign w:val="center"/>
                </w:tcPr>
                <w:p w14:paraId="6EB836B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符合</w:t>
                  </w:r>
                </w:p>
              </w:tc>
            </w:tr>
            <w:tr w14:paraId="2A8C04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3" w:type="dxa"/>
                  <w:shd w:val="clear" w:color="auto" w:fill="auto"/>
                  <w:vAlign w:val="center"/>
                </w:tcPr>
                <w:p w14:paraId="382E2BCC">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生活垃圾</w:t>
                  </w:r>
                </w:p>
              </w:tc>
              <w:tc>
                <w:tcPr>
                  <w:tcW w:w="735" w:type="dxa"/>
                  <w:vMerge w:val="continue"/>
                  <w:shd w:val="clear" w:color="auto" w:fill="auto"/>
                  <w:vAlign w:val="center"/>
                </w:tcPr>
                <w:p w14:paraId="41E9D1A8">
                  <w:pPr>
                    <w:spacing w:line="276" w:lineRule="auto"/>
                    <w:jc w:val="center"/>
                    <w:rPr>
                      <w:rFonts w:hint="default" w:ascii="Times New Roman" w:hAnsi="Times New Roman" w:cs="Times New Roman"/>
                      <w:color w:val="auto"/>
                      <w:sz w:val="21"/>
                      <w:szCs w:val="21"/>
                    </w:rPr>
                  </w:pPr>
                </w:p>
              </w:tc>
              <w:tc>
                <w:tcPr>
                  <w:tcW w:w="855" w:type="dxa"/>
                  <w:shd w:val="clear" w:color="auto" w:fill="auto"/>
                  <w:vAlign w:val="center"/>
                </w:tcPr>
                <w:p w14:paraId="7489BA7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1305" w:type="dxa"/>
                  <w:shd w:val="clear" w:color="auto" w:fill="auto"/>
                  <w:vAlign w:val="center"/>
                </w:tcPr>
                <w:p w14:paraId="63AD075C">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1144" w:type="dxa"/>
                  <w:shd w:val="clear" w:color="auto" w:fill="auto"/>
                  <w:vAlign w:val="center"/>
                </w:tcPr>
                <w:p w14:paraId="698F7619">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8.85</w:t>
                  </w:r>
                  <w:r>
                    <w:rPr>
                      <w:rFonts w:hint="default" w:ascii="Times New Roman" w:hAnsi="Times New Roman" w:cs="Times New Roman"/>
                      <w:color w:val="auto"/>
                      <w:sz w:val="21"/>
                      <w:szCs w:val="21"/>
                    </w:rPr>
                    <w:t>t/a</w:t>
                  </w:r>
                </w:p>
              </w:tc>
              <w:tc>
                <w:tcPr>
                  <w:tcW w:w="2881" w:type="dxa"/>
                  <w:shd w:val="clear" w:color="auto" w:fill="auto"/>
                  <w:vAlign w:val="center"/>
                </w:tcPr>
                <w:p w14:paraId="397EF79C">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环卫部门清运处理</w:t>
                  </w:r>
                </w:p>
              </w:tc>
              <w:tc>
                <w:tcPr>
                  <w:tcW w:w="1055" w:type="dxa"/>
                  <w:shd w:val="clear" w:color="auto" w:fill="auto"/>
                  <w:vAlign w:val="center"/>
                </w:tcPr>
                <w:p w14:paraId="0FB5519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符合</w:t>
                  </w:r>
                </w:p>
              </w:tc>
            </w:tr>
            <w:tr w14:paraId="5124BA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3" w:type="dxa"/>
                  <w:shd w:val="clear" w:color="auto" w:fill="auto"/>
                  <w:vAlign w:val="center"/>
                </w:tcPr>
                <w:p w14:paraId="54C5D95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eastAsia="zh-CN"/>
                    </w:rPr>
                    <w:t>化粪池</w:t>
                  </w:r>
                  <w:r>
                    <w:rPr>
                      <w:rFonts w:hint="default" w:ascii="Times New Roman" w:hAnsi="Times New Roman" w:cs="Times New Roman"/>
                      <w:color w:val="auto"/>
                      <w:sz w:val="21"/>
                      <w:szCs w:val="21"/>
                    </w:rPr>
                    <w:t>污泥</w:t>
                  </w:r>
                </w:p>
              </w:tc>
              <w:tc>
                <w:tcPr>
                  <w:tcW w:w="735" w:type="dxa"/>
                  <w:vMerge w:val="continue"/>
                  <w:shd w:val="clear" w:color="auto" w:fill="auto"/>
                  <w:vAlign w:val="center"/>
                </w:tcPr>
                <w:p w14:paraId="2F757B36">
                  <w:pPr>
                    <w:spacing w:line="276" w:lineRule="auto"/>
                    <w:jc w:val="center"/>
                    <w:rPr>
                      <w:rFonts w:hint="default" w:ascii="Times New Roman" w:hAnsi="Times New Roman" w:cs="Times New Roman"/>
                      <w:color w:val="auto"/>
                      <w:sz w:val="21"/>
                      <w:szCs w:val="21"/>
                    </w:rPr>
                  </w:pPr>
                </w:p>
              </w:tc>
              <w:tc>
                <w:tcPr>
                  <w:tcW w:w="855" w:type="dxa"/>
                  <w:shd w:val="clear" w:color="auto" w:fill="auto"/>
                  <w:vAlign w:val="center"/>
                </w:tcPr>
                <w:p w14:paraId="0B932E31">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1305" w:type="dxa"/>
                  <w:shd w:val="clear" w:color="auto" w:fill="auto"/>
                  <w:vAlign w:val="center"/>
                </w:tcPr>
                <w:p w14:paraId="752D1930">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w:t>
                  </w:r>
                </w:p>
              </w:tc>
              <w:tc>
                <w:tcPr>
                  <w:tcW w:w="1144" w:type="dxa"/>
                  <w:shd w:val="clear" w:color="auto" w:fill="auto"/>
                  <w:vAlign w:val="center"/>
                </w:tcPr>
                <w:p w14:paraId="78CD19F2">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170</w:t>
                  </w:r>
                  <w:r>
                    <w:rPr>
                      <w:rFonts w:hint="default" w:ascii="Times New Roman" w:hAnsi="Times New Roman" w:cs="Times New Roman"/>
                      <w:color w:val="auto"/>
                      <w:sz w:val="21"/>
                      <w:szCs w:val="21"/>
                    </w:rPr>
                    <w:t>kg/a</w:t>
                  </w:r>
                </w:p>
              </w:tc>
              <w:tc>
                <w:tcPr>
                  <w:tcW w:w="2881" w:type="dxa"/>
                  <w:shd w:val="clear" w:color="auto" w:fill="auto"/>
                  <w:vAlign w:val="center"/>
                </w:tcPr>
                <w:p w14:paraId="6DC8F5BC">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环卫部门清运处理</w:t>
                  </w:r>
                </w:p>
              </w:tc>
              <w:tc>
                <w:tcPr>
                  <w:tcW w:w="1055" w:type="dxa"/>
                  <w:shd w:val="clear" w:color="auto" w:fill="auto"/>
                  <w:vAlign w:val="center"/>
                </w:tcPr>
                <w:p w14:paraId="19BAD4B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符合</w:t>
                  </w:r>
                </w:p>
              </w:tc>
            </w:tr>
            <w:tr w14:paraId="7CC1AB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3" w:type="dxa"/>
                  <w:shd w:val="clear" w:color="auto" w:fill="auto"/>
                  <w:vAlign w:val="center"/>
                </w:tcPr>
                <w:p w14:paraId="142FE3F4">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隔油池废油脂</w:t>
                  </w:r>
                </w:p>
              </w:tc>
              <w:tc>
                <w:tcPr>
                  <w:tcW w:w="735" w:type="dxa"/>
                  <w:vMerge w:val="continue"/>
                  <w:shd w:val="clear" w:color="auto" w:fill="auto"/>
                  <w:vAlign w:val="center"/>
                </w:tcPr>
                <w:p w14:paraId="2EED0720">
                  <w:pPr>
                    <w:spacing w:line="276" w:lineRule="auto"/>
                    <w:jc w:val="center"/>
                    <w:rPr>
                      <w:rFonts w:hint="default" w:ascii="Times New Roman" w:hAnsi="Times New Roman" w:cs="Times New Roman"/>
                      <w:color w:val="auto"/>
                      <w:sz w:val="21"/>
                      <w:szCs w:val="21"/>
                    </w:rPr>
                  </w:pPr>
                </w:p>
              </w:tc>
              <w:tc>
                <w:tcPr>
                  <w:tcW w:w="855" w:type="dxa"/>
                  <w:shd w:val="clear" w:color="auto" w:fill="auto"/>
                  <w:vAlign w:val="center"/>
                </w:tcPr>
                <w:p w14:paraId="7916C94B">
                  <w:pPr>
                    <w:spacing w:line="276"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w:t>
                  </w:r>
                </w:p>
              </w:tc>
              <w:tc>
                <w:tcPr>
                  <w:tcW w:w="1305" w:type="dxa"/>
                  <w:shd w:val="clear" w:color="auto" w:fill="auto"/>
                  <w:vAlign w:val="center"/>
                </w:tcPr>
                <w:p w14:paraId="10B230C2">
                  <w:pPr>
                    <w:spacing w:line="276"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val="en-US" w:eastAsia="zh-CN"/>
                    </w:rPr>
                    <w:t>/</w:t>
                  </w:r>
                </w:p>
              </w:tc>
              <w:tc>
                <w:tcPr>
                  <w:tcW w:w="1144" w:type="dxa"/>
                  <w:shd w:val="clear" w:color="auto" w:fill="auto"/>
                  <w:vAlign w:val="center"/>
                </w:tcPr>
                <w:p w14:paraId="7AAF10C1">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0.003t/a</w:t>
                  </w:r>
                </w:p>
              </w:tc>
              <w:tc>
                <w:tcPr>
                  <w:tcW w:w="2881" w:type="dxa"/>
                  <w:shd w:val="clear" w:color="auto" w:fill="auto"/>
                  <w:vAlign w:val="center"/>
                </w:tcPr>
                <w:p w14:paraId="06756A53">
                  <w:pPr>
                    <w:spacing w:line="276" w:lineRule="auto"/>
                    <w:jc w:val="center"/>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eastAsia="zh-CN"/>
                    </w:rPr>
                    <w:t>交有收运资质的单位处理</w:t>
                  </w:r>
                </w:p>
              </w:tc>
              <w:tc>
                <w:tcPr>
                  <w:tcW w:w="1055" w:type="dxa"/>
                  <w:shd w:val="clear" w:color="auto" w:fill="auto"/>
                  <w:vAlign w:val="center"/>
                </w:tcPr>
                <w:p w14:paraId="20D90868">
                  <w:pPr>
                    <w:spacing w:line="276" w:lineRule="auto"/>
                    <w:jc w:val="center"/>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eastAsia="zh-CN"/>
                    </w:rPr>
                    <w:t>符合</w:t>
                  </w:r>
                </w:p>
              </w:tc>
            </w:tr>
            <w:tr w14:paraId="4E58B3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93" w:type="dxa"/>
                  <w:shd w:val="clear" w:color="auto" w:fill="auto"/>
                  <w:vAlign w:val="center"/>
                </w:tcPr>
                <w:p w14:paraId="5B9E0D5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w:t>
                  </w:r>
                  <w:r>
                    <w:rPr>
                      <w:rFonts w:hint="default" w:ascii="Times New Roman" w:hAnsi="Times New Roman" w:cs="Times New Roman"/>
                      <w:color w:val="auto"/>
                      <w:sz w:val="21"/>
                      <w:szCs w:val="21"/>
                      <w:lang w:eastAsia="zh-CN"/>
                    </w:rPr>
                    <w:t>液压油</w:t>
                  </w:r>
                </w:p>
              </w:tc>
              <w:tc>
                <w:tcPr>
                  <w:tcW w:w="735" w:type="dxa"/>
                  <w:vMerge w:val="restart"/>
                  <w:shd w:val="clear" w:color="auto" w:fill="auto"/>
                  <w:vAlign w:val="center"/>
                </w:tcPr>
                <w:p w14:paraId="41BD7B2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危险废物</w:t>
                  </w:r>
                </w:p>
              </w:tc>
              <w:tc>
                <w:tcPr>
                  <w:tcW w:w="855" w:type="dxa"/>
                  <w:shd w:val="clear" w:color="auto" w:fill="auto"/>
                  <w:vAlign w:val="center"/>
                </w:tcPr>
                <w:p w14:paraId="2BA908A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HW</w:t>
                  </w:r>
                  <w:r>
                    <w:rPr>
                      <w:rFonts w:hint="default" w:ascii="Times New Roman" w:hAnsi="Times New Roman" w:cs="Times New Roman"/>
                      <w:color w:val="auto"/>
                      <w:sz w:val="21"/>
                      <w:szCs w:val="21"/>
                      <w:lang w:val="en-US" w:eastAsia="zh-CN"/>
                    </w:rPr>
                    <w:t>08</w:t>
                  </w:r>
                </w:p>
              </w:tc>
              <w:tc>
                <w:tcPr>
                  <w:tcW w:w="1305" w:type="dxa"/>
                  <w:shd w:val="clear" w:color="auto" w:fill="auto"/>
                  <w:vAlign w:val="center"/>
                </w:tcPr>
                <w:p w14:paraId="06E6F9C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900-</w:t>
                  </w:r>
                  <w:r>
                    <w:rPr>
                      <w:rFonts w:hint="default" w:ascii="Times New Roman" w:hAnsi="Times New Roman" w:cs="Times New Roman"/>
                      <w:color w:val="auto"/>
                      <w:sz w:val="21"/>
                      <w:szCs w:val="21"/>
                      <w:lang w:val="en-US" w:eastAsia="zh-CN"/>
                    </w:rPr>
                    <w:t>218</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08</w:t>
                  </w:r>
                </w:p>
              </w:tc>
              <w:tc>
                <w:tcPr>
                  <w:tcW w:w="1144" w:type="dxa"/>
                  <w:shd w:val="clear" w:color="auto" w:fill="auto"/>
                  <w:vAlign w:val="center"/>
                </w:tcPr>
                <w:p w14:paraId="1511E16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0.0</w:t>
                  </w:r>
                  <w:r>
                    <w:rPr>
                      <w:rFonts w:hint="eastAsia" w:cs="Times New Roman"/>
                      <w:color w:val="auto"/>
                      <w:sz w:val="21"/>
                      <w:szCs w:val="21"/>
                      <w:lang w:val="en-US" w:eastAsia="zh-CN"/>
                    </w:rPr>
                    <w:t>4</w:t>
                  </w:r>
                  <w:r>
                    <w:rPr>
                      <w:rFonts w:hint="default" w:ascii="Times New Roman" w:hAnsi="Times New Roman" w:cs="Times New Roman"/>
                      <w:color w:val="auto"/>
                      <w:sz w:val="21"/>
                      <w:szCs w:val="21"/>
                    </w:rPr>
                    <w:t>t/a</w:t>
                  </w:r>
                </w:p>
              </w:tc>
              <w:tc>
                <w:tcPr>
                  <w:tcW w:w="2881" w:type="dxa"/>
                  <w:vMerge w:val="restart"/>
                  <w:shd w:val="clear" w:color="auto" w:fill="auto"/>
                  <w:vAlign w:val="center"/>
                </w:tcPr>
                <w:p w14:paraId="3BEFCBBD">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交由有资质的单位进行处理</w:t>
                  </w:r>
                </w:p>
              </w:tc>
              <w:tc>
                <w:tcPr>
                  <w:tcW w:w="1055" w:type="dxa"/>
                  <w:shd w:val="clear" w:color="auto" w:fill="auto"/>
                  <w:vAlign w:val="center"/>
                </w:tcPr>
                <w:p w14:paraId="087DAA5C">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符合</w:t>
                  </w:r>
                </w:p>
              </w:tc>
            </w:tr>
            <w:tr w14:paraId="2F924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7" w:hRule="atLeast"/>
                <w:jc w:val="center"/>
              </w:trPr>
              <w:tc>
                <w:tcPr>
                  <w:tcW w:w="1993" w:type="dxa"/>
                  <w:shd w:val="clear" w:color="auto" w:fill="auto"/>
                  <w:vAlign w:val="center"/>
                </w:tcPr>
                <w:p w14:paraId="763DD8D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w:t>
                  </w:r>
                  <w:r>
                    <w:rPr>
                      <w:rFonts w:hint="default" w:ascii="Times New Roman" w:hAnsi="Times New Roman" w:cs="Times New Roman"/>
                      <w:color w:val="auto"/>
                      <w:sz w:val="21"/>
                      <w:szCs w:val="21"/>
                      <w:lang w:eastAsia="zh-CN"/>
                    </w:rPr>
                    <w:t>含油抹布手套</w:t>
                  </w:r>
                </w:p>
              </w:tc>
              <w:tc>
                <w:tcPr>
                  <w:tcW w:w="735" w:type="dxa"/>
                  <w:vMerge w:val="continue"/>
                  <w:shd w:val="clear" w:color="auto" w:fill="auto"/>
                  <w:vAlign w:val="center"/>
                </w:tcPr>
                <w:p w14:paraId="32CB0C1D">
                  <w:pPr>
                    <w:spacing w:line="276" w:lineRule="auto"/>
                    <w:jc w:val="center"/>
                    <w:rPr>
                      <w:rFonts w:hint="default" w:ascii="Times New Roman" w:hAnsi="Times New Roman" w:cs="Times New Roman"/>
                      <w:color w:val="auto"/>
                      <w:sz w:val="21"/>
                      <w:szCs w:val="21"/>
                    </w:rPr>
                  </w:pPr>
                </w:p>
              </w:tc>
              <w:tc>
                <w:tcPr>
                  <w:tcW w:w="855" w:type="dxa"/>
                  <w:shd w:val="clear" w:color="auto" w:fill="auto"/>
                  <w:vAlign w:val="center"/>
                </w:tcPr>
                <w:p w14:paraId="22B6287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HW49</w:t>
                  </w:r>
                </w:p>
              </w:tc>
              <w:tc>
                <w:tcPr>
                  <w:tcW w:w="1305" w:type="dxa"/>
                  <w:shd w:val="clear" w:color="auto" w:fill="auto"/>
                  <w:vAlign w:val="center"/>
                </w:tcPr>
                <w:p w14:paraId="56D9F71A">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900-041-49</w:t>
                  </w:r>
                </w:p>
              </w:tc>
              <w:tc>
                <w:tcPr>
                  <w:tcW w:w="1144" w:type="dxa"/>
                  <w:shd w:val="clear" w:color="auto" w:fill="auto"/>
                  <w:vAlign w:val="center"/>
                </w:tcPr>
                <w:p w14:paraId="29B0F031">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0.</w:t>
                  </w:r>
                  <w:r>
                    <w:rPr>
                      <w:rFonts w:hint="default" w:ascii="Times New Roman" w:hAnsi="Times New Roman" w:cs="Times New Roman"/>
                      <w:color w:val="auto"/>
                      <w:sz w:val="21"/>
                      <w:szCs w:val="21"/>
                      <w:lang w:val="en-US" w:eastAsia="zh-CN"/>
                    </w:rPr>
                    <w:t>02</w:t>
                  </w:r>
                  <w:r>
                    <w:rPr>
                      <w:rFonts w:hint="default" w:ascii="Times New Roman" w:hAnsi="Times New Roman" w:cs="Times New Roman"/>
                      <w:color w:val="auto"/>
                      <w:sz w:val="21"/>
                      <w:szCs w:val="21"/>
                    </w:rPr>
                    <w:t>t/a</w:t>
                  </w:r>
                </w:p>
              </w:tc>
              <w:tc>
                <w:tcPr>
                  <w:tcW w:w="2881" w:type="dxa"/>
                  <w:vMerge w:val="continue"/>
                  <w:shd w:val="clear" w:color="auto" w:fill="auto"/>
                  <w:vAlign w:val="center"/>
                </w:tcPr>
                <w:p w14:paraId="206A5C4A">
                  <w:pPr>
                    <w:spacing w:line="276" w:lineRule="auto"/>
                    <w:jc w:val="center"/>
                    <w:rPr>
                      <w:rFonts w:hint="default" w:ascii="Times New Roman" w:hAnsi="Times New Roman" w:cs="Times New Roman"/>
                      <w:color w:val="auto"/>
                      <w:sz w:val="21"/>
                      <w:szCs w:val="21"/>
                    </w:rPr>
                  </w:pPr>
                </w:p>
              </w:tc>
              <w:tc>
                <w:tcPr>
                  <w:tcW w:w="1055" w:type="dxa"/>
                  <w:shd w:val="clear" w:color="auto" w:fill="auto"/>
                  <w:vAlign w:val="center"/>
                </w:tcPr>
                <w:p w14:paraId="5482C43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符合</w:t>
                  </w:r>
                </w:p>
              </w:tc>
            </w:tr>
            <w:tr w14:paraId="0F11F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7" w:hRule="atLeast"/>
                <w:jc w:val="center"/>
              </w:trPr>
              <w:tc>
                <w:tcPr>
                  <w:tcW w:w="1993" w:type="dxa"/>
                  <w:shd w:val="clear" w:color="auto" w:fill="auto"/>
                  <w:vAlign w:val="center"/>
                </w:tcPr>
                <w:p w14:paraId="6173295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废</w:t>
                  </w:r>
                  <w:r>
                    <w:rPr>
                      <w:rFonts w:hint="eastAsia" w:cs="Times New Roman"/>
                      <w:color w:val="auto"/>
                      <w:sz w:val="21"/>
                      <w:szCs w:val="21"/>
                      <w:lang w:val="en-US" w:eastAsia="zh-CN"/>
                    </w:rPr>
                    <w:t>润滑油</w:t>
                  </w:r>
                </w:p>
              </w:tc>
              <w:tc>
                <w:tcPr>
                  <w:tcW w:w="735" w:type="dxa"/>
                  <w:vMerge w:val="continue"/>
                  <w:shd w:val="clear" w:color="auto" w:fill="auto"/>
                  <w:vAlign w:val="center"/>
                </w:tcPr>
                <w:p w14:paraId="29439173">
                  <w:pPr>
                    <w:spacing w:line="276" w:lineRule="auto"/>
                    <w:jc w:val="center"/>
                    <w:rPr>
                      <w:rFonts w:hint="default" w:ascii="Times New Roman" w:hAnsi="Times New Roman" w:cs="Times New Roman"/>
                      <w:color w:val="auto"/>
                      <w:sz w:val="21"/>
                      <w:szCs w:val="21"/>
                    </w:rPr>
                  </w:pPr>
                </w:p>
              </w:tc>
              <w:tc>
                <w:tcPr>
                  <w:tcW w:w="855" w:type="dxa"/>
                  <w:shd w:val="clear" w:color="auto" w:fill="auto"/>
                  <w:vAlign w:val="center"/>
                </w:tcPr>
                <w:p w14:paraId="1F81D48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HW</w:t>
                  </w:r>
                  <w:r>
                    <w:rPr>
                      <w:rFonts w:hint="default" w:ascii="Times New Roman" w:hAnsi="Times New Roman" w:cs="Times New Roman"/>
                      <w:color w:val="auto"/>
                      <w:sz w:val="21"/>
                      <w:szCs w:val="21"/>
                      <w:lang w:val="en-US" w:eastAsia="zh-CN"/>
                    </w:rPr>
                    <w:t>08</w:t>
                  </w:r>
                </w:p>
              </w:tc>
              <w:tc>
                <w:tcPr>
                  <w:tcW w:w="1305" w:type="dxa"/>
                  <w:shd w:val="clear" w:color="auto" w:fill="auto"/>
                  <w:vAlign w:val="center"/>
                </w:tcPr>
                <w:p w14:paraId="215DDAE5">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900-214-08</w:t>
                  </w:r>
                </w:p>
              </w:tc>
              <w:tc>
                <w:tcPr>
                  <w:tcW w:w="1144" w:type="dxa"/>
                  <w:shd w:val="clear" w:color="auto" w:fill="auto"/>
                  <w:vAlign w:val="center"/>
                </w:tcPr>
                <w:p w14:paraId="7CC2942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0.0</w:t>
                  </w:r>
                  <w:r>
                    <w:rPr>
                      <w:rFonts w:hint="default" w:ascii="Times New Roman" w:hAnsi="Times New Roman" w:cs="Times New Roman"/>
                      <w:color w:val="auto"/>
                      <w:sz w:val="21"/>
                      <w:szCs w:val="21"/>
                      <w:lang w:val="en-US" w:eastAsia="zh-CN"/>
                    </w:rPr>
                    <w:t>4</w:t>
                  </w:r>
                  <w:r>
                    <w:rPr>
                      <w:rFonts w:hint="default" w:ascii="Times New Roman" w:hAnsi="Times New Roman" w:cs="Times New Roman"/>
                      <w:color w:val="auto"/>
                      <w:sz w:val="21"/>
                      <w:szCs w:val="21"/>
                    </w:rPr>
                    <w:t>t/a</w:t>
                  </w:r>
                </w:p>
              </w:tc>
              <w:tc>
                <w:tcPr>
                  <w:tcW w:w="2881" w:type="dxa"/>
                  <w:vMerge w:val="continue"/>
                  <w:shd w:val="clear" w:color="auto" w:fill="auto"/>
                  <w:vAlign w:val="center"/>
                </w:tcPr>
                <w:p w14:paraId="58455B60">
                  <w:pPr>
                    <w:spacing w:line="276" w:lineRule="auto"/>
                    <w:jc w:val="center"/>
                    <w:rPr>
                      <w:rFonts w:hint="default" w:ascii="Times New Roman" w:hAnsi="Times New Roman" w:cs="Times New Roman"/>
                      <w:color w:val="auto"/>
                      <w:sz w:val="21"/>
                      <w:szCs w:val="21"/>
                    </w:rPr>
                  </w:pPr>
                </w:p>
              </w:tc>
              <w:tc>
                <w:tcPr>
                  <w:tcW w:w="1055" w:type="dxa"/>
                  <w:shd w:val="clear" w:color="auto" w:fill="auto"/>
                  <w:vAlign w:val="center"/>
                </w:tcPr>
                <w:p w14:paraId="51DDCBE1">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符合</w:t>
                  </w:r>
                </w:p>
              </w:tc>
            </w:tr>
            <w:tr w14:paraId="678BD2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7" w:hRule="atLeast"/>
                <w:jc w:val="center"/>
              </w:trPr>
              <w:tc>
                <w:tcPr>
                  <w:tcW w:w="1993" w:type="dxa"/>
                  <w:shd w:val="clear" w:color="auto" w:fill="auto"/>
                  <w:vAlign w:val="center"/>
                </w:tcPr>
                <w:p w14:paraId="21AB7C8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废活性炭</w:t>
                  </w:r>
                </w:p>
              </w:tc>
              <w:tc>
                <w:tcPr>
                  <w:tcW w:w="735" w:type="dxa"/>
                  <w:vMerge w:val="continue"/>
                  <w:shd w:val="clear" w:color="auto" w:fill="auto"/>
                  <w:vAlign w:val="center"/>
                </w:tcPr>
                <w:p w14:paraId="1CD120B5">
                  <w:pPr>
                    <w:spacing w:line="276" w:lineRule="auto"/>
                    <w:jc w:val="center"/>
                    <w:rPr>
                      <w:rFonts w:hint="default" w:ascii="Times New Roman" w:hAnsi="Times New Roman" w:cs="Times New Roman"/>
                      <w:color w:val="auto"/>
                      <w:sz w:val="21"/>
                      <w:szCs w:val="21"/>
                    </w:rPr>
                  </w:pPr>
                </w:p>
              </w:tc>
              <w:tc>
                <w:tcPr>
                  <w:tcW w:w="855" w:type="dxa"/>
                  <w:shd w:val="clear" w:color="auto" w:fill="auto"/>
                  <w:vAlign w:val="center"/>
                </w:tcPr>
                <w:p w14:paraId="29EA4B5D">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HW49</w:t>
                  </w:r>
                </w:p>
              </w:tc>
              <w:tc>
                <w:tcPr>
                  <w:tcW w:w="1305" w:type="dxa"/>
                  <w:shd w:val="clear" w:color="auto" w:fill="auto"/>
                  <w:vAlign w:val="center"/>
                </w:tcPr>
                <w:p w14:paraId="7365324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900-041-49</w:t>
                  </w:r>
                </w:p>
              </w:tc>
              <w:tc>
                <w:tcPr>
                  <w:tcW w:w="1144" w:type="dxa"/>
                  <w:shd w:val="clear" w:color="auto" w:fill="auto"/>
                  <w:vAlign w:val="center"/>
                </w:tcPr>
                <w:p w14:paraId="05E3059F">
                  <w:pPr>
                    <w:spacing w:line="276" w:lineRule="auto"/>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140</w:t>
                  </w:r>
                  <w:r>
                    <w:rPr>
                      <w:rFonts w:hint="default" w:ascii="Times New Roman" w:hAnsi="Times New Roman" w:cs="Times New Roman"/>
                      <w:color w:val="auto"/>
                      <w:sz w:val="21"/>
                      <w:szCs w:val="21"/>
                    </w:rPr>
                    <w:t>kg/a</w:t>
                  </w:r>
                </w:p>
              </w:tc>
              <w:tc>
                <w:tcPr>
                  <w:tcW w:w="2881" w:type="dxa"/>
                  <w:vMerge w:val="continue"/>
                  <w:shd w:val="clear" w:color="auto" w:fill="auto"/>
                  <w:vAlign w:val="center"/>
                </w:tcPr>
                <w:p w14:paraId="7D04ABEC">
                  <w:pPr>
                    <w:spacing w:line="276" w:lineRule="auto"/>
                    <w:jc w:val="center"/>
                    <w:rPr>
                      <w:rFonts w:hint="default" w:ascii="Times New Roman" w:hAnsi="Times New Roman" w:cs="Times New Roman"/>
                      <w:color w:val="auto"/>
                      <w:sz w:val="21"/>
                      <w:szCs w:val="21"/>
                    </w:rPr>
                  </w:pPr>
                </w:p>
              </w:tc>
              <w:tc>
                <w:tcPr>
                  <w:tcW w:w="1055" w:type="dxa"/>
                  <w:shd w:val="clear" w:color="auto" w:fill="auto"/>
                  <w:vAlign w:val="center"/>
                </w:tcPr>
                <w:p w14:paraId="77478229">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符合</w:t>
                  </w:r>
                </w:p>
              </w:tc>
            </w:tr>
            <w:tr w14:paraId="7A1F97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7" w:hRule="atLeast"/>
                <w:jc w:val="center"/>
              </w:trPr>
              <w:tc>
                <w:tcPr>
                  <w:tcW w:w="1993" w:type="dxa"/>
                  <w:shd w:val="clear" w:color="auto" w:fill="auto"/>
                  <w:vAlign w:val="center"/>
                </w:tcPr>
                <w:p w14:paraId="60097C89">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废</w:t>
                  </w:r>
                  <w:r>
                    <w:rPr>
                      <w:rFonts w:hint="eastAsia" w:cs="Times New Roman"/>
                      <w:color w:val="auto"/>
                      <w:sz w:val="21"/>
                      <w:szCs w:val="21"/>
                      <w:lang w:val="en-US" w:eastAsia="zh-CN"/>
                    </w:rPr>
                    <w:t>原料</w:t>
                  </w:r>
                  <w:r>
                    <w:rPr>
                      <w:rFonts w:hint="default" w:ascii="Times New Roman" w:hAnsi="Times New Roman" w:cs="Times New Roman"/>
                      <w:color w:val="auto"/>
                      <w:sz w:val="21"/>
                      <w:szCs w:val="21"/>
                      <w:lang w:val="en-US" w:eastAsia="zh-CN"/>
                    </w:rPr>
                    <w:t>桶</w:t>
                  </w:r>
                </w:p>
              </w:tc>
              <w:tc>
                <w:tcPr>
                  <w:tcW w:w="735" w:type="dxa"/>
                  <w:vMerge w:val="continue"/>
                  <w:shd w:val="clear" w:color="auto" w:fill="auto"/>
                  <w:vAlign w:val="center"/>
                </w:tcPr>
                <w:p w14:paraId="2C1A6A3D">
                  <w:pPr>
                    <w:spacing w:line="276" w:lineRule="auto"/>
                    <w:jc w:val="center"/>
                    <w:rPr>
                      <w:rFonts w:hint="default" w:ascii="Times New Roman" w:hAnsi="Times New Roman" w:cs="Times New Roman"/>
                      <w:color w:val="auto"/>
                      <w:sz w:val="21"/>
                      <w:szCs w:val="21"/>
                    </w:rPr>
                  </w:pPr>
                </w:p>
              </w:tc>
              <w:tc>
                <w:tcPr>
                  <w:tcW w:w="855" w:type="dxa"/>
                  <w:shd w:val="clear" w:color="auto" w:fill="auto"/>
                  <w:vAlign w:val="center"/>
                </w:tcPr>
                <w:p w14:paraId="0B558498">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HW49</w:t>
                  </w:r>
                </w:p>
              </w:tc>
              <w:tc>
                <w:tcPr>
                  <w:tcW w:w="1305" w:type="dxa"/>
                  <w:shd w:val="clear" w:color="auto" w:fill="auto"/>
                  <w:vAlign w:val="center"/>
                </w:tcPr>
                <w:p w14:paraId="32E59D8D">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900-041-49</w:t>
                  </w:r>
                </w:p>
              </w:tc>
              <w:tc>
                <w:tcPr>
                  <w:tcW w:w="1144" w:type="dxa"/>
                  <w:shd w:val="clear" w:color="auto" w:fill="auto"/>
                  <w:vAlign w:val="center"/>
                </w:tcPr>
                <w:p w14:paraId="37D8937C">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1t/a</w:t>
                  </w:r>
                </w:p>
              </w:tc>
              <w:tc>
                <w:tcPr>
                  <w:tcW w:w="2881" w:type="dxa"/>
                  <w:vMerge w:val="continue"/>
                  <w:shd w:val="clear" w:color="auto" w:fill="auto"/>
                  <w:vAlign w:val="center"/>
                </w:tcPr>
                <w:p w14:paraId="1DD77299">
                  <w:pPr>
                    <w:spacing w:line="276" w:lineRule="auto"/>
                    <w:jc w:val="center"/>
                    <w:rPr>
                      <w:rFonts w:hint="default" w:ascii="Times New Roman" w:hAnsi="Times New Roman" w:cs="Times New Roman"/>
                      <w:color w:val="auto"/>
                      <w:sz w:val="21"/>
                      <w:szCs w:val="21"/>
                    </w:rPr>
                  </w:pPr>
                </w:p>
              </w:tc>
              <w:tc>
                <w:tcPr>
                  <w:tcW w:w="1055" w:type="dxa"/>
                  <w:shd w:val="clear" w:color="auto" w:fill="auto"/>
                  <w:vAlign w:val="center"/>
                </w:tcPr>
                <w:p w14:paraId="7A9BC9B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符合</w:t>
                  </w:r>
                </w:p>
              </w:tc>
            </w:tr>
          </w:tbl>
          <w:p w14:paraId="0DB8F8BE">
            <w:pPr>
              <w:pStyle w:val="28"/>
              <w:spacing w:line="360" w:lineRule="auto"/>
              <w:ind w:firstLine="480" w:firstLineChars="200"/>
              <w:rPr>
                <w:rFonts w:hint="default" w:ascii="Times New Roman" w:hAnsi="Times New Roman" w:cs="Times New Roman"/>
                <w:lang w:val="en-US" w:eastAsia="zh-CN"/>
              </w:rPr>
            </w:pPr>
            <w:r>
              <w:rPr>
                <w:rFonts w:hint="default" w:ascii="Times New Roman" w:hAnsi="Times New Roman" w:cs="Times New Roman"/>
                <w:lang w:val="en-US" w:eastAsia="zh-CN"/>
              </w:rPr>
              <w:t>本项目危险废物产生及处置情况汇总见下表5-</w:t>
            </w:r>
            <w:r>
              <w:rPr>
                <w:rFonts w:hint="eastAsia" w:ascii="Times New Roman" w:cs="Times New Roman"/>
                <w:lang w:val="en-US" w:eastAsia="zh-CN"/>
              </w:rPr>
              <w:t>8</w:t>
            </w:r>
            <w:r>
              <w:rPr>
                <w:rFonts w:hint="default" w:ascii="Times New Roman" w:hAnsi="Times New Roman" w:cs="Times New Roman"/>
                <w:lang w:val="en-US" w:eastAsia="zh-CN"/>
              </w:rPr>
              <w:t>。</w:t>
            </w:r>
          </w:p>
          <w:p w14:paraId="79E0026E">
            <w:pPr>
              <w:spacing w:line="360" w:lineRule="auto"/>
              <w:jc w:val="center"/>
              <w:rPr>
                <w:rFonts w:hint="default" w:ascii="Times New Roman" w:hAnsi="Times New Roman" w:cs="Times New Roman" w:eastAsiaTheme="minorEastAsia"/>
                <w:b/>
                <w:bCs/>
                <w:color w:val="auto"/>
                <w:szCs w:val="21"/>
                <w:lang w:val="en-US" w:eastAsia="zh-CN"/>
              </w:rPr>
            </w:pPr>
            <w:r>
              <w:rPr>
                <w:rFonts w:hint="default" w:ascii="Times New Roman" w:hAnsi="Times New Roman" w:cs="Times New Roman" w:eastAsiaTheme="minorEastAsia"/>
                <w:b/>
                <w:bCs/>
                <w:color w:val="auto"/>
                <w:szCs w:val="21"/>
                <w:lang w:val="en-US" w:eastAsia="zh-CN"/>
              </w:rPr>
              <w:t>表5-</w:t>
            </w:r>
            <w:r>
              <w:rPr>
                <w:rFonts w:hint="eastAsia" w:cs="Times New Roman" w:eastAsiaTheme="minorEastAsia"/>
                <w:b/>
                <w:bCs/>
                <w:color w:val="auto"/>
                <w:szCs w:val="21"/>
                <w:lang w:val="en-US" w:eastAsia="zh-CN"/>
              </w:rPr>
              <w:t>8</w:t>
            </w:r>
            <w:r>
              <w:rPr>
                <w:rFonts w:hint="default" w:ascii="Times New Roman" w:hAnsi="Times New Roman" w:cs="Times New Roman" w:eastAsiaTheme="minorEastAsia"/>
                <w:b/>
                <w:bCs/>
                <w:color w:val="auto"/>
                <w:szCs w:val="21"/>
                <w:lang w:val="en-US" w:eastAsia="zh-CN"/>
              </w:rPr>
              <w:t xml:space="preserve"> 危险废物产生及处置情况汇总表</w:t>
            </w:r>
          </w:p>
          <w:tbl>
            <w:tblPr>
              <w:tblStyle w:val="23"/>
              <w:tblW w:w="99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336"/>
              <w:gridCol w:w="635"/>
              <w:gridCol w:w="619"/>
              <w:gridCol w:w="1106"/>
              <w:gridCol w:w="919"/>
              <w:gridCol w:w="919"/>
              <w:gridCol w:w="600"/>
              <w:gridCol w:w="937"/>
              <w:gridCol w:w="956"/>
              <w:gridCol w:w="1013"/>
              <w:gridCol w:w="825"/>
              <w:gridCol w:w="1103"/>
            </w:tblGrid>
            <w:tr w14:paraId="4AA0BA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36" w:type="dxa"/>
                  <w:vAlign w:val="center"/>
                </w:tcPr>
                <w:p w14:paraId="5413D97C">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序号</w:t>
                  </w:r>
                </w:p>
              </w:tc>
              <w:tc>
                <w:tcPr>
                  <w:tcW w:w="635" w:type="dxa"/>
                  <w:vAlign w:val="center"/>
                </w:tcPr>
                <w:p w14:paraId="1CC39200">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危险废物</w:t>
                  </w:r>
                </w:p>
                <w:p w14:paraId="77313AD0">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名称</w:t>
                  </w:r>
                </w:p>
              </w:tc>
              <w:tc>
                <w:tcPr>
                  <w:tcW w:w="619" w:type="dxa"/>
                  <w:vAlign w:val="center"/>
                </w:tcPr>
                <w:p w14:paraId="033A060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危险废物类别</w:t>
                  </w:r>
                </w:p>
              </w:tc>
              <w:tc>
                <w:tcPr>
                  <w:tcW w:w="1106" w:type="dxa"/>
                  <w:vAlign w:val="center"/>
                </w:tcPr>
                <w:p w14:paraId="24F58E9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危险废物</w:t>
                  </w:r>
                </w:p>
                <w:p w14:paraId="201ED4F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代码</w:t>
                  </w:r>
                </w:p>
              </w:tc>
              <w:tc>
                <w:tcPr>
                  <w:tcW w:w="919" w:type="dxa"/>
                  <w:vAlign w:val="center"/>
                </w:tcPr>
                <w:p w14:paraId="6803B95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产生量</w:t>
                  </w:r>
                </w:p>
              </w:tc>
              <w:tc>
                <w:tcPr>
                  <w:tcW w:w="919" w:type="dxa"/>
                  <w:vAlign w:val="center"/>
                </w:tcPr>
                <w:p w14:paraId="151DCBAE">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产生工序</w:t>
                  </w:r>
                </w:p>
                <w:p w14:paraId="2BF7F55A">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及装置</w:t>
                  </w:r>
                </w:p>
              </w:tc>
              <w:tc>
                <w:tcPr>
                  <w:tcW w:w="600" w:type="dxa"/>
                  <w:vAlign w:val="center"/>
                </w:tcPr>
                <w:p w14:paraId="404875AE">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形态</w:t>
                  </w:r>
                </w:p>
              </w:tc>
              <w:tc>
                <w:tcPr>
                  <w:tcW w:w="937" w:type="dxa"/>
                  <w:vAlign w:val="center"/>
                </w:tcPr>
                <w:p w14:paraId="79B43E5F">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主要成分</w:t>
                  </w:r>
                </w:p>
              </w:tc>
              <w:tc>
                <w:tcPr>
                  <w:tcW w:w="956" w:type="dxa"/>
                  <w:vAlign w:val="center"/>
                </w:tcPr>
                <w:p w14:paraId="56F0A011">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有害成分</w:t>
                  </w:r>
                </w:p>
              </w:tc>
              <w:tc>
                <w:tcPr>
                  <w:tcW w:w="1013" w:type="dxa"/>
                  <w:vAlign w:val="center"/>
                </w:tcPr>
                <w:p w14:paraId="00DE87A2">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产废周期</w:t>
                  </w:r>
                </w:p>
              </w:tc>
              <w:tc>
                <w:tcPr>
                  <w:tcW w:w="825" w:type="dxa"/>
                  <w:vAlign w:val="center"/>
                </w:tcPr>
                <w:p w14:paraId="080BB8C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危险</w:t>
                  </w:r>
                </w:p>
                <w:p w14:paraId="7A899B0D">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特性</w:t>
                  </w:r>
                </w:p>
              </w:tc>
              <w:tc>
                <w:tcPr>
                  <w:tcW w:w="1103" w:type="dxa"/>
                  <w:vAlign w:val="center"/>
                </w:tcPr>
                <w:p w14:paraId="5226B1C8">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污染防治措施</w:t>
                  </w:r>
                </w:p>
              </w:tc>
            </w:tr>
            <w:tr w14:paraId="1A2B7D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38" w:hRule="atLeast"/>
                <w:jc w:val="center"/>
              </w:trPr>
              <w:tc>
                <w:tcPr>
                  <w:tcW w:w="336" w:type="dxa"/>
                  <w:vAlign w:val="center"/>
                </w:tcPr>
                <w:p w14:paraId="0FA13AF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w:t>
                  </w:r>
                </w:p>
              </w:tc>
              <w:tc>
                <w:tcPr>
                  <w:tcW w:w="635" w:type="dxa"/>
                  <w:vAlign w:val="center"/>
                </w:tcPr>
                <w:p w14:paraId="7C907F2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w:t>
                  </w:r>
                  <w:r>
                    <w:rPr>
                      <w:rFonts w:hint="default" w:ascii="Times New Roman" w:hAnsi="Times New Roman" w:cs="Times New Roman"/>
                      <w:color w:val="auto"/>
                      <w:sz w:val="21"/>
                      <w:szCs w:val="21"/>
                      <w:lang w:eastAsia="zh-CN"/>
                    </w:rPr>
                    <w:t>液压油</w:t>
                  </w:r>
                </w:p>
              </w:tc>
              <w:tc>
                <w:tcPr>
                  <w:tcW w:w="619" w:type="dxa"/>
                  <w:vAlign w:val="center"/>
                </w:tcPr>
                <w:p w14:paraId="4C6681F8">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rPr>
                    <w:t>HW</w:t>
                  </w:r>
                  <w:r>
                    <w:rPr>
                      <w:rFonts w:hint="default" w:ascii="Times New Roman" w:hAnsi="Times New Roman" w:cs="Times New Roman"/>
                      <w:color w:val="auto"/>
                      <w:sz w:val="21"/>
                      <w:szCs w:val="21"/>
                      <w:lang w:val="en-US" w:eastAsia="zh-CN"/>
                    </w:rPr>
                    <w:t>13</w:t>
                  </w:r>
                </w:p>
              </w:tc>
              <w:tc>
                <w:tcPr>
                  <w:tcW w:w="1106" w:type="dxa"/>
                  <w:vAlign w:val="center"/>
                </w:tcPr>
                <w:p w14:paraId="2FDA27B5">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rPr>
                    <w:t>900-</w:t>
                  </w:r>
                  <w:r>
                    <w:rPr>
                      <w:rFonts w:hint="default" w:ascii="Times New Roman" w:hAnsi="Times New Roman" w:cs="Times New Roman"/>
                      <w:color w:val="auto"/>
                      <w:sz w:val="21"/>
                      <w:szCs w:val="21"/>
                      <w:lang w:val="en-US" w:eastAsia="zh-CN"/>
                    </w:rPr>
                    <w:t>218</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08</w:t>
                  </w:r>
                </w:p>
              </w:tc>
              <w:tc>
                <w:tcPr>
                  <w:tcW w:w="919" w:type="dxa"/>
                  <w:vAlign w:val="center"/>
                </w:tcPr>
                <w:p w14:paraId="07099D67">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0.04t/a</w:t>
                  </w:r>
                </w:p>
              </w:tc>
              <w:tc>
                <w:tcPr>
                  <w:tcW w:w="919" w:type="dxa"/>
                  <w:vAlign w:val="center"/>
                </w:tcPr>
                <w:p w14:paraId="3899F801">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设备维护</w:t>
                  </w:r>
                </w:p>
              </w:tc>
              <w:tc>
                <w:tcPr>
                  <w:tcW w:w="600" w:type="dxa"/>
                  <w:vAlign w:val="center"/>
                </w:tcPr>
                <w:p w14:paraId="4652EB61">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液态</w:t>
                  </w:r>
                </w:p>
              </w:tc>
              <w:tc>
                <w:tcPr>
                  <w:tcW w:w="937" w:type="dxa"/>
                  <w:vAlign w:val="center"/>
                </w:tcPr>
                <w:p w14:paraId="05979EF0">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基础油、添加剂</w:t>
                  </w:r>
                </w:p>
              </w:tc>
              <w:tc>
                <w:tcPr>
                  <w:tcW w:w="956" w:type="dxa"/>
                  <w:vAlign w:val="center"/>
                </w:tcPr>
                <w:p w14:paraId="0FE57A05">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添加剂</w:t>
                  </w:r>
                </w:p>
              </w:tc>
              <w:tc>
                <w:tcPr>
                  <w:tcW w:w="1013" w:type="dxa"/>
                  <w:vAlign w:val="center"/>
                </w:tcPr>
                <w:p w14:paraId="210A050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6个月</w:t>
                  </w:r>
                </w:p>
              </w:tc>
              <w:tc>
                <w:tcPr>
                  <w:tcW w:w="825" w:type="dxa"/>
                  <w:vAlign w:val="center"/>
                </w:tcPr>
                <w:p w14:paraId="07EFAC4D">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T，I</w:t>
                  </w:r>
                </w:p>
              </w:tc>
              <w:tc>
                <w:tcPr>
                  <w:tcW w:w="1103" w:type="dxa"/>
                  <w:vMerge w:val="restart"/>
                  <w:vAlign w:val="center"/>
                </w:tcPr>
                <w:p w14:paraId="757DB990">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eastAsia="zh-CN"/>
                    </w:rPr>
                    <w:t>暂存危废暂存间，定期交由有资质单位处理。废活性炭、废含油抹布手套分别暂存于不同塑料桶内；废液压油和润滑油暂存专用铁桶内</w:t>
                  </w:r>
                  <w:r>
                    <w:rPr>
                      <w:rFonts w:hint="eastAsia" w:cs="Times New Roman"/>
                      <w:color w:val="auto"/>
                      <w:sz w:val="21"/>
                      <w:szCs w:val="21"/>
                      <w:lang w:eastAsia="zh-CN"/>
                    </w:rPr>
                    <w:t>；</w:t>
                  </w:r>
                  <w:r>
                    <w:rPr>
                      <w:rFonts w:hint="eastAsia" w:cs="Times New Roman"/>
                      <w:color w:val="auto"/>
                      <w:sz w:val="21"/>
                      <w:szCs w:val="21"/>
                      <w:lang w:val="en-US" w:eastAsia="zh-CN"/>
                    </w:rPr>
                    <w:t>废旧AB料容器放置在危废间规定位置</w:t>
                  </w:r>
                  <w:r>
                    <w:rPr>
                      <w:rFonts w:hint="default" w:ascii="Times New Roman" w:hAnsi="Times New Roman" w:cs="Times New Roman"/>
                      <w:color w:val="auto"/>
                      <w:sz w:val="21"/>
                      <w:szCs w:val="21"/>
                      <w:lang w:eastAsia="zh-CN"/>
                    </w:rPr>
                    <w:t>。</w:t>
                  </w:r>
                </w:p>
              </w:tc>
            </w:tr>
            <w:tr w14:paraId="31B601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336" w:type="dxa"/>
                  <w:vAlign w:val="center"/>
                </w:tcPr>
                <w:p w14:paraId="3675F2C0">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2</w:t>
                  </w:r>
                </w:p>
              </w:tc>
              <w:tc>
                <w:tcPr>
                  <w:tcW w:w="635" w:type="dxa"/>
                  <w:vAlign w:val="center"/>
                </w:tcPr>
                <w:p w14:paraId="636FD43A">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w:t>
                  </w:r>
                  <w:r>
                    <w:rPr>
                      <w:rFonts w:hint="default" w:ascii="Times New Roman" w:hAnsi="Times New Roman" w:cs="Times New Roman"/>
                      <w:color w:val="auto"/>
                      <w:sz w:val="21"/>
                      <w:szCs w:val="21"/>
                      <w:lang w:eastAsia="zh-CN"/>
                    </w:rPr>
                    <w:t>含油抹布手套</w:t>
                  </w:r>
                </w:p>
              </w:tc>
              <w:tc>
                <w:tcPr>
                  <w:tcW w:w="619" w:type="dxa"/>
                  <w:vAlign w:val="center"/>
                </w:tcPr>
                <w:p w14:paraId="68715157">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HW49</w:t>
                  </w:r>
                </w:p>
              </w:tc>
              <w:tc>
                <w:tcPr>
                  <w:tcW w:w="1106" w:type="dxa"/>
                  <w:vAlign w:val="center"/>
                </w:tcPr>
                <w:p w14:paraId="5C55DFE3">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900-041-49</w:t>
                  </w:r>
                </w:p>
              </w:tc>
              <w:tc>
                <w:tcPr>
                  <w:tcW w:w="919" w:type="dxa"/>
                  <w:vAlign w:val="center"/>
                </w:tcPr>
                <w:p w14:paraId="32EC56C1">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0.02t/a</w:t>
                  </w:r>
                </w:p>
              </w:tc>
              <w:tc>
                <w:tcPr>
                  <w:tcW w:w="919" w:type="dxa"/>
                  <w:vAlign w:val="center"/>
                </w:tcPr>
                <w:p w14:paraId="7C9F7873">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注胶工序和机械维护</w:t>
                  </w:r>
                </w:p>
              </w:tc>
              <w:tc>
                <w:tcPr>
                  <w:tcW w:w="600" w:type="dxa"/>
                  <w:vAlign w:val="center"/>
                </w:tcPr>
                <w:p w14:paraId="66B94C19">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固体</w:t>
                  </w:r>
                </w:p>
              </w:tc>
              <w:tc>
                <w:tcPr>
                  <w:tcW w:w="937" w:type="dxa"/>
                  <w:vAlign w:val="center"/>
                </w:tcPr>
                <w:p w14:paraId="077FE364">
                  <w:pPr>
                    <w:spacing w:line="276" w:lineRule="auto"/>
                    <w:jc w:val="center"/>
                    <w:rPr>
                      <w:rFonts w:hint="default" w:ascii="Times New Roman" w:hAnsi="Times New Roman" w:cs="Times New Roman"/>
                      <w:color w:val="auto"/>
                      <w:sz w:val="21"/>
                      <w:szCs w:val="21"/>
                      <w:lang w:eastAsia="zh-CN"/>
                    </w:rPr>
                  </w:pPr>
                </w:p>
              </w:tc>
              <w:tc>
                <w:tcPr>
                  <w:tcW w:w="956" w:type="dxa"/>
                  <w:vAlign w:val="center"/>
                </w:tcPr>
                <w:p w14:paraId="6974259A">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添加剂</w:t>
                  </w:r>
                </w:p>
              </w:tc>
              <w:tc>
                <w:tcPr>
                  <w:tcW w:w="1013" w:type="dxa"/>
                  <w:vAlign w:val="center"/>
                </w:tcPr>
                <w:p w14:paraId="7DE0AED0">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1个月</w:t>
                  </w:r>
                </w:p>
              </w:tc>
              <w:tc>
                <w:tcPr>
                  <w:tcW w:w="825" w:type="dxa"/>
                  <w:vAlign w:val="center"/>
                </w:tcPr>
                <w:p w14:paraId="13B6F5E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T/In</w:t>
                  </w:r>
                </w:p>
              </w:tc>
              <w:tc>
                <w:tcPr>
                  <w:tcW w:w="1103" w:type="dxa"/>
                  <w:vMerge w:val="continue"/>
                  <w:vAlign w:val="center"/>
                </w:tcPr>
                <w:p w14:paraId="3C723C70">
                  <w:pPr>
                    <w:spacing w:line="276" w:lineRule="auto"/>
                    <w:jc w:val="center"/>
                    <w:rPr>
                      <w:rFonts w:hint="default" w:ascii="Times New Roman" w:hAnsi="Times New Roman" w:cs="Times New Roman"/>
                      <w:color w:val="auto"/>
                      <w:sz w:val="21"/>
                      <w:szCs w:val="21"/>
                    </w:rPr>
                  </w:pPr>
                </w:p>
              </w:tc>
            </w:tr>
            <w:tr w14:paraId="1A89FE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016" w:hRule="atLeast"/>
                <w:jc w:val="center"/>
              </w:trPr>
              <w:tc>
                <w:tcPr>
                  <w:tcW w:w="336" w:type="dxa"/>
                  <w:vAlign w:val="center"/>
                </w:tcPr>
                <w:p w14:paraId="3C7883A5">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3</w:t>
                  </w:r>
                </w:p>
              </w:tc>
              <w:tc>
                <w:tcPr>
                  <w:tcW w:w="635" w:type="dxa"/>
                  <w:vAlign w:val="center"/>
                </w:tcPr>
                <w:p w14:paraId="53E97FEC">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废</w:t>
                  </w:r>
                  <w:r>
                    <w:rPr>
                      <w:rFonts w:hint="eastAsia" w:cs="Times New Roman"/>
                      <w:color w:val="auto"/>
                      <w:sz w:val="21"/>
                      <w:szCs w:val="21"/>
                      <w:lang w:val="en-US" w:eastAsia="zh-CN"/>
                    </w:rPr>
                    <w:t>润滑油</w:t>
                  </w:r>
                </w:p>
              </w:tc>
              <w:tc>
                <w:tcPr>
                  <w:tcW w:w="619" w:type="dxa"/>
                  <w:vAlign w:val="center"/>
                </w:tcPr>
                <w:p w14:paraId="6E41A1B1">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HW49</w:t>
                  </w:r>
                </w:p>
              </w:tc>
              <w:tc>
                <w:tcPr>
                  <w:tcW w:w="1106" w:type="dxa"/>
                  <w:vAlign w:val="center"/>
                </w:tcPr>
                <w:p w14:paraId="66DAEA6D">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900-214-08</w:t>
                  </w:r>
                </w:p>
              </w:tc>
              <w:tc>
                <w:tcPr>
                  <w:tcW w:w="919" w:type="dxa"/>
                  <w:vAlign w:val="center"/>
                </w:tcPr>
                <w:p w14:paraId="57187407">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0.04t/a</w:t>
                  </w:r>
                </w:p>
              </w:tc>
              <w:tc>
                <w:tcPr>
                  <w:tcW w:w="919" w:type="dxa"/>
                  <w:vAlign w:val="center"/>
                </w:tcPr>
                <w:p w14:paraId="7C857104">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设备维护</w:t>
                  </w:r>
                </w:p>
              </w:tc>
              <w:tc>
                <w:tcPr>
                  <w:tcW w:w="600" w:type="dxa"/>
                  <w:vAlign w:val="center"/>
                </w:tcPr>
                <w:p w14:paraId="32800EC0">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液体</w:t>
                  </w:r>
                </w:p>
              </w:tc>
              <w:tc>
                <w:tcPr>
                  <w:tcW w:w="937" w:type="dxa"/>
                  <w:vAlign w:val="center"/>
                </w:tcPr>
                <w:p w14:paraId="144392BC">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基础油、添加剂</w:t>
                  </w:r>
                </w:p>
              </w:tc>
              <w:tc>
                <w:tcPr>
                  <w:tcW w:w="956" w:type="dxa"/>
                  <w:vAlign w:val="center"/>
                </w:tcPr>
                <w:p w14:paraId="53AEFD84">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添加剂</w:t>
                  </w:r>
                </w:p>
              </w:tc>
              <w:tc>
                <w:tcPr>
                  <w:tcW w:w="1013" w:type="dxa"/>
                  <w:vAlign w:val="center"/>
                </w:tcPr>
                <w:p w14:paraId="00CF83A5">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6个月</w:t>
                  </w:r>
                </w:p>
              </w:tc>
              <w:tc>
                <w:tcPr>
                  <w:tcW w:w="825" w:type="dxa"/>
                  <w:vAlign w:val="center"/>
                </w:tcPr>
                <w:p w14:paraId="4133AA11">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rPr>
                    <w:t>T，I</w:t>
                  </w:r>
                </w:p>
              </w:tc>
              <w:tc>
                <w:tcPr>
                  <w:tcW w:w="1103" w:type="dxa"/>
                  <w:vMerge w:val="continue"/>
                  <w:vAlign w:val="center"/>
                </w:tcPr>
                <w:p w14:paraId="782ED668">
                  <w:pPr>
                    <w:spacing w:line="276" w:lineRule="auto"/>
                    <w:jc w:val="center"/>
                    <w:rPr>
                      <w:rFonts w:hint="default" w:ascii="Times New Roman" w:hAnsi="Times New Roman" w:cs="Times New Roman"/>
                      <w:color w:val="auto"/>
                      <w:sz w:val="21"/>
                      <w:szCs w:val="21"/>
                    </w:rPr>
                  </w:pPr>
                </w:p>
              </w:tc>
            </w:tr>
            <w:tr w14:paraId="08BC5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007" w:hRule="atLeast"/>
                <w:jc w:val="center"/>
              </w:trPr>
              <w:tc>
                <w:tcPr>
                  <w:tcW w:w="336" w:type="dxa"/>
                  <w:vAlign w:val="center"/>
                </w:tcPr>
                <w:p w14:paraId="2E5C34C2">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4</w:t>
                  </w:r>
                </w:p>
              </w:tc>
              <w:tc>
                <w:tcPr>
                  <w:tcW w:w="635" w:type="dxa"/>
                  <w:vAlign w:val="center"/>
                </w:tcPr>
                <w:p w14:paraId="506D8783">
                  <w:pPr>
                    <w:spacing w:line="276"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val="en-US" w:eastAsia="zh-CN"/>
                    </w:rPr>
                    <w:t>废活性炭</w:t>
                  </w:r>
                </w:p>
              </w:tc>
              <w:tc>
                <w:tcPr>
                  <w:tcW w:w="619" w:type="dxa"/>
                  <w:vAlign w:val="center"/>
                </w:tcPr>
                <w:p w14:paraId="53FBC28D">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HW49</w:t>
                  </w:r>
                </w:p>
              </w:tc>
              <w:tc>
                <w:tcPr>
                  <w:tcW w:w="1106" w:type="dxa"/>
                  <w:vAlign w:val="center"/>
                </w:tcPr>
                <w:p w14:paraId="61B58D6B">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rPr>
                    <w:t>900-041-49</w:t>
                  </w:r>
                </w:p>
              </w:tc>
              <w:tc>
                <w:tcPr>
                  <w:tcW w:w="919" w:type="dxa"/>
                  <w:vAlign w:val="center"/>
                </w:tcPr>
                <w:p w14:paraId="535B7FA3">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140</w:t>
                  </w:r>
                  <w:r>
                    <w:rPr>
                      <w:rFonts w:hint="default" w:ascii="Times New Roman" w:hAnsi="Times New Roman" w:cs="Times New Roman"/>
                      <w:color w:val="auto"/>
                      <w:sz w:val="21"/>
                      <w:szCs w:val="21"/>
                      <w:lang w:val="en-US" w:eastAsia="zh-CN"/>
                    </w:rPr>
                    <w:t>kg/a</w:t>
                  </w:r>
                </w:p>
              </w:tc>
              <w:tc>
                <w:tcPr>
                  <w:tcW w:w="919" w:type="dxa"/>
                  <w:vAlign w:val="center"/>
                </w:tcPr>
                <w:p w14:paraId="32A5C6D7">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有机废气治理</w:t>
                  </w:r>
                </w:p>
              </w:tc>
              <w:tc>
                <w:tcPr>
                  <w:tcW w:w="600" w:type="dxa"/>
                  <w:vAlign w:val="center"/>
                </w:tcPr>
                <w:p w14:paraId="6686FEEA">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固体</w:t>
                  </w:r>
                </w:p>
              </w:tc>
              <w:tc>
                <w:tcPr>
                  <w:tcW w:w="937" w:type="dxa"/>
                  <w:vAlign w:val="center"/>
                </w:tcPr>
                <w:p w14:paraId="26A59BB1">
                  <w:pPr>
                    <w:spacing w:line="276" w:lineRule="auto"/>
                    <w:jc w:val="center"/>
                    <w:rPr>
                      <w:rFonts w:hint="default" w:ascii="Times New Roman" w:hAnsi="Times New Roman" w:cs="Times New Roman"/>
                      <w:color w:val="auto"/>
                      <w:sz w:val="21"/>
                      <w:szCs w:val="21"/>
                      <w:lang w:val="en-US" w:eastAsia="zh-CN"/>
                    </w:rPr>
                  </w:pPr>
                </w:p>
              </w:tc>
              <w:tc>
                <w:tcPr>
                  <w:tcW w:w="956" w:type="dxa"/>
                  <w:vAlign w:val="center"/>
                </w:tcPr>
                <w:p w14:paraId="71168C27">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有机废气</w:t>
                  </w:r>
                </w:p>
              </w:tc>
              <w:tc>
                <w:tcPr>
                  <w:tcW w:w="1013" w:type="dxa"/>
                  <w:vAlign w:val="center"/>
                </w:tcPr>
                <w:p w14:paraId="6389F096">
                  <w:pPr>
                    <w:spacing w:line="276" w:lineRule="auto"/>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6个月</w:t>
                  </w:r>
                </w:p>
              </w:tc>
              <w:tc>
                <w:tcPr>
                  <w:tcW w:w="825" w:type="dxa"/>
                  <w:vAlign w:val="center"/>
                </w:tcPr>
                <w:p w14:paraId="449B3B5B">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rPr>
                    <w:t>T/In</w:t>
                  </w:r>
                </w:p>
              </w:tc>
              <w:tc>
                <w:tcPr>
                  <w:tcW w:w="1103" w:type="dxa"/>
                  <w:vMerge w:val="continue"/>
                  <w:vAlign w:val="center"/>
                </w:tcPr>
                <w:p w14:paraId="5CCB2C6D">
                  <w:pPr>
                    <w:spacing w:line="276" w:lineRule="auto"/>
                    <w:jc w:val="center"/>
                    <w:rPr>
                      <w:rFonts w:hint="default" w:ascii="Times New Roman" w:hAnsi="Times New Roman" w:cs="Times New Roman"/>
                      <w:color w:val="auto"/>
                      <w:sz w:val="21"/>
                      <w:szCs w:val="21"/>
                    </w:rPr>
                  </w:pPr>
                </w:p>
              </w:tc>
            </w:tr>
            <w:tr w14:paraId="0F3401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82" w:hRule="atLeast"/>
                <w:jc w:val="center"/>
              </w:trPr>
              <w:tc>
                <w:tcPr>
                  <w:tcW w:w="336" w:type="dxa"/>
                  <w:vAlign w:val="center"/>
                </w:tcPr>
                <w:p w14:paraId="6E16275F">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5</w:t>
                  </w:r>
                </w:p>
              </w:tc>
              <w:tc>
                <w:tcPr>
                  <w:tcW w:w="635" w:type="dxa"/>
                  <w:vAlign w:val="center"/>
                </w:tcPr>
                <w:p w14:paraId="0983F123">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废原料桶</w:t>
                  </w:r>
                </w:p>
              </w:tc>
              <w:tc>
                <w:tcPr>
                  <w:tcW w:w="619" w:type="dxa"/>
                  <w:vAlign w:val="center"/>
                </w:tcPr>
                <w:p w14:paraId="31D72D95">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HW49</w:t>
                  </w:r>
                </w:p>
              </w:tc>
              <w:tc>
                <w:tcPr>
                  <w:tcW w:w="1106" w:type="dxa"/>
                  <w:vAlign w:val="center"/>
                </w:tcPr>
                <w:p w14:paraId="75105936">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900-041-49</w:t>
                  </w:r>
                </w:p>
              </w:tc>
              <w:tc>
                <w:tcPr>
                  <w:tcW w:w="919" w:type="dxa"/>
                  <w:vAlign w:val="center"/>
                </w:tcPr>
                <w:p w14:paraId="59444CD5">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1t/a</w:t>
                  </w:r>
                </w:p>
              </w:tc>
              <w:tc>
                <w:tcPr>
                  <w:tcW w:w="919" w:type="dxa"/>
                  <w:vAlign w:val="center"/>
                </w:tcPr>
                <w:p w14:paraId="25D94D66">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注胶</w:t>
                  </w:r>
                </w:p>
              </w:tc>
              <w:tc>
                <w:tcPr>
                  <w:tcW w:w="600" w:type="dxa"/>
                  <w:vAlign w:val="center"/>
                </w:tcPr>
                <w:p w14:paraId="0E87711B">
                  <w:pPr>
                    <w:spacing w:line="276" w:lineRule="auto"/>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固体</w:t>
                  </w:r>
                </w:p>
              </w:tc>
              <w:tc>
                <w:tcPr>
                  <w:tcW w:w="937" w:type="dxa"/>
                  <w:vAlign w:val="center"/>
                </w:tcPr>
                <w:p w14:paraId="771FBF89">
                  <w:pPr>
                    <w:numPr>
                      <w:ilvl w:val="0"/>
                      <w:numId w:val="0"/>
                    </w:numPr>
                    <w:spacing w:line="276" w:lineRule="auto"/>
                    <w:jc w:val="both"/>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A、B料</w:t>
                  </w:r>
                </w:p>
              </w:tc>
              <w:tc>
                <w:tcPr>
                  <w:tcW w:w="956" w:type="dxa"/>
                  <w:vAlign w:val="center"/>
                </w:tcPr>
                <w:p w14:paraId="0458940A">
                  <w:pPr>
                    <w:spacing w:line="276" w:lineRule="auto"/>
                    <w:jc w:val="center"/>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有机溶剂</w:t>
                  </w:r>
                </w:p>
              </w:tc>
              <w:tc>
                <w:tcPr>
                  <w:tcW w:w="1013" w:type="dxa"/>
                  <w:vAlign w:val="center"/>
                </w:tcPr>
                <w:p w14:paraId="6DC7B7E4">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1个月</w:t>
                  </w:r>
                </w:p>
              </w:tc>
              <w:tc>
                <w:tcPr>
                  <w:tcW w:w="825" w:type="dxa"/>
                  <w:vAlign w:val="center"/>
                </w:tcPr>
                <w:p w14:paraId="7CDC2482">
                  <w:pPr>
                    <w:spacing w:line="276" w:lineRule="auto"/>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T，I</w:t>
                  </w:r>
                </w:p>
              </w:tc>
              <w:tc>
                <w:tcPr>
                  <w:tcW w:w="1103" w:type="dxa"/>
                  <w:vMerge w:val="continue"/>
                  <w:vAlign w:val="center"/>
                </w:tcPr>
                <w:p w14:paraId="6538648F">
                  <w:pPr>
                    <w:spacing w:line="276" w:lineRule="auto"/>
                    <w:jc w:val="center"/>
                    <w:rPr>
                      <w:rFonts w:hint="default" w:ascii="Times New Roman" w:hAnsi="Times New Roman" w:cs="Times New Roman"/>
                      <w:color w:val="auto"/>
                      <w:sz w:val="21"/>
                      <w:szCs w:val="21"/>
                    </w:rPr>
                  </w:pPr>
                </w:p>
              </w:tc>
            </w:tr>
          </w:tbl>
          <w:p w14:paraId="24C7EE04">
            <w:pPr>
              <w:pStyle w:val="28"/>
              <w:spacing w:line="360" w:lineRule="auto"/>
              <w:ind w:firstLine="480" w:firstLineChars="200"/>
              <w:rPr>
                <w:rFonts w:hint="default" w:ascii="Times New Roman" w:hAnsi="Times New Roman" w:cs="Times New Roman"/>
              </w:rPr>
            </w:pPr>
            <w:r>
              <w:rPr>
                <w:rFonts w:hint="default" w:ascii="Times New Roman" w:hAnsi="Times New Roman" w:cs="Times New Roman"/>
              </w:rPr>
              <w:t>本项目危废暂存间设置情况见下表</w:t>
            </w:r>
            <w:r>
              <w:rPr>
                <w:rFonts w:hint="default" w:ascii="Times New Roman" w:hAnsi="Times New Roman" w:cs="Times New Roman"/>
                <w:lang w:val="en-US" w:eastAsia="zh-CN"/>
              </w:rPr>
              <w:t>5-</w:t>
            </w:r>
            <w:r>
              <w:rPr>
                <w:rFonts w:hint="eastAsia" w:ascii="Times New Roman" w:cs="Times New Roman"/>
                <w:lang w:val="en-US" w:eastAsia="zh-CN"/>
              </w:rPr>
              <w:t>9</w:t>
            </w:r>
            <w:r>
              <w:rPr>
                <w:rFonts w:hint="default" w:ascii="Times New Roman" w:hAnsi="Times New Roman" w:cs="Times New Roman"/>
              </w:rPr>
              <w:t>。</w:t>
            </w:r>
          </w:p>
          <w:p w14:paraId="4CCA312B">
            <w:pPr>
              <w:pStyle w:val="28"/>
              <w:spacing w:line="360" w:lineRule="auto"/>
              <w:ind w:firstLine="422" w:firstLineChars="200"/>
              <w:jc w:val="center"/>
              <w:rPr>
                <w:rFonts w:hint="default" w:ascii="Times New Roman" w:hAnsi="Times New Roman" w:cs="Times New Roman" w:eastAsiaTheme="minorEastAsia"/>
                <w:b/>
                <w:bCs/>
                <w:color w:val="auto"/>
                <w:kern w:val="2"/>
                <w:sz w:val="21"/>
                <w:szCs w:val="21"/>
                <w:lang w:val="en-US" w:eastAsia="zh-CN" w:bidi="ar-SA"/>
              </w:rPr>
            </w:pPr>
            <w:r>
              <w:rPr>
                <w:rFonts w:hint="default" w:ascii="Times New Roman" w:hAnsi="Times New Roman" w:cs="Times New Roman" w:eastAsiaTheme="minorEastAsia"/>
                <w:b/>
                <w:bCs/>
                <w:color w:val="auto"/>
                <w:kern w:val="2"/>
                <w:sz w:val="21"/>
                <w:szCs w:val="21"/>
                <w:lang w:val="en-US" w:eastAsia="zh-CN" w:bidi="ar-SA"/>
              </w:rPr>
              <w:t>表5-</w:t>
            </w:r>
            <w:r>
              <w:rPr>
                <w:rFonts w:hint="eastAsia" w:ascii="Times New Roman" w:cs="Times New Roman" w:eastAsiaTheme="minorEastAsia"/>
                <w:b/>
                <w:bCs/>
                <w:color w:val="auto"/>
                <w:kern w:val="2"/>
                <w:sz w:val="21"/>
                <w:szCs w:val="21"/>
                <w:lang w:val="en-US" w:eastAsia="zh-CN" w:bidi="ar-SA"/>
              </w:rPr>
              <w:t>9</w:t>
            </w:r>
            <w:r>
              <w:rPr>
                <w:rFonts w:hint="default" w:ascii="Times New Roman" w:hAnsi="Times New Roman" w:cs="Times New Roman" w:eastAsiaTheme="minorEastAsia"/>
                <w:b/>
                <w:bCs/>
                <w:color w:val="auto"/>
                <w:kern w:val="2"/>
                <w:sz w:val="21"/>
                <w:szCs w:val="21"/>
                <w:lang w:val="en-US" w:eastAsia="zh-CN" w:bidi="ar-SA"/>
              </w:rPr>
              <w:tab/>
            </w:r>
            <w:r>
              <w:rPr>
                <w:rFonts w:hint="default" w:ascii="Times New Roman" w:hAnsi="Times New Roman" w:cs="Times New Roman" w:eastAsiaTheme="minorEastAsia"/>
                <w:b/>
                <w:bCs/>
                <w:color w:val="auto"/>
                <w:kern w:val="2"/>
                <w:sz w:val="21"/>
                <w:szCs w:val="21"/>
                <w:lang w:val="en-US" w:eastAsia="zh-CN" w:bidi="ar-SA"/>
              </w:rPr>
              <w:t>项目危废暂存间基本情况</w:t>
            </w:r>
          </w:p>
          <w:tbl>
            <w:tblPr>
              <w:tblStyle w:val="23"/>
              <w:tblW w:w="9958"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574"/>
              <w:gridCol w:w="1278"/>
              <w:gridCol w:w="1275"/>
              <w:gridCol w:w="819"/>
              <w:gridCol w:w="820"/>
              <w:gridCol w:w="818"/>
              <w:gridCol w:w="1170"/>
              <w:gridCol w:w="1171"/>
              <w:gridCol w:w="937"/>
              <w:gridCol w:w="1096"/>
            </w:tblGrid>
            <w:tr w14:paraId="4F832F9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64" w:hRule="atLeast"/>
                <w:jc w:val="center"/>
              </w:trPr>
              <w:tc>
                <w:tcPr>
                  <w:tcW w:w="574" w:type="dxa"/>
                  <w:vAlign w:val="center"/>
                </w:tcPr>
                <w:p w14:paraId="0F0FEB7B">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序号</w:t>
                  </w:r>
                </w:p>
              </w:tc>
              <w:tc>
                <w:tcPr>
                  <w:tcW w:w="1278" w:type="dxa"/>
                  <w:vAlign w:val="center"/>
                </w:tcPr>
                <w:p w14:paraId="3123EDA7">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贮存场所（设施）</w:t>
                  </w:r>
                </w:p>
                <w:p w14:paraId="301019D0">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名称</w:t>
                  </w:r>
                </w:p>
              </w:tc>
              <w:tc>
                <w:tcPr>
                  <w:tcW w:w="1275" w:type="dxa"/>
                  <w:vAlign w:val="center"/>
                </w:tcPr>
                <w:p w14:paraId="66CEE100">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危险废物名称</w:t>
                  </w:r>
                </w:p>
              </w:tc>
              <w:tc>
                <w:tcPr>
                  <w:tcW w:w="819" w:type="dxa"/>
                  <w:vAlign w:val="center"/>
                </w:tcPr>
                <w:p w14:paraId="1BFE8D5D">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危险废物类别</w:t>
                  </w:r>
                </w:p>
              </w:tc>
              <w:tc>
                <w:tcPr>
                  <w:tcW w:w="820" w:type="dxa"/>
                  <w:vAlign w:val="center"/>
                </w:tcPr>
                <w:p w14:paraId="16331B85">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危险废物代码</w:t>
                  </w:r>
                </w:p>
              </w:tc>
              <w:tc>
                <w:tcPr>
                  <w:tcW w:w="818" w:type="dxa"/>
                  <w:vAlign w:val="center"/>
                </w:tcPr>
                <w:p w14:paraId="602B00CE">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位置</w:t>
                  </w:r>
                </w:p>
              </w:tc>
              <w:tc>
                <w:tcPr>
                  <w:tcW w:w="1170" w:type="dxa"/>
                  <w:vAlign w:val="center"/>
                </w:tcPr>
                <w:p w14:paraId="11041B82">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占地面积</w:t>
                  </w:r>
                </w:p>
              </w:tc>
              <w:tc>
                <w:tcPr>
                  <w:tcW w:w="1171" w:type="dxa"/>
                  <w:vAlign w:val="center"/>
                </w:tcPr>
                <w:p w14:paraId="4D013359">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贮存方式</w:t>
                  </w:r>
                </w:p>
              </w:tc>
              <w:tc>
                <w:tcPr>
                  <w:tcW w:w="937" w:type="dxa"/>
                  <w:vAlign w:val="center"/>
                </w:tcPr>
                <w:p w14:paraId="2EBEE0F3">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贮存</w:t>
                  </w:r>
                </w:p>
                <w:p w14:paraId="211BA7CC">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能力</w:t>
                  </w:r>
                </w:p>
              </w:tc>
              <w:tc>
                <w:tcPr>
                  <w:tcW w:w="1096" w:type="dxa"/>
                  <w:vAlign w:val="center"/>
                </w:tcPr>
                <w:p w14:paraId="5934075C">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贮存</w:t>
                  </w:r>
                </w:p>
                <w:p w14:paraId="1317B059">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周期</w:t>
                  </w:r>
                </w:p>
              </w:tc>
            </w:tr>
            <w:tr w14:paraId="64A8DFA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74" w:type="dxa"/>
                  <w:vAlign w:val="center"/>
                </w:tcPr>
                <w:p w14:paraId="2CB30D65">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w:t>
                  </w:r>
                </w:p>
              </w:tc>
              <w:tc>
                <w:tcPr>
                  <w:tcW w:w="1278" w:type="dxa"/>
                  <w:vAlign w:val="center"/>
                </w:tcPr>
                <w:p w14:paraId="38C9D9F3">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lang w:eastAsia="zh-CN"/>
                    </w:rPr>
                  </w:pPr>
                  <w:r>
                    <w:rPr>
                      <w:rFonts w:hint="eastAsia" w:ascii="宋体" w:hAnsi="宋体" w:eastAsia="宋体" w:cs="宋体"/>
                      <w:color w:val="auto"/>
                      <w:kern w:val="0"/>
                      <w:sz w:val="21"/>
                      <w:szCs w:val="21"/>
                      <w:lang w:eastAsia="zh-CN"/>
                    </w:rPr>
                    <w:t>危废暂存间</w:t>
                  </w:r>
                </w:p>
              </w:tc>
              <w:tc>
                <w:tcPr>
                  <w:tcW w:w="1275" w:type="dxa"/>
                  <w:vAlign w:val="center"/>
                </w:tcPr>
                <w:p w14:paraId="0589F30D">
                  <w:pPr>
                    <w:spacing w:line="276" w:lineRule="auto"/>
                    <w:jc w:val="center"/>
                    <w:rPr>
                      <w:rFonts w:hint="eastAsia" w:ascii="宋体" w:hAnsi="宋体" w:eastAsia="宋体" w:cs="宋体"/>
                      <w:color w:val="auto"/>
                      <w:kern w:val="0"/>
                      <w:sz w:val="21"/>
                      <w:szCs w:val="21"/>
                    </w:rPr>
                  </w:pPr>
                  <w:r>
                    <w:rPr>
                      <w:rFonts w:hint="default" w:ascii="Times New Roman" w:hAnsi="Times New Roman" w:cs="Times New Roman"/>
                      <w:color w:val="auto"/>
                      <w:sz w:val="21"/>
                      <w:szCs w:val="21"/>
                    </w:rPr>
                    <w:t>废</w:t>
                  </w:r>
                  <w:r>
                    <w:rPr>
                      <w:rFonts w:hint="default" w:ascii="Times New Roman" w:hAnsi="Times New Roman" w:cs="Times New Roman"/>
                      <w:color w:val="auto"/>
                      <w:sz w:val="21"/>
                      <w:szCs w:val="21"/>
                      <w:lang w:eastAsia="zh-CN"/>
                    </w:rPr>
                    <w:t>液压油</w:t>
                  </w:r>
                </w:p>
              </w:tc>
              <w:tc>
                <w:tcPr>
                  <w:tcW w:w="819" w:type="dxa"/>
                  <w:vAlign w:val="center"/>
                </w:tcPr>
                <w:p w14:paraId="730ED479">
                  <w:pPr>
                    <w:spacing w:line="276" w:lineRule="auto"/>
                    <w:jc w:val="center"/>
                    <w:rPr>
                      <w:rFonts w:hint="eastAsia" w:ascii="宋体" w:hAnsi="宋体" w:eastAsia="宋体" w:cs="宋体"/>
                      <w:color w:val="auto"/>
                      <w:kern w:val="0"/>
                      <w:sz w:val="21"/>
                      <w:szCs w:val="21"/>
                    </w:rPr>
                  </w:pPr>
                  <w:r>
                    <w:rPr>
                      <w:rFonts w:hint="default" w:ascii="Times New Roman" w:hAnsi="Times New Roman" w:cs="Times New Roman"/>
                      <w:color w:val="auto"/>
                      <w:sz w:val="21"/>
                      <w:szCs w:val="21"/>
                    </w:rPr>
                    <w:t>HW</w:t>
                  </w:r>
                  <w:r>
                    <w:rPr>
                      <w:rFonts w:hint="default" w:ascii="Times New Roman" w:hAnsi="Times New Roman" w:cs="Times New Roman"/>
                      <w:color w:val="auto"/>
                      <w:sz w:val="21"/>
                      <w:szCs w:val="21"/>
                      <w:lang w:val="en-US" w:eastAsia="zh-CN"/>
                    </w:rPr>
                    <w:t>13</w:t>
                  </w:r>
                </w:p>
              </w:tc>
              <w:tc>
                <w:tcPr>
                  <w:tcW w:w="820" w:type="dxa"/>
                  <w:vAlign w:val="center"/>
                </w:tcPr>
                <w:p w14:paraId="6014FE43">
                  <w:pPr>
                    <w:spacing w:line="276" w:lineRule="auto"/>
                    <w:jc w:val="center"/>
                    <w:rPr>
                      <w:rFonts w:hint="eastAsia" w:ascii="宋体" w:hAnsi="宋体" w:eastAsia="宋体" w:cs="宋体"/>
                      <w:color w:val="auto"/>
                      <w:kern w:val="0"/>
                      <w:sz w:val="21"/>
                      <w:szCs w:val="21"/>
                    </w:rPr>
                  </w:pPr>
                  <w:r>
                    <w:rPr>
                      <w:rFonts w:hint="default" w:ascii="Times New Roman" w:hAnsi="Times New Roman" w:cs="Times New Roman"/>
                      <w:color w:val="auto"/>
                      <w:sz w:val="21"/>
                      <w:szCs w:val="21"/>
                    </w:rPr>
                    <w:t>900-</w:t>
                  </w:r>
                  <w:r>
                    <w:rPr>
                      <w:rFonts w:hint="default" w:ascii="Times New Roman" w:hAnsi="Times New Roman" w:cs="Times New Roman"/>
                      <w:color w:val="auto"/>
                      <w:sz w:val="21"/>
                      <w:szCs w:val="21"/>
                      <w:lang w:val="en-US" w:eastAsia="zh-CN"/>
                    </w:rPr>
                    <w:t>218</w:t>
                  </w:r>
                  <w:r>
                    <w:rPr>
                      <w:rFonts w:hint="default" w:ascii="Times New Roman" w:hAnsi="Times New Roman" w:cs="Times New Roman"/>
                      <w:color w:val="auto"/>
                      <w:sz w:val="21"/>
                      <w:szCs w:val="21"/>
                    </w:rPr>
                    <w:t>-</w:t>
                  </w:r>
                  <w:r>
                    <w:rPr>
                      <w:rFonts w:hint="default" w:ascii="Times New Roman" w:hAnsi="Times New Roman" w:cs="Times New Roman"/>
                      <w:color w:val="auto"/>
                      <w:sz w:val="21"/>
                      <w:szCs w:val="21"/>
                      <w:lang w:val="en-US" w:eastAsia="zh-CN"/>
                    </w:rPr>
                    <w:t>08</w:t>
                  </w:r>
                </w:p>
              </w:tc>
              <w:tc>
                <w:tcPr>
                  <w:tcW w:w="818" w:type="dxa"/>
                  <w:vAlign w:val="center"/>
                </w:tcPr>
                <w:p w14:paraId="093A31E4">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lang w:val="en-US" w:eastAsia="zh-CN"/>
                    </w:rPr>
                  </w:pPr>
                  <w:r>
                    <w:rPr>
                      <w:rFonts w:hint="eastAsia" w:ascii="宋体" w:hAnsi="宋体" w:cs="宋体"/>
                      <w:color w:val="auto"/>
                      <w:kern w:val="0"/>
                      <w:sz w:val="21"/>
                      <w:szCs w:val="21"/>
                      <w:lang w:val="en-US" w:eastAsia="zh-CN"/>
                    </w:rPr>
                    <w:t>1#车间</w:t>
                  </w:r>
                </w:p>
              </w:tc>
              <w:tc>
                <w:tcPr>
                  <w:tcW w:w="1170" w:type="dxa"/>
                  <w:vAlign w:val="center"/>
                </w:tcPr>
                <w:p w14:paraId="4202927C">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vertAlign w:val="baseline"/>
                      <w:lang w:val="en-US" w:eastAsia="zh-CN"/>
                    </w:rPr>
                  </w:pPr>
                  <w:r>
                    <w:rPr>
                      <w:rFonts w:hint="eastAsia" w:ascii="宋体" w:hAnsi="宋体" w:cs="宋体"/>
                      <w:color w:val="auto"/>
                      <w:kern w:val="0"/>
                      <w:sz w:val="21"/>
                      <w:szCs w:val="21"/>
                      <w:lang w:val="en-US" w:eastAsia="zh-CN"/>
                    </w:rPr>
                    <w:t>40</w:t>
                  </w:r>
                  <w:r>
                    <w:rPr>
                      <w:rFonts w:hint="eastAsia" w:ascii="宋体" w:hAnsi="宋体" w:eastAsia="宋体" w:cs="宋体"/>
                      <w:color w:val="auto"/>
                      <w:kern w:val="0"/>
                      <w:sz w:val="21"/>
                      <w:szCs w:val="21"/>
                      <w:lang w:val="en-US" w:eastAsia="zh-CN"/>
                    </w:rPr>
                    <w:t>m</w:t>
                  </w:r>
                  <w:r>
                    <w:rPr>
                      <w:rFonts w:hint="eastAsia" w:ascii="宋体" w:hAnsi="宋体" w:eastAsia="宋体" w:cs="宋体"/>
                      <w:color w:val="auto"/>
                      <w:kern w:val="0"/>
                      <w:sz w:val="21"/>
                      <w:szCs w:val="21"/>
                      <w:vertAlign w:val="superscript"/>
                      <w:lang w:val="en-US" w:eastAsia="zh-CN"/>
                    </w:rPr>
                    <w:t>2</w:t>
                  </w:r>
                </w:p>
              </w:tc>
              <w:tc>
                <w:tcPr>
                  <w:tcW w:w="1171" w:type="dxa"/>
                  <w:vAlign w:val="center"/>
                </w:tcPr>
                <w:p w14:paraId="48D00A99">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lang w:eastAsia="zh-CN"/>
                    </w:rPr>
                  </w:pPr>
                  <w:r>
                    <w:rPr>
                      <w:rFonts w:hint="eastAsia" w:ascii="宋体" w:hAnsi="宋体" w:eastAsia="宋体" w:cs="宋体"/>
                      <w:color w:val="auto"/>
                      <w:kern w:val="0"/>
                      <w:sz w:val="21"/>
                      <w:szCs w:val="21"/>
                      <w:lang w:eastAsia="zh-CN"/>
                    </w:rPr>
                    <w:t>桶装</w:t>
                  </w:r>
                </w:p>
              </w:tc>
              <w:tc>
                <w:tcPr>
                  <w:tcW w:w="937" w:type="dxa"/>
                  <w:vAlign w:val="center"/>
                </w:tcPr>
                <w:p w14:paraId="3DF17DED">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lang w:val="en-US" w:eastAsia="zh-CN"/>
                    </w:rPr>
                  </w:pPr>
                  <w:r>
                    <w:rPr>
                      <w:rFonts w:hint="eastAsia" w:ascii="宋体" w:hAnsi="宋体" w:eastAsia="宋体" w:cs="宋体"/>
                      <w:color w:val="auto"/>
                      <w:kern w:val="0"/>
                      <w:sz w:val="21"/>
                      <w:szCs w:val="21"/>
                      <w:lang w:val="en-US" w:eastAsia="zh-CN"/>
                    </w:rPr>
                    <w:t>2t/a</w:t>
                  </w:r>
                </w:p>
              </w:tc>
              <w:tc>
                <w:tcPr>
                  <w:tcW w:w="1096" w:type="dxa"/>
                  <w:vAlign w:val="center"/>
                </w:tcPr>
                <w:p w14:paraId="024B7DA4">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lang w:val="en-US" w:eastAsia="zh-CN"/>
                    </w:rPr>
                  </w:pPr>
                  <w:r>
                    <w:rPr>
                      <w:rFonts w:hint="eastAsia" w:ascii="宋体" w:hAnsi="宋体" w:eastAsia="宋体" w:cs="宋体"/>
                      <w:color w:val="auto"/>
                      <w:kern w:val="0"/>
                      <w:sz w:val="21"/>
                      <w:szCs w:val="21"/>
                      <w:lang w:val="en-US" w:eastAsia="zh-CN"/>
                    </w:rPr>
                    <w:t>6个月</w:t>
                  </w:r>
                </w:p>
              </w:tc>
            </w:tr>
            <w:tr w14:paraId="0AA51DF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74" w:type="dxa"/>
                  <w:vAlign w:val="center"/>
                </w:tcPr>
                <w:p w14:paraId="62AEAE34">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2</w:t>
                  </w:r>
                </w:p>
              </w:tc>
              <w:tc>
                <w:tcPr>
                  <w:tcW w:w="1278" w:type="dxa"/>
                  <w:vAlign w:val="center"/>
                </w:tcPr>
                <w:p w14:paraId="02AB4A83">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eastAsia="zh-CN"/>
                    </w:rPr>
                    <w:t>危废暂存间</w:t>
                  </w:r>
                </w:p>
              </w:tc>
              <w:tc>
                <w:tcPr>
                  <w:tcW w:w="1275" w:type="dxa"/>
                  <w:vAlign w:val="center"/>
                </w:tcPr>
                <w:p w14:paraId="0CD8BBD3">
                  <w:pPr>
                    <w:spacing w:line="276" w:lineRule="auto"/>
                    <w:jc w:val="center"/>
                    <w:rPr>
                      <w:rFonts w:hint="eastAsia" w:ascii="宋体" w:hAnsi="宋体" w:eastAsia="宋体" w:cs="宋体"/>
                      <w:color w:val="auto"/>
                      <w:kern w:val="0"/>
                      <w:sz w:val="21"/>
                      <w:szCs w:val="21"/>
                    </w:rPr>
                  </w:pPr>
                  <w:r>
                    <w:rPr>
                      <w:rFonts w:hint="default" w:ascii="Times New Roman" w:hAnsi="Times New Roman" w:cs="Times New Roman"/>
                      <w:color w:val="auto"/>
                      <w:sz w:val="21"/>
                      <w:szCs w:val="21"/>
                    </w:rPr>
                    <w:t>废</w:t>
                  </w:r>
                  <w:r>
                    <w:rPr>
                      <w:rFonts w:hint="default" w:ascii="Times New Roman" w:hAnsi="Times New Roman" w:cs="Times New Roman"/>
                      <w:color w:val="auto"/>
                      <w:sz w:val="21"/>
                      <w:szCs w:val="21"/>
                      <w:lang w:eastAsia="zh-CN"/>
                    </w:rPr>
                    <w:t>含油抹布手套</w:t>
                  </w:r>
                </w:p>
              </w:tc>
              <w:tc>
                <w:tcPr>
                  <w:tcW w:w="819" w:type="dxa"/>
                  <w:vAlign w:val="center"/>
                </w:tcPr>
                <w:p w14:paraId="013D1D91">
                  <w:pPr>
                    <w:spacing w:line="276" w:lineRule="auto"/>
                    <w:jc w:val="center"/>
                    <w:rPr>
                      <w:rFonts w:hint="eastAsia" w:ascii="宋体" w:hAnsi="宋体" w:eastAsia="宋体" w:cs="宋体"/>
                      <w:color w:val="auto"/>
                      <w:kern w:val="0"/>
                      <w:sz w:val="21"/>
                      <w:szCs w:val="21"/>
                    </w:rPr>
                  </w:pPr>
                  <w:r>
                    <w:rPr>
                      <w:rFonts w:hint="default" w:ascii="Times New Roman" w:hAnsi="Times New Roman" w:cs="Times New Roman"/>
                      <w:color w:val="auto"/>
                      <w:sz w:val="21"/>
                      <w:szCs w:val="21"/>
                    </w:rPr>
                    <w:t>HW49</w:t>
                  </w:r>
                </w:p>
              </w:tc>
              <w:tc>
                <w:tcPr>
                  <w:tcW w:w="820" w:type="dxa"/>
                  <w:vAlign w:val="center"/>
                </w:tcPr>
                <w:p w14:paraId="366D0F33">
                  <w:pPr>
                    <w:spacing w:line="276" w:lineRule="auto"/>
                    <w:jc w:val="center"/>
                    <w:rPr>
                      <w:rFonts w:hint="eastAsia" w:ascii="宋体" w:hAnsi="宋体" w:eastAsia="宋体" w:cs="宋体"/>
                      <w:color w:val="auto"/>
                      <w:kern w:val="0"/>
                      <w:sz w:val="21"/>
                      <w:szCs w:val="21"/>
                    </w:rPr>
                  </w:pPr>
                  <w:r>
                    <w:rPr>
                      <w:rFonts w:hint="default" w:ascii="Times New Roman" w:hAnsi="Times New Roman" w:cs="Times New Roman"/>
                      <w:color w:val="auto"/>
                      <w:sz w:val="21"/>
                      <w:szCs w:val="21"/>
                    </w:rPr>
                    <w:t>900-041-49</w:t>
                  </w:r>
                </w:p>
              </w:tc>
              <w:tc>
                <w:tcPr>
                  <w:tcW w:w="818" w:type="dxa"/>
                  <w:vAlign w:val="center"/>
                </w:tcPr>
                <w:p w14:paraId="32D67C70">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1#车间</w:t>
                  </w:r>
                </w:p>
              </w:tc>
              <w:tc>
                <w:tcPr>
                  <w:tcW w:w="1170" w:type="dxa"/>
                  <w:vAlign w:val="center"/>
                </w:tcPr>
                <w:p w14:paraId="648A8A46">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40m</w:t>
                  </w:r>
                  <w:r>
                    <w:rPr>
                      <w:rFonts w:hint="eastAsia" w:ascii="宋体" w:hAnsi="宋体" w:eastAsia="宋体" w:cs="宋体"/>
                      <w:color w:val="auto"/>
                      <w:kern w:val="0"/>
                      <w:sz w:val="21"/>
                      <w:szCs w:val="21"/>
                      <w:vertAlign w:val="superscript"/>
                      <w:lang w:val="en-US" w:eastAsia="zh-CN"/>
                    </w:rPr>
                    <w:t>2</w:t>
                  </w:r>
                </w:p>
              </w:tc>
              <w:tc>
                <w:tcPr>
                  <w:tcW w:w="1171" w:type="dxa"/>
                  <w:vAlign w:val="center"/>
                </w:tcPr>
                <w:p w14:paraId="732F3E82">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eastAsia="zh-CN"/>
                    </w:rPr>
                    <w:t>桶装</w:t>
                  </w:r>
                </w:p>
              </w:tc>
              <w:tc>
                <w:tcPr>
                  <w:tcW w:w="937" w:type="dxa"/>
                  <w:vAlign w:val="center"/>
                </w:tcPr>
                <w:p w14:paraId="73D5DE53">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2t/a</w:t>
                  </w:r>
                </w:p>
              </w:tc>
              <w:tc>
                <w:tcPr>
                  <w:tcW w:w="1096" w:type="dxa"/>
                  <w:vAlign w:val="center"/>
                </w:tcPr>
                <w:p w14:paraId="1C8C9FB6">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6个月</w:t>
                  </w:r>
                </w:p>
              </w:tc>
            </w:tr>
            <w:tr w14:paraId="5B1BD94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74" w:type="dxa"/>
                  <w:vAlign w:val="center"/>
                </w:tcPr>
                <w:p w14:paraId="5BB92A56">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lang w:eastAsia="zh-CN"/>
                    </w:rPr>
                  </w:pPr>
                  <w:r>
                    <w:rPr>
                      <w:rFonts w:hint="eastAsia" w:ascii="宋体" w:hAnsi="宋体" w:eastAsia="宋体" w:cs="宋体"/>
                      <w:color w:val="auto"/>
                      <w:kern w:val="0"/>
                      <w:sz w:val="21"/>
                      <w:szCs w:val="21"/>
                      <w:lang w:val="en-US" w:eastAsia="zh-CN"/>
                    </w:rPr>
                    <w:t>3</w:t>
                  </w:r>
                </w:p>
              </w:tc>
              <w:tc>
                <w:tcPr>
                  <w:tcW w:w="1278" w:type="dxa"/>
                  <w:vAlign w:val="center"/>
                </w:tcPr>
                <w:p w14:paraId="7A1D22C7">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eastAsia="zh-CN"/>
                    </w:rPr>
                    <w:t>危废暂存间</w:t>
                  </w:r>
                </w:p>
              </w:tc>
              <w:tc>
                <w:tcPr>
                  <w:tcW w:w="1275" w:type="dxa"/>
                  <w:vAlign w:val="center"/>
                </w:tcPr>
                <w:p w14:paraId="7B653A2A">
                  <w:pPr>
                    <w:spacing w:line="276" w:lineRule="auto"/>
                    <w:jc w:val="center"/>
                    <w:rPr>
                      <w:rFonts w:hint="eastAsia" w:ascii="宋体" w:hAnsi="宋体" w:eastAsia="宋体" w:cs="宋体"/>
                      <w:color w:val="auto"/>
                      <w:kern w:val="0"/>
                      <w:sz w:val="21"/>
                      <w:szCs w:val="21"/>
                    </w:rPr>
                  </w:pPr>
                  <w:r>
                    <w:rPr>
                      <w:rFonts w:hint="default" w:ascii="Times New Roman" w:hAnsi="Times New Roman" w:cs="Times New Roman"/>
                      <w:color w:val="auto"/>
                      <w:sz w:val="21"/>
                      <w:szCs w:val="21"/>
                      <w:lang w:val="en-US" w:eastAsia="zh-CN"/>
                    </w:rPr>
                    <w:t>废</w:t>
                  </w:r>
                  <w:r>
                    <w:rPr>
                      <w:rFonts w:hint="eastAsia" w:cs="Times New Roman"/>
                      <w:color w:val="auto"/>
                      <w:sz w:val="21"/>
                      <w:szCs w:val="21"/>
                      <w:lang w:val="en-US" w:eastAsia="zh-CN"/>
                    </w:rPr>
                    <w:t>润滑油</w:t>
                  </w:r>
                </w:p>
              </w:tc>
              <w:tc>
                <w:tcPr>
                  <w:tcW w:w="819" w:type="dxa"/>
                  <w:vAlign w:val="center"/>
                </w:tcPr>
                <w:p w14:paraId="09591AEF">
                  <w:pPr>
                    <w:spacing w:line="276" w:lineRule="auto"/>
                    <w:jc w:val="center"/>
                    <w:rPr>
                      <w:rFonts w:hint="eastAsia" w:ascii="宋体" w:hAnsi="宋体" w:eastAsia="宋体" w:cs="宋体"/>
                      <w:color w:val="auto"/>
                      <w:kern w:val="0"/>
                      <w:sz w:val="21"/>
                      <w:szCs w:val="21"/>
                    </w:rPr>
                  </w:pPr>
                  <w:r>
                    <w:rPr>
                      <w:rFonts w:hint="default" w:ascii="Times New Roman" w:hAnsi="Times New Roman" w:cs="Times New Roman"/>
                      <w:color w:val="auto"/>
                      <w:sz w:val="21"/>
                      <w:szCs w:val="21"/>
                      <w:lang w:val="en-US" w:eastAsia="zh-CN"/>
                    </w:rPr>
                    <w:t>HW49</w:t>
                  </w:r>
                </w:p>
              </w:tc>
              <w:tc>
                <w:tcPr>
                  <w:tcW w:w="820" w:type="dxa"/>
                  <w:vAlign w:val="center"/>
                </w:tcPr>
                <w:p w14:paraId="641D2C6D">
                  <w:pPr>
                    <w:spacing w:line="276" w:lineRule="auto"/>
                    <w:jc w:val="center"/>
                    <w:rPr>
                      <w:rFonts w:hint="eastAsia" w:ascii="宋体" w:hAnsi="宋体" w:eastAsia="宋体" w:cs="宋体"/>
                      <w:color w:val="auto"/>
                      <w:kern w:val="0"/>
                      <w:sz w:val="21"/>
                      <w:szCs w:val="21"/>
                    </w:rPr>
                  </w:pPr>
                  <w:r>
                    <w:rPr>
                      <w:rFonts w:hint="default" w:ascii="Times New Roman" w:hAnsi="Times New Roman" w:cs="Times New Roman"/>
                      <w:color w:val="auto"/>
                      <w:sz w:val="21"/>
                      <w:szCs w:val="21"/>
                      <w:lang w:val="en-US" w:eastAsia="zh-CN"/>
                    </w:rPr>
                    <w:t>900-214-08</w:t>
                  </w:r>
                </w:p>
              </w:tc>
              <w:tc>
                <w:tcPr>
                  <w:tcW w:w="818" w:type="dxa"/>
                  <w:vAlign w:val="center"/>
                </w:tcPr>
                <w:p w14:paraId="06105CCA">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1#车间</w:t>
                  </w:r>
                </w:p>
              </w:tc>
              <w:tc>
                <w:tcPr>
                  <w:tcW w:w="1170" w:type="dxa"/>
                  <w:vAlign w:val="center"/>
                </w:tcPr>
                <w:p w14:paraId="2921DE09">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40m</w:t>
                  </w:r>
                  <w:r>
                    <w:rPr>
                      <w:rFonts w:hint="eastAsia" w:ascii="宋体" w:hAnsi="宋体" w:eastAsia="宋体" w:cs="宋体"/>
                      <w:color w:val="auto"/>
                      <w:kern w:val="0"/>
                      <w:sz w:val="21"/>
                      <w:szCs w:val="21"/>
                      <w:vertAlign w:val="superscript"/>
                      <w:lang w:val="en-US" w:eastAsia="zh-CN"/>
                    </w:rPr>
                    <w:t>2</w:t>
                  </w:r>
                </w:p>
              </w:tc>
              <w:tc>
                <w:tcPr>
                  <w:tcW w:w="1171" w:type="dxa"/>
                  <w:vAlign w:val="center"/>
                </w:tcPr>
                <w:p w14:paraId="60D8306D">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eastAsia="zh-CN"/>
                    </w:rPr>
                    <w:t>桶装</w:t>
                  </w:r>
                </w:p>
              </w:tc>
              <w:tc>
                <w:tcPr>
                  <w:tcW w:w="937" w:type="dxa"/>
                  <w:vAlign w:val="center"/>
                </w:tcPr>
                <w:p w14:paraId="0E3EFD53">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2t/a</w:t>
                  </w:r>
                </w:p>
              </w:tc>
              <w:tc>
                <w:tcPr>
                  <w:tcW w:w="1096" w:type="dxa"/>
                  <w:vAlign w:val="center"/>
                </w:tcPr>
                <w:p w14:paraId="054079CF">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6个月</w:t>
                  </w:r>
                </w:p>
              </w:tc>
            </w:tr>
            <w:tr w14:paraId="4721C9C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74" w:type="dxa"/>
                  <w:vAlign w:val="center"/>
                </w:tcPr>
                <w:p w14:paraId="04FC3315">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lang w:val="en-US" w:eastAsia="zh-CN"/>
                    </w:rPr>
                  </w:pPr>
                  <w:r>
                    <w:rPr>
                      <w:rFonts w:hint="eastAsia" w:ascii="宋体" w:hAnsi="宋体" w:eastAsia="宋体" w:cs="宋体"/>
                      <w:color w:val="auto"/>
                      <w:kern w:val="0"/>
                      <w:sz w:val="21"/>
                      <w:szCs w:val="21"/>
                      <w:lang w:val="en-US" w:eastAsia="zh-CN"/>
                    </w:rPr>
                    <w:t>4</w:t>
                  </w:r>
                </w:p>
              </w:tc>
              <w:tc>
                <w:tcPr>
                  <w:tcW w:w="1278" w:type="dxa"/>
                  <w:vAlign w:val="center"/>
                </w:tcPr>
                <w:p w14:paraId="181EF6ED">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eastAsia="zh-CN"/>
                    </w:rPr>
                    <w:t>危废暂存间</w:t>
                  </w:r>
                </w:p>
              </w:tc>
              <w:tc>
                <w:tcPr>
                  <w:tcW w:w="1275" w:type="dxa"/>
                  <w:vAlign w:val="center"/>
                </w:tcPr>
                <w:p w14:paraId="1E40E83F">
                  <w:pPr>
                    <w:spacing w:line="276" w:lineRule="auto"/>
                    <w:jc w:val="center"/>
                    <w:rPr>
                      <w:rFonts w:hint="eastAsia" w:ascii="宋体" w:hAnsi="宋体" w:eastAsia="宋体" w:cs="宋体"/>
                      <w:color w:val="auto"/>
                      <w:kern w:val="0"/>
                      <w:sz w:val="21"/>
                      <w:szCs w:val="21"/>
                    </w:rPr>
                  </w:pPr>
                  <w:r>
                    <w:rPr>
                      <w:rFonts w:hint="default" w:ascii="Times New Roman" w:hAnsi="Times New Roman" w:cs="Times New Roman"/>
                      <w:color w:val="auto"/>
                      <w:sz w:val="21"/>
                      <w:szCs w:val="21"/>
                      <w:lang w:val="en-US" w:eastAsia="zh-CN"/>
                    </w:rPr>
                    <w:t>废活性炭</w:t>
                  </w:r>
                </w:p>
              </w:tc>
              <w:tc>
                <w:tcPr>
                  <w:tcW w:w="819" w:type="dxa"/>
                  <w:vAlign w:val="center"/>
                </w:tcPr>
                <w:p w14:paraId="1DB82F0E">
                  <w:pPr>
                    <w:spacing w:line="276" w:lineRule="auto"/>
                    <w:jc w:val="center"/>
                    <w:rPr>
                      <w:rFonts w:hint="eastAsia" w:ascii="宋体" w:hAnsi="宋体" w:eastAsia="宋体" w:cs="宋体"/>
                      <w:color w:val="auto"/>
                      <w:kern w:val="0"/>
                      <w:sz w:val="21"/>
                      <w:szCs w:val="21"/>
                    </w:rPr>
                  </w:pPr>
                  <w:r>
                    <w:rPr>
                      <w:rFonts w:hint="default" w:ascii="Times New Roman" w:hAnsi="Times New Roman" w:cs="Times New Roman"/>
                      <w:color w:val="auto"/>
                      <w:sz w:val="21"/>
                      <w:szCs w:val="21"/>
                      <w:lang w:val="en-US" w:eastAsia="zh-CN"/>
                    </w:rPr>
                    <w:t>HW49</w:t>
                  </w:r>
                </w:p>
              </w:tc>
              <w:tc>
                <w:tcPr>
                  <w:tcW w:w="820" w:type="dxa"/>
                  <w:vAlign w:val="center"/>
                </w:tcPr>
                <w:p w14:paraId="55F0EDC4">
                  <w:pPr>
                    <w:spacing w:line="276" w:lineRule="auto"/>
                    <w:jc w:val="center"/>
                    <w:rPr>
                      <w:rFonts w:hint="eastAsia" w:ascii="宋体" w:hAnsi="宋体" w:eastAsia="宋体" w:cs="宋体"/>
                      <w:color w:val="auto"/>
                      <w:kern w:val="0"/>
                      <w:sz w:val="21"/>
                      <w:szCs w:val="21"/>
                    </w:rPr>
                  </w:pPr>
                  <w:r>
                    <w:rPr>
                      <w:rFonts w:hint="default" w:ascii="Times New Roman" w:hAnsi="Times New Roman" w:cs="Times New Roman"/>
                      <w:color w:val="auto"/>
                      <w:sz w:val="21"/>
                      <w:szCs w:val="21"/>
                    </w:rPr>
                    <w:t>900-041-49</w:t>
                  </w:r>
                </w:p>
              </w:tc>
              <w:tc>
                <w:tcPr>
                  <w:tcW w:w="818" w:type="dxa"/>
                  <w:vAlign w:val="center"/>
                </w:tcPr>
                <w:p w14:paraId="4209F365">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1#车间</w:t>
                  </w:r>
                </w:p>
              </w:tc>
              <w:tc>
                <w:tcPr>
                  <w:tcW w:w="1170" w:type="dxa"/>
                  <w:vAlign w:val="center"/>
                </w:tcPr>
                <w:p w14:paraId="6C4B882F">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40m</w:t>
                  </w:r>
                  <w:r>
                    <w:rPr>
                      <w:rFonts w:hint="eastAsia" w:ascii="宋体" w:hAnsi="宋体" w:eastAsia="宋体" w:cs="宋体"/>
                      <w:color w:val="auto"/>
                      <w:kern w:val="0"/>
                      <w:sz w:val="21"/>
                      <w:szCs w:val="21"/>
                      <w:vertAlign w:val="superscript"/>
                      <w:lang w:val="en-US" w:eastAsia="zh-CN"/>
                    </w:rPr>
                    <w:t>2</w:t>
                  </w:r>
                </w:p>
              </w:tc>
              <w:tc>
                <w:tcPr>
                  <w:tcW w:w="1171" w:type="dxa"/>
                  <w:vAlign w:val="center"/>
                </w:tcPr>
                <w:p w14:paraId="29CEA2EC">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eastAsia="zh-CN"/>
                    </w:rPr>
                    <w:t>桶装</w:t>
                  </w:r>
                </w:p>
              </w:tc>
              <w:tc>
                <w:tcPr>
                  <w:tcW w:w="937" w:type="dxa"/>
                  <w:vAlign w:val="center"/>
                </w:tcPr>
                <w:p w14:paraId="7811C3C7">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2t/a</w:t>
                  </w:r>
                </w:p>
              </w:tc>
              <w:tc>
                <w:tcPr>
                  <w:tcW w:w="1096" w:type="dxa"/>
                  <w:vAlign w:val="center"/>
                </w:tcPr>
                <w:p w14:paraId="2C09F566">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6个月</w:t>
                  </w:r>
                </w:p>
              </w:tc>
            </w:tr>
            <w:tr w14:paraId="21D9109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74" w:type="dxa"/>
                  <w:vAlign w:val="center"/>
                </w:tcPr>
                <w:p w14:paraId="7D5D4CAC">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lang w:val="en-US" w:eastAsia="zh-CN"/>
                    </w:rPr>
                  </w:pPr>
                  <w:r>
                    <w:rPr>
                      <w:rFonts w:hint="eastAsia" w:ascii="宋体" w:hAnsi="宋体" w:eastAsia="宋体" w:cs="宋体"/>
                      <w:color w:val="auto"/>
                      <w:kern w:val="0"/>
                      <w:sz w:val="21"/>
                      <w:szCs w:val="21"/>
                      <w:lang w:val="en-US" w:eastAsia="zh-CN"/>
                    </w:rPr>
                    <w:t>5</w:t>
                  </w:r>
                </w:p>
              </w:tc>
              <w:tc>
                <w:tcPr>
                  <w:tcW w:w="1278" w:type="dxa"/>
                  <w:vAlign w:val="center"/>
                </w:tcPr>
                <w:p w14:paraId="1D90709B">
                  <w:pPr>
                    <w:keepNext w:val="0"/>
                    <w:keepLines w:val="0"/>
                    <w:suppressLineNumbers w:val="0"/>
                    <w:topLinePunct/>
                    <w:adjustRightInd w:val="0"/>
                    <w:snapToGrid w:val="0"/>
                    <w:spacing w:before="0" w:beforeAutospacing="0" w:after="0" w:afterAutospacing="0"/>
                    <w:ind w:left="0" w:right="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eastAsia="zh-CN"/>
                    </w:rPr>
                    <w:t>危废暂存间</w:t>
                  </w:r>
                </w:p>
              </w:tc>
              <w:tc>
                <w:tcPr>
                  <w:tcW w:w="1275" w:type="dxa"/>
                  <w:vAlign w:val="center"/>
                </w:tcPr>
                <w:p w14:paraId="52551409">
                  <w:pPr>
                    <w:spacing w:line="276" w:lineRule="auto"/>
                    <w:jc w:val="center"/>
                    <w:rPr>
                      <w:rFonts w:hint="eastAsia" w:ascii="宋体" w:hAnsi="宋体" w:eastAsia="宋体" w:cs="宋体"/>
                      <w:color w:val="auto"/>
                      <w:kern w:val="0"/>
                      <w:sz w:val="21"/>
                      <w:szCs w:val="21"/>
                    </w:rPr>
                  </w:pPr>
                  <w:r>
                    <w:rPr>
                      <w:rFonts w:hint="default" w:ascii="Times New Roman" w:hAnsi="Times New Roman" w:cs="Times New Roman"/>
                      <w:color w:val="auto"/>
                      <w:sz w:val="21"/>
                      <w:szCs w:val="21"/>
                      <w:lang w:val="en-US" w:eastAsia="zh-CN"/>
                    </w:rPr>
                    <w:t>废</w:t>
                  </w:r>
                  <w:r>
                    <w:rPr>
                      <w:rFonts w:hint="eastAsia" w:cs="Times New Roman"/>
                      <w:color w:val="auto"/>
                      <w:sz w:val="21"/>
                      <w:szCs w:val="21"/>
                      <w:lang w:val="en-US" w:eastAsia="zh-CN"/>
                    </w:rPr>
                    <w:t>原料</w:t>
                  </w:r>
                  <w:r>
                    <w:rPr>
                      <w:rFonts w:hint="default" w:ascii="Times New Roman" w:hAnsi="Times New Roman" w:cs="Times New Roman"/>
                      <w:color w:val="auto"/>
                      <w:sz w:val="21"/>
                      <w:szCs w:val="21"/>
                      <w:lang w:val="en-US" w:eastAsia="zh-CN"/>
                    </w:rPr>
                    <w:t>桶</w:t>
                  </w:r>
                </w:p>
              </w:tc>
              <w:tc>
                <w:tcPr>
                  <w:tcW w:w="819" w:type="dxa"/>
                  <w:vAlign w:val="center"/>
                </w:tcPr>
                <w:p w14:paraId="0FB5C0D8">
                  <w:pPr>
                    <w:spacing w:line="276" w:lineRule="auto"/>
                    <w:jc w:val="center"/>
                    <w:rPr>
                      <w:rFonts w:hint="eastAsia" w:ascii="宋体" w:hAnsi="宋体" w:eastAsia="宋体" w:cs="宋体"/>
                      <w:color w:val="auto"/>
                      <w:kern w:val="0"/>
                      <w:sz w:val="21"/>
                      <w:szCs w:val="21"/>
                    </w:rPr>
                  </w:pPr>
                  <w:r>
                    <w:rPr>
                      <w:rFonts w:hint="default" w:ascii="Times New Roman" w:hAnsi="Times New Roman" w:cs="Times New Roman"/>
                      <w:color w:val="auto"/>
                      <w:sz w:val="21"/>
                      <w:szCs w:val="21"/>
                      <w:lang w:val="en-US" w:eastAsia="zh-CN"/>
                    </w:rPr>
                    <w:t>HW49</w:t>
                  </w:r>
                </w:p>
              </w:tc>
              <w:tc>
                <w:tcPr>
                  <w:tcW w:w="820" w:type="dxa"/>
                  <w:vAlign w:val="center"/>
                </w:tcPr>
                <w:p w14:paraId="51CA4A3B">
                  <w:pPr>
                    <w:spacing w:line="276" w:lineRule="auto"/>
                    <w:jc w:val="center"/>
                    <w:rPr>
                      <w:rFonts w:hint="eastAsia" w:ascii="宋体" w:hAnsi="宋体" w:eastAsia="宋体" w:cs="宋体"/>
                      <w:color w:val="auto"/>
                      <w:kern w:val="0"/>
                      <w:sz w:val="21"/>
                      <w:szCs w:val="21"/>
                    </w:rPr>
                  </w:pPr>
                  <w:r>
                    <w:rPr>
                      <w:rFonts w:hint="default" w:ascii="Times New Roman" w:hAnsi="Times New Roman" w:cs="Times New Roman"/>
                      <w:color w:val="auto"/>
                      <w:sz w:val="21"/>
                      <w:szCs w:val="21"/>
                    </w:rPr>
                    <w:t>900-041-49</w:t>
                  </w:r>
                </w:p>
              </w:tc>
              <w:tc>
                <w:tcPr>
                  <w:tcW w:w="818" w:type="dxa"/>
                  <w:vAlign w:val="center"/>
                </w:tcPr>
                <w:p w14:paraId="224B5CC6">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1#车间</w:t>
                  </w:r>
                </w:p>
              </w:tc>
              <w:tc>
                <w:tcPr>
                  <w:tcW w:w="1170" w:type="dxa"/>
                  <w:vAlign w:val="center"/>
                </w:tcPr>
                <w:p w14:paraId="0B222F13">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40m</w:t>
                  </w:r>
                  <w:r>
                    <w:rPr>
                      <w:rFonts w:hint="eastAsia" w:ascii="宋体" w:hAnsi="宋体" w:eastAsia="宋体" w:cs="宋体"/>
                      <w:color w:val="auto"/>
                      <w:kern w:val="0"/>
                      <w:sz w:val="21"/>
                      <w:szCs w:val="21"/>
                      <w:vertAlign w:val="superscript"/>
                      <w:lang w:val="en-US" w:eastAsia="zh-CN"/>
                    </w:rPr>
                    <w:t>2</w:t>
                  </w:r>
                </w:p>
              </w:tc>
              <w:tc>
                <w:tcPr>
                  <w:tcW w:w="1171" w:type="dxa"/>
                  <w:vAlign w:val="center"/>
                </w:tcPr>
                <w:p w14:paraId="638B692F">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eastAsia="zh-CN"/>
                    </w:rPr>
                    <w:t>桶装</w:t>
                  </w:r>
                </w:p>
              </w:tc>
              <w:tc>
                <w:tcPr>
                  <w:tcW w:w="937" w:type="dxa"/>
                  <w:vAlign w:val="center"/>
                </w:tcPr>
                <w:p w14:paraId="6FCC67E3">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2t/a</w:t>
                  </w:r>
                </w:p>
              </w:tc>
              <w:tc>
                <w:tcPr>
                  <w:tcW w:w="1096" w:type="dxa"/>
                  <w:vAlign w:val="center"/>
                </w:tcPr>
                <w:p w14:paraId="2C02B4E1">
                  <w:pPr>
                    <w:keepNext w:val="0"/>
                    <w:keepLines w:val="0"/>
                    <w:suppressLineNumbers w:val="0"/>
                    <w:topLinePunct/>
                    <w:adjustRightInd w:val="0"/>
                    <w:snapToGrid w:val="0"/>
                    <w:spacing w:before="0" w:beforeAutospacing="0" w:after="0" w:afterAutospacing="0"/>
                    <w:ind w:left="0" w:leftChars="0" w:right="0" w:rightChars="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lang w:val="en-US" w:eastAsia="zh-CN"/>
                    </w:rPr>
                    <w:t>6个月</w:t>
                  </w:r>
                </w:p>
              </w:tc>
            </w:tr>
          </w:tbl>
          <w:p w14:paraId="5F4FBB53">
            <w:pPr>
              <w:pStyle w:val="28"/>
              <w:rPr>
                <w:rFonts w:hint="default"/>
              </w:rPr>
            </w:pPr>
          </w:p>
          <w:p w14:paraId="4AFD5398">
            <w:pPr>
              <w:spacing w:line="360" w:lineRule="auto"/>
              <w:ind w:firstLine="482" w:firstLineChars="200"/>
              <w:rPr>
                <w:rFonts w:hint="default" w:ascii="Times New Roman" w:hAnsi="Times New Roman" w:cs="Times New Roman"/>
                <w:b/>
                <w:bCs w:val="0"/>
                <w:color w:val="auto"/>
                <w:sz w:val="24"/>
                <w:szCs w:val="24"/>
              </w:rPr>
            </w:pPr>
            <w:r>
              <w:rPr>
                <w:rFonts w:hint="default" w:ascii="Times New Roman" w:hAnsi="Times New Roman" w:cs="Times New Roman"/>
                <w:b/>
                <w:bCs w:val="0"/>
                <w:color w:val="auto"/>
                <w:sz w:val="24"/>
                <w:szCs w:val="24"/>
              </w:rPr>
              <w:t>同时环评对危废暂存间和固废管理提出以下要求。</w:t>
            </w:r>
          </w:p>
          <w:p w14:paraId="71F14DFF">
            <w:pPr>
              <w:spacing w:line="360" w:lineRule="auto"/>
              <w:ind w:firstLine="482" w:firstLineChars="200"/>
              <w:rPr>
                <w:rFonts w:hint="default" w:ascii="Times New Roman" w:hAnsi="Times New Roman" w:cs="Times New Roman"/>
                <w:b/>
                <w:bCs w:val="0"/>
                <w:color w:val="auto"/>
                <w:sz w:val="24"/>
                <w:szCs w:val="24"/>
              </w:rPr>
            </w:pPr>
            <w:r>
              <w:rPr>
                <w:rFonts w:hint="default" w:ascii="Times New Roman" w:hAnsi="Times New Roman" w:cs="Times New Roman"/>
                <w:b/>
                <w:bCs w:val="0"/>
                <w:color w:val="auto"/>
                <w:sz w:val="24"/>
                <w:szCs w:val="24"/>
              </w:rPr>
              <w:t>①危废暂存间设计要求</w:t>
            </w:r>
          </w:p>
          <w:p w14:paraId="38F8D71B">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为减小危险废物的储运风险，防止危废流失污染环境，本项目</w:t>
            </w:r>
            <w:r>
              <w:rPr>
                <w:rFonts w:hint="default" w:ascii="Times New Roman" w:hAnsi="Times New Roman" w:cs="Times New Roman"/>
                <w:b w:val="0"/>
                <w:bCs/>
                <w:color w:val="auto"/>
                <w:sz w:val="24"/>
                <w:szCs w:val="24"/>
                <w:lang w:eastAsia="zh-CN"/>
              </w:rPr>
              <w:t>整改</w:t>
            </w:r>
            <w:r>
              <w:rPr>
                <w:rFonts w:hint="default" w:ascii="Times New Roman" w:hAnsi="Times New Roman" w:cs="Times New Roman"/>
                <w:b w:val="0"/>
                <w:bCs/>
                <w:color w:val="auto"/>
                <w:sz w:val="24"/>
                <w:szCs w:val="24"/>
              </w:rPr>
              <w:t>拟</w:t>
            </w:r>
            <w:r>
              <w:rPr>
                <w:rFonts w:hint="default" w:ascii="Times New Roman" w:hAnsi="Times New Roman" w:cs="Times New Roman"/>
                <w:b w:val="0"/>
                <w:bCs/>
                <w:color w:val="auto"/>
                <w:sz w:val="24"/>
                <w:szCs w:val="24"/>
                <w:lang w:eastAsia="zh-CN"/>
              </w:rPr>
              <w:t>新增</w:t>
            </w:r>
            <w:r>
              <w:rPr>
                <w:rFonts w:hint="default" w:ascii="Times New Roman" w:hAnsi="Times New Roman" w:cs="Times New Roman"/>
                <w:b w:val="0"/>
                <w:bCs/>
                <w:color w:val="auto"/>
                <w:sz w:val="24"/>
                <w:szCs w:val="24"/>
                <w:lang w:val="en-US" w:eastAsia="zh-CN"/>
              </w:rPr>
              <w:t>1间</w:t>
            </w:r>
            <w:r>
              <w:rPr>
                <w:rFonts w:hint="default" w:ascii="Times New Roman" w:hAnsi="Times New Roman" w:cs="Times New Roman"/>
                <w:b w:val="0"/>
                <w:bCs/>
                <w:color w:val="auto"/>
                <w:sz w:val="24"/>
                <w:szCs w:val="24"/>
              </w:rPr>
              <w:t>危废暂存间，专门用于临时存放外委前的危废。危废暂存间为封闭区域，按照危废储存场所设置。危险废物贮存间根据《危险废物贮存污染控制标准》（GB18597-2001），危废暂存间将严格按照《危险废物贮存污染控制标准》的要求设计，做好防雨、防渗，防止二次污染。地面采用坚固、防渗、耐腐蚀的材料建造，拟设计堵截泄漏的裙脚、围堰等设施。</w:t>
            </w:r>
            <w:r>
              <w:rPr>
                <w:rFonts w:hint="eastAsia" w:cs="Times New Roman"/>
                <w:b w:val="0"/>
                <w:bCs/>
                <w:color w:val="auto"/>
                <w:sz w:val="24"/>
                <w:szCs w:val="24"/>
                <w:lang w:eastAsia="zh-CN"/>
              </w:rPr>
              <w:t>泄漏</w:t>
            </w:r>
            <w:r>
              <w:rPr>
                <w:rFonts w:hint="default" w:ascii="Times New Roman" w:hAnsi="Times New Roman" w:cs="Times New Roman"/>
                <w:b w:val="0"/>
                <w:bCs/>
                <w:color w:val="auto"/>
                <w:sz w:val="24"/>
                <w:szCs w:val="24"/>
              </w:rPr>
              <w:t>物、冲洗水经裙脚、围堰等设施收集后，桶装或罐装后与库内废物一起由有危废处理资质的单位的专用运输车辆运至危险固废处置单位。</w:t>
            </w:r>
          </w:p>
          <w:p w14:paraId="5F7C5C04">
            <w:pPr>
              <w:spacing w:line="360" w:lineRule="auto"/>
              <w:ind w:firstLine="482" w:firstLineChars="200"/>
              <w:rPr>
                <w:rFonts w:hint="default" w:ascii="Times New Roman" w:hAnsi="Times New Roman" w:cs="Times New Roman"/>
                <w:b/>
                <w:bCs w:val="0"/>
                <w:color w:val="auto"/>
                <w:sz w:val="24"/>
                <w:szCs w:val="24"/>
              </w:rPr>
            </w:pPr>
            <w:r>
              <w:rPr>
                <w:rFonts w:hint="default" w:ascii="Times New Roman" w:hAnsi="Times New Roman" w:cs="Times New Roman"/>
                <w:b/>
                <w:bCs w:val="0"/>
                <w:color w:val="auto"/>
                <w:sz w:val="24"/>
                <w:szCs w:val="24"/>
              </w:rPr>
              <w:t>②固废暂存管理措施</w:t>
            </w:r>
          </w:p>
          <w:p w14:paraId="52304377">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为了防止固体废物对区域环境从产生不利影响，评价要求企业应对固体废物处置采用综合利用，充分回收，最大限度地合理使用资源，尽可能减少固体废物的最终产生量，并对固体废物进行安全、合理、卫生地处理和处置。项目应采取的固废暂存管理措施如下：</w:t>
            </w:r>
          </w:p>
          <w:p w14:paraId="31E0DA59">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①设置专门人员负责将废弃物运输到暂存间，进行分类堆放，在运输过程中，确保不撒漏、不混放。对有毒有害废弃物，利用密闭容器储运；并加强固体废弃物的分类存放管理，确保各类固废分类存放于固废暂存间内，不散乱堆放。</w:t>
            </w:r>
          </w:p>
          <w:p w14:paraId="2E3850F4">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② 危废暂存间按规定设立标志牌，并对废物暂存区的地面作</w:t>
            </w:r>
            <w:r>
              <w:rPr>
                <w:rFonts w:hint="eastAsia" w:ascii="Times New Roman" w:hAnsi="Times New Roman" w:cs="Times New Roman"/>
                <w:b w:val="0"/>
                <w:bCs/>
                <w:color w:val="auto"/>
                <w:sz w:val="24"/>
                <w:szCs w:val="24"/>
                <w:lang w:eastAsia="zh-CN"/>
              </w:rPr>
              <w:t>“</w:t>
            </w:r>
            <w:r>
              <w:rPr>
                <w:rFonts w:hint="default" w:ascii="Times New Roman" w:hAnsi="Times New Roman" w:cs="Times New Roman"/>
                <w:b w:val="0"/>
                <w:bCs/>
                <w:color w:val="auto"/>
                <w:sz w:val="24"/>
                <w:szCs w:val="24"/>
              </w:rPr>
              <w:t>三防</w:t>
            </w:r>
            <w:r>
              <w:rPr>
                <w:rFonts w:hint="eastAsia" w:ascii="Times New Roman" w:hAnsi="Times New Roman" w:cs="Times New Roman"/>
                <w:b w:val="0"/>
                <w:bCs/>
                <w:color w:val="auto"/>
                <w:sz w:val="24"/>
                <w:szCs w:val="24"/>
                <w:lang w:eastAsia="zh-CN"/>
              </w:rPr>
              <w:t>”</w:t>
            </w:r>
            <w:r>
              <w:rPr>
                <w:rFonts w:hint="default" w:ascii="Times New Roman" w:hAnsi="Times New Roman" w:cs="Times New Roman"/>
                <w:b w:val="0"/>
                <w:bCs/>
                <w:color w:val="auto"/>
                <w:sz w:val="24"/>
                <w:szCs w:val="24"/>
              </w:rPr>
              <w:t>处理，铺设防渗层，加强防雨、防渗、防漏及防溢流措施。且必须按危险废物收集、储存、运输原则进行处理，送有危废处理资质的单位进行处置，杜绝企业自行处理或排放。固废暂存间的固废应及时处置，不得停留较长时间。禁止在厂区内焚烧各类固废。</w:t>
            </w:r>
          </w:p>
          <w:p w14:paraId="5578408C">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③ 对危险固体废弃物，将严格按照《危险废弃物管理规定》清理、转运、处置，不得</w:t>
            </w:r>
            <w:bookmarkStart w:id="17" w:name="_GoBack"/>
            <w:r>
              <w:rPr>
                <w:rFonts w:hint="eastAsia" w:cs="Times New Roman"/>
                <w:b w:val="0"/>
                <w:bCs/>
                <w:color w:val="auto"/>
                <w:sz w:val="24"/>
                <w:szCs w:val="24"/>
                <w:lang w:eastAsia="zh-CN"/>
              </w:rPr>
              <w:t>泄漏</w:t>
            </w:r>
            <w:bookmarkEnd w:id="17"/>
            <w:r>
              <w:rPr>
                <w:rFonts w:hint="default" w:ascii="Times New Roman" w:hAnsi="Times New Roman" w:cs="Times New Roman"/>
                <w:b w:val="0"/>
                <w:bCs/>
                <w:color w:val="auto"/>
                <w:sz w:val="24"/>
                <w:szCs w:val="24"/>
              </w:rPr>
              <w:t>至外界造成污染。如实按《危险废弃物管理规定》填写转运联单，做好台帐记录归档。做好防雨、防渗、防</w:t>
            </w:r>
            <w:r>
              <w:rPr>
                <w:rFonts w:hint="eastAsia" w:cs="Times New Roman"/>
                <w:b w:val="0"/>
                <w:bCs/>
                <w:color w:val="auto"/>
                <w:sz w:val="24"/>
                <w:szCs w:val="24"/>
                <w:lang w:eastAsia="zh-CN"/>
              </w:rPr>
              <w:t>泄漏</w:t>
            </w:r>
            <w:r>
              <w:rPr>
                <w:rFonts w:hint="default" w:ascii="Times New Roman" w:hAnsi="Times New Roman" w:cs="Times New Roman"/>
                <w:b w:val="0"/>
                <w:bCs/>
                <w:color w:val="auto"/>
                <w:sz w:val="24"/>
                <w:szCs w:val="24"/>
              </w:rPr>
              <w:t>的工作，雨天不得转运。污染事故一旦发生，立即启动《危险废弃物应急预案》。</w:t>
            </w:r>
          </w:p>
          <w:p w14:paraId="4AB93334">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④ 车间地面应收拾干净，各工段产生的废弃物应及时分类收集，不得外溢，及时转运。</w:t>
            </w:r>
          </w:p>
          <w:p w14:paraId="7A9C29E9">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废弃物转运时，运输车辆需密闭，严禁泄漏。</w:t>
            </w:r>
          </w:p>
          <w:p w14:paraId="180554CF">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⑤ 定期对所贮存的危险废物包装容器及贮存设施进行检查，发现破损，应及时采取措施清理更换，务必确保危废不外泄。</w:t>
            </w:r>
          </w:p>
          <w:p w14:paraId="33C6F85C">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⑥ 出厂外委进行处理的危险废物，须由有危废处理资质的单位采用专用车辆运进、运出。</w:t>
            </w:r>
          </w:p>
          <w:p w14:paraId="487FE480">
            <w:pPr>
              <w:spacing w:line="360" w:lineRule="auto"/>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运输路线避免经过居民集中区和饮用水源地，运输途中防治扬尘、洒落和</w:t>
            </w:r>
            <w:r>
              <w:rPr>
                <w:rFonts w:hint="eastAsia" w:cs="Times New Roman"/>
                <w:b w:val="0"/>
                <w:bCs/>
                <w:color w:val="auto"/>
                <w:sz w:val="24"/>
                <w:szCs w:val="24"/>
                <w:lang w:eastAsia="zh-CN"/>
              </w:rPr>
              <w:t>泄漏</w:t>
            </w:r>
            <w:r>
              <w:rPr>
                <w:rFonts w:hint="default" w:ascii="Times New Roman" w:hAnsi="Times New Roman" w:cs="Times New Roman"/>
                <w:b w:val="0"/>
                <w:bCs/>
                <w:color w:val="auto"/>
                <w:sz w:val="24"/>
                <w:szCs w:val="24"/>
              </w:rPr>
              <w:t>造成严重污染。</w:t>
            </w:r>
          </w:p>
          <w:p w14:paraId="75531F64">
            <w:pPr>
              <w:spacing w:line="360" w:lineRule="auto"/>
              <w:ind w:firstLine="482" w:firstLineChars="200"/>
              <w:rPr>
                <w:rFonts w:hint="default" w:ascii="Times New Roman" w:hAnsi="Times New Roman" w:cs="Times New Roman"/>
                <w:b/>
                <w:bCs w:val="0"/>
                <w:color w:val="auto"/>
                <w:sz w:val="24"/>
                <w:szCs w:val="24"/>
              </w:rPr>
            </w:pPr>
            <w:r>
              <w:rPr>
                <w:rFonts w:hint="default" w:ascii="Times New Roman" w:hAnsi="Times New Roman" w:cs="Times New Roman"/>
                <w:b/>
                <w:bCs w:val="0"/>
                <w:color w:val="auto"/>
                <w:sz w:val="24"/>
                <w:szCs w:val="24"/>
              </w:rPr>
              <w:t>③危险废物运输要求</w:t>
            </w:r>
          </w:p>
          <w:p w14:paraId="3FA08008">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①做好每次外运处置废弃物的运输登记、认真填写危险废物转移联单（每种废物填写一份联单），并加盖公司公章，经运输单位核实验收签字后，将联单第一联副联自留存档，将联单第二联交移出当地环境保护行政主管部门，第三联及其余各联交付运输单位，随危险废物转移运行。第四联交接收单位，第五联交接受地环保局。</w:t>
            </w:r>
          </w:p>
          <w:p w14:paraId="49331EF4">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②废弃物处置单位的运输人员必须掌握危险化学品运输的安全知识，了解所运载的危险化学品的性质、危害特性、包装容器的使用特性和发生意外时的应急措施。运输车辆必须具有车辆危险货物运输许可证。驾驶人员必须取得驾驶执照的熟练人员担任。</w:t>
            </w:r>
          </w:p>
          <w:p w14:paraId="410072DA">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③处置单位在运输危险废物时，必须配备押运人员，并随时处于押运人员的监管之下，不得超载、超装，不得进入危险品运输车辆禁止通行的区域；确需进入禁止通行区域的，应当向当地公安部门报告，由公安部门为其指定行车时间和路线，运输车辆必须遵守公安部门规定的行车时间和路线。</w:t>
            </w:r>
          </w:p>
          <w:p w14:paraId="5D658F4E">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④危险废物运输过程中若发生被盗、丢失、流散、</w:t>
            </w:r>
            <w:r>
              <w:rPr>
                <w:rFonts w:hint="eastAsia" w:cs="Times New Roman"/>
                <w:b w:val="0"/>
                <w:bCs/>
                <w:color w:val="auto"/>
                <w:sz w:val="24"/>
                <w:szCs w:val="24"/>
                <w:lang w:eastAsia="zh-CN"/>
              </w:rPr>
              <w:t>泄漏</w:t>
            </w:r>
            <w:r>
              <w:rPr>
                <w:rFonts w:hint="default" w:ascii="Times New Roman" w:hAnsi="Times New Roman" w:cs="Times New Roman"/>
                <w:b w:val="0"/>
                <w:bCs/>
                <w:color w:val="auto"/>
                <w:sz w:val="24"/>
                <w:szCs w:val="24"/>
              </w:rPr>
              <w:t>等情况时，公司及押运人员必须立即向公安部门报告，并采取一切可能的警示措施。</w:t>
            </w:r>
          </w:p>
          <w:p w14:paraId="6A21EB39">
            <w:pPr>
              <w:spacing w:line="360" w:lineRule="auto"/>
              <w:ind w:firstLine="480" w:firstLineChars="200"/>
              <w:rPr>
                <w:rFonts w:hint="default" w:ascii="Times New Roman" w:hAnsi="Times New Roman" w:cs="Times New Roman"/>
                <w:b w:val="0"/>
                <w:bCs/>
                <w:color w:val="auto"/>
                <w:sz w:val="24"/>
                <w:szCs w:val="24"/>
              </w:rPr>
            </w:pPr>
            <w:r>
              <w:rPr>
                <w:rFonts w:hint="default" w:ascii="Times New Roman" w:hAnsi="Times New Roman" w:cs="Times New Roman"/>
                <w:b w:val="0"/>
                <w:bCs/>
                <w:color w:val="auto"/>
                <w:sz w:val="24"/>
                <w:szCs w:val="24"/>
              </w:rPr>
              <w:t>⑤一旦发生危险废物</w:t>
            </w:r>
            <w:r>
              <w:rPr>
                <w:rFonts w:hint="eastAsia" w:cs="Times New Roman"/>
                <w:b w:val="0"/>
                <w:bCs/>
                <w:color w:val="auto"/>
                <w:sz w:val="24"/>
                <w:szCs w:val="24"/>
                <w:lang w:eastAsia="zh-CN"/>
              </w:rPr>
              <w:t>泄漏</w:t>
            </w:r>
            <w:r>
              <w:rPr>
                <w:rFonts w:hint="default" w:ascii="Times New Roman" w:hAnsi="Times New Roman" w:cs="Times New Roman"/>
                <w:b w:val="0"/>
                <w:bCs/>
                <w:color w:val="auto"/>
                <w:sz w:val="24"/>
                <w:szCs w:val="24"/>
              </w:rPr>
              <w:t>事故，公司和危险废物处置单位都应积极协助有关部门采取必要的安全措施，减少事故损失，防止事故蔓延、扩大；针对事故对人体、动植物、土壤、水源空气造成的现实危害和可能产生的危害，应迅速采取封闭、隔离、洗消等措施，并对事故造成的危害进行监测、处置，直至符合国家环境保护标准。</w:t>
            </w:r>
          </w:p>
          <w:p w14:paraId="55BE19AD">
            <w:pPr>
              <w:spacing w:line="360" w:lineRule="auto"/>
              <w:ind w:firstLine="482" w:firstLineChars="200"/>
              <w:rPr>
                <w:rFonts w:hint="default" w:ascii="Times New Roman" w:hAnsi="Times New Roman" w:cs="Times New Roman"/>
                <w:b/>
                <w:bCs w:val="0"/>
                <w:color w:val="auto"/>
                <w:sz w:val="24"/>
                <w:szCs w:val="24"/>
              </w:rPr>
            </w:pPr>
            <w:r>
              <w:rPr>
                <w:rFonts w:hint="default" w:ascii="Times New Roman" w:hAnsi="Times New Roman" w:cs="Times New Roman"/>
                <w:b/>
                <w:bCs w:val="0"/>
                <w:color w:val="auto"/>
                <w:sz w:val="24"/>
                <w:szCs w:val="24"/>
                <w:lang w:eastAsia="zh-CN"/>
              </w:rPr>
              <w:t>在</w:t>
            </w:r>
            <w:r>
              <w:rPr>
                <w:rFonts w:hint="default" w:ascii="Times New Roman" w:hAnsi="Times New Roman" w:cs="Times New Roman"/>
                <w:b/>
                <w:bCs w:val="0"/>
                <w:color w:val="auto"/>
                <w:sz w:val="24"/>
                <w:szCs w:val="24"/>
              </w:rPr>
              <w:t>采取以上措施后，本项目产生的固体废物</w:t>
            </w:r>
            <w:r>
              <w:rPr>
                <w:rFonts w:hint="default" w:ascii="Times New Roman" w:hAnsi="Times New Roman" w:cs="Times New Roman"/>
                <w:b/>
                <w:bCs w:val="0"/>
                <w:color w:val="auto"/>
                <w:sz w:val="24"/>
                <w:szCs w:val="24"/>
                <w:lang w:eastAsia="zh-CN"/>
              </w:rPr>
              <w:t>能得</w:t>
            </w:r>
            <w:r>
              <w:rPr>
                <w:rFonts w:hint="default" w:ascii="Times New Roman" w:hAnsi="Times New Roman" w:cs="Times New Roman"/>
                <w:b/>
                <w:bCs w:val="0"/>
                <w:color w:val="auto"/>
                <w:sz w:val="24"/>
                <w:szCs w:val="24"/>
              </w:rPr>
              <w:t>到合理处置，不会对环境造成不利影响。</w:t>
            </w:r>
          </w:p>
          <w:p w14:paraId="5329D5D6">
            <w:pPr>
              <w:spacing w:line="360" w:lineRule="auto"/>
              <w:ind w:firstLine="480"/>
              <w:rPr>
                <w:rFonts w:hint="default" w:ascii="Times New Roman" w:hAnsi="Times New Roman" w:cs="Times New Roman"/>
                <w:b/>
                <w:color w:val="auto"/>
                <w:sz w:val="24"/>
                <w:szCs w:val="24"/>
              </w:rPr>
            </w:pPr>
            <w:r>
              <w:rPr>
                <w:rFonts w:hint="default" w:ascii="Times New Roman" w:hAnsi="Times New Roman" w:cs="Times New Roman"/>
                <w:b/>
                <w:color w:val="auto"/>
                <w:sz w:val="24"/>
                <w:szCs w:val="24"/>
                <w:lang w:val="en-US" w:eastAsia="zh-CN"/>
              </w:rPr>
              <w:t>4</w:t>
            </w:r>
            <w:r>
              <w:rPr>
                <w:rFonts w:hint="default" w:ascii="Times New Roman" w:hAnsi="Times New Roman" w:cs="Times New Roman"/>
                <w:b/>
                <w:color w:val="auto"/>
                <w:sz w:val="24"/>
                <w:szCs w:val="24"/>
              </w:rPr>
              <w:t>、噪声</w:t>
            </w:r>
          </w:p>
          <w:p w14:paraId="0929CD5C">
            <w:pPr>
              <w:adjustRightInd w:val="0"/>
              <w:snapToGrid w:val="0"/>
              <w:spacing w:line="480" w:lineRule="exact"/>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rPr>
              <w:t>本项目高噪声设备主要是</w:t>
            </w:r>
            <w:r>
              <w:rPr>
                <w:rFonts w:hint="default" w:ascii="Times New Roman" w:hAnsi="Times New Roman" w:cs="Times New Roman"/>
                <w:color w:val="auto"/>
                <w:sz w:val="24"/>
                <w:szCs w:val="24"/>
              </w:rPr>
              <w:t>破碎机、</w:t>
            </w:r>
            <w:r>
              <w:rPr>
                <w:rFonts w:hint="eastAsia" w:cs="Times New Roman"/>
                <w:color w:val="auto"/>
                <w:sz w:val="24"/>
                <w:szCs w:val="24"/>
                <w:lang w:val="en-US" w:eastAsia="zh-CN"/>
              </w:rPr>
              <w:t>风机、激光切割</w:t>
            </w:r>
            <w:r>
              <w:rPr>
                <w:rFonts w:hint="default" w:ascii="Times New Roman" w:hAnsi="Times New Roman" w:cs="Times New Roman"/>
                <w:color w:val="auto"/>
                <w:sz w:val="24"/>
                <w:szCs w:val="24"/>
              </w:rPr>
              <w:t>机</w:t>
            </w:r>
            <w:r>
              <w:rPr>
                <w:rFonts w:hint="default" w:ascii="Times New Roman" w:hAnsi="Times New Roman" w:cs="Times New Roman"/>
                <w:color w:val="auto"/>
                <w:sz w:val="24"/>
                <w:szCs w:val="24"/>
                <w:lang w:eastAsia="zh-CN"/>
              </w:rPr>
              <w:t>、</w:t>
            </w:r>
            <w:r>
              <w:rPr>
                <w:rFonts w:hint="eastAsia" w:cs="Times New Roman"/>
                <w:color w:val="auto"/>
                <w:sz w:val="24"/>
                <w:szCs w:val="24"/>
                <w:lang w:val="en-US" w:eastAsia="zh-CN"/>
              </w:rPr>
              <w:t>空压机</w:t>
            </w:r>
            <w:r>
              <w:rPr>
                <w:rFonts w:hint="default" w:ascii="Times New Roman" w:hAnsi="Times New Roman" w:cs="Times New Roman"/>
                <w:color w:val="auto"/>
                <w:sz w:val="24"/>
                <w:szCs w:val="24"/>
                <w:lang w:eastAsia="zh-CN"/>
              </w:rPr>
              <w:t>及装卸噪声</w:t>
            </w:r>
            <w:r>
              <w:rPr>
                <w:rFonts w:hint="default" w:ascii="Times New Roman" w:hAnsi="Times New Roman" w:cs="Times New Roman"/>
                <w:color w:val="auto"/>
                <w:sz w:val="24"/>
                <w:szCs w:val="24"/>
              </w:rPr>
              <w:t>，各设备噪声级及安装位置见下表</w:t>
            </w:r>
            <w:r>
              <w:rPr>
                <w:rFonts w:hint="default" w:ascii="Times New Roman" w:hAnsi="Times New Roman" w:cs="Times New Roman"/>
                <w:color w:val="auto"/>
                <w:sz w:val="24"/>
                <w:szCs w:val="24"/>
                <w:lang w:val="en-US" w:eastAsia="zh-CN"/>
              </w:rPr>
              <w:t>5-</w:t>
            </w:r>
            <w:r>
              <w:rPr>
                <w:rFonts w:hint="eastAsia" w:cs="Times New Roman"/>
                <w:color w:val="auto"/>
                <w:sz w:val="24"/>
                <w:szCs w:val="24"/>
                <w:lang w:val="en-US" w:eastAsia="zh-CN"/>
              </w:rPr>
              <w:t>9</w:t>
            </w:r>
            <w:r>
              <w:rPr>
                <w:rFonts w:hint="default" w:ascii="Times New Roman" w:hAnsi="Times New Roman" w:cs="Times New Roman"/>
                <w:color w:val="auto"/>
                <w:sz w:val="24"/>
                <w:szCs w:val="24"/>
              </w:rPr>
              <w:t>。</w:t>
            </w:r>
          </w:p>
          <w:p w14:paraId="24DDB039">
            <w:pPr>
              <w:adjustRightInd w:val="0"/>
              <w:snapToGrid w:val="0"/>
              <w:spacing w:line="480" w:lineRule="exact"/>
              <w:ind w:firstLine="480" w:firstLineChars="200"/>
              <w:rPr>
                <w:rFonts w:hint="default" w:ascii="Times New Roman" w:hAnsi="Times New Roman" w:cs="Times New Roman"/>
                <w:b/>
                <w:color w:val="auto"/>
                <w:sz w:val="24"/>
                <w:szCs w:val="24"/>
              </w:rPr>
            </w:pPr>
            <w:r>
              <w:rPr>
                <w:rFonts w:hint="default" w:ascii="Times New Roman" w:hAnsi="Times New Roman" w:cs="Times New Roman"/>
                <w:color w:val="auto"/>
                <w:sz w:val="24"/>
                <w:szCs w:val="24"/>
              </w:rPr>
              <w:t xml:space="preserve">                       </w:t>
            </w:r>
            <w:r>
              <w:rPr>
                <w:rFonts w:hint="default" w:ascii="Times New Roman" w:hAnsi="Times New Roman" w:cs="Times New Roman"/>
                <w:color w:val="auto"/>
                <w:szCs w:val="21"/>
              </w:rPr>
              <w:t xml:space="preserve">   </w:t>
            </w:r>
            <w:r>
              <w:rPr>
                <w:rFonts w:hint="default" w:ascii="Times New Roman" w:hAnsi="Times New Roman" w:cs="Times New Roman"/>
                <w:b/>
                <w:color w:val="auto"/>
                <w:szCs w:val="21"/>
              </w:rPr>
              <w:t xml:space="preserve"> 表</w:t>
            </w:r>
            <w:r>
              <w:rPr>
                <w:rFonts w:hint="default" w:ascii="Times New Roman" w:hAnsi="Times New Roman" w:cs="Times New Roman"/>
                <w:b/>
                <w:color w:val="auto"/>
                <w:szCs w:val="21"/>
                <w:lang w:val="en-US" w:eastAsia="zh-CN"/>
              </w:rPr>
              <w:t>5-</w:t>
            </w:r>
            <w:r>
              <w:rPr>
                <w:rFonts w:hint="eastAsia" w:cs="Times New Roman"/>
                <w:b/>
                <w:color w:val="auto"/>
                <w:szCs w:val="21"/>
                <w:lang w:val="en-US" w:eastAsia="zh-CN"/>
              </w:rPr>
              <w:t>9</w:t>
            </w:r>
            <w:r>
              <w:rPr>
                <w:rFonts w:hint="default" w:ascii="Times New Roman" w:hAnsi="Times New Roman" w:cs="Times New Roman"/>
                <w:b/>
                <w:color w:val="auto"/>
                <w:szCs w:val="21"/>
              </w:rPr>
              <w:t xml:space="preserve">  项目主要声源声级强度</w:t>
            </w:r>
          </w:p>
          <w:tbl>
            <w:tblPr>
              <w:tblStyle w:val="23"/>
              <w:tblW w:w="10273"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719"/>
              <w:gridCol w:w="1751"/>
              <w:gridCol w:w="1157"/>
              <w:gridCol w:w="1706"/>
              <w:gridCol w:w="1829"/>
              <w:gridCol w:w="3111"/>
            </w:tblGrid>
            <w:tr w14:paraId="3E27DF1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719" w:type="dxa"/>
                  <w:vAlign w:val="center"/>
                </w:tcPr>
                <w:p w14:paraId="7C9CFB47">
                  <w:pPr>
                    <w:adjustRightInd w:val="0"/>
                    <w:snapToGrid w:val="0"/>
                    <w:jc w:val="center"/>
                    <w:rPr>
                      <w:rFonts w:hint="eastAsia" w:ascii="Times New Roman" w:hAnsi="Times New Roman" w:eastAsia="宋体" w:cs="Times New Roman"/>
                      <w:color w:val="auto"/>
                      <w:sz w:val="21"/>
                      <w:szCs w:val="21"/>
                      <w:lang w:eastAsia="zh-CN"/>
                    </w:rPr>
                  </w:pPr>
                  <w:r>
                    <w:rPr>
                      <w:rFonts w:hint="eastAsia" w:cs="Times New Roman"/>
                      <w:color w:val="auto"/>
                      <w:sz w:val="21"/>
                      <w:szCs w:val="21"/>
                      <w:lang w:val="en-US" w:eastAsia="zh-CN"/>
                    </w:rPr>
                    <w:t>序号</w:t>
                  </w:r>
                </w:p>
              </w:tc>
              <w:tc>
                <w:tcPr>
                  <w:tcW w:w="1751" w:type="dxa"/>
                  <w:vAlign w:val="center"/>
                </w:tcPr>
                <w:p w14:paraId="2FD964C2">
                  <w:pPr>
                    <w:adjustRightInd w:val="0"/>
                    <w:snapToGri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设备名称</w:t>
                  </w:r>
                </w:p>
              </w:tc>
              <w:tc>
                <w:tcPr>
                  <w:tcW w:w="1157" w:type="dxa"/>
                  <w:vAlign w:val="center"/>
                </w:tcPr>
                <w:p w14:paraId="4FC5539E">
                  <w:pPr>
                    <w:adjustRightInd w:val="0"/>
                    <w:snapToGri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数量（台）</w:t>
                  </w:r>
                </w:p>
              </w:tc>
              <w:tc>
                <w:tcPr>
                  <w:tcW w:w="1706" w:type="dxa"/>
                  <w:vAlign w:val="center"/>
                </w:tcPr>
                <w:p w14:paraId="6ED0A6D5">
                  <w:pPr>
                    <w:adjustRightInd w:val="0"/>
                    <w:snapToGri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噪声级（dB(A）)</w:t>
                  </w:r>
                </w:p>
              </w:tc>
              <w:tc>
                <w:tcPr>
                  <w:tcW w:w="1829" w:type="dxa"/>
                  <w:vAlign w:val="center"/>
                </w:tcPr>
                <w:p w14:paraId="408396D7">
                  <w:pPr>
                    <w:adjustRightInd w:val="0"/>
                    <w:snapToGri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安装位置</w:t>
                  </w:r>
                </w:p>
              </w:tc>
              <w:tc>
                <w:tcPr>
                  <w:tcW w:w="3111" w:type="dxa"/>
                  <w:vAlign w:val="center"/>
                </w:tcPr>
                <w:p w14:paraId="3D04B3EF">
                  <w:pPr>
                    <w:adjustRightInd w:val="0"/>
                    <w:snapToGri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lang w:val="en-US" w:eastAsia="zh-CN"/>
                    </w:rPr>
                    <w:t>噪声治理措施</w:t>
                  </w:r>
                </w:p>
              </w:tc>
            </w:tr>
            <w:tr w14:paraId="55BA75B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07" w:hRule="atLeast"/>
                <w:jc w:val="center"/>
              </w:trPr>
              <w:tc>
                <w:tcPr>
                  <w:tcW w:w="719" w:type="dxa"/>
                  <w:vAlign w:val="center"/>
                </w:tcPr>
                <w:p w14:paraId="58662DEC">
                  <w:pPr>
                    <w:adjustRightInd w:val="0"/>
                    <w:snapToGrid w:val="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w:t>
                  </w:r>
                </w:p>
              </w:tc>
              <w:tc>
                <w:tcPr>
                  <w:tcW w:w="1751" w:type="dxa"/>
                  <w:vAlign w:val="center"/>
                </w:tcPr>
                <w:p w14:paraId="4467E18F">
                  <w:pPr>
                    <w:adjustRightInd w:val="0"/>
                    <w:snapToGri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破碎机</w:t>
                  </w:r>
                </w:p>
              </w:tc>
              <w:tc>
                <w:tcPr>
                  <w:tcW w:w="1157" w:type="dxa"/>
                  <w:vAlign w:val="center"/>
                </w:tcPr>
                <w:p w14:paraId="326CEED0">
                  <w:pPr>
                    <w:adjustRightInd w:val="0"/>
                    <w:snapToGrid w:val="0"/>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1</w:t>
                  </w:r>
                </w:p>
              </w:tc>
              <w:tc>
                <w:tcPr>
                  <w:tcW w:w="1706" w:type="dxa"/>
                  <w:vAlign w:val="center"/>
                </w:tcPr>
                <w:p w14:paraId="37E15637">
                  <w:pPr>
                    <w:adjustRightInd w:val="0"/>
                    <w:snapToGrid w:val="0"/>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85</w:t>
                  </w:r>
                </w:p>
              </w:tc>
              <w:tc>
                <w:tcPr>
                  <w:tcW w:w="1829" w:type="dxa"/>
                  <w:vMerge w:val="restart"/>
                  <w:vAlign w:val="center"/>
                </w:tcPr>
                <w:p w14:paraId="19E0FB0F">
                  <w:pPr>
                    <w:adjustRightInd w:val="0"/>
                    <w:snapToGrid w:val="0"/>
                    <w:jc w:val="center"/>
                    <w:rPr>
                      <w:rFonts w:hint="default" w:ascii="Times New Roman" w:hAnsi="Times New Roman" w:cs="Times New Roman"/>
                      <w:color w:val="auto"/>
                      <w:sz w:val="21"/>
                      <w:szCs w:val="21"/>
                    </w:rPr>
                  </w:pPr>
                  <w:r>
                    <w:rPr>
                      <w:rFonts w:hint="eastAsia" w:cs="Times New Roman"/>
                      <w:color w:val="auto"/>
                      <w:sz w:val="21"/>
                      <w:szCs w:val="21"/>
                      <w:lang w:val="en-US" w:eastAsia="zh-CN"/>
                    </w:rPr>
                    <w:t>1#</w:t>
                  </w:r>
                  <w:r>
                    <w:rPr>
                      <w:rFonts w:hint="default" w:ascii="Times New Roman" w:hAnsi="Times New Roman" w:cs="Times New Roman"/>
                      <w:color w:val="auto"/>
                      <w:sz w:val="21"/>
                      <w:szCs w:val="21"/>
                    </w:rPr>
                    <w:t>生产车间</w:t>
                  </w:r>
                </w:p>
              </w:tc>
              <w:tc>
                <w:tcPr>
                  <w:tcW w:w="3111" w:type="dxa"/>
                  <w:vMerge w:val="restart"/>
                  <w:vAlign w:val="center"/>
                </w:tcPr>
                <w:p w14:paraId="727A9135">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合理布局、采用减振措施、设置消声器、设备全封闭系统隔声、建筑物隔声屏蔽、建筑材料吸声消声</w:t>
                  </w:r>
                </w:p>
              </w:tc>
            </w:tr>
            <w:tr w14:paraId="71FAE0E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719" w:type="dxa"/>
                  <w:vAlign w:val="center"/>
                </w:tcPr>
                <w:p w14:paraId="6F3C8E3A">
                  <w:pPr>
                    <w:adjustRightInd w:val="0"/>
                    <w:snapToGrid w:val="0"/>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w:t>
                  </w:r>
                </w:p>
              </w:tc>
              <w:tc>
                <w:tcPr>
                  <w:tcW w:w="1751" w:type="dxa"/>
                  <w:vAlign w:val="center"/>
                </w:tcPr>
                <w:p w14:paraId="42EBC9B8">
                  <w:pPr>
                    <w:adjustRightInd w:val="0"/>
                    <w:snapToGrid w:val="0"/>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空压机</w:t>
                  </w:r>
                </w:p>
              </w:tc>
              <w:tc>
                <w:tcPr>
                  <w:tcW w:w="1157" w:type="dxa"/>
                  <w:vAlign w:val="center"/>
                </w:tcPr>
                <w:p w14:paraId="74FBE29F">
                  <w:pPr>
                    <w:adjustRightInd w:val="0"/>
                    <w:snapToGrid w:val="0"/>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1</w:t>
                  </w:r>
                </w:p>
              </w:tc>
              <w:tc>
                <w:tcPr>
                  <w:tcW w:w="1706" w:type="dxa"/>
                  <w:vAlign w:val="center"/>
                </w:tcPr>
                <w:p w14:paraId="240E92AC">
                  <w:pPr>
                    <w:adjustRightInd w:val="0"/>
                    <w:snapToGrid w:val="0"/>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90</w:t>
                  </w:r>
                </w:p>
              </w:tc>
              <w:tc>
                <w:tcPr>
                  <w:tcW w:w="1829" w:type="dxa"/>
                  <w:vMerge w:val="continue"/>
                  <w:vAlign w:val="center"/>
                </w:tcPr>
                <w:p w14:paraId="4AD42E6E">
                  <w:pPr>
                    <w:adjustRightInd w:val="0"/>
                    <w:snapToGrid w:val="0"/>
                    <w:jc w:val="center"/>
                    <w:rPr>
                      <w:rFonts w:hint="default" w:ascii="Times New Roman" w:hAnsi="Times New Roman" w:cs="Times New Roman"/>
                      <w:color w:val="auto"/>
                      <w:sz w:val="21"/>
                      <w:szCs w:val="21"/>
                    </w:rPr>
                  </w:pPr>
                </w:p>
              </w:tc>
              <w:tc>
                <w:tcPr>
                  <w:tcW w:w="3111" w:type="dxa"/>
                  <w:vMerge w:val="continue"/>
                  <w:vAlign w:val="center"/>
                </w:tcPr>
                <w:p w14:paraId="79137DB9">
                  <w:pPr>
                    <w:adjustRightInd w:val="0"/>
                    <w:snapToGrid w:val="0"/>
                    <w:jc w:val="center"/>
                    <w:rPr>
                      <w:rFonts w:hint="default" w:ascii="Times New Roman" w:hAnsi="Times New Roman" w:cs="Times New Roman"/>
                      <w:color w:val="auto"/>
                      <w:sz w:val="21"/>
                      <w:szCs w:val="21"/>
                    </w:rPr>
                  </w:pPr>
                </w:p>
              </w:tc>
            </w:tr>
            <w:tr w14:paraId="222E432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719" w:type="dxa"/>
                  <w:vAlign w:val="center"/>
                </w:tcPr>
                <w:p w14:paraId="044E31EA">
                  <w:pPr>
                    <w:adjustRightInd w:val="0"/>
                    <w:snapToGrid w:val="0"/>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3</w:t>
                  </w:r>
                </w:p>
              </w:tc>
              <w:tc>
                <w:tcPr>
                  <w:tcW w:w="1751" w:type="dxa"/>
                  <w:vAlign w:val="center"/>
                </w:tcPr>
                <w:p w14:paraId="607C9AD3">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风机</w:t>
                  </w:r>
                </w:p>
              </w:tc>
              <w:tc>
                <w:tcPr>
                  <w:tcW w:w="1157" w:type="dxa"/>
                  <w:vAlign w:val="center"/>
                </w:tcPr>
                <w:p w14:paraId="2008B772">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2</w:t>
                  </w:r>
                </w:p>
              </w:tc>
              <w:tc>
                <w:tcPr>
                  <w:tcW w:w="1706" w:type="dxa"/>
                  <w:vAlign w:val="center"/>
                </w:tcPr>
                <w:p w14:paraId="09C2CE55">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80</w:t>
                  </w:r>
                </w:p>
              </w:tc>
              <w:tc>
                <w:tcPr>
                  <w:tcW w:w="1829" w:type="dxa"/>
                  <w:vMerge w:val="continue"/>
                  <w:vAlign w:val="center"/>
                </w:tcPr>
                <w:p w14:paraId="3D0F2655">
                  <w:pPr>
                    <w:adjustRightInd w:val="0"/>
                    <w:snapToGrid w:val="0"/>
                    <w:jc w:val="center"/>
                    <w:rPr>
                      <w:rFonts w:hint="default" w:ascii="Times New Roman" w:hAnsi="Times New Roman" w:cs="Times New Roman"/>
                      <w:color w:val="auto"/>
                      <w:sz w:val="21"/>
                      <w:szCs w:val="21"/>
                    </w:rPr>
                  </w:pPr>
                </w:p>
              </w:tc>
              <w:tc>
                <w:tcPr>
                  <w:tcW w:w="3111" w:type="dxa"/>
                  <w:vMerge w:val="continue"/>
                  <w:vAlign w:val="center"/>
                </w:tcPr>
                <w:p w14:paraId="48A2B7C5">
                  <w:pPr>
                    <w:adjustRightInd w:val="0"/>
                    <w:snapToGrid w:val="0"/>
                    <w:jc w:val="center"/>
                    <w:rPr>
                      <w:rFonts w:hint="default" w:ascii="Times New Roman" w:hAnsi="Times New Roman" w:cs="Times New Roman"/>
                      <w:color w:val="auto"/>
                      <w:sz w:val="21"/>
                      <w:szCs w:val="21"/>
                    </w:rPr>
                  </w:pPr>
                </w:p>
              </w:tc>
            </w:tr>
            <w:tr w14:paraId="661609E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719" w:type="dxa"/>
                  <w:vAlign w:val="center"/>
                </w:tcPr>
                <w:p w14:paraId="245B9613">
                  <w:pPr>
                    <w:adjustRightInd w:val="0"/>
                    <w:snapToGrid w:val="0"/>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4</w:t>
                  </w:r>
                </w:p>
              </w:tc>
              <w:tc>
                <w:tcPr>
                  <w:tcW w:w="1751" w:type="dxa"/>
                  <w:vAlign w:val="center"/>
                </w:tcPr>
                <w:p w14:paraId="1F1B7894">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高速带锯机</w:t>
                  </w:r>
                </w:p>
              </w:tc>
              <w:tc>
                <w:tcPr>
                  <w:tcW w:w="1157" w:type="dxa"/>
                  <w:vAlign w:val="center"/>
                </w:tcPr>
                <w:p w14:paraId="7553E5E1">
                  <w:pPr>
                    <w:adjustRightInd w:val="0"/>
                    <w:snapToGrid w:val="0"/>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1</w:t>
                  </w:r>
                </w:p>
              </w:tc>
              <w:tc>
                <w:tcPr>
                  <w:tcW w:w="1706" w:type="dxa"/>
                  <w:vAlign w:val="center"/>
                </w:tcPr>
                <w:p w14:paraId="6C1999FF">
                  <w:pPr>
                    <w:adjustRightInd w:val="0"/>
                    <w:snapToGrid w:val="0"/>
                    <w:jc w:val="center"/>
                    <w:rPr>
                      <w:rFonts w:hint="default" w:ascii="Times New Roman" w:hAnsi="Times New Roman" w:cs="Times New Roman"/>
                      <w:color w:val="auto"/>
                      <w:sz w:val="21"/>
                      <w:szCs w:val="21"/>
                      <w:lang w:val="en-US" w:eastAsia="zh-CN"/>
                    </w:rPr>
                  </w:pPr>
                  <w:r>
                    <w:rPr>
                      <w:rFonts w:hint="eastAsia" w:cs="Times New Roman"/>
                      <w:color w:val="auto"/>
                      <w:sz w:val="21"/>
                      <w:szCs w:val="21"/>
                      <w:lang w:val="en-US" w:eastAsia="zh-CN"/>
                    </w:rPr>
                    <w:t>85</w:t>
                  </w:r>
                </w:p>
              </w:tc>
              <w:tc>
                <w:tcPr>
                  <w:tcW w:w="1829" w:type="dxa"/>
                  <w:vMerge w:val="continue"/>
                  <w:vAlign w:val="center"/>
                </w:tcPr>
                <w:p w14:paraId="2DE1F4D1">
                  <w:pPr>
                    <w:adjustRightInd w:val="0"/>
                    <w:snapToGrid w:val="0"/>
                    <w:jc w:val="center"/>
                    <w:rPr>
                      <w:rFonts w:hint="default" w:ascii="Times New Roman" w:hAnsi="Times New Roman" w:cs="Times New Roman"/>
                      <w:color w:val="auto"/>
                      <w:sz w:val="21"/>
                      <w:szCs w:val="21"/>
                    </w:rPr>
                  </w:pPr>
                </w:p>
              </w:tc>
              <w:tc>
                <w:tcPr>
                  <w:tcW w:w="3111" w:type="dxa"/>
                  <w:vMerge w:val="continue"/>
                  <w:vAlign w:val="center"/>
                </w:tcPr>
                <w:p w14:paraId="7AD37ECA">
                  <w:pPr>
                    <w:adjustRightInd w:val="0"/>
                    <w:snapToGrid w:val="0"/>
                    <w:jc w:val="center"/>
                    <w:rPr>
                      <w:rFonts w:hint="default" w:ascii="Times New Roman" w:hAnsi="Times New Roman" w:cs="Times New Roman"/>
                      <w:color w:val="auto"/>
                      <w:sz w:val="21"/>
                      <w:szCs w:val="21"/>
                    </w:rPr>
                  </w:pPr>
                </w:p>
              </w:tc>
            </w:tr>
            <w:tr w14:paraId="4D78592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719" w:type="dxa"/>
                  <w:vAlign w:val="center"/>
                </w:tcPr>
                <w:p w14:paraId="2F16764F">
                  <w:pPr>
                    <w:adjustRightInd w:val="0"/>
                    <w:snapToGrid w:val="0"/>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5</w:t>
                  </w:r>
                </w:p>
              </w:tc>
              <w:tc>
                <w:tcPr>
                  <w:tcW w:w="1751" w:type="dxa"/>
                  <w:vAlign w:val="center"/>
                </w:tcPr>
                <w:p w14:paraId="1BE4080B">
                  <w:pPr>
                    <w:adjustRightInd w:val="0"/>
                    <w:snapToGrid w:val="0"/>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管子涨形机</w:t>
                  </w:r>
                </w:p>
              </w:tc>
              <w:tc>
                <w:tcPr>
                  <w:tcW w:w="1157" w:type="dxa"/>
                  <w:vAlign w:val="center"/>
                </w:tcPr>
                <w:p w14:paraId="4A53F654">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1</w:t>
                  </w:r>
                </w:p>
              </w:tc>
              <w:tc>
                <w:tcPr>
                  <w:tcW w:w="1706" w:type="dxa"/>
                  <w:vAlign w:val="center"/>
                </w:tcPr>
                <w:p w14:paraId="18F350C5">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80</w:t>
                  </w:r>
                </w:p>
              </w:tc>
              <w:tc>
                <w:tcPr>
                  <w:tcW w:w="1829" w:type="dxa"/>
                  <w:vMerge w:val="restart"/>
                  <w:vAlign w:val="center"/>
                </w:tcPr>
                <w:p w14:paraId="32AD84E8">
                  <w:pPr>
                    <w:adjustRightInd w:val="0"/>
                    <w:snapToGrid w:val="0"/>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2#生产车间</w:t>
                  </w:r>
                </w:p>
              </w:tc>
              <w:tc>
                <w:tcPr>
                  <w:tcW w:w="3111" w:type="dxa"/>
                  <w:vMerge w:val="continue"/>
                  <w:vAlign w:val="center"/>
                </w:tcPr>
                <w:p w14:paraId="6E978DB1">
                  <w:pPr>
                    <w:adjustRightInd w:val="0"/>
                    <w:snapToGrid w:val="0"/>
                    <w:jc w:val="center"/>
                    <w:rPr>
                      <w:rFonts w:hint="eastAsia" w:cs="Times New Roman"/>
                      <w:color w:val="auto"/>
                      <w:sz w:val="21"/>
                      <w:szCs w:val="21"/>
                      <w:lang w:val="en-US" w:eastAsia="zh-CN"/>
                    </w:rPr>
                  </w:pPr>
                </w:p>
              </w:tc>
            </w:tr>
            <w:tr w14:paraId="4971120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719" w:type="dxa"/>
                  <w:vAlign w:val="center"/>
                </w:tcPr>
                <w:p w14:paraId="24562FA9">
                  <w:pPr>
                    <w:adjustRightInd w:val="0"/>
                    <w:snapToGrid w:val="0"/>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6</w:t>
                  </w:r>
                </w:p>
              </w:tc>
              <w:tc>
                <w:tcPr>
                  <w:tcW w:w="1751" w:type="dxa"/>
                  <w:vAlign w:val="center"/>
                </w:tcPr>
                <w:p w14:paraId="2FC1B7D0">
                  <w:pPr>
                    <w:adjustRightInd w:val="0"/>
                    <w:snapToGrid w:val="0"/>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外壳涨形机</w:t>
                  </w:r>
                </w:p>
              </w:tc>
              <w:tc>
                <w:tcPr>
                  <w:tcW w:w="1157" w:type="dxa"/>
                  <w:vAlign w:val="center"/>
                </w:tcPr>
                <w:p w14:paraId="5AA8496C">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1</w:t>
                  </w:r>
                </w:p>
              </w:tc>
              <w:tc>
                <w:tcPr>
                  <w:tcW w:w="1706" w:type="dxa"/>
                  <w:vAlign w:val="center"/>
                </w:tcPr>
                <w:p w14:paraId="692C588F">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75</w:t>
                  </w:r>
                </w:p>
              </w:tc>
              <w:tc>
                <w:tcPr>
                  <w:tcW w:w="1829" w:type="dxa"/>
                  <w:vMerge w:val="continue"/>
                  <w:vAlign w:val="center"/>
                </w:tcPr>
                <w:p w14:paraId="0F4C4FE2">
                  <w:pPr>
                    <w:adjustRightInd w:val="0"/>
                    <w:snapToGrid w:val="0"/>
                    <w:jc w:val="center"/>
                    <w:rPr>
                      <w:rFonts w:hint="default" w:ascii="Times New Roman" w:hAnsi="Times New Roman" w:cs="Times New Roman"/>
                      <w:color w:val="auto"/>
                      <w:sz w:val="21"/>
                      <w:szCs w:val="21"/>
                    </w:rPr>
                  </w:pPr>
                </w:p>
              </w:tc>
              <w:tc>
                <w:tcPr>
                  <w:tcW w:w="3111" w:type="dxa"/>
                  <w:vMerge w:val="continue"/>
                  <w:vAlign w:val="center"/>
                </w:tcPr>
                <w:p w14:paraId="65199E46">
                  <w:pPr>
                    <w:adjustRightInd w:val="0"/>
                    <w:snapToGrid w:val="0"/>
                    <w:jc w:val="center"/>
                    <w:rPr>
                      <w:rFonts w:hint="default" w:ascii="Times New Roman" w:hAnsi="Times New Roman" w:cs="Times New Roman"/>
                      <w:color w:val="auto"/>
                      <w:sz w:val="21"/>
                      <w:szCs w:val="21"/>
                    </w:rPr>
                  </w:pPr>
                </w:p>
              </w:tc>
            </w:tr>
            <w:tr w14:paraId="382A888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719" w:type="dxa"/>
                  <w:vAlign w:val="center"/>
                </w:tcPr>
                <w:p w14:paraId="2EB9D241">
                  <w:pPr>
                    <w:adjustRightInd w:val="0"/>
                    <w:snapToGrid w:val="0"/>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7</w:t>
                  </w:r>
                </w:p>
              </w:tc>
              <w:tc>
                <w:tcPr>
                  <w:tcW w:w="1751" w:type="dxa"/>
                  <w:vAlign w:val="center"/>
                </w:tcPr>
                <w:p w14:paraId="400B8633">
                  <w:pPr>
                    <w:adjustRightInd w:val="0"/>
                    <w:snapToGrid w:val="0"/>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空压机</w:t>
                  </w:r>
                </w:p>
              </w:tc>
              <w:tc>
                <w:tcPr>
                  <w:tcW w:w="1157" w:type="dxa"/>
                  <w:vAlign w:val="center"/>
                </w:tcPr>
                <w:p w14:paraId="40CA736C">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1</w:t>
                  </w:r>
                </w:p>
              </w:tc>
              <w:tc>
                <w:tcPr>
                  <w:tcW w:w="1706" w:type="dxa"/>
                  <w:vAlign w:val="center"/>
                </w:tcPr>
                <w:p w14:paraId="46E14661">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90</w:t>
                  </w:r>
                </w:p>
              </w:tc>
              <w:tc>
                <w:tcPr>
                  <w:tcW w:w="1829" w:type="dxa"/>
                  <w:vMerge w:val="continue"/>
                  <w:vAlign w:val="center"/>
                </w:tcPr>
                <w:p w14:paraId="51B407F6">
                  <w:pPr>
                    <w:adjustRightInd w:val="0"/>
                    <w:snapToGrid w:val="0"/>
                    <w:jc w:val="center"/>
                    <w:rPr>
                      <w:rFonts w:hint="default" w:ascii="Times New Roman" w:hAnsi="Times New Roman" w:cs="Times New Roman"/>
                      <w:color w:val="auto"/>
                      <w:sz w:val="21"/>
                      <w:szCs w:val="21"/>
                    </w:rPr>
                  </w:pPr>
                </w:p>
              </w:tc>
              <w:tc>
                <w:tcPr>
                  <w:tcW w:w="3111" w:type="dxa"/>
                  <w:vMerge w:val="continue"/>
                  <w:vAlign w:val="center"/>
                </w:tcPr>
                <w:p w14:paraId="60A4B4E4">
                  <w:pPr>
                    <w:adjustRightInd w:val="0"/>
                    <w:snapToGrid w:val="0"/>
                    <w:jc w:val="center"/>
                    <w:rPr>
                      <w:rFonts w:hint="default" w:ascii="Times New Roman" w:hAnsi="Times New Roman" w:cs="Times New Roman"/>
                      <w:color w:val="auto"/>
                      <w:sz w:val="21"/>
                      <w:szCs w:val="21"/>
                    </w:rPr>
                  </w:pPr>
                </w:p>
              </w:tc>
            </w:tr>
            <w:tr w14:paraId="53C9AFE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719" w:type="dxa"/>
                  <w:vAlign w:val="center"/>
                </w:tcPr>
                <w:p w14:paraId="4849D973">
                  <w:pPr>
                    <w:adjustRightInd w:val="0"/>
                    <w:snapToGrid w:val="0"/>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8</w:t>
                  </w:r>
                </w:p>
              </w:tc>
              <w:tc>
                <w:tcPr>
                  <w:tcW w:w="1751" w:type="dxa"/>
                  <w:vAlign w:val="center"/>
                </w:tcPr>
                <w:p w14:paraId="4AFBB2A5">
                  <w:pPr>
                    <w:adjustRightInd w:val="0"/>
                    <w:snapToGrid w:val="0"/>
                    <w:jc w:val="center"/>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压力机</w:t>
                  </w:r>
                </w:p>
              </w:tc>
              <w:tc>
                <w:tcPr>
                  <w:tcW w:w="1157" w:type="dxa"/>
                  <w:vAlign w:val="center"/>
                </w:tcPr>
                <w:p w14:paraId="652ED590">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2</w:t>
                  </w:r>
                </w:p>
              </w:tc>
              <w:tc>
                <w:tcPr>
                  <w:tcW w:w="1706" w:type="dxa"/>
                  <w:vAlign w:val="center"/>
                </w:tcPr>
                <w:p w14:paraId="63C22AC2">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85</w:t>
                  </w:r>
                </w:p>
              </w:tc>
              <w:tc>
                <w:tcPr>
                  <w:tcW w:w="1829" w:type="dxa"/>
                  <w:vMerge w:val="continue"/>
                  <w:vAlign w:val="center"/>
                </w:tcPr>
                <w:p w14:paraId="37EAE2D9">
                  <w:pPr>
                    <w:adjustRightInd w:val="0"/>
                    <w:snapToGrid w:val="0"/>
                    <w:jc w:val="center"/>
                    <w:rPr>
                      <w:rFonts w:hint="default" w:ascii="Times New Roman" w:hAnsi="Times New Roman" w:cs="Times New Roman"/>
                      <w:color w:val="auto"/>
                      <w:sz w:val="21"/>
                      <w:szCs w:val="21"/>
                    </w:rPr>
                  </w:pPr>
                </w:p>
              </w:tc>
              <w:tc>
                <w:tcPr>
                  <w:tcW w:w="3111" w:type="dxa"/>
                  <w:vMerge w:val="continue"/>
                  <w:vAlign w:val="center"/>
                </w:tcPr>
                <w:p w14:paraId="2BDEBF4C">
                  <w:pPr>
                    <w:adjustRightInd w:val="0"/>
                    <w:snapToGrid w:val="0"/>
                    <w:jc w:val="center"/>
                    <w:rPr>
                      <w:rFonts w:hint="default" w:ascii="Times New Roman" w:hAnsi="Times New Roman" w:cs="Times New Roman"/>
                      <w:color w:val="auto"/>
                      <w:sz w:val="21"/>
                      <w:szCs w:val="21"/>
                    </w:rPr>
                  </w:pPr>
                </w:p>
              </w:tc>
            </w:tr>
            <w:tr w14:paraId="08BF92E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719" w:type="dxa"/>
                  <w:vAlign w:val="center"/>
                </w:tcPr>
                <w:p w14:paraId="5AFCDC24">
                  <w:pPr>
                    <w:adjustRightInd w:val="0"/>
                    <w:snapToGrid w:val="0"/>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9</w:t>
                  </w:r>
                </w:p>
              </w:tc>
              <w:tc>
                <w:tcPr>
                  <w:tcW w:w="1751" w:type="dxa"/>
                  <w:vAlign w:val="center"/>
                </w:tcPr>
                <w:p w14:paraId="208CB12E">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激光切割机</w:t>
                  </w:r>
                </w:p>
              </w:tc>
              <w:tc>
                <w:tcPr>
                  <w:tcW w:w="1157" w:type="dxa"/>
                  <w:vAlign w:val="center"/>
                </w:tcPr>
                <w:p w14:paraId="67BF0994">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1</w:t>
                  </w:r>
                </w:p>
              </w:tc>
              <w:tc>
                <w:tcPr>
                  <w:tcW w:w="1706" w:type="dxa"/>
                  <w:vAlign w:val="center"/>
                </w:tcPr>
                <w:p w14:paraId="483CBB78">
                  <w:pPr>
                    <w:adjustRightInd w:val="0"/>
                    <w:snapToGrid w:val="0"/>
                    <w:jc w:val="center"/>
                    <w:rPr>
                      <w:rFonts w:hint="eastAsia" w:cs="Times New Roman"/>
                      <w:color w:val="auto"/>
                      <w:sz w:val="21"/>
                      <w:szCs w:val="21"/>
                      <w:lang w:val="en-US" w:eastAsia="zh-CN"/>
                    </w:rPr>
                  </w:pPr>
                  <w:r>
                    <w:rPr>
                      <w:rFonts w:hint="eastAsia" w:cs="Times New Roman"/>
                      <w:color w:val="auto"/>
                      <w:sz w:val="21"/>
                      <w:szCs w:val="21"/>
                      <w:lang w:val="en-US" w:eastAsia="zh-CN"/>
                    </w:rPr>
                    <w:t>80</w:t>
                  </w:r>
                </w:p>
              </w:tc>
              <w:tc>
                <w:tcPr>
                  <w:tcW w:w="1829" w:type="dxa"/>
                  <w:vMerge w:val="continue"/>
                  <w:vAlign w:val="center"/>
                </w:tcPr>
                <w:p w14:paraId="2350ACFD">
                  <w:pPr>
                    <w:adjustRightInd w:val="0"/>
                    <w:snapToGrid w:val="0"/>
                    <w:jc w:val="center"/>
                    <w:rPr>
                      <w:rFonts w:hint="default" w:ascii="Times New Roman" w:hAnsi="Times New Roman" w:cs="Times New Roman"/>
                      <w:color w:val="auto"/>
                      <w:sz w:val="21"/>
                      <w:szCs w:val="21"/>
                    </w:rPr>
                  </w:pPr>
                </w:p>
              </w:tc>
              <w:tc>
                <w:tcPr>
                  <w:tcW w:w="3111" w:type="dxa"/>
                  <w:vMerge w:val="continue"/>
                  <w:vAlign w:val="center"/>
                </w:tcPr>
                <w:p w14:paraId="0882A765">
                  <w:pPr>
                    <w:adjustRightInd w:val="0"/>
                    <w:snapToGrid w:val="0"/>
                    <w:jc w:val="center"/>
                    <w:rPr>
                      <w:rFonts w:hint="default" w:ascii="Times New Roman" w:hAnsi="Times New Roman" w:cs="Times New Roman"/>
                      <w:color w:val="auto"/>
                      <w:sz w:val="21"/>
                      <w:szCs w:val="21"/>
                    </w:rPr>
                  </w:pPr>
                </w:p>
              </w:tc>
            </w:tr>
          </w:tbl>
          <w:p w14:paraId="1E6B010E">
            <w:pPr>
              <w:spacing w:line="360" w:lineRule="auto"/>
              <w:ind w:firstLine="480" w:firstLineChars="200"/>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为有效降低设备噪声以及不合理作业操作产生的瞬时强噪声对项目所在区域声环境造成的</w:t>
            </w:r>
          </w:p>
          <w:p w14:paraId="7C539B67">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lang w:val="en-US" w:eastAsia="zh-CN"/>
              </w:rPr>
              <w:t>不利影响，确保厂界噪声达到《工业企业厂界环境噪声排放标准》（GB12348-2008）中3类标准，本次环评提出如下要求：</w:t>
            </w:r>
          </w:p>
          <w:p w14:paraId="69C955DB">
            <w:pPr>
              <w:spacing w:line="360" w:lineRule="auto"/>
              <w:ind w:firstLine="480" w:firstLineChars="200"/>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●选用噪声低的设备，优化总平面布置，设备在满足生产要求的条件下，尽量靠近车间中间</w:t>
            </w:r>
          </w:p>
          <w:p w14:paraId="500F8724">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lang w:val="en-US" w:eastAsia="zh-CN"/>
              </w:rPr>
              <w:t>位置布置；</w:t>
            </w:r>
          </w:p>
          <w:p w14:paraId="57DD829C">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lang w:val="en-US" w:eastAsia="zh-CN"/>
              </w:rPr>
              <w:t>●在大功率风机进、出口处加装设消声器；</w:t>
            </w:r>
          </w:p>
          <w:p w14:paraId="08439F90">
            <w:pPr>
              <w:spacing w:line="360" w:lineRule="auto"/>
              <w:ind w:firstLine="480" w:firstLineChars="200"/>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●在噪声传播途径上采取措施加以控制，对不同产噪设备采取不同程度隔声措施，对有强噪</w:t>
            </w:r>
          </w:p>
          <w:p w14:paraId="29E44695">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lang w:val="en-US" w:eastAsia="zh-CN"/>
              </w:rPr>
              <w:t>声源的作业区域，如空压机等采用封闭式或半密闭式操作间，以其屏蔽作用使噪声受到不同程度的隔绝；</w:t>
            </w:r>
          </w:p>
          <w:p w14:paraId="40C57E5C">
            <w:pPr>
              <w:spacing w:line="360" w:lineRule="auto"/>
              <w:ind w:firstLine="480" w:firstLineChars="200"/>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●建设单位在进行车间装修时，采取隔声降噪声措施，对墙体及屋顶可采用轻质复合隔声簿</w:t>
            </w:r>
          </w:p>
          <w:p w14:paraId="6517D84A">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lang w:val="en-US" w:eastAsia="zh-CN"/>
              </w:rPr>
              <w:t>板等；</w:t>
            </w:r>
          </w:p>
          <w:p w14:paraId="752DE35D">
            <w:pPr>
              <w:spacing w:line="360" w:lineRule="auto"/>
              <w:ind w:firstLine="480" w:firstLineChars="200"/>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●专人定期维护机械设备，确保起正常运转；在运输、装卸时严格做到文明操作，严禁高声</w:t>
            </w:r>
          </w:p>
          <w:p w14:paraId="18E0BC0E">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lang w:val="en-US" w:eastAsia="zh-CN"/>
              </w:rPr>
              <w:t>喧哗和抛掷。</w:t>
            </w:r>
          </w:p>
          <w:p w14:paraId="3E81ED1C">
            <w:pPr>
              <w:spacing w:line="360" w:lineRule="auto"/>
              <w:ind w:firstLine="480" w:firstLineChars="200"/>
              <w:rPr>
                <w:rFonts w:hint="default" w:ascii="Times New Roman" w:hAnsi="Times New Roman" w:cs="Times New Roman"/>
                <w:color w:val="auto"/>
                <w:sz w:val="24"/>
                <w:lang w:eastAsia="zh-CN"/>
              </w:rPr>
            </w:pPr>
            <w:r>
              <w:rPr>
                <w:rFonts w:hint="default" w:ascii="Times New Roman" w:hAnsi="Times New Roman" w:cs="Times New Roman"/>
                <w:color w:val="auto"/>
                <w:sz w:val="24"/>
                <w:lang w:val="en-US" w:eastAsia="zh-CN"/>
              </w:rPr>
              <w:t>项目采用上述各种噪声防护措施，设备噪声可降低至65～70dB(A)，再经厂房隔声、距离衰减作用到厂界位置可下降至55～65dB(A)，厂界噪声能够达到《工业企业厂界环境噪声排放标准》（GB12348-2008）中3类排放标准</w:t>
            </w:r>
            <w:r>
              <w:rPr>
                <w:rFonts w:hint="default" w:ascii="Times New Roman" w:hAnsi="Times New Roman" w:cs="Times New Roman"/>
                <w:color w:val="auto"/>
                <w:sz w:val="24"/>
                <w:lang w:eastAsia="zh-CN"/>
              </w:rPr>
              <w:t>。</w:t>
            </w:r>
          </w:p>
          <w:p w14:paraId="44AA8647">
            <w:pPr>
              <w:spacing w:line="360" w:lineRule="auto"/>
              <w:ind w:firstLine="482" w:firstLineChars="200"/>
              <w:rPr>
                <w:rFonts w:hint="default" w:ascii="Times New Roman" w:hAnsi="Times New Roman" w:cs="Times New Roman"/>
                <w:b/>
                <w:bCs/>
                <w:color w:val="auto"/>
                <w:sz w:val="24"/>
                <w:lang w:eastAsia="zh-CN"/>
              </w:rPr>
            </w:pPr>
            <w:r>
              <w:rPr>
                <w:rFonts w:hint="default" w:ascii="Times New Roman" w:hAnsi="Times New Roman" w:cs="Times New Roman"/>
                <w:b/>
                <w:bCs/>
                <w:color w:val="auto"/>
                <w:sz w:val="24"/>
                <w:lang w:eastAsia="zh-CN"/>
              </w:rPr>
              <w:t>5、地下水污染防治措施</w:t>
            </w:r>
          </w:p>
          <w:p w14:paraId="25D13930">
            <w:pPr>
              <w:spacing w:line="360" w:lineRule="auto"/>
              <w:ind w:firstLine="480" w:firstLineChars="200"/>
              <w:rPr>
                <w:rFonts w:hint="default" w:ascii="Times New Roman" w:hAnsi="Times New Roman" w:cs="Times New Roman"/>
                <w:sz w:val="24"/>
              </w:rPr>
            </w:pPr>
            <w:r>
              <w:rPr>
                <w:rFonts w:hint="default" w:ascii="Times New Roman" w:hAnsi="Times New Roman" w:cs="Times New Roman"/>
                <w:color w:val="auto"/>
                <w:sz w:val="24"/>
                <w:lang w:eastAsia="zh-CN"/>
              </w:rPr>
              <w:t>本项目应结合各个生产设备、贮存与运输装置、污染物贮存与处理装置等的布局，根据可能进入地下水环境的各</w:t>
            </w:r>
            <w:r>
              <w:rPr>
                <w:rFonts w:hint="default" w:ascii="Times New Roman" w:hAnsi="Times New Roman" w:cs="Times New Roman"/>
                <w:sz w:val="24"/>
              </w:rPr>
              <w:t>种原辅材料、产品的泄漏（含跑、冒、滴、漏）量及其他各类污染物的性质、产生量和排放量，将主要生产单元划分为重点防渗区和简单防渗区，详见表</w:t>
            </w:r>
            <w:r>
              <w:rPr>
                <w:rFonts w:hint="default" w:ascii="Times New Roman" w:hAnsi="Times New Roman" w:eastAsia="Times New Roman" w:cs="Times New Roman"/>
                <w:sz w:val="24"/>
              </w:rPr>
              <w:t>5-</w:t>
            </w:r>
            <w:r>
              <w:rPr>
                <w:rFonts w:hint="eastAsia" w:cs="Times New Roman"/>
                <w:sz w:val="24"/>
                <w:lang w:val="en-US" w:eastAsia="zh-CN"/>
              </w:rPr>
              <w:t>11</w:t>
            </w:r>
            <w:r>
              <w:rPr>
                <w:rFonts w:hint="default" w:ascii="Times New Roman" w:hAnsi="Times New Roman" w:cs="Times New Roman"/>
                <w:sz w:val="24"/>
              </w:rPr>
              <w:t>。</w:t>
            </w:r>
          </w:p>
          <w:p w14:paraId="4C7BF082">
            <w:pPr>
              <w:pStyle w:val="65"/>
              <w:spacing w:line="360" w:lineRule="auto"/>
              <w:ind w:firstLine="480" w:firstLineChars="200"/>
              <w:jc w:val="left"/>
              <w:rPr>
                <w:rFonts w:hint="default" w:ascii="Times New Roman" w:hAnsi="Times New Roman" w:cs="Times New Roman"/>
                <w:sz w:val="24"/>
              </w:rPr>
            </w:pPr>
            <w:r>
              <w:rPr>
                <w:rFonts w:hint="default" w:ascii="Times New Roman" w:hAnsi="Times New Roman" w:cs="Times New Roman"/>
                <w:sz w:val="24"/>
              </w:rPr>
              <w:t>根据《环境影响评价技术导则与标准》（</w:t>
            </w:r>
            <w:r>
              <w:rPr>
                <w:rFonts w:hint="default" w:ascii="Times New Roman" w:hAnsi="Times New Roman" w:eastAsia="Times New Roman" w:cs="Times New Roman"/>
                <w:sz w:val="24"/>
              </w:rPr>
              <w:t xml:space="preserve">2017 </w:t>
            </w:r>
            <w:r>
              <w:rPr>
                <w:rFonts w:hint="default" w:ascii="Times New Roman" w:hAnsi="Times New Roman" w:cs="Times New Roman"/>
                <w:sz w:val="24"/>
              </w:rPr>
              <w:t>年版）地下水污染防渗分区参照表（</w:t>
            </w:r>
            <w:r>
              <w:rPr>
                <w:rFonts w:hint="default" w:ascii="Times New Roman" w:hAnsi="Times New Roman" w:cs="Times New Roman"/>
                <w:spacing w:val="-20"/>
                <w:sz w:val="24"/>
              </w:rPr>
              <w:t xml:space="preserve">见表 </w:t>
            </w:r>
            <w:r>
              <w:rPr>
                <w:rFonts w:hint="default" w:ascii="Times New Roman" w:hAnsi="Times New Roman" w:eastAsia="Times New Roman" w:cs="Times New Roman"/>
                <w:sz w:val="24"/>
              </w:rPr>
              <w:t>5</w:t>
            </w:r>
            <w:r>
              <w:rPr>
                <w:rFonts w:hint="default" w:ascii="Times New Roman" w:hAnsi="Times New Roman" w:eastAsia="Times New Roman" w:cs="Times New Roman"/>
                <w:spacing w:val="-1"/>
                <w:sz w:val="24"/>
              </w:rPr>
              <w:t>-</w:t>
            </w:r>
            <w:r>
              <w:rPr>
                <w:rFonts w:hint="eastAsia" w:ascii="Times New Roman" w:hAnsi="Times New Roman" w:cs="Times New Roman"/>
                <w:spacing w:val="-1"/>
                <w:sz w:val="24"/>
                <w:lang w:val="en-US" w:eastAsia="zh-CN"/>
              </w:rPr>
              <w:t>10</w:t>
            </w:r>
            <w:r>
              <w:rPr>
                <w:rFonts w:hint="default" w:ascii="Times New Roman" w:hAnsi="Times New Roman" w:cs="Times New Roman"/>
                <w:spacing w:val="-1"/>
                <w:sz w:val="24"/>
                <w:lang w:val="en-US" w:eastAsia="zh-CN"/>
              </w:rPr>
              <w:t>）</w:t>
            </w:r>
            <w:r>
              <w:rPr>
                <w:rFonts w:hint="default" w:ascii="Times New Roman" w:hAnsi="Times New Roman" w:cs="Times New Roman"/>
                <w:spacing w:val="-1"/>
                <w:sz w:val="24"/>
              </w:rPr>
              <w:t>本项目无重金属、持久性有机污染物，易控制污染物，因此确定本项目</w:t>
            </w:r>
            <w:r>
              <w:rPr>
                <w:rFonts w:hint="default" w:ascii="Times New Roman" w:hAnsi="Times New Roman" w:cs="Times New Roman"/>
                <w:sz w:val="24"/>
              </w:rPr>
              <w:t>生产区可做简单防渗。</w:t>
            </w:r>
          </w:p>
          <w:p w14:paraId="30305D05">
            <w:pPr>
              <w:pStyle w:val="65"/>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cs="Times New Roman"/>
                <w:b/>
                <w:bCs/>
                <w:sz w:val="21"/>
                <w:szCs w:val="21"/>
                <w:lang w:eastAsia="zh-CN"/>
              </w:rPr>
              <w:t>表</w:t>
            </w:r>
            <w:r>
              <w:rPr>
                <w:rFonts w:hint="default" w:ascii="Times New Roman" w:hAnsi="Times New Roman" w:cs="Times New Roman"/>
                <w:b/>
                <w:bCs/>
                <w:sz w:val="21"/>
                <w:szCs w:val="21"/>
                <w:lang w:val="en-US" w:eastAsia="zh-CN"/>
              </w:rPr>
              <w:t>5-</w:t>
            </w:r>
            <w:r>
              <w:rPr>
                <w:rFonts w:hint="eastAsia" w:ascii="Times New Roman" w:hAnsi="Times New Roman" w:cs="Times New Roman"/>
                <w:b/>
                <w:bCs/>
                <w:sz w:val="21"/>
                <w:szCs w:val="21"/>
                <w:lang w:val="en-US" w:eastAsia="zh-CN"/>
              </w:rPr>
              <w:t>10</w:t>
            </w:r>
            <w:r>
              <w:rPr>
                <w:rFonts w:hint="default" w:ascii="Times New Roman" w:hAnsi="Times New Roman" w:cs="Times New Roman"/>
                <w:b/>
                <w:bCs/>
                <w:sz w:val="21"/>
                <w:szCs w:val="21"/>
                <w:lang w:val="en-US" w:eastAsia="zh-CN"/>
              </w:rPr>
              <w:t xml:space="preserve">  地下水污染防渗分区参照表</w:t>
            </w:r>
          </w:p>
          <w:tbl>
            <w:tblPr>
              <w:tblStyle w:val="23"/>
              <w:tblW w:w="997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20"/>
              <w:gridCol w:w="1622"/>
              <w:gridCol w:w="1425"/>
              <w:gridCol w:w="2015"/>
              <w:gridCol w:w="3096"/>
            </w:tblGrid>
            <w:tr w14:paraId="0817C5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5" w:hRule="atLeast"/>
                <w:jc w:val="center"/>
              </w:trPr>
              <w:tc>
                <w:tcPr>
                  <w:tcW w:w="1820" w:type="dxa"/>
                  <w:tcBorders>
                    <w:top w:val="single" w:color="000000" w:sz="12" w:space="0"/>
                    <w:left w:val="nil"/>
                    <w:bottom w:val="single" w:color="000000" w:sz="12" w:space="0"/>
                  </w:tcBorders>
                  <w:vAlign w:val="center"/>
                </w:tcPr>
                <w:p w14:paraId="2E020A5C">
                  <w:pPr>
                    <w:pStyle w:val="65"/>
                    <w:spacing w:before="136"/>
                    <w:ind w:left="202" w:right="186"/>
                    <w:rPr>
                      <w:rFonts w:hint="default" w:ascii="Times New Roman" w:hAnsi="Times New Roman" w:cs="Times New Roman"/>
                      <w:b/>
                      <w:w w:val="100"/>
                      <w:sz w:val="21"/>
                    </w:rPr>
                  </w:pPr>
                  <w:r>
                    <w:rPr>
                      <w:rFonts w:hint="default" w:ascii="Times New Roman" w:hAnsi="Times New Roman" w:cs="Times New Roman"/>
                      <w:b/>
                      <w:w w:val="100"/>
                      <w:sz w:val="21"/>
                    </w:rPr>
                    <w:t>防渗分区</w:t>
                  </w:r>
                </w:p>
              </w:tc>
              <w:tc>
                <w:tcPr>
                  <w:tcW w:w="1622" w:type="dxa"/>
                  <w:tcBorders>
                    <w:top w:val="single" w:color="000000" w:sz="12" w:space="0"/>
                    <w:bottom w:val="single" w:color="000000" w:sz="12" w:space="0"/>
                  </w:tcBorders>
                  <w:vAlign w:val="center"/>
                </w:tcPr>
                <w:p w14:paraId="33579C44">
                  <w:pPr>
                    <w:pStyle w:val="65"/>
                    <w:spacing w:before="1"/>
                    <w:ind w:left="120" w:right="112"/>
                    <w:rPr>
                      <w:rFonts w:hint="default" w:ascii="Times New Roman" w:hAnsi="Times New Roman" w:cs="Times New Roman"/>
                      <w:b/>
                      <w:w w:val="100"/>
                      <w:sz w:val="21"/>
                    </w:rPr>
                  </w:pPr>
                  <w:r>
                    <w:rPr>
                      <w:rFonts w:hint="default" w:ascii="Times New Roman" w:hAnsi="Times New Roman" w:cs="Times New Roman"/>
                      <w:b/>
                      <w:w w:val="100"/>
                      <w:sz w:val="21"/>
                    </w:rPr>
                    <w:t>天然包气带</w:t>
                  </w:r>
                </w:p>
                <w:p w14:paraId="3A1B1587">
                  <w:pPr>
                    <w:pStyle w:val="65"/>
                    <w:spacing w:before="3" w:line="252" w:lineRule="exact"/>
                    <w:ind w:left="120" w:right="109"/>
                    <w:rPr>
                      <w:rFonts w:hint="default" w:ascii="Times New Roman" w:hAnsi="Times New Roman" w:cs="Times New Roman"/>
                      <w:b/>
                      <w:w w:val="100"/>
                      <w:sz w:val="21"/>
                    </w:rPr>
                  </w:pPr>
                  <w:r>
                    <w:rPr>
                      <w:rFonts w:hint="default" w:ascii="Times New Roman" w:hAnsi="Times New Roman" w:cs="Times New Roman"/>
                      <w:b/>
                      <w:w w:val="100"/>
                      <w:sz w:val="21"/>
                    </w:rPr>
                    <w:t>防污性能</w:t>
                  </w:r>
                </w:p>
              </w:tc>
              <w:tc>
                <w:tcPr>
                  <w:tcW w:w="1425" w:type="dxa"/>
                  <w:tcBorders>
                    <w:top w:val="single" w:color="000000" w:sz="12" w:space="0"/>
                    <w:bottom w:val="single" w:color="000000" w:sz="12" w:space="0"/>
                  </w:tcBorders>
                  <w:vAlign w:val="center"/>
                </w:tcPr>
                <w:p w14:paraId="584D9569">
                  <w:pPr>
                    <w:pStyle w:val="65"/>
                    <w:spacing w:before="1"/>
                    <w:ind w:left="165"/>
                    <w:jc w:val="left"/>
                    <w:rPr>
                      <w:rFonts w:hint="default" w:ascii="Times New Roman" w:hAnsi="Times New Roman" w:cs="Times New Roman"/>
                      <w:b/>
                      <w:w w:val="100"/>
                      <w:sz w:val="21"/>
                    </w:rPr>
                  </w:pPr>
                  <w:r>
                    <w:rPr>
                      <w:rFonts w:hint="default" w:ascii="Times New Roman" w:hAnsi="Times New Roman" w:cs="Times New Roman"/>
                      <w:b/>
                      <w:w w:val="100"/>
                      <w:sz w:val="21"/>
                    </w:rPr>
                    <w:t>污染控制</w:t>
                  </w:r>
                </w:p>
                <w:p w14:paraId="54ADCCFD">
                  <w:pPr>
                    <w:pStyle w:val="65"/>
                    <w:spacing w:before="3" w:line="252" w:lineRule="exact"/>
                    <w:ind w:left="165"/>
                    <w:jc w:val="left"/>
                    <w:rPr>
                      <w:rFonts w:hint="default" w:ascii="Times New Roman" w:hAnsi="Times New Roman" w:cs="Times New Roman"/>
                      <w:b/>
                      <w:w w:val="100"/>
                      <w:sz w:val="21"/>
                    </w:rPr>
                  </w:pPr>
                  <w:r>
                    <w:rPr>
                      <w:rFonts w:hint="default" w:ascii="Times New Roman" w:hAnsi="Times New Roman" w:cs="Times New Roman"/>
                      <w:b/>
                      <w:w w:val="100"/>
                      <w:sz w:val="21"/>
                    </w:rPr>
                    <w:t>难易程度</w:t>
                  </w:r>
                </w:p>
              </w:tc>
              <w:tc>
                <w:tcPr>
                  <w:tcW w:w="2015" w:type="dxa"/>
                  <w:tcBorders>
                    <w:top w:val="single" w:color="000000" w:sz="12" w:space="0"/>
                    <w:bottom w:val="single" w:color="000000" w:sz="12" w:space="0"/>
                  </w:tcBorders>
                  <w:vAlign w:val="center"/>
                </w:tcPr>
                <w:p w14:paraId="76EB21A8">
                  <w:pPr>
                    <w:pStyle w:val="65"/>
                    <w:spacing w:before="136"/>
                    <w:ind w:left="281" w:right="274"/>
                    <w:rPr>
                      <w:rFonts w:hint="default" w:ascii="Times New Roman" w:hAnsi="Times New Roman" w:cs="Times New Roman"/>
                      <w:b/>
                      <w:w w:val="100"/>
                      <w:sz w:val="21"/>
                    </w:rPr>
                  </w:pPr>
                  <w:r>
                    <w:rPr>
                      <w:rFonts w:hint="default" w:ascii="Times New Roman" w:hAnsi="Times New Roman" w:cs="Times New Roman"/>
                      <w:b/>
                      <w:w w:val="100"/>
                      <w:sz w:val="21"/>
                    </w:rPr>
                    <w:t>污染物类型</w:t>
                  </w:r>
                </w:p>
              </w:tc>
              <w:tc>
                <w:tcPr>
                  <w:tcW w:w="3096" w:type="dxa"/>
                  <w:tcBorders>
                    <w:top w:val="single" w:color="000000" w:sz="12" w:space="0"/>
                    <w:bottom w:val="single" w:color="000000" w:sz="12" w:space="0"/>
                    <w:right w:val="nil"/>
                  </w:tcBorders>
                  <w:vAlign w:val="center"/>
                </w:tcPr>
                <w:p w14:paraId="3EB1D309">
                  <w:pPr>
                    <w:pStyle w:val="65"/>
                    <w:spacing w:before="136"/>
                    <w:ind w:left="162" w:right="153"/>
                    <w:rPr>
                      <w:rFonts w:hint="default" w:ascii="Times New Roman" w:hAnsi="Times New Roman" w:cs="Times New Roman"/>
                      <w:b/>
                      <w:w w:val="100"/>
                      <w:sz w:val="21"/>
                    </w:rPr>
                  </w:pPr>
                  <w:r>
                    <w:rPr>
                      <w:rFonts w:hint="default" w:ascii="Times New Roman" w:hAnsi="Times New Roman" w:cs="Times New Roman"/>
                      <w:b/>
                      <w:w w:val="100"/>
                      <w:sz w:val="21"/>
                    </w:rPr>
                    <w:t>防渗技术要求</w:t>
                  </w:r>
                </w:p>
              </w:tc>
            </w:tr>
            <w:tr w14:paraId="77B07D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2" w:hRule="atLeast"/>
                <w:jc w:val="center"/>
              </w:trPr>
              <w:tc>
                <w:tcPr>
                  <w:tcW w:w="1820" w:type="dxa"/>
                  <w:vMerge w:val="restart"/>
                  <w:tcBorders>
                    <w:top w:val="single" w:color="000000" w:sz="12" w:space="0"/>
                    <w:left w:val="nil"/>
                  </w:tcBorders>
                  <w:vAlign w:val="center"/>
                </w:tcPr>
                <w:p w14:paraId="0ACC8AA2">
                  <w:pPr>
                    <w:pStyle w:val="65"/>
                    <w:jc w:val="center"/>
                    <w:rPr>
                      <w:rFonts w:hint="default" w:ascii="Times New Roman" w:hAnsi="Times New Roman" w:cs="Times New Roman"/>
                      <w:w w:val="100"/>
                      <w:sz w:val="21"/>
                    </w:rPr>
                  </w:pPr>
                  <w:r>
                    <w:rPr>
                      <w:rFonts w:hint="default" w:ascii="Times New Roman" w:hAnsi="Times New Roman" w:cs="Times New Roman"/>
                      <w:w w:val="100"/>
                      <w:sz w:val="21"/>
                    </w:rPr>
                    <w:t>重点防渗区</w:t>
                  </w:r>
                </w:p>
              </w:tc>
              <w:tc>
                <w:tcPr>
                  <w:tcW w:w="1622" w:type="dxa"/>
                  <w:tcBorders>
                    <w:top w:val="single" w:color="000000" w:sz="12" w:space="0"/>
                  </w:tcBorders>
                  <w:vAlign w:val="center"/>
                </w:tcPr>
                <w:p w14:paraId="6DE261DD">
                  <w:pPr>
                    <w:pStyle w:val="65"/>
                    <w:spacing w:line="252" w:lineRule="exact"/>
                    <w:ind w:left="6"/>
                    <w:rPr>
                      <w:rFonts w:hint="default" w:ascii="Times New Roman" w:hAnsi="Times New Roman" w:cs="Times New Roman"/>
                      <w:w w:val="100"/>
                      <w:sz w:val="21"/>
                    </w:rPr>
                  </w:pPr>
                  <w:r>
                    <w:rPr>
                      <w:rFonts w:hint="default" w:ascii="Times New Roman" w:hAnsi="Times New Roman" w:cs="Times New Roman"/>
                      <w:w w:val="100"/>
                      <w:sz w:val="21"/>
                    </w:rPr>
                    <w:t>弱</w:t>
                  </w:r>
                </w:p>
              </w:tc>
              <w:tc>
                <w:tcPr>
                  <w:tcW w:w="1425" w:type="dxa"/>
                  <w:tcBorders>
                    <w:top w:val="single" w:color="000000" w:sz="12" w:space="0"/>
                  </w:tcBorders>
                  <w:vAlign w:val="center"/>
                </w:tcPr>
                <w:p w14:paraId="1510A37F">
                  <w:pPr>
                    <w:pStyle w:val="65"/>
                    <w:spacing w:line="252" w:lineRule="exact"/>
                    <w:ind w:left="251" w:right="244"/>
                    <w:rPr>
                      <w:rFonts w:hint="default" w:ascii="Times New Roman" w:hAnsi="Times New Roman" w:cs="Times New Roman"/>
                      <w:w w:val="100"/>
                      <w:sz w:val="21"/>
                    </w:rPr>
                  </w:pPr>
                  <w:r>
                    <w:rPr>
                      <w:rFonts w:hint="default" w:ascii="Times New Roman" w:hAnsi="Times New Roman" w:cs="Times New Roman"/>
                      <w:w w:val="100"/>
                      <w:sz w:val="21"/>
                    </w:rPr>
                    <w:t>易—难</w:t>
                  </w:r>
                </w:p>
              </w:tc>
              <w:tc>
                <w:tcPr>
                  <w:tcW w:w="2015" w:type="dxa"/>
                  <w:vMerge w:val="restart"/>
                  <w:tcBorders>
                    <w:top w:val="single" w:color="000000" w:sz="12" w:space="0"/>
                  </w:tcBorders>
                  <w:vAlign w:val="center"/>
                </w:tcPr>
                <w:p w14:paraId="70C10708">
                  <w:pPr>
                    <w:pStyle w:val="65"/>
                    <w:spacing w:before="137" w:line="242" w:lineRule="auto"/>
                    <w:ind w:left="200" w:right="190"/>
                    <w:jc w:val="left"/>
                    <w:rPr>
                      <w:rFonts w:hint="default" w:ascii="Times New Roman" w:hAnsi="Times New Roman" w:cs="Times New Roman"/>
                      <w:w w:val="100"/>
                      <w:sz w:val="21"/>
                    </w:rPr>
                  </w:pPr>
                  <w:r>
                    <w:rPr>
                      <w:rFonts w:hint="default" w:ascii="Times New Roman" w:hAnsi="Times New Roman" w:cs="Times New Roman"/>
                      <w:w w:val="100"/>
                      <w:sz w:val="21"/>
                    </w:rPr>
                    <w:t>重金属、持久性有机污染物</w:t>
                  </w:r>
                </w:p>
              </w:tc>
              <w:tc>
                <w:tcPr>
                  <w:tcW w:w="3096" w:type="dxa"/>
                  <w:vMerge w:val="restart"/>
                  <w:tcBorders>
                    <w:top w:val="single" w:color="000000" w:sz="12" w:space="0"/>
                    <w:right w:val="nil"/>
                  </w:tcBorders>
                  <w:vAlign w:val="center"/>
                </w:tcPr>
                <w:p w14:paraId="7A9A76F2">
                  <w:pPr>
                    <w:pStyle w:val="65"/>
                    <w:ind w:left="164" w:firstLine="376"/>
                    <w:jc w:val="left"/>
                    <w:rPr>
                      <w:rFonts w:hint="default" w:ascii="Times New Roman" w:hAnsi="Times New Roman" w:cs="Times New Roman"/>
                      <w:w w:val="100"/>
                      <w:sz w:val="21"/>
                    </w:rPr>
                  </w:pPr>
                  <w:r>
                    <w:rPr>
                      <w:rFonts w:hint="default" w:ascii="Times New Roman" w:hAnsi="Times New Roman" w:cs="Times New Roman"/>
                      <w:w w:val="100"/>
                      <w:sz w:val="21"/>
                    </w:rPr>
                    <w:t>等效黏土防渗层</w:t>
                  </w:r>
                </w:p>
                <w:p w14:paraId="2F06857E">
                  <w:pPr>
                    <w:pStyle w:val="65"/>
                    <w:spacing w:before="4" w:line="270" w:lineRule="atLeast"/>
                    <w:ind w:left="164" w:right="153"/>
                    <w:rPr>
                      <w:rFonts w:hint="default" w:ascii="Times New Roman" w:hAnsi="Times New Roman" w:cs="Times New Roman"/>
                      <w:w w:val="100"/>
                      <w:sz w:val="21"/>
                    </w:rPr>
                  </w:pPr>
                  <w:r>
                    <w:rPr>
                      <w:rFonts w:hint="default" w:ascii="Times New Roman" w:hAnsi="Times New Roman" w:eastAsia="Times New Roman" w:cs="Times New Roman"/>
                      <w:w w:val="100"/>
                      <w:sz w:val="21"/>
                    </w:rPr>
                    <w:t>Mb</w:t>
                  </w:r>
                  <w:r>
                    <w:rPr>
                      <w:rFonts w:hint="default" w:ascii="Times New Roman" w:hAnsi="Times New Roman" w:eastAsia="Arial" w:cs="Times New Roman"/>
                      <w:w w:val="100"/>
                      <w:sz w:val="21"/>
                    </w:rPr>
                    <w:t>≥</w:t>
                  </w:r>
                  <w:r>
                    <w:rPr>
                      <w:rFonts w:hint="default" w:ascii="Times New Roman" w:hAnsi="Times New Roman" w:eastAsia="Times New Roman" w:cs="Times New Roman"/>
                      <w:w w:val="100"/>
                      <w:sz w:val="21"/>
                    </w:rPr>
                    <w:t>6.0m</w:t>
                  </w:r>
                  <w:r>
                    <w:rPr>
                      <w:rFonts w:hint="default" w:ascii="Times New Roman" w:hAnsi="Times New Roman" w:cs="Times New Roman"/>
                      <w:w w:val="100"/>
                      <w:sz w:val="21"/>
                    </w:rPr>
                    <w:t>，</w:t>
                  </w:r>
                  <w:r>
                    <w:rPr>
                      <w:rFonts w:hint="default" w:ascii="Times New Roman" w:hAnsi="Times New Roman" w:eastAsia="Times New Roman" w:cs="Times New Roman"/>
                      <w:w w:val="100"/>
                      <w:sz w:val="21"/>
                    </w:rPr>
                    <w:t>K</w:t>
                  </w:r>
                  <w:r>
                    <w:rPr>
                      <w:rFonts w:hint="default" w:ascii="Times New Roman" w:hAnsi="Times New Roman" w:eastAsia="Arial" w:cs="Times New Roman"/>
                      <w:w w:val="100"/>
                      <w:sz w:val="21"/>
                    </w:rPr>
                    <w:t>≤</w:t>
                  </w:r>
                  <w:r>
                    <w:rPr>
                      <w:rFonts w:hint="default" w:ascii="Times New Roman" w:hAnsi="Times New Roman" w:eastAsia="Times New Roman" w:cs="Times New Roman"/>
                      <w:w w:val="100"/>
                      <w:sz w:val="21"/>
                    </w:rPr>
                    <w:t>1.0</w:t>
                  </w:r>
                  <w:r>
                    <w:rPr>
                      <w:rFonts w:hint="default" w:ascii="Times New Roman" w:hAnsi="Times New Roman" w:eastAsia="Arial" w:cs="Times New Roman"/>
                      <w:w w:val="100"/>
                      <w:sz w:val="21"/>
                    </w:rPr>
                    <w:t>×</w:t>
                  </w:r>
                  <w:r>
                    <w:rPr>
                      <w:rFonts w:hint="default" w:ascii="Times New Roman" w:hAnsi="Times New Roman" w:eastAsia="Times New Roman" w:cs="Times New Roman"/>
                      <w:w w:val="100"/>
                      <w:sz w:val="21"/>
                    </w:rPr>
                    <w:t>10</w:t>
                  </w:r>
                  <w:r>
                    <w:rPr>
                      <w:rFonts w:hint="default" w:ascii="Times New Roman" w:hAnsi="Times New Roman" w:eastAsia="Times New Roman" w:cs="Times New Roman"/>
                      <w:w w:val="100"/>
                      <w:position w:val="7"/>
                      <w:sz w:val="13"/>
                    </w:rPr>
                    <w:t>-7</w:t>
                  </w:r>
                  <w:r>
                    <w:rPr>
                      <w:rFonts w:hint="default" w:ascii="Times New Roman" w:hAnsi="Times New Roman" w:cs="Times New Roman"/>
                      <w:w w:val="100"/>
                      <w:sz w:val="21"/>
                    </w:rPr>
                    <w:t xml:space="preserve">； 或参照 </w:t>
                  </w:r>
                  <w:r>
                    <w:rPr>
                      <w:rFonts w:hint="default" w:ascii="Times New Roman" w:hAnsi="Times New Roman" w:eastAsia="Times New Roman" w:cs="Times New Roman"/>
                      <w:w w:val="100"/>
                      <w:sz w:val="21"/>
                    </w:rPr>
                    <w:t xml:space="preserve">GB18598 </w:t>
                  </w:r>
                  <w:r>
                    <w:rPr>
                      <w:rFonts w:hint="default" w:ascii="Times New Roman" w:hAnsi="Times New Roman" w:cs="Times New Roman"/>
                      <w:w w:val="100"/>
                      <w:sz w:val="21"/>
                    </w:rPr>
                    <w:t>执行</w:t>
                  </w:r>
                </w:p>
              </w:tc>
            </w:tr>
            <w:tr w14:paraId="0B90E0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5" w:hRule="atLeast"/>
                <w:jc w:val="center"/>
              </w:trPr>
              <w:tc>
                <w:tcPr>
                  <w:tcW w:w="1820" w:type="dxa"/>
                  <w:vMerge w:val="continue"/>
                  <w:tcBorders>
                    <w:top w:val="nil"/>
                    <w:left w:val="nil"/>
                  </w:tcBorders>
                  <w:vAlign w:val="center"/>
                </w:tcPr>
                <w:p w14:paraId="01ECEFC6">
                  <w:pPr>
                    <w:jc w:val="center"/>
                    <w:rPr>
                      <w:rFonts w:hint="default" w:ascii="Times New Roman" w:hAnsi="Times New Roman" w:cs="Times New Roman"/>
                      <w:w w:val="100"/>
                      <w:sz w:val="2"/>
                      <w:szCs w:val="2"/>
                    </w:rPr>
                  </w:pPr>
                </w:p>
              </w:tc>
              <w:tc>
                <w:tcPr>
                  <w:tcW w:w="1622" w:type="dxa"/>
                  <w:vAlign w:val="center"/>
                </w:tcPr>
                <w:p w14:paraId="4F063BB1">
                  <w:pPr>
                    <w:pStyle w:val="65"/>
                    <w:spacing w:before="130"/>
                    <w:ind w:left="120" w:right="112"/>
                    <w:rPr>
                      <w:rFonts w:hint="default" w:ascii="Times New Roman" w:hAnsi="Times New Roman" w:cs="Times New Roman"/>
                      <w:w w:val="100"/>
                      <w:sz w:val="21"/>
                    </w:rPr>
                  </w:pPr>
                  <w:r>
                    <w:rPr>
                      <w:rFonts w:hint="default" w:ascii="Times New Roman" w:hAnsi="Times New Roman" w:cs="Times New Roman"/>
                      <w:w w:val="100"/>
                      <w:sz w:val="21"/>
                    </w:rPr>
                    <w:t>中—强</w:t>
                  </w:r>
                </w:p>
              </w:tc>
              <w:tc>
                <w:tcPr>
                  <w:tcW w:w="1425" w:type="dxa"/>
                  <w:vAlign w:val="center"/>
                </w:tcPr>
                <w:p w14:paraId="4EF37A43">
                  <w:pPr>
                    <w:pStyle w:val="65"/>
                    <w:spacing w:before="130"/>
                    <w:ind w:left="9"/>
                    <w:rPr>
                      <w:rFonts w:hint="default" w:ascii="Times New Roman" w:hAnsi="Times New Roman" w:cs="Times New Roman"/>
                      <w:w w:val="100"/>
                      <w:sz w:val="21"/>
                    </w:rPr>
                  </w:pPr>
                  <w:r>
                    <w:rPr>
                      <w:rFonts w:hint="default" w:ascii="Times New Roman" w:hAnsi="Times New Roman" w:cs="Times New Roman"/>
                      <w:w w:val="100"/>
                      <w:sz w:val="21"/>
                    </w:rPr>
                    <w:t>难</w:t>
                  </w:r>
                </w:p>
              </w:tc>
              <w:tc>
                <w:tcPr>
                  <w:tcW w:w="2015" w:type="dxa"/>
                  <w:vMerge w:val="continue"/>
                  <w:tcBorders>
                    <w:top w:val="nil"/>
                  </w:tcBorders>
                  <w:vAlign w:val="center"/>
                </w:tcPr>
                <w:p w14:paraId="6A4AAF8D">
                  <w:pPr>
                    <w:rPr>
                      <w:rFonts w:hint="default" w:ascii="Times New Roman" w:hAnsi="Times New Roman" w:cs="Times New Roman"/>
                      <w:w w:val="100"/>
                      <w:sz w:val="2"/>
                      <w:szCs w:val="2"/>
                    </w:rPr>
                  </w:pPr>
                </w:p>
              </w:tc>
              <w:tc>
                <w:tcPr>
                  <w:tcW w:w="3096" w:type="dxa"/>
                  <w:vMerge w:val="continue"/>
                  <w:tcBorders>
                    <w:top w:val="nil"/>
                    <w:right w:val="nil"/>
                  </w:tcBorders>
                  <w:vAlign w:val="center"/>
                </w:tcPr>
                <w:p w14:paraId="1F8AA35B">
                  <w:pPr>
                    <w:rPr>
                      <w:rFonts w:hint="default" w:ascii="Times New Roman" w:hAnsi="Times New Roman" w:cs="Times New Roman"/>
                      <w:w w:val="100"/>
                      <w:sz w:val="2"/>
                      <w:szCs w:val="2"/>
                    </w:rPr>
                  </w:pPr>
                </w:p>
              </w:tc>
            </w:tr>
            <w:tr w14:paraId="2EF1ED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5" w:hRule="atLeast"/>
                <w:jc w:val="center"/>
              </w:trPr>
              <w:tc>
                <w:tcPr>
                  <w:tcW w:w="1820" w:type="dxa"/>
                  <w:vMerge w:val="restart"/>
                  <w:tcBorders>
                    <w:left w:val="nil"/>
                  </w:tcBorders>
                  <w:vAlign w:val="center"/>
                </w:tcPr>
                <w:p w14:paraId="4E1552DA">
                  <w:pPr>
                    <w:pStyle w:val="65"/>
                    <w:jc w:val="center"/>
                    <w:rPr>
                      <w:rFonts w:hint="default" w:ascii="Times New Roman" w:hAnsi="Times New Roman" w:cs="Times New Roman"/>
                      <w:w w:val="100"/>
                      <w:sz w:val="21"/>
                    </w:rPr>
                  </w:pPr>
                  <w:r>
                    <w:rPr>
                      <w:rFonts w:hint="default" w:ascii="Times New Roman" w:hAnsi="Times New Roman" w:cs="Times New Roman"/>
                      <w:w w:val="100"/>
                      <w:sz w:val="21"/>
                    </w:rPr>
                    <w:t>一般防渗区</w:t>
                  </w:r>
                </w:p>
              </w:tc>
              <w:tc>
                <w:tcPr>
                  <w:tcW w:w="1622" w:type="dxa"/>
                  <w:vAlign w:val="center"/>
                </w:tcPr>
                <w:p w14:paraId="2AE80E4E">
                  <w:pPr>
                    <w:pStyle w:val="65"/>
                    <w:spacing w:before="135"/>
                    <w:ind w:left="120" w:right="112"/>
                    <w:rPr>
                      <w:rFonts w:hint="default" w:ascii="Times New Roman" w:hAnsi="Times New Roman" w:cs="Times New Roman"/>
                      <w:w w:val="100"/>
                      <w:sz w:val="21"/>
                    </w:rPr>
                  </w:pPr>
                  <w:r>
                    <w:rPr>
                      <w:rFonts w:hint="default" w:ascii="Times New Roman" w:hAnsi="Times New Roman" w:cs="Times New Roman"/>
                      <w:w w:val="100"/>
                      <w:sz w:val="21"/>
                    </w:rPr>
                    <w:t>中—强</w:t>
                  </w:r>
                </w:p>
              </w:tc>
              <w:tc>
                <w:tcPr>
                  <w:tcW w:w="1425" w:type="dxa"/>
                  <w:vAlign w:val="center"/>
                </w:tcPr>
                <w:p w14:paraId="080091AC">
                  <w:pPr>
                    <w:pStyle w:val="65"/>
                    <w:spacing w:before="135"/>
                    <w:ind w:left="9"/>
                    <w:rPr>
                      <w:rFonts w:hint="default" w:ascii="Times New Roman" w:hAnsi="Times New Roman" w:cs="Times New Roman"/>
                      <w:w w:val="100"/>
                      <w:sz w:val="21"/>
                    </w:rPr>
                  </w:pPr>
                  <w:r>
                    <w:rPr>
                      <w:rFonts w:hint="default" w:ascii="Times New Roman" w:hAnsi="Times New Roman" w:cs="Times New Roman"/>
                      <w:w w:val="100"/>
                      <w:sz w:val="21"/>
                    </w:rPr>
                    <w:t>易</w:t>
                  </w:r>
                </w:p>
              </w:tc>
              <w:tc>
                <w:tcPr>
                  <w:tcW w:w="2015" w:type="dxa"/>
                  <w:vAlign w:val="center"/>
                </w:tcPr>
                <w:p w14:paraId="47714BC4">
                  <w:pPr>
                    <w:pStyle w:val="65"/>
                    <w:spacing w:before="1"/>
                    <w:ind w:left="200"/>
                    <w:jc w:val="left"/>
                    <w:rPr>
                      <w:rFonts w:hint="default" w:ascii="Times New Roman" w:hAnsi="Times New Roman" w:cs="Times New Roman"/>
                      <w:w w:val="100"/>
                      <w:sz w:val="21"/>
                    </w:rPr>
                  </w:pPr>
                  <w:r>
                    <w:rPr>
                      <w:rFonts w:hint="default" w:ascii="Times New Roman" w:hAnsi="Times New Roman" w:cs="Times New Roman"/>
                      <w:w w:val="100"/>
                      <w:sz w:val="21"/>
                    </w:rPr>
                    <w:t>重金属、持久</w:t>
                  </w:r>
                </w:p>
                <w:p w14:paraId="34E28F71">
                  <w:pPr>
                    <w:pStyle w:val="65"/>
                    <w:spacing w:before="2" w:line="253" w:lineRule="exact"/>
                    <w:ind w:left="200"/>
                    <w:jc w:val="left"/>
                    <w:rPr>
                      <w:rFonts w:hint="default" w:ascii="Times New Roman" w:hAnsi="Times New Roman" w:cs="Times New Roman"/>
                      <w:w w:val="100"/>
                      <w:sz w:val="21"/>
                    </w:rPr>
                  </w:pPr>
                  <w:r>
                    <w:rPr>
                      <w:rFonts w:hint="default" w:ascii="Times New Roman" w:hAnsi="Times New Roman" w:cs="Times New Roman"/>
                      <w:w w:val="100"/>
                      <w:sz w:val="21"/>
                    </w:rPr>
                    <w:t>性有机污染物</w:t>
                  </w:r>
                </w:p>
              </w:tc>
              <w:tc>
                <w:tcPr>
                  <w:tcW w:w="3096" w:type="dxa"/>
                  <w:vMerge w:val="restart"/>
                  <w:tcBorders>
                    <w:right w:val="nil"/>
                  </w:tcBorders>
                  <w:vAlign w:val="center"/>
                </w:tcPr>
                <w:p w14:paraId="3CBF0A0C">
                  <w:pPr>
                    <w:pStyle w:val="65"/>
                    <w:spacing w:before="145" w:line="242" w:lineRule="auto"/>
                    <w:ind w:left="164" w:right="153" w:hanging="5"/>
                    <w:rPr>
                      <w:rFonts w:hint="default" w:ascii="Times New Roman" w:hAnsi="Times New Roman" w:cs="Times New Roman"/>
                      <w:w w:val="100"/>
                      <w:sz w:val="21"/>
                    </w:rPr>
                  </w:pPr>
                  <w:r>
                    <w:rPr>
                      <w:rFonts w:hint="default" w:ascii="Times New Roman" w:hAnsi="Times New Roman" w:cs="Times New Roman"/>
                      <w:w w:val="100"/>
                      <w:sz w:val="21"/>
                    </w:rPr>
                    <w:t>等效黏土防渗层</w:t>
                  </w:r>
                  <w:r>
                    <w:rPr>
                      <w:rFonts w:hint="default" w:ascii="Times New Roman" w:hAnsi="Times New Roman" w:eastAsia="Times New Roman" w:cs="Times New Roman"/>
                      <w:w w:val="100"/>
                      <w:sz w:val="21"/>
                    </w:rPr>
                    <w:t>Mb</w:t>
                  </w:r>
                  <w:r>
                    <w:rPr>
                      <w:rFonts w:hint="default" w:ascii="Times New Roman" w:hAnsi="Times New Roman" w:eastAsia="Arial" w:cs="Times New Roman"/>
                      <w:w w:val="100"/>
                      <w:sz w:val="21"/>
                    </w:rPr>
                    <w:t>≥</w:t>
                  </w:r>
                  <w:r>
                    <w:rPr>
                      <w:rFonts w:hint="default" w:ascii="Times New Roman" w:hAnsi="Times New Roman" w:eastAsia="Times New Roman" w:cs="Times New Roman"/>
                      <w:w w:val="100"/>
                      <w:sz w:val="21"/>
                    </w:rPr>
                    <w:t>1.5m</w:t>
                  </w:r>
                  <w:r>
                    <w:rPr>
                      <w:rFonts w:hint="default" w:ascii="Times New Roman" w:hAnsi="Times New Roman" w:cs="Times New Roman"/>
                      <w:w w:val="100"/>
                      <w:sz w:val="21"/>
                    </w:rPr>
                    <w:t>，</w:t>
                  </w:r>
                  <w:r>
                    <w:rPr>
                      <w:rFonts w:hint="default" w:ascii="Times New Roman" w:hAnsi="Times New Roman" w:eastAsia="Times New Roman" w:cs="Times New Roman"/>
                      <w:w w:val="100"/>
                      <w:sz w:val="21"/>
                    </w:rPr>
                    <w:t>K</w:t>
                  </w:r>
                  <w:r>
                    <w:rPr>
                      <w:rFonts w:hint="default" w:ascii="Times New Roman" w:hAnsi="Times New Roman" w:eastAsia="Arial" w:cs="Times New Roman"/>
                      <w:w w:val="100"/>
                      <w:sz w:val="21"/>
                    </w:rPr>
                    <w:t>≤</w:t>
                  </w:r>
                  <w:r>
                    <w:rPr>
                      <w:rFonts w:hint="default" w:ascii="Times New Roman" w:hAnsi="Times New Roman" w:eastAsia="Times New Roman" w:cs="Times New Roman"/>
                      <w:w w:val="100"/>
                      <w:sz w:val="21"/>
                    </w:rPr>
                    <w:t>1.0</w:t>
                  </w:r>
                  <w:r>
                    <w:rPr>
                      <w:rFonts w:hint="default" w:ascii="Times New Roman" w:hAnsi="Times New Roman" w:eastAsia="Arial" w:cs="Times New Roman"/>
                      <w:w w:val="100"/>
                      <w:sz w:val="21"/>
                    </w:rPr>
                    <w:t>×</w:t>
                  </w:r>
                  <w:r>
                    <w:rPr>
                      <w:rFonts w:hint="default" w:ascii="Times New Roman" w:hAnsi="Times New Roman" w:eastAsia="Times New Roman" w:cs="Times New Roman"/>
                      <w:w w:val="100"/>
                      <w:sz w:val="21"/>
                    </w:rPr>
                    <w:t>10</w:t>
                  </w:r>
                  <w:r>
                    <w:rPr>
                      <w:rFonts w:hint="default" w:ascii="Times New Roman" w:hAnsi="Times New Roman" w:eastAsia="Times New Roman" w:cs="Times New Roman"/>
                      <w:w w:val="100"/>
                      <w:position w:val="7"/>
                      <w:sz w:val="13"/>
                    </w:rPr>
                    <w:t>-7</w:t>
                  </w:r>
                  <w:r>
                    <w:rPr>
                      <w:rFonts w:hint="default" w:ascii="Times New Roman" w:hAnsi="Times New Roman" w:cs="Times New Roman"/>
                      <w:w w:val="100"/>
                      <w:sz w:val="21"/>
                    </w:rPr>
                    <w:t xml:space="preserve">； 或参照 </w:t>
                  </w:r>
                  <w:r>
                    <w:rPr>
                      <w:rFonts w:hint="default" w:ascii="Times New Roman" w:hAnsi="Times New Roman" w:eastAsia="Times New Roman" w:cs="Times New Roman"/>
                      <w:w w:val="100"/>
                      <w:sz w:val="21"/>
                    </w:rPr>
                    <w:t xml:space="preserve">GB16889 </w:t>
                  </w:r>
                  <w:r>
                    <w:rPr>
                      <w:rFonts w:hint="default" w:ascii="Times New Roman" w:hAnsi="Times New Roman" w:cs="Times New Roman"/>
                      <w:w w:val="100"/>
                      <w:sz w:val="21"/>
                    </w:rPr>
                    <w:t>执行</w:t>
                  </w:r>
                </w:p>
              </w:tc>
            </w:tr>
            <w:tr w14:paraId="0EA78E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2" w:hRule="atLeast"/>
                <w:jc w:val="center"/>
              </w:trPr>
              <w:tc>
                <w:tcPr>
                  <w:tcW w:w="1820" w:type="dxa"/>
                  <w:vMerge w:val="continue"/>
                  <w:tcBorders>
                    <w:top w:val="nil"/>
                    <w:left w:val="nil"/>
                  </w:tcBorders>
                  <w:vAlign w:val="center"/>
                </w:tcPr>
                <w:p w14:paraId="296A7F0B">
                  <w:pPr>
                    <w:jc w:val="center"/>
                    <w:rPr>
                      <w:rFonts w:hint="default" w:ascii="Times New Roman" w:hAnsi="Times New Roman" w:cs="Times New Roman"/>
                      <w:w w:val="100"/>
                      <w:sz w:val="2"/>
                      <w:szCs w:val="2"/>
                    </w:rPr>
                  </w:pPr>
                </w:p>
              </w:tc>
              <w:tc>
                <w:tcPr>
                  <w:tcW w:w="1622" w:type="dxa"/>
                  <w:vAlign w:val="center"/>
                </w:tcPr>
                <w:p w14:paraId="3A542B8F">
                  <w:pPr>
                    <w:pStyle w:val="65"/>
                    <w:spacing w:line="252" w:lineRule="exact"/>
                    <w:ind w:left="6"/>
                    <w:rPr>
                      <w:rFonts w:hint="default" w:ascii="Times New Roman" w:hAnsi="Times New Roman" w:cs="Times New Roman"/>
                      <w:w w:val="100"/>
                      <w:sz w:val="21"/>
                    </w:rPr>
                  </w:pPr>
                  <w:r>
                    <w:rPr>
                      <w:rFonts w:hint="default" w:ascii="Times New Roman" w:hAnsi="Times New Roman" w:cs="Times New Roman"/>
                      <w:w w:val="100"/>
                      <w:sz w:val="21"/>
                    </w:rPr>
                    <w:t>弱</w:t>
                  </w:r>
                </w:p>
              </w:tc>
              <w:tc>
                <w:tcPr>
                  <w:tcW w:w="1425" w:type="dxa"/>
                  <w:vAlign w:val="center"/>
                </w:tcPr>
                <w:p w14:paraId="464A0BC8">
                  <w:pPr>
                    <w:pStyle w:val="65"/>
                    <w:spacing w:line="252" w:lineRule="exact"/>
                    <w:ind w:left="251" w:right="244"/>
                    <w:rPr>
                      <w:rFonts w:hint="default" w:ascii="Times New Roman" w:hAnsi="Times New Roman" w:cs="Times New Roman"/>
                      <w:w w:val="100"/>
                      <w:sz w:val="21"/>
                    </w:rPr>
                  </w:pPr>
                  <w:r>
                    <w:rPr>
                      <w:rFonts w:hint="default" w:ascii="Times New Roman" w:hAnsi="Times New Roman" w:cs="Times New Roman"/>
                      <w:w w:val="100"/>
                      <w:sz w:val="21"/>
                    </w:rPr>
                    <w:t>易—难</w:t>
                  </w:r>
                </w:p>
              </w:tc>
              <w:tc>
                <w:tcPr>
                  <w:tcW w:w="2015" w:type="dxa"/>
                  <w:vMerge w:val="restart"/>
                  <w:vAlign w:val="center"/>
                </w:tcPr>
                <w:p w14:paraId="286AF168">
                  <w:pPr>
                    <w:pStyle w:val="65"/>
                    <w:spacing w:before="139"/>
                    <w:ind w:left="409"/>
                    <w:jc w:val="left"/>
                    <w:rPr>
                      <w:rFonts w:hint="default" w:ascii="Times New Roman" w:hAnsi="Times New Roman" w:cs="Times New Roman"/>
                      <w:w w:val="100"/>
                      <w:sz w:val="21"/>
                    </w:rPr>
                  </w:pPr>
                  <w:r>
                    <w:rPr>
                      <w:rFonts w:hint="default" w:ascii="Times New Roman" w:hAnsi="Times New Roman" w:cs="Times New Roman"/>
                      <w:w w:val="100"/>
                      <w:sz w:val="21"/>
                    </w:rPr>
                    <w:t>其他类型</w:t>
                  </w:r>
                </w:p>
              </w:tc>
              <w:tc>
                <w:tcPr>
                  <w:tcW w:w="3096" w:type="dxa"/>
                  <w:vMerge w:val="continue"/>
                  <w:tcBorders>
                    <w:top w:val="nil"/>
                    <w:right w:val="nil"/>
                  </w:tcBorders>
                  <w:vAlign w:val="center"/>
                </w:tcPr>
                <w:p w14:paraId="77B164D2">
                  <w:pPr>
                    <w:rPr>
                      <w:rFonts w:hint="default" w:ascii="Times New Roman" w:hAnsi="Times New Roman" w:cs="Times New Roman"/>
                      <w:w w:val="100"/>
                      <w:sz w:val="2"/>
                      <w:szCs w:val="2"/>
                    </w:rPr>
                  </w:pPr>
                </w:p>
              </w:tc>
            </w:tr>
            <w:tr w14:paraId="678E10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2" w:hRule="atLeast"/>
                <w:jc w:val="center"/>
              </w:trPr>
              <w:tc>
                <w:tcPr>
                  <w:tcW w:w="1820" w:type="dxa"/>
                  <w:vMerge w:val="continue"/>
                  <w:tcBorders>
                    <w:top w:val="nil"/>
                    <w:left w:val="nil"/>
                  </w:tcBorders>
                  <w:vAlign w:val="center"/>
                </w:tcPr>
                <w:p w14:paraId="0BDC5360">
                  <w:pPr>
                    <w:jc w:val="center"/>
                    <w:rPr>
                      <w:rFonts w:hint="default" w:ascii="Times New Roman" w:hAnsi="Times New Roman" w:cs="Times New Roman"/>
                      <w:w w:val="100"/>
                      <w:sz w:val="2"/>
                      <w:szCs w:val="2"/>
                    </w:rPr>
                  </w:pPr>
                </w:p>
              </w:tc>
              <w:tc>
                <w:tcPr>
                  <w:tcW w:w="1622" w:type="dxa"/>
                  <w:vAlign w:val="center"/>
                </w:tcPr>
                <w:p w14:paraId="27C0C6ED">
                  <w:pPr>
                    <w:pStyle w:val="65"/>
                    <w:spacing w:before="1" w:line="250" w:lineRule="exact"/>
                    <w:ind w:left="120" w:right="112"/>
                    <w:rPr>
                      <w:rFonts w:hint="default" w:ascii="Times New Roman" w:hAnsi="Times New Roman" w:cs="Times New Roman"/>
                      <w:w w:val="100"/>
                      <w:sz w:val="21"/>
                    </w:rPr>
                  </w:pPr>
                  <w:r>
                    <w:rPr>
                      <w:rFonts w:hint="default" w:ascii="Times New Roman" w:hAnsi="Times New Roman" w:cs="Times New Roman"/>
                      <w:w w:val="100"/>
                      <w:sz w:val="21"/>
                    </w:rPr>
                    <w:t>中—强</w:t>
                  </w:r>
                </w:p>
              </w:tc>
              <w:tc>
                <w:tcPr>
                  <w:tcW w:w="1425" w:type="dxa"/>
                  <w:vAlign w:val="center"/>
                </w:tcPr>
                <w:p w14:paraId="6632F68D">
                  <w:pPr>
                    <w:pStyle w:val="65"/>
                    <w:spacing w:before="1" w:line="250" w:lineRule="exact"/>
                    <w:ind w:left="9"/>
                    <w:rPr>
                      <w:rFonts w:hint="default" w:ascii="Times New Roman" w:hAnsi="Times New Roman" w:cs="Times New Roman"/>
                      <w:w w:val="100"/>
                      <w:sz w:val="21"/>
                    </w:rPr>
                  </w:pPr>
                  <w:r>
                    <w:rPr>
                      <w:rFonts w:hint="default" w:ascii="Times New Roman" w:hAnsi="Times New Roman" w:cs="Times New Roman"/>
                      <w:w w:val="100"/>
                      <w:sz w:val="21"/>
                    </w:rPr>
                    <w:t>难</w:t>
                  </w:r>
                </w:p>
              </w:tc>
              <w:tc>
                <w:tcPr>
                  <w:tcW w:w="2015" w:type="dxa"/>
                  <w:vMerge w:val="continue"/>
                  <w:tcBorders>
                    <w:top w:val="nil"/>
                  </w:tcBorders>
                  <w:vAlign w:val="center"/>
                </w:tcPr>
                <w:p w14:paraId="3B5A3FF6">
                  <w:pPr>
                    <w:rPr>
                      <w:rFonts w:hint="default" w:ascii="Times New Roman" w:hAnsi="Times New Roman" w:cs="Times New Roman"/>
                      <w:w w:val="100"/>
                      <w:sz w:val="2"/>
                      <w:szCs w:val="2"/>
                    </w:rPr>
                  </w:pPr>
                </w:p>
              </w:tc>
              <w:tc>
                <w:tcPr>
                  <w:tcW w:w="3096" w:type="dxa"/>
                  <w:vMerge w:val="continue"/>
                  <w:tcBorders>
                    <w:top w:val="nil"/>
                    <w:right w:val="nil"/>
                  </w:tcBorders>
                  <w:vAlign w:val="center"/>
                </w:tcPr>
                <w:p w14:paraId="588C4CE1">
                  <w:pPr>
                    <w:rPr>
                      <w:rFonts w:hint="default" w:ascii="Times New Roman" w:hAnsi="Times New Roman" w:cs="Times New Roman"/>
                      <w:w w:val="100"/>
                      <w:sz w:val="2"/>
                      <w:szCs w:val="2"/>
                    </w:rPr>
                  </w:pPr>
                </w:p>
              </w:tc>
            </w:tr>
            <w:tr w14:paraId="02674E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jc w:val="center"/>
              </w:trPr>
              <w:tc>
                <w:tcPr>
                  <w:tcW w:w="1820" w:type="dxa"/>
                  <w:tcBorders>
                    <w:left w:val="nil"/>
                    <w:bottom w:val="thinThickMediumGap" w:color="000000" w:sz="6" w:space="0"/>
                  </w:tcBorders>
                  <w:vAlign w:val="center"/>
                </w:tcPr>
                <w:p w14:paraId="0003A1E6">
                  <w:pPr>
                    <w:pStyle w:val="65"/>
                    <w:spacing w:line="254" w:lineRule="exact"/>
                    <w:ind w:left="197" w:right="186"/>
                    <w:jc w:val="center"/>
                    <w:rPr>
                      <w:rFonts w:hint="default" w:ascii="Times New Roman" w:hAnsi="Times New Roman" w:cs="Times New Roman"/>
                      <w:w w:val="100"/>
                      <w:sz w:val="21"/>
                    </w:rPr>
                  </w:pPr>
                  <w:r>
                    <w:rPr>
                      <w:rFonts w:hint="default" w:ascii="Times New Roman" w:hAnsi="Times New Roman" w:cs="Times New Roman"/>
                      <w:w w:val="100"/>
                      <w:sz w:val="21"/>
                    </w:rPr>
                    <w:t>简单防渗区</w:t>
                  </w:r>
                </w:p>
              </w:tc>
              <w:tc>
                <w:tcPr>
                  <w:tcW w:w="1622" w:type="dxa"/>
                  <w:tcBorders>
                    <w:bottom w:val="thinThickMediumGap" w:color="000000" w:sz="6" w:space="0"/>
                  </w:tcBorders>
                  <w:vAlign w:val="center"/>
                </w:tcPr>
                <w:p w14:paraId="0BA06AB9">
                  <w:pPr>
                    <w:pStyle w:val="65"/>
                    <w:spacing w:line="254" w:lineRule="exact"/>
                    <w:ind w:left="120" w:right="112"/>
                    <w:rPr>
                      <w:rFonts w:hint="default" w:ascii="Times New Roman" w:hAnsi="Times New Roman" w:cs="Times New Roman"/>
                      <w:w w:val="100"/>
                      <w:sz w:val="21"/>
                    </w:rPr>
                  </w:pPr>
                  <w:r>
                    <w:rPr>
                      <w:rFonts w:hint="default" w:ascii="Times New Roman" w:hAnsi="Times New Roman" w:cs="Times New Roman"/>
                      <w:w w:val="100"/>
                      <w:sz w:val="21"/>
                    </w:rPr>
                    <w:t>中—强</w:t>
                  </w:r>
                </w:p>
              </w:tc>
              <w:tc>
                <w:tcPr>
                  <w:tcW w:w="1425" w:type="dxa"/>
                  <w:tcBorders>
                    <w:bottom w:val="thinThickMediumGap" w:color="000000" w:sz="6" w:space="0"/>
                  </w:tcBorders>
                  <w:vAlign w:val="center"/>
                </w:tcPr>
                <w:p w14:paraId="2A468EDA">
                  <w:pPr>
                    <w:pStyle w:val="65"/>
                    <w:spacing w:line="254" w:lineRule="exact"/>
                    <w:ind w:left="9"/>
                    <w:rPr>
                      <w:rFonts w:hint="default" w:ascii="Times New Roman" w:hAnsi="Times New Roman" w:cs="Times New Roman"/>
                      <w:w w:val="100"/>
                      <w:sz w:val="21"/>
                    </w:rPr>
                  </w:pPr>
                  <w:r>
                    <w:rPr>
                      <w:rFonts w:hint="default" w:ascii="Times New Roman" w:hAnsi="Times New Roman" w:cs="Times New Roman"/>
                      <w:w w:val="100"/>
                      <w:sz w:val="21"/>
                    </w:rPr>
                    <w:t>易</w:t>
                  </w:r>
                </w:p>
              </w:tc>
              <w:tc>
                <w:tcPr>
                  <w:tcW w:w="2015" w:type="dxa"/>
                  <w:tcBorders>
                    <w:bottom w:val="thinThickMediumGap" w:color="000000" w:sz="6" w:space="0"/>
                  </w:tcBorders>
                  <w:vAlign w:val="center"/>
                </w:tcPr>
                <w:p w14:paraId="3433D70D">
                  <w:pPr>
                    <w:pStyle w:val="65"/>
                    <w:spacing w:line="254" w:lineRule="exact"/>
                    <w:ind w:left="279" w:right="274"/>
                    <w:rPr>
                      <w:rFonts w:hint="default" w:ascii="Times New Roman" w:hAnsi="Times New Roman" w:cs="Times New Roman"/>
                      <w:w w:val="100"/>
                      <w:sz w:val="21"/>
                    </w:rPr>
                  </w:pPr>
                  <w:r>
                    <w:rPr>
                      <w:rFonts w:hint="default" w:ascii="Times New Roman" w:hAnsi="Times New Roman" w:cs="Times New Roman"/>
                      <w:w w:val="100"/>
                      <w:sz w:val="21"/>
                    </w:rPr>
                    <w:t>其他类型</w:t>
                  </w:r>
                </w:p>
              </w:tc>
              <w:tc>
                <w:tcPr>
                  <w:tcW w:w="3096" w:type="dxa"/>
                  <w:tcBorders>
                    <w:bottom w:val="thinThickMediumGap" w:color="000000" w:sz="6" w:space="0"/>
                    <w:right w:val="nil"/>
                  </w:tcBorders>
                  <w:vAlign w:val="center"/>
                </w:tcPr>
                <w:p w14:paraId="06716E7D">
                  <w:pPr>
                    <w:pStyle w:val="65"/>
                    <w:spacing w:line="254" w:lineRule="exact"/>
                    <w:ind w:left="157" w:right="153"/>
                    <w:rPr>
                      <w:rFonts w:hint="default" w:ascii="Times New Roman" w:hAnsi="Times New Roman" w:cs="Times New Roman"/>
                      <w:w w:val="100"/>
                      <w:sz w:val="21"/>
                    </w:rPr>
                  </w:pPr>
                  <w:r>
                    <w:rPr>
                      <w:rFonts w:hint="default" w:ascii="Times New Roman" w:hAnsi="Times New Roman" w:cs="Times New Roman"/>
                      <w:w w:val="100"/>
                      <w:sz w:val="21"/>
                    </w:rPr>
                    <w:t>一般地面硬化</w:t>
                  </w:r>
                </w:p>
              </w:tc>
            </w:tr>
          </w:tbl>
          <w:p w14:paraId="2F87AB39">
            <w:pPr>
              <w:pStyle w:val="65"/>
              <w:spacing w:before="121"/>
              <w:ind w:left="2721"/>
              <w:jc w:val="left"/>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表5-</w:t>
            </w:r>
            <w:r>
              <w:rPr>
                <w:rFonts w:hint="eastAsia" w:ascii="Times New Roman" w:hAnsi="Times New Roman" w:cs="Times New Roman"/>
                <w:b/>
                <w:bCs/>
                <w:sz w:val="21"/>
                <w:szCs w:val="21"/>
                <w:lang w:val="en-US" w:eastAsia="zh-CN"/>
              </w:rPr>
              <w:t>11</w:t>
            </w:r>
            <w:r>
              <w:rPr>
                <w:rFonts w:hint="default" w:ascii="Times New Roman" w:hAnsi="Times New Roman" w:eastAsia="宋体" w:cs="Times New Roman"/>
                <w:b/>
                <w:bCs/>
                <w:sz w:val="21"/>
                <w:szCs w:val="21"/>
              </w:rPr>
              <w:t xml:space="preserve">  本项目分区防渗情况一览表</w:t>
            </w:r>
          </w:p>
          <w:tbl>
            <w:tblPr>
              <w:tblStyle w:val="23"/>
              <w:tblW w:w="9978" w:type="dxa"/>
              <w:jc w:val="center"/>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1525"/>
              <w:gridCol w:w="1960"/>
              <w:gridCol w:w="1665"/>
              <w:gridCol w:w="1953"/>
              <w:gridCol w:w="2875"/>
            </w:tblGrid>
            <w:tr w14:paraId="6DAB429E">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367" w:hRule="atLeast"/>
                <w:jc w:val="center"/>
              </w:trPr>
              <w:tc>
                <w:tcPr>
                  <w:tcW w:w="3485" w:type="dxa"/>
                  <w:gridSpan w:val="2"/>
                  <w:tcBorders>
                    <w:left w:val="nil"/>
                    <w:right w:val="single" w:color="000000" w:sz="4" w:space="0"/>
                  </w:tcBorders>
                  <w:vAlign w:val="center"/>
                </w:tcPr>
                <w:p w14:paraId="6FE8A530">
                  <w:pPr>
                    <w:pStyle w:val="65"/>
                    <w:spacing w:before="48"/>
                    <w:ind w:left="985" w:right="951"/>
                    <w:rPr>
                      <w:rFonts w:hint="default" w:ascii="Times New Roman" w:hAnsi="Times New Roman" w:cs="Times New Roman"/>
                      <w:b/>
                      <w:sz w:val="21"/>
                    </w:rPr>
                  </w:pPr>
                  <w:r>
                    <w:rPr>
                      <w:rFonts w:hint="default" w:ascii="Times New Roman" w:hAnsi="Times New Roman" w:cs="Times New Roman"/>
                      <w:b/>
                      <w:sz w:val="21"/>
                    </w:rPr>
                    <w:t>区域名称</w:t>
                  </w:r>
                </w:p>
              </w:tc>
              <w:tc>
                <w:tcPr>
                  <w:tcW w:w="1665" w:type="dxa"/>
                  <w:tcBorders>
                    <w:left w:val="single" w:color="000000" w:sz="4" w:space="0"/>
                    <w:right w:val="single" w:color="000000" w:sz="4" w:space="0"/>
                  </w:tcBorders>
                  <w:vAlign w:val="center"/>
                </w:tcPr>
                <w:p w14:paraId="77FFDC34">
                  <w:pPr>
                    <w:pStyle w:val="65"/>
                    <w:spacing w:before="48"/>
                    <w:ind w:left="128" w:right="99"/>
                    <w:rPr>
                      <w:rFonts w:hint="default" w:ascii="Times New Roman" w:hAnsi="Times New Roman" w:cs="Times New Roman"/>
                      <w:b/>
                      <w:sz w:val="21"/>
                    </w:rPr>
                  </w:pPr>
                  <w:r>
                    <w:rPr>
                      <w:rFonts w:hint="default" w:ascii="Times New Roman" w:hAnsi="Times New Roman" w:cs="Times New Roman"/>
                      <w:b/>
                      <w:sz w:val="21"/>
                    </w:rPr>
                    <w:t>分区类别</w:t>
                  </w:r>
                </w:p>
              </w:tc>
              <w:tc>
                <w:tcPr>
                  <w:tcW w:w="1953" w:type="dxa"/>
                  <w:tcBorders>
                    <w:left w:val="single" w:color="000000" w:sz="4" w:space="0"/>
                    <w:right w:val="single" w:color="000000" w:sz="4" w:space="0"/>
                  </w:tcBorders>
                  <w:vAlign w:val="center"/>
                </w:tcPr>
                <w:p w14:paraId="6EB028A2">
                  <w:pPr>
                    <w:pStyle w:val="65"/>
                    <w:spacing w:before="48"/>
                    <w:ind w:left="286" w:right="253"/>
                    <w:rPr>
                      <w:rFonts w:hint="default" w:ascii="Times New Roman" w:hAnsi="Times New Roman" w:cs="Times New Roman"/>
                      <w:b/>
                      <w:sz w:val="21"/>
                    </w:rPr>
                  </w:pPr>
                  <w:r>
                    <w:rPr>
                      <w:rFonts w:hint="default" w:ascii="Times New Roman" w:hAnsi="Times New Roman" w:cs="Times New Roman"/>
                      <w:b/>
                      <w:sz w:val="21"/>
                    </w:rPr>
                    <w:t>防渗系数</w:t>
                  </w:r>
                </w:p>
              </w:tc>
              <w:tc>
                <w:tcPr>
                  <w:tcW w:w="2875" w:type="dxa"/>
                  <w:tcBorders>
                    <w:left w:val="single" w:color="000000" w:sz="4" w:space="0"/>
                    <w:right w:val="nil"/>
                  </w:tcBorders>
                  <w:vAlign w:val="center"/>
                </w:tcPr>
                <w:p w14:paraId="5328922D">
                  <w:pPr>
                    <w:pStyle w:val="65"/>
                    <w:spacing w:before="48"/>
                    <w:ind w:left="837" w:right="817"/>
                    <w:rPr>
                      <w:rFonts w:hint="default" w:ascii="Times New Roman" w:hAnsi="Times New Roman" w:cs="Times New Roman"/>
                      <w:b/>
                      <w:sz w:val="21"/>
                    </w:rPr>
                  </w:pPr>
                  <w:r>
                    <w:rPr>
                      <w:rFonts w:hint="default" w:ascii="Times New Roman" w:hAnsi="Times New Roman" w:cs="Times New Roman"/>
                      <w:b/>
                      <w:sz w:val="21"/>
                    </w:rPr>
                    <w:t>备注</w:t>
                  </w:r>
                </w:p>
              </w:tc>
            </w:tr>
            <w:tr w14:paraId="3F616EB6">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90" w:hRule="atLeast"/>
                <w:jc w:val="center"/>
              </w:trPr>
              <w:tc>
                <w:tcPr>
                  <w:tcW w:w="1525" w:type="dxa"/>
                  <w:vMerge w:val="restart"/>
                  <w:tcBorders>
                    <w:left w:val="nil"/>
                    <w:right w:val="single" w:color="000000" w:sz="4" w:space="0"/>
                  </w:tcBorders>
                  <w:vAlign w:val="center"/>
                </w:tcPr>
                <w:p w14:paraId="2E1EEFFF">
                  <w:pPr>
                    <w:pStyle w:val="65"/>
                    <w:jc w:val="center"/>
                    <w:rPr>
                      <w:rFonts w:hint="default" w:ascii="Times New Roman" w:hAnsi="Times New Roman" w:cs="Times New Roman"/>
                      <w:sz w:val="21"/>
                    </w:rPr>
                  </w:pPr>
                  <w:r>
                    <w:rPr>
                      <w:rFonts w:hint="default" w:ascii="Times New Roman" w:hAnsi="Times New Roman" w:cs="Times New Roman"/>
                      <w:sz w:val="21"/>
                    </w:rPr>
                    <w:t>生产区</w:t>
                  </w:r>
                </w:p>
              </w:tc>
              <w:tc>
                <w:tcPr>
                  <w:tcW w:w="1960" w:type="dxa"/>
                  <w:tcBorders>
                    <w:left w:val="single" w:color="000000" w:sz="4" w:space="0"/>
                    <w:bottom w:val="single" w:color="000000" w:sz="4" w:space="0"/>
                    <w:right w:val="single" w:color="000000" w:sz="4" w:space="0"/>
                  </w:tcBorders>
                  <w:vAlign w:val="center"/>
                </w:tcPr>
                <w:p w14:paraId="21A2B69E">
                  <w:pPr>
                    <w:pStyle w:val="65"/>
                    <w:spacing w:line="252" w:lineRule="exact"/>
                    <w:ind w:left="151" w:right="125"/>
                    <w:jc w:val="center"/>
                    <w:rPr>
                      <w:rFonts w:hint="default" w:ascii="Times New Roman" w:hAnsi="Times New Roman" w:cs="Times New Roman"/>
                      <w:sz w:val="21"/>
                    </w:rPr>
                  </w:pPr>
                  <w:r>
                    <w:rPr>
                      <w:rFonts w:hint="default" w:ascii="Times New Roman" w:hAnsi="Times New Roman" w:cs="Times New Roman"/>
                      <w:sz w:val="21"/>
                    </w:rPr>
                    <w:t>生产车间</w:t>
                  </w:r>
                </w:p>
              </w:tc>
              <w:tc>
                <w:tcPr>
                  <w:tcW w:w="1665" w:type="dxa"/>
                  <w:vMerge w:val="restart"/>
                  <w:tcBorders>
                    <w:left w:val="single" w:color="000000" w:sz="4" w:space="0"/>
                    <w:bottom w:val="single" w:color="000000" w:sz="4" w:space="0"/>
                    <w:right w:val="single" w:color="000000" w:sz="4" w:space="0"/>
                  </w:tcBorders>
                  <w:vAlign w:val="center"/>
                </w:tcPr>
                <w:p w14:paraId="76FE28D4">
                  <w:pPr>
                    <w:pStyle w:val="65"/>
                    <w:spacing w:line="252" w:lineRule="exact"/>
                    <w:ind w:left="151" w:right="125"/>
                    <w:jc w:val="center"/>
                    <w:rPr>
                      <w:rFonts w:hint="default" w:ascii="Times New Roman" w:hAnsi="Times New Roman" w:cs="Times New Roman"/>
                      <w:sz w:val="21"/>
                    </w:rPr>
                  </w:pPr>
                  <w:r>
                    <w:rPr>
                      <w:rFonts w:hint="default" w:ascii="Times New Roman" w:hAnsi="Times New Roman" w:cs="Times New Roman"/>
                      <w:sz w:val="21"/>
                    </w:rPr>
                    <w:t>一般防渗区</w:t>
                  </w:r>
                </w:p>
              </w:tc>
              <w:tc>
                <w:tcPr>
                  <w:tcW w:w="1953" w:type="dxa"/>
                  <w:tcBorders>
                    <w:left w:val="single" w:color="000000" w:sz="4" w:space="0"/>
                    <w:bottom w:val="single" w:color="000000" w:sz="4" w:space="0"/>
                    <w:right w:val="single" w:color="000000" w:sz="4" w:space="0"/>
                  </w:tcBorders>
                  <w:vAlign w:val="center"/>
                </w:tcPr>
                <w:p w14:paraId="757D529D">
                  <w:pPr>
                    <w:pStyle w:val="65"/>
                    <w:spacing w:line="252" w:lineRule="exact"/>
                    <w:ind w:left="151" w:right="125"/>
                    <w:jc w:val="center"/>
                    <w:rPr>
                      <w:rFonts w:hint="default" w:ascii="Times New Roman" w:hAnsi="Times New Roman" w:cs="Times New Roman"/>
                      <w:sz w:val="21"/>
                    </w:rPr>
                  </w:pPr>
                  <w:r>
                    <w:rPr>
                      <w:rFonts w:hint="default" w:ascii="Times New Roman" w:hAnsi="Times New Roman" w:cs="Times New Roman"/>
                      <w:sz w:val="21"/>
                    </w:rPr>
                    <w:t>≤10</w:t>
                  </w:r>
                  <w:r>
                    <w:rPr>
                      <w:rFonts w:hint="default" w:ascii="Times New Roman" w:hAnsi="Times New Roman" w:cs="Times New Roman"/>
                      <w:sz w:val="21"/>
                      <w:vertAlign w:val="superscript"/>
                    </w:rPr>
                    <w:t>-7</w:t>
                  </w:r>
                  <w:r>
                    <w:rPr>
                      <w:rFonts w:hint="default" w:ascii="Times New Roman" w:hAnsi="Times New Roman" w:cs="Times New Roman"/>
                      <w:sz w:val="21"/>
                    </w:rPr>
                    <w:t>cm/s</w:t>
                  </w:r>
                </w:p>
              </w:tc>
              <w:tc>
                <w:tcPr>
                  <w:tcW w:w="2875" w:type="dxa"/>
                  <w:tcBorders>
                    <w:left w:val="single" w:color="000000" w:sz="4" w:space="0"/>
                    <w:bottom w:val="single" w:color="000000" w:sz="4" w:space="0"/>
                    <w:right w:val="nil"/>
                  </w:tcBorders>
                  <w:vAlign w:val="center"/>
                </w:tcPr>
                <w:p w14:paraId="710F5361">
                  <w:pPr>
                    <w:pStyle w:val="65"/>
                    <w:spacing w:line="252" w:lineRule="exact"/>
                    <w:ind w:left="151" w:right="125"/>
                    <w:jc w:val="center"/>
                    <w:rPr>
                      <w:rFonts w:hint="default" w:ascii="Times New Roman" w:hAnsi="Times New Roman" w:cs="Times New Roman"/>
                      <w:sz w:val="21"/>
                    </w:rPr>
                  </w:pPr>
                </w:p>
              </w:tc>
            </w:tr>
            <w:tr w14:paraId="7423C7DC">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272" w:hRule="atLeast"/>
                <w:jc w:val="center"/>
              </w:trPr>
              <w:tc>
                <w:tcPr>
                  <w:tcW w:w="1525" w:type="dxa"/>
                  <w:vMerge w:val="continue"/>
                  <w:tcBorders>
                    <w:left w:val="nil"/>
                    <w:right w:val="single" w:color="000000" w:sz="4" w:space="0"/>
                  </w:tcBorders>
                  <w:vAlign w:val="center"/>
                </w:tcPr>
                <w:p w14:paraId="3BB3AD6C">
                  <w:pPr>
                    <w:jc w:val="center"/>
                    <w:rPr>
                      <w:rFonts w:hint="default" w:ascii="Times New Roman" w:hAnsi="Times New Roman" w:cs="Times New Roman"/>
                      <w:sz w:val="2"/>
                      <w:szCs w:val="2"/>
                    </w:rPr>
                  </w:pPr>
                </w:p>
              </w:tc>
              <w:tc>
                <w:tcPr>
                  <w:tcW w:w="1960" w:type="dxa"/>
                  <w:tcBorders>
                    <w:top w:val="single" w:color="000000" w:sz="4" w:space="0"/>
                    <w:left w:val="single" w:color="000000" w:sz="4" w:space="0"/>
                    <w:bottom w:val="single" w:color="000000" w:sz="4" w:space="0"/>
                    <w:right w:val="single" w:color="000000" w:sz="4" w:space="0"/>
                  </w:tcBorders>
                  <w:vAlign w:val="center"/>
                </w:tcPr>
                <w:p w14:paraId="3EC1258F">
                  <w:pPr>
                    <w:pStyle w:val="65"/>
                    <w:spacing w:line="252" w:lineRule="exact"/>
                    <w:ind w:left="151" w:right="125"/>
                    <w:jc w:val="center"/>
                    <w:rPr>
                      <w:rFonts w:hint="default" w:ascii="Times New Roman" w:hAnsi="Times New Roman" w:eastAsia="宋体" w:cs="Times New Roman"/>
                      <w:sz w:val="21"/>
                      <w:lang w:eastAsia="zh-CN"/>
                    </w:rPr>
                  </w:pPr>
                  <w:r>
                    <w:rPr>
                      <w:rFonts w:hint="default" w:ascii="Times New Roman" w:hAnsi="Times New Roman" w:cs="Times New Roman"/>
                      <w:sz w:val="21"/>
                      <w:lang w:eastAsia="zh-CN"/>
                    </w:rPr>
                    <w:t>食堂隔油池</w:t>
                  </w:r>
                </w:p>
              </w:tc>
              <w:tc>
                <w:tcPr>
                  <w:tcW w:w="1665" w:type="dxa"/>
                  <w:tcBorders>
                    <w:top w:val="single" w:color="000000" w:sz="4" w:space="0"/>
                    <w:left w:val="single" w:color="000000" w:sz="4" w:space="0"/>
                    <w:bottom w:val="single" w:color="000000" w:sz="4" w:space="0"/>
                    <w:right w:val="single" w:color="000000" w:sz="4" w:space="0"/>
                  </w:tcBorders>
                  <w:vAlign w:val="center"/>
                </w:tcPr>
                <w:p w14:paraId="3162D437">
                  <w:pPr>
                    <w:pStyle w:val="65"/>
                    <w:spacing w:line="252" w:lineRule="exact"/>
                    <w:ind w:left="128" w:right="99"/>
                    <w:jc w:val="center"/>
                    <w:rPr>
                      <w:rFonts w:hint="default" w:ascii="Times New Roman" w:hAnsi="Times New Roman" w:cs="Times New Roman"/>
                      <w:sz w:val="21"/>
                    </w:rPr>
                  </w:pPr>
                  <w:r>
                    <w:rPr>
                      <w:rFonts w:hint="default" w:ascii="Times New Roman" w:hAnsi="Times New Roman" w:cs="Times New Roman"/>
                      <w:sz w:val="21"/>
                    </w:rPr>
                    <w:t>一般防渗区</w:t>
                  </w:r>
                </w:p>
              </w:tc>
              <w:tc>
                <w:tcPr>
                  <w:tcW w:w="1953" w:type="dxa"/>
                  <w:tcBorders>
                    <w:top w:val="single" w:color="000000" w:sz="4" w:space="0"/>
                    <w:left w:val="single" w:color="000000" w:sz="4" w:space="0"/>
                    <w:bottom w:val="single" w:color="000000" w:sz="4" w:space="0"/>
                    <w:right w:val="single" w:color="000000" w:sz="4" w:space="0"/>
                  </w:tcBorders>
                  <w:vAlign w:val="center"/>
                </w:tcPr>
                <w:p w14:paraId="612F3184">
                  <w:pPr>
                    <w:pStyle w:val="65"/>
                    <w:spacing w:line="252" w:lineRule="exact"/>
                    <w:ind w:left="286" w:right="258"/>
                    <w:jc w:val="center"/>
                    <w:rPr>
                      <w:rFonts w:hint="default" w:ascii="Times New Roman" w:hAnsi="Times New Roman" w:cs="Times New Roman"/>
                      <w:sz w:val="21"/>
                    </w:rPr>
                  </w:pPr>
                  <w:r>
                    <w:rPr>
                      <w:rFonts w:hint="default" w:ascii="Times New Roman" w:hAnsi="Times New Roman" w:cs="Times New Roman"/>
                      <w:sz w:val="21"/>
                    </w:rPr>
                    <w:t>≤10</w:t>
                  </w:r>
                  <w:r>
                    <w:rPr>
                      <w:rFonts w:hint="default" w:ascii="Times New Roman" w:hAnsi="Times New Roman" w:cs="Times New Roman"/>
                      <w:position w:val="7"/>
                      <w:sz w:val="13"/>
                    </w:rPr>
                    <w:t>-7</w:t>
                  </w:r>
                  <w:r>
                    <w:rPr>
                      <w:rFonts w:hint="default" w:ascii="Times New Roman" w:hAnsi="Times New Roman" w:cs="Times New Roman"/>
                      <w:sz w:val="21"/>
                    </w:rPr>
                    <w:t>cm/s</w:t>
                  </w:r>
                </w:p>
              </w:tc>
              <w:tc>
                <w:tcPr>
                  <w:tcW w:w="2875" w:type="dxa"/>
                  <w:tcBorders>
                    <w:top w:val="single" w:color="000000" w:sz="4" w:space="0"/>
                    <w:left w:val="single" w:color="000000" w:sz="4" w:space="0"/>
                    <w:bottom w:val="single" w:color="000000" w:sz="4" w:space="0"/>
                    <w:right w:val="nil"/>
                  </w:tcBorders>
                  <w:vAlign w:val="center"/>
                </w:tcPr>
                <w:p w14:paraId="78CC5A7B">
                  <w:pPr>
                    <w:pStyle w:val="65"/>
                    <w:spacing w:line="252" w:lineRule="exact"/>
                    <w:ind w:left="839" w:right="817"/>
                    <w:jc w:val="center"/>
                    <w:rPr>
                      <w:rFonts w:hint="default" w:ascii="Times New Roman" w:hAnsi="Times New Roman" w:cs="Times New Roman"/>
                      <w:sz w:val="21"/>
                    </w:rPr>
                  </w:pPr>
                </w:p>
              </w:tc>
            </w:tr>
            <w:tr w14:paraId="1F735BE9">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272" w:hRule="atLeast"/>
                <w:jc w:val="center"/>
              </w:trPr>
              <w:tc>
                <w:tcPr>
                  <w:tcW w:w="1525" w:type="dxa"/>
                  <w:vMerge w:val="continue"/>
                  <w:tcBorders>
                    <w:left w:val="nil"/>
                    <w:right w:val="single" w:color="000000" w:sz="4" w:space="0"/>
                  </w:tcBorders>
                  <w:vAlign w:val="center"/>
                </w:tcPr>
                <w:p w14:paraId="66BDD353">
                  <w:pPr>
                    <w:jc w:val="center"/>
                    <w:rPr>
                      <w:rFonts w:hint="default" w:ascii="Times New Roman" w:hAnsi="Times New Roman" w:cs="Times New Roman"/>
                      <w:sz w:val="2"/>
                      <w:szCs w:val="2"/>
                    </w:rPr>
                  </w:pPr>
                </w:p>
              </w:tc>
              <w:tc>
                <w:tcPr>
                  <w:tcW w:w="1960" w:type="dxa"/>
                  <w:tcBorders>
                    <w:top w:val="single" w:color="000000" w:sz="4" w:space="0"/>
                    <w:left w:val="single" w:color="000000" w:sz="4" w:space="0"/>
                    <w:bottom w:val="single" w:color="000000" w:sz="4" w:space="0"/>
                    <w:right w:val="single" w:color="000000" w:sz="4" w:space="0"/>
                  </w:tcBorders>
                  <w:vAlign w:val="center"/>
                </w:tcPr>
                <w:p w14:paraId="7B5C0595">
                  <w:pPr>
                    <w:pStyle w:val="65"/>
                    <w:spacing w:line="253" w:lineRule="exact"/>
                    <w:ind w:left="151" w:right="125"/>
                    <w:jc w:val="center"/>
                    <w:rPr>
                      <w:rFonts w:hint="default" w:ascii="Times New Roman" w:hAnsi="Times New Roman" w:eastAsia="宋体" w:cs="Times New Roman"/>
                      <w:sz w:val="21"/>
                      <w:lang w:eastAsia="zh-CN"/>
                    </w:rPr>
                  </w:pPr>
                  <w:r>
                    <w:rPr>
                      <w:rFonts w:hint="default" w:ascii="Times New Roman" w:hAnsi="Times New Roman" w:cs="Times New Roman"/>
                      <w:sz w:val="21"/>
                      <w:lang w:eastAsia="zh-CN"/>
                    </w:rPr>
                    <w:t>化粪池</w:t>
                  </w:r>
                </w:p>
              </w:tc>
              <w:tc>
                <w:tcPr>
                  <w:tcW w:w="1665" w:type="dxa"/>
                  <w:tcBorders>
                    <w:top w:val="single" w:color="000000" w:sz="4" w:space="0"/>
                    <w:left w:val="single" w:color="000000" w:sz="4" w:space="0"/>
                    <w:bottom w:val="single" w:color="000000" w:sz="4" w:space="0"/>
                    <w:right w:val="single" w:color="000000" w:sz="4" w:space="0"/>
                  </w:tcBorders>
                  <w:vAlign w:val="center"/>
                </w:tcPr>
                <w:p w14:paraId="31EF9B9D">
                  <w:pPr>
                    <w:pStyle w:val="65"/>
                    <w:spacing w:line="253" w:lineRule="exact"/>
                    <w:ind w:left="128" w:right="99"/>
                    <w:jc w:val="center"/>
                    <w:rPr>
                      <w:rFonts w:hint="default" w:ascii="Times New Roman" w:hAnsi="Times New Roman" w:cs="Times New Roman"/>
                      <w:sz w:val="21"/>
                    </w:rPr>
                  </w:pPr>
                  <w:r>
                    <w:rPr>
                      <w:rFonts w:hint="default" w:ascii="Times New Roman" w:hAnsi="Times New Roman" w:cs="Times New Roman"/>
                      <w:sz w:val="21"/>
                    </w:rPr>
                    <w:t>一般防渗区</w:t>
                  </w:r>
                </w:p>
              </w:tc>
              <w:tc>
                <w:tcPr>
                  <w:tcW w:w="1953" w:type="dxa"/>
                  <w:tcBorders>
                    <w:top w:val="single" w:color="000000" w:sz="4" w:space="0"/>
                    <w:left w:val="single" w:color="000000" w:sz="4" w:space="0"/>
                    <w:bottom w:val="single" w:color="000000" w:sz="4" w:space="0"/>
                    <w:right w:val="single" w:color="000000" w:sz="4" w:space="0"/>
                  </w:tcBorders>
                  <w:vAlign w:val="center"/>
                </w:tcPr>
                <w:p w14:paraId="5056BABF">
                  <w:pPr>
                    <w:pStyle w:val="65"/>
                    <w:spacing w:line="253" w:lineRule="exact"/>
                    <w:ind w:left="286" w:right="258"/>
                    <w:jc w:val="center"/>
                    <w:rPr>
                      <w:rFonts w:hint="default" w:ascii="Times New Roman" w:hAnsi="Times New Roman" w:cs="Times New Roman"/>
                      <w:sz w:val="21"/>
                    </w:rPr>
                  </w:pPr>
                  <w:r>
                    <w:rPr>
                      <w:rFonts w:hint="default" w:ascii="Times New Roman" w:hAnsi="Times New Roman" w:cs="Times New Roman"/>
                      <w:sz w:val="21"/>
                    </w:rPr>
                    <w:t>≤10</w:t>
                  </w:r>
                  <w:r>
                    <w:rPr>
                      <w:rFonts w:hint="default" w:ascii="Times New Roman" w:hAnsi="Times New Roman" w:cs="Times New Roman"/>
                      <w:position w:val="7"/>
                      <w:sz w:val="13"/>
                    </w:rPr>
                    <w:t>-7</w:t>
                  </w:r>
                  <w:r>
                    <w:rPr>
                      <w:rFonts w:hint="default" w:ascii="Times New Roman" w:hAnsi="Times New Roman" w:cs="Times New Roman"/>
                      <w:sz w:val="21"/>
                    </w:rPr>
                    <w:t>cm/s</w:t>
                  </w:r>
                </w:p>
              </w:tc>
              <w:tc>
                <w:tcPr>
                  <w:tcW w:w="2875" w:type="dxa"/>
                  <w:tcBorders>
                    <w:top w:val="single" w:color="000000" w:sz="4" w:space="0"/>
                    <w:left w:val="single" w:color="000000" w:sz="4" w:space="0"/>
                    <w:bottom w:val="single" w:color="000000" w:sz="4" w:space="0"/>
                    <w:right w:val="nil"/>
                  </w:tcBorders>
                  <w:vAlign w:val="center"/>
                </w:tcPr>
                <w:p w14:paraId="67352349">
                  <w:pPr>
                    <w:pStyle w:val="65"/>
                    <w:spacing w:line="253" w:lineRule="exact"/>
                    <w:ind w:left="839" w:right="817"/>
                    <w:jc w:val="center"/>
                    <w:rPr>
                      <w:rFonts w:hint="default" w:ascii="Times New Roman" w:hAnsi="Times New Roman" w:cs="Times New Roman"/>
                      <w:sz w:val="21"/>
                    </w:rPr>
                  </w:pPr>
                </w:p>
              </w:tc>
            </w:tr>
            <w:tr w14:paraId="7CF6DB05">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272" w:hRule="atLeast"/>
                <w:jc w:val="center"/>
              </w:trPr>
              <w:tc>
                <w:tcPr>
                  <w:tcW w:w="1525" w:type="dxa"/>
                  <w:vMerge w:val="continue"/>
                  <w:tcBorders>
                    <w:left w:val="nil"/>
                    <w:right w:val="single" w:color="000000" w:sz="4" w:space="0"/>
                  </w:tcBorders>
                  <w:vAlign w:val="center"/>
                </w:tcPr>
                <w:p w14:paraId="25819A38">
                  <w:pPr>
                    <w:jc w:val="center"/>
                    <w:rPr>
                      <w:rFonts w:hint="default" w:ascii="Times New Roman" w:hAnsi="Times New Roman" w:cs="Times New Roman"/>
                      <w:sz w:val="2"/>
                      <w:szCs w:val="2"/>
                    </w:rPr>
                  </w:pPr>
                </w:p>
              </w:tc>
              <w:tc>
                <w:tcPr>
                  <w:tcW w:w="1960" w:type="dxa"/>
                  <w:tcBorders>
                    <w:top w:val="single" w:color="000000" w:sz="4" w:space="0"/>
                    <w:left w:val="single" w:color="000000" w:sz="4" w:space="0"/>
                    <w:bottom w:val="single" w:color="000000" w:sz="4" w:space="0"/>
                    <w:right w:val="single" w:color="000000" w:sz="4" w:space="0"/>
                  </w:tcBorders>
                  <w:vAlign w:val="center"/>
                </w:tcPr>
                <w:p w14:paraId="2A84EAF9">
                  <w:pPr>
                    <w:pStyle w:val="65"/>
                    <w:spacing w:line="252" w:lineRule="exact"/>
                    <w:ind w:left="151" w:right="125"/>
                    <w:jc w:val="center"/>
                    <w:rPr>
                      <w:rFonts w:hint="default" w:ascii="Times New Roman" w:hAnsi="Times New Roman" w:cs="Times New Roman"/>
                      <w:sz w:val="21"/>
                    </w:rPr>
                  </w:pPr>
                  <w:r>
                    <w:rPr>
                      <w:rFonts w:hint="default" w:ascii="Times New Roman" w:hAnsi="Times New Roman" w:cs="Times New Roman"/>
                      <w:sz w:val="21"/>
                    </w:rPr>
                    <w:t>危废暂存间</w:t>
                  </w:r>
                </w:p>
              </w:tc>
              <w:tc>
                <w:tcPr>
                  <w:tcW w:w="1665" w:type="dxa"/>
                  <w:vMerge w:val="restart"/>
                  <w:tcBorders>
                    <w:top w:val="single" w:color="000000" w:sz="4" w:space="0"/>
                    <w:left w:val="single" w:color="000000" w:sz="4" w:space="0"/>
                    <w:right w:val="single" w:color="000000" w:sz="4" w:space="0"/>
                  </w:tcBorders>
                  <w:vAlign w:val="center"/>
                </w:tcPr>
                <w:p w14:paraId="1FABBDF3">
                  <w:pPr>
                    <w:pStyle w:val="65"/>
                    <w:spacing w:line="252" w:lineRule="exact"/>
                    <w:ind w:left="128" w:right="99"/>
                    <w:jc w:val="center"/>
                    <w:rPr>
                      <w:rFonts w:hint="default" w:ascii="Times New Roman" w:hAnsi="Times New Roman" w:cs="Times New Roman"/>
                      <w:sz w:val="21"/>
                    </w:rPr>
                  </w:pPr>
                  <w:r>
                    <w:rPr>
                      <w:rFonts w:hint="default" w:ascii="Times New Roman" w:hAnsi="Times New Roman" w:cs="Times New Roman"/>
                      <w:sz w:val="21"/>
                    </w:rPr>
                    <w:t>重点防渗区</w:t>
                  </w:r>
                </w:p>
              </w:tc>
              <w:tc>
                <w:tcPr>
                  <w:tcW w:w="1953" w:type="dxa"/>
                  <w:vMerge w:val="restart"/>
                  <w:tcBorders>
                    <w:top w:val="single" w:color="000000" w:sz="4" w:space="0"/>
                    <w:left w:val="single" w:color="000000" w:sz="4" w:space="0"/>
                    <w:right w:val="single" w:color="000000" w:sz="4" w:space="0"/>
                  </w:tcBorders>
                  <w:vAlign w:val="center"/>
                </w:tcPr>
                <w:p w14:paraId="3922B32F">
                  <w:pPr>
                    <w:pStyle w:val="65"/>
                    <w:spacing w:line="252" w:lineRule="exact"/>
                    <w:ind w:left="286" w:right="258"/>
                    <w:jc w:val="center"/>
                    <w:rPr>
                      <w:rFonts w:hint="default" w:ascii="Times New Roman" w:hAnsi="Times New Roman" w:cs="Times New Roman"/>
                      <w:sz w:val="21"/>
                    </w:rPr>
                  </w:pPr>
                  <w:r>
                    <w:rPr>
                      <w:rFonts w:hint="default" w:ascii="Times New Roman" w:hAnsi="Times New Roman" w:cs="Times New Roman"/>
                      <w:sz w:val="21"/>
                    </w:rPr>
                    <w:t>≤10</w:t>
                  </w:r>
                  <w:r>
                    <w:rPr>
                      <w:rFonts w:hint="default" w:ascii="Times New Roman" w:hAnsi="Times New Roman" w:cs="Times New Roman"/>
                      <w:position w:val="7"/>
                      <w:sz w:val="13"/>
                    </w:rPr>
                    <w:t>-10</w:t>
                  </w:r>
                  <w:r>
                    <w:rPr>
                      <w:rFonts w:hint="default" w:ascii="Times New Roman" w:hAnsi="Times New Roman" w:cs="Times New Roman"/>
                      <w:sz w:val="21"/>
                    </w:rPr>
                    <w:t>cm/s</w:t>
                  </w:r>
                </w:p>
              </w:tc>
              <w:tc>
                <w:tcPr>
                  <w:tcW w:w="2875" w:type="dxa"/>
                  <w:tcBorders>
                    <w:top w:val="single" w:color="000000" w:sz="4" w:space="0"/>
                    <w:left w:val="single" w:color="000000" w:sz="4" w:space="0"/>
                    <w:bottom w:val="single" w:color="000000" w:sz="4" w:space="0"/>
                    <w:right w:val="nil"/>
                  </w:tcBorders>
                  <w:vAlign w:val="center"/>
                </w:tcPr>
                <w:p w14:paraId="05A349C0">
                  <w:pPr>
                    <w:pStyle w:val="65"/>
                    <w:spacing w:line="252" w:lineRule="exact"/>
                    <w:ind w:left="839" w:right="817"/>
                    <w:jc w:val="center"/>
                    <w:rPr>
                      <w:rFonts w:hint="default" w:ascii="Times New Roman" w:hAnsi="Times New Roman" w:cs="Times New Roman"/>
                      <w:sz w:val="21"/>
                    </w:rPr>
                  </w:pPr>
                </w:p>
              </w:tc>
            </w:tr>
            <w:tr w14:paraId="0C1F1D6B">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272" w:hRule="atLeast"/>
                <w:jc w:val="center"/>
              </w:trPr>
              <w:tc>
                <w:tcPr>
                  <w:tcW w:w="1525" w:type="dxa"/>
                  <w:vMerge w:val="continue"/>
                  <w:tcBorders>
                    <w:left w:val="nil"/>
                    <w:right w:val="single" w:color="000000" w:sz="4" w:space="0"/>
                  </w:tcBorders>
                  <w:vAlign w:val="center"/>
                </w:tcPr>
                <w:p w14:paraId="32D22CAA">
                  <w:pPr>
                    <w:jc w:val="center"/>
                    <w:rPr>
                      <w:rFonts w:hint="default" w:ascii="Times New Roman" w:hAnsi="Times New Roman" w:cs="Times New Roman"/>
                      <w:sz w:val="2"/>
                      <w:szCs w:val="2"/>
                    </w:rPr>
                  </w:pPr>
                </w:p>
              </w:tc>
              <w:tc>
                <w:tcPr>
                  <w:tcW w:w="1960" w:type="dxa"/>
                  <w:tcBorders>
                    <w:top w:val="single" w:color="000000" w:sz="4" w:space="0"/>
                    <w:left w:val="single" w:color="000000" w:sz="4" w:space="0"/>
                    <w:bottom w:val="single" w:color="000000" w:sz="4" w:space="0"/>
                    <w:right w:val="single" w:color="000000" w:sz="4" w:space="0"/>
                  </w:tcBorders>
                  <w:vAlign w:val="center"/>
                </w:tcPr>
                <w:p w14:paraId="53144576">
                  <w:pPr>
                    <w:pStyle w:val="65"/>
                    <w:spacing w:line="252" w:lineRule="exact"/>
                    <w:ind w:left="151" w:right="125"/>
                    <w:jc w:val="center"/>
                    <w:rPr>
                      <w:rFonts w:hint="eastAsia" w:ascii="Times New Roman" w:hAnsi="Times New Roman" w:eastAsia="宋体" w:cs="Times New Roman"/>
                      <w:sz w:val="21"/>
                      <w:lang w:val="en-US" w:eastAsia="zh-CN"/>
                    </w:rPr>
                  </w:pPr>
                  <w:r>
                    <w:rPr>
                      <w:rFonts w:hint="eastAsia" w:ascii="Times New Roman" w:hAnsi="Times New Roman" w:cs="Times New Roman"/>
                      <w:sz w:val="21"/>
                      <w:lang w:val="en-US" w:eastAsia="zh-CN"/>
                    </w:rPr>
                    <w:t>危化品库房</w:t>
                  </w:r>
                </w:p>
              </w:tc>
              <w:tc>
                <w:tcPr>
                  <w:tcW w:w="1665" w:type="dxa"/>
                  <w:vMerge w:val="continue"/>
                  <w:tcBorders>
                    <w:left w:val="single" w:color="000000" w:sz="4" w:space="0"/>
                    <w:bottom w:val="single" w:color="000000" w:sz="4" w:space="0"/>
                    <w:right w:val="single" w:color="000000" w:sz="4" w:space="0"/>
                  </w:tcBorders>
                  <w:vAlign w:val="center"/>
                </w:tcPr>
                <w:p w14:paraId="40657635">
                  <w:pPr>
                    <w:pStyle w:val="65"/>
                    <w:spacing w:line="252" w:lineRule="exact"/>
                    <w:ind w:left="128" w:right="99"/>
                    <w:jc w:val="center"/>
                    <w:rPr>
                      <w:rFonts w:hint="default" w:ascii="Times New Roman" w:hAnsi="Times New Roman" w:cs="Times New Roman"/>
                      <w:sz w:val="21"/>
                    </w:rPr>
                  </w:pPr>
                </w:p>
              </w:tc>
              <w:tc>
                <w:tcPr>
                  <w:tcW w:w="1953" w:type="dxa"/>
                  <w:vMerge w:val="continue"/>
                  <w:tcBorders>
                    <w:left w:val="single" w:color="000000" w:sz="4" w:space="0"/>
                    <w:bottom w:val="single" w:color="000000" w:sz="4" w:space="0"/>
                    <w:right w:val="single" w:color="000000" w:sz="4" w:space="0"/>
                  </w:tcBorders>
                  <w:vAlign w:val="center"/>
                </w:tcPr>
                <w:p w14:paraId="7BE1BF26">
                  <w:pPr>
                    <w:pStyle w:val="65"/>
                    <w:spacing w:line="252" w:lineRule="exact"/>
                    <w:ind w:left="286" w:right="258"/>
                    <w:jc w:val="center"/>
                    <w:rPr>
                      <w:rFonts w:hint="default" w:ascii="Times New Roman" w:hAnsi="Times New Roman" w:cs="Times New Roman"/>
                      <w:sz w:val="21"/>
                    </w:rPr>
                  </w:pPr>
                </w:p>
              </w:tc>
              <w:tc>
                <w:tcPr>
                  <w:tcW w:w="2875" w:type="dxa"/>
                  <w:tcBorders>
                    <w:top w:val="single" w:color="000000" w:sz="4" w:space="0"/>
                    <w:left w:val="single" w:color="000000" w:sz="4" w:space="0"/>
                    <w:bottom w:val="single" w:color="000000" w:sz="4" w:space="0"/>
                    <w:right w:val="nil"/>
                  </w:tcBorders>
                  <w:vAlign w:val="center"/>
                </w:tcPr>
                <w:p w14:paraId="09A646CC">
                  <w:pPr>
                    <w:pStyle w:val="65"/>
                    <w:spacing w:line="252" w:lineRule="exact"/>
                    <w:ind w:left="839" w:right="817"/>
                    <w:jc w:val="center"/>
                    <w:rPr>
                      <w:rFonts w:hint="default" w:ascii="Times New Roman" w:hAnsi="Times New Roman" w:cs="Times New Roman"/>
                      <w:sz w:val="21"/>
                    </w:rPr>
                  </w:pPr>
                </w:p>
              </w:tc>
            </w:tr>
            <w:tr w14:paraId="14E2AB06">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183" w:hRule="atLeast"/>
                <w:jc w:val="center"/>
              </w:trPr>
              <w:tc>
                <w:tcPr>
                  <w:tcW w:w="1525" w:type="dxa"/>
                  <w:vMerge w:val="continue"/>
                  <w:tcBorders>
                    <w:left w:val="nil"/>
                    <w:bottom w:val="single" w:color="000000" w:sz="4" w:space="0"/>
                    <w:right w:val="single" w:color="000000" w:sz="4" w:space="0"/>
                  </w:tcBorders>
                  <w:vAlign w:val="center"/>
                </w:tcPr>
                <w:p w14:paraId="3820908F">
                  <w:pPr>
                    <w:pStyle w:val="65"/>
                    <w:spacing w:before="142"/>
                    <w:jc w:val="center"/>
                    <w:rPr>
                      <w:rFonts w:hint="default" w:ascii="Times New Roman" w:hAnsi="Times New Roman" w:cs="Times New Roman"/>
                      <w:sz w:val="21"/>
                    </w:rPr>
                  </w:pPr>
                </w:p>
              </w:tc>
              <w:tc>
                <w:tcPr>
                  <w:tcW w:w="1960" w:type="dxa"/>
                  <w:tcBorders>
                    <w:top w:val="single" w:color="000000" w:sz="4" w:space="0"/>
                    <w:left w:val="single" w:color="000000" w:sz="4" w:space="0"/>
                    <w:bottom w:val="single" w:color="000000" w:sz="4" w:space="0"/>
                    <w:right w:val="single" w:color="000000" w:sz="4" w:space="0"/>
                  </w:tcBorders>
                  <w:vAlign w:val="center"/>
                </w:tcPr>
                <w:p w14:paraId="6B766345">
                  <w:pPr>
                    <w:pStyle w:val="65"/>
                    <w:spacing w:line="252" w:lineRule="exact"/>
                    <w:ind w:left="151" w:right="125"/>
                    <w:jc w:val="center"/>
                    <w:rPr>
                      <w:rFonts w:hint="eastAsia" w:ascii="Times New Roman" w:hAnsi="Times New Roman" w:cs="Times New Roman"/>
                      <w:sz w:val="21"/>
                      <w:lang w:val="en-US" w:eastAsia="zh-CN"/>
                    </w:rPr>
                  </w:pPr>
                  <w:r>
                    <w:rPr>
                      <w:rFonts w:hint="eastAsia" w:ascii="Times New Roman" w:hAnsi="Times New Roman" w:cs="Times New Roman"/>
                      <w:sz w:val="21"/>
                      <w:lang w:val="en-US" w:eastAsia="zh-CN"/>
                    </w:rPr>
                    <w:t>厂区道路</w:t>
                  </w:r>
                </w:p>
              </w:tc>
              <w:tc>
                <w:tcPr>
                  <w:tcW w:w="1665" w:type="dxa"/>
                  <w:tcBorders>
                    <w:top w:val="single" w:color="000000" w:sz="4" w:space="0"/>
                    <w:left w:val="single" w:color="000000" w:sz="4" w:space="0"/>
                    <w:bottom w:val="single" w:color="000000" w:sz="4" w:space="0"/>
                    <w:right w:val="single" w:color="000000" w:sz="4" w:space="0"/>
                  </w:tcBorders>
                  <w:vAlign w:val="center"/>
                </w:tcPr>
                <w:p w14:paraId="1D095CF0">
                  <w:pPr>
                    <w:pStyle w:val="65"/>
                    <w:spacing w:line="252" w:lineRule="exact"/>
                    <w:ind w:left="151" w:right="125"/>
                    <w:jc w:val="center"/>
                    <w:rPr>
                      <w:rFonts w:hint="default" w:ascii="Times New Roman" w:hAnsi="Times New Roman" w:cs="Times New Roman"/>
                      <w:sz w:val="21"/>
                      <w:lang w:val="en-US" w:eastAsia="zh-CN"/>
                    </w:rPr>
                  </w:pPr>
                  <w:r>
                    <w:rPr>
                      <w:rFonts w:hint="eastAsia" w:ascii="Times New Roman" w:hAnsi="Times New Roman" w:cs="Times New Roman"/>
                      <w:sz w:val="21"/>
                      <w:lang w:val="en-US" w:eastAsia="zh-CN"/>
                    </w:rPr>
                    <w:t>简单</w:t>
                  </w:r>
                  <w:r>
                    <w:rPr>
                      <w:rFonts w:hint="default" w:ascii="Times New Roman" w:hAnsi="Times New Roman" w:cs="Times New Roman"/>
                      <w:sz w:val="21"/>
                      <w:lang w:val="en-US" w:eastAsia="zh-CN"/>
                    </w:rPr>
                    <w:t>防渗区</w:t>
                  </w:r>
                </w:p>
              </w:tc>
              <w:tc>
                <w:tcPr>
                  <w:tcW w:w="1953" w:type="dxa"/>
                  <w:tcBorders>
                    <w:top w:val="single" w:color="000000" w:sz="4" w:space="0"/>
                    <w:left w:val="single" w:color="000000" w:sz="4" w:space="0"/>
                    <w:bottom w:val="single" w:color="000000" w:sz="4" w:space="0"/>
                    <w:right w:val="single" w:color="000000" w:sz="4" w:space="0"/>
                  </w:tcBorders>
                  <w:vAlign w:val="center"/>
                </w:tcPr>
                <w:p w14:paraId="2DE60E33">
                  <w:pPr>
                    <w:pStyle w:val="65"/>
                    <w:spacing w:line="252" w:lineRule="exact"/>
                    <w:ind w:left="151" w:right="125"/>
                    <w:jc w:val="center"/>
                    <w:rPr>
                      <w:rFonts w:hint="eastAsia" w:ascii="Times New Roman" w:hAnsi="Times New Roman" w:cs="Times New Roman"/>
                      <w:sz w:val="21"/>
                      <w:lang w:val="en-US" w:eastAsia="zh-CN"/>
                    </w:rPr>
                  </w:pPr>
                  <w:r>
                    <w:rPr>
                      <w:rFonts w:hint="eastAsia" w:ascii="Times New Roman" w:hAnsi="Times New Roman" w:cs="Times New Roman"/>
                      <w:sz w:val="21"/>
                      <w:lang w:val="en-US" w:eastAsia="zh-CN"/>
                    </w:rPr>
                    <w:t>地面硬化</w:t>
                  </w:r>
                </w:p>
              </w:tc>
              <w:tc>
                <w:tcPr>
                  <w:tcW w:w="2875" w:type="dxa"/>
                  <w:tcBorders>
                    <w:top w:val="single" w:color="000000" w:sz="4" w:space="0"/>
                    <w:left w:val="single" w:color="000000" w:sz="4" w:space="0"/>
                    <w:bottom w:val="single" w:color="000000" w:sz="4" w:space="0"/>
                    <w:right w:val="nil"/>
                  </w:tcBorders>
                  <w:vAlign w:val="center"/>
                </w:tcPr>
                <w:p w14:paraId="65974991">
                  <w:pPr>
                    <w:pStyle w:val="65"/>
                    <w:spacing w:before="142"/>
                    <w:ind w:left="839" w:right="817"/>
                    <w:jc w:val="center"/>
                    <w:rPr>
                      <w:rFonts w:hint="default" w:ascii="Times New Roman" w:hAnsi="Times New Roman" w:cs="Times New Roman"/>
                      <w:sz w:val="21"/>
                    </w:rPr>
                  </w:pPr>
                </w:p>
              </w:tc>
            </w:tr>
            <w:tr w14:paraId="5C0EC950">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291" w:hRule="atLeast"/>
                <w:jc w:val="center"/>
              </w:trPr>
              <w:tc>
                <w:tcPr>
                  <w:tcW w:w="1525" w:type="dxa"/>
                  <w:tcBorders>
                    <w:top w:val="single" w:color="000000" w:sz="4" w:space="0"/>
                    <w:left w:val="nil"/>
                    <w:right w:val="single" w:color="000000" w:sz="4" w:space="0"/>
                  </w:tcBorders>
                  <w:vAlign w:val="center"/>
                </w:tcPr>
                <w:p w14:paraId="71A62722">
                  <w:pPr>
                    <w:pStyle w:val="65"/>
                    <w:spacing w:before="142"/>
                    <w:jc w:val="center"/>
                    <w:rPr>
                      <w:rFonts w:hint="default" w:ascii="Times New Roman" w:hAnsi="Times New Roman" w:cs="Times New Roman"/>
                      <w:sz w:val="21"/>
                    </w:rPr>
                  </w:pPr>
                  <w:r>
                    <w:rPr>
                      <w:rFonts w:hint="default" w:ascii="Times New Roman" w:hAnsi="Times New Roman" w:cs="Times New Roman"/>
                      <w:sz w:val="21"/>
                    </w:rPr>
                    <w:t>办公区</w:t>
                  </w:r>
                </w:p>
              </w:tc>
              <w:tc>
                <w:tcPr>
                  <w:tcW w:w="1960" w:type="dxa"/>
                  <w:tcBorders>
                    <w:top w:val="single" w:color="000000" w:sz="4" w:space="0"/>
                    <w:left w:val="single" w:color="000000" w:sz="4" w:space="0"/>
                    <w:right w:val="single" w:color="000000" w:sz="4" w:space="0"/>
                  </w:tcBorders>
                  <w:vAlign w:val="center"/>
                </w:tcPr>
                <w:p w14:paraId="6110F810">
                  <w:pPr>
                    <w:pStyle w:val="65"/>
                    <w:spacing w:line="252" w:lineRule="exact"/>
                    <w:ind w:left="151" w:right="125"/>
                    <w:jc w:val="center"/>
                    <w:rPr>
                      <w:rFonts w:hint="default" w:ascii="Times New Roman" w:hAnsi="Times New Roman" w:cs="Times New Roman"/>
                      <w:sz w:val="21"/>
                      <w:lang w:val="en-US" w:eastAsia="zh-CN"/>
                    </w:rPr>
                  </w:pPr>
                  <w:r>
                    <w:rPr>
                      <w:rFonts w:hint="default" w:ascii="Times New Roman" w:hAnsi="Times New Roman" w:cs="Times New Roman"/>
                      <w:sz w:val="21"/>
                      <w:lang w:val="en-US" w:eastAsia="zh-CN"/>
                    </w:rPr>
                    <w:t>办公室</w:t>
                  </w:r>
                </w:p>
              </w:tc>
              <w:tc>
                <w:tcPr>
                  <w:tcW w:w="1665" w:type="dxa"/>
                  <w:tcBorders>
                    <w:top w:val="single" w:color="000000" w:sz="4" w:space="0"/>
                    <w:left w:val="single" w:color="000000" w:sz="4" w:space="0"/>
                    <w:right w:val="single" w:color="000000" w:sz="4" w:space="0"/>
                  </w:tcBorders>
                  <w:vAlign w:val="center"/>
                </w:tcPr>
                <w:p w14:paraId="2A415E2F">
                  <w:pPr>
                    <w:pStyle w:val="65"/>
                    <w:spacing w:line="252" w:lineRule="exact"/>
                    <w:ind w:left="151" w:right="125"/>
                    <w:jc w:val="center"/>
                    <w:rPr>
                      <w:rFonts w:hint="default" w:ascii="Times New Roman" w:hAnsi="Times New Roman" w:cs="Times New Roman"/>
                      <w:sz w:val="21"/>
                      <w:lang w:val="en-US" w:eastAsia="zh-CN"/>
                    </w:rPr>
                  </w:pPr>
                  <w:r>
                    <w:rPr>
                      <w:rFonts w:hint="default" w:ascii="Times New Roman" w:hAnsi="Times New Roman" w:cs="Times New Roman"/>
                      <w:sz w:val="21"/>
                      <w:lang w:val="en-US" w:eastAsia="zh-CN"/>
                    </w:rPr>
                    <w:t>一般防渗区</w:t>
                  </w:r>
                </w:p>
              </w:tc>
              <w:tc>
                <w:tcPr>
                  <w:tcW w:w="1953" w:type="dxa"/>
                  <w:tcBorders>
                    <w:top w:val="single" w:color="000000" w:sz="4" w:space="0"/>
                    <w:left w:val="single" w:color="000000" w:sz="4" w:space="0"/>
                    <w:right w:val="single" w:color="000000" w:sz="4" w:space="0"/>
                  </w:tcBorders>
                  <w:vAlign w:val="center"/>
                </w:tcPr>
                <w:p w14:paraId="6A44BF13">
                  <w:pPr>
                    <w:pStyle w:val="65"/>
                    <w:spacing w:line="252" w:lineRule="exact"/>
                    <w:ind w:left="151" w:right="125"/>
                    <w:jc w:val="center"/>
                    <w:rPr>
                      <w:rFonts w:hint="default" w:ascii="Times New Roman" w:hAnsi="Times New Roman" w:cs="Times New Roman"/>
                      <w:sz w:val="21"/>
                      <w:lang w:val="en-US" w:eastAsia="zh-CN"/>
                    </w:rPr>
                  </w:pPr>
                  <w:r>
                    <w:rPr>
                      <w:rFonts w:hint="default" w:ascii="Times New Roman" w:hAnsi="Times New Roman" w:cs="Times New Roman"/>
                      <w:sz w:val="21"/>
                      <w:lang w:val="en-US" w:eastAsia="zh-CN"/>
                    </w:rPr>
                    <w:t>≤10</w:t>
                  </w:r>
                  <w:r>
                    <w:rPr>
                      <w:rFonts w:hint="default" w:ascii="Times New Roman" w:hAnsi="Times New Roman" w:cs="Times New Roman"/>
                      <w:sz w:val="21"/>
                      <w:vertAlign w:val="superscript"/>
                      <w:lang w:val="en-US" w:eastAsia="zh-CN"/>
                    </w:rPr>
                    <w:t>-7</w:t>
                  </w:r>
                  <w:r>
                    <w:rPr>
                      <w:rFonts w:hint="default" w:ascii="Times New Roman" w:hAnsi="Times New Roman" w:cs="Times New Roman"/>
                      <w:sz w:val="21"/>
                      <w:lang w:val="en-US" w:eastAsia="zh-CN"/>
                    </w:rPr>
                    <w:t>cm/s</w:t>
                  </w:r>
                </w:p>
              </w:tc>
              <w:tc>
                <w:tcPr>
                  <w:tcW w:w="2875" w:type="dxa"/>
                  <w:tcBorders>
                    <w:top w:val="single" w:color="000000" w:sz="4" w:space="0"/>
                    <w:left w:val="single" w:color="000000" w:sz="4" w:space="0"/>
                    <w:right w:val="nil"/>
                  </w:tcBorders>
                  <w:vAlign w:val="center"/>
                </w:tcPr>
                <w:p w14:paraId="73D70480">
                  <w:pPr>
                    <w:pStyle w:val="65"/>
                    <w:spacing w:before="142"/>
                    <w:ind w:left="839" w:right="817"/>
                    <w:jc w:val="center"/>
                    <w:rPr>
                      <w:rFonts w:hint="default" w:ascii="Times New Roman" w:hAnsi="Times New Roman" w:cs="Times New Roman"/>
                      <w:sz w:val="21"/>
                    </w:rPr>
                  </w:pPr>
                </w:p>
              </w:tc>
            </w:tr>
          </w:tbl>
          <w:p w14:paraId="3E9A0E18">
            <w:pPr>
              <w:pStyle w:val="65"/>
              <w:spacing w:before="207" w:line="364" w:lineRule="auto"/>
              <w:ind w:right="88" w:firstLine="482" w:firstLineChars="200"/>
              <w:jc w:val="both"/>
              <w:rPr>
                <w:rFonts w:hint="default" w:ascii="Times New Roman" w:hAnsi="Times New Roman" w:eastAsia="黑体" w:cs="Times New Roman"/>
                <w:color w:val="auto"/>
                <w:szCs w:val="21"/>
              </w:rPr>
            </w:pPr>
            <w:r>
              <w:rPr>
                <w:rFonts w:hint="default" w:ascii="Times New Roman" w:hAnsi="Times New Roman" w:cs="Times New Roman"/>
                <w:b/>
                <w:sz w:val="24"/>
              </w:rPr>
              <w:t>防渗要求：</w:t>
            </w:r>
            <w:r>
              <w:rPr>
                <w:rFonts w:hint="default" w:ascii="Times New Roman" w:hAnsi="Times New Roman" w:cs="Times New Roman"/>
                <w:sz w:val="24"/>
              </w:rPr>
              <w:t>重点防渗区域需采取防渗混凝土</w:t>
            </w:r>
            <w:r>
              <w:rPr>
                <w:rFonts w:hint="default" w:ascii="Times New Roman" w:hAnsi="Times New Roman" w:eastAsia="Times New Roman" w:cs="Times New Roman"/>
                <w:sz w:val="24"/>
              </w:rPr>
              <w:t xml:space="preserve">+2mm </w:t>
            </w:r>
            <w:r>
              <w:rPr>
                <w:rFonts w:hint="default" w:ascii="Times New Roman" w:hAnsi="Times New Roman" w:cs="Times New Roman"/>
                <w:sz w:val="24"/>
              </w:rPr>
              <w:t xml:space="preserve">厚 </w:t>
            </w:r>
            <w:r>
              <w:rPr>
                <w:rFonts w:hint="default" w:ascii="Times New Roman" w:hAnsi="Times New Roman" w:eastAsia="Times New Roman" w:cs="Times New Roman"/>
                <w:sz w:val="24"/>
              </w:rPr>
              <w:t xml:space="preserve">HDPE </w:t>
            </w:r>
            <w:r>
              <w:rPr>
                <w:rFonts w:hint="default" w:ascii="Times New Roman" w:hAnsi="Times New Roman" w:cs="Times New Roman"/>
                <w:sz w:val="24"/>
              </w:rPr>
              <w:t xml:space="preserve">防渗层进行防渗、防腐处理，确保防渗系数 </w:t>
            </w:r>
            <w:r>
              <w:rPr>
                <w:rFonts w:hint="default" w:ascii="Times New Roman" w:hAnsi="Times New Roman" w:eastAsia="Times New Roman" w:cs="Times New Roman"/>
                <w:sz w:val="24"/>
              </w:rPr>
              <w:t>K</w:t>
            </w:r>
            <w:r>
              <w:rPr>
                <w:rFonts w:hint="default" w:ascii="Times New Roman" w:hAnsi="Times New Roman" w:cs="Times New Roman"/>
                <w:sz w:val="24"/>
              </w:rPr>
              <w:t>≤</w:t>
            </w:r>
            <w:r>
              <w:rPr>
                <w:rFonts w:hint="default" w:ascii="Times New Roman" w:hAnsi="Times New Roman" w:eastAsia="Times New Roman" w:cs="Times New Roman"/>
                <w:sz w:val="24"/>
              </w:rPr>
              <w:t>1</w:t>
            </w:r>
            <w:r>
              <w:rPr>
                <w:rFonts w:hint="default" w:ascii="Times New Roman" w:hAnsi="Times New Roman" w:cs="Times New Roman"/>
                <w:sz w:val="24"/>
              </w:rPr>
              <w:t>×</w:t>
            </w:r>
            <w:r>
              <w:rPr>
                <w:rFonts w:hint="default" w:ascii="Times New Roman" w:hAnsi="Times New Roman" w:eastAsia="Times New Roman" w:cs="Times New Roman"/>
                <w:sz w:val="24"/>
              </w:rPr>
              <w:t>10</w:t>
            </w:r>
            <w:r>
              <w:rPr>
                <w:rFonts w:hint="default" w:ascii="Times New Roman" w:hAnsi="Times New Roman" w:eastAsia="Times New Roman" w:cs="Times New Roman"/>
                <w:position w:val="8"/>
                <w:sz w:val="15"/>
              </w:rPr>
              <w:t>-10</w:t>
            </w:r>
            <w:r>
              <w:rPr>
                <w:rFonts w:hint="default" w:ascii="Times New Roman" w:hAnsi="Times New Roman" w:eastAsia="Times New Roman" w:cs="Times New Roman"/>
                <w:sz w:val="24"/>
              </w:rPr>
              <w:t>cm/s</w:t>
            </w:r>
            <w:r>
              <w:rPr>
                <w:rFonts w:hint="default" w:ascii="Times New Roman" w:hAnsi="Times New Roman" w:cs="Times New Roman"/>
                <w:sz w:val="24"/>
              </w:rPr>
              <w:t>；一般防渗区采取防渗混凝土地坪（渗透系数≤</w:t>
            </w:r>
            <w:r>
              <w:rPr>
                <w:rFonts w:hint="default" w:ascii="Times New Roman" w:hAnsi="Times New Roman" w:eastAsia="Times New Roman" w:cs="Times New Roman"/>
                <w:sz w:val="24"/>
              </w:rPr>
              <w:t>10</w:t>
            </w:r>
            <w:r>
              <w:rPr>
                <w:rFonts w:hint="default" w:ascii="Times New Roman" w:hAnsi="Times New Roman" w:eastAsia="Times New Roman" w:cs="Times New Roman"/>
                <w:spacing w:val="-2"/>
                <w:w w:val="104"/>
                <w:position w:val="8"/>
                <w:sz w:val="15"/>
              </w:rPr>
              <w:t>-</w:t>
            </w:r>
            <w:r>
              <w:rPr>
                <w:rFonts w:hint="default" w:ascii="Times New Roman" w:hAnsi="Times New Roman" w:eastAsia="Times New Roman" w:cs="Times New Roman"/>
                <w:spacing w:val="1"/>
                <w:w w:val="104"/>
                <w:position w:val="8"/>
                <w:sz w:val="15"/>
              </w:rPr>
              <w:t>7</w:t>
            </w:r>
            <w:r>
              <w:rPr>
                <w:rFonts w:hint="default" w:ascii="Times New Roman" w:hAnsi="Times New Roman" w:eastAsia="Times New Roman" w:cs="Times New Roman"/>
                <w:spacing w:val="-1"/>
                <w:sz w:val="24"/>
              </w:rPr>
              <w:t>c</w:t>
            </w:r>
            <w:r>
              <w:rPr>
                <w:rFonts w:hint="default" w:ascii="Times New Roman" w:hAnsi="Times New Roman" w:eastAsia="Times New Roman" w:cs="Times New Roman"/>
                <w:sz w:val="24"/>
              </w:rPr>
              <w:t>m/</w:t>
            </w:r>
            <w:r>
              <w:rPr>
                <w:rFonts w:hint="default" w:ascii="Times New Roman" w:hAnsi="Times New Roman" w:eastAsia="Times New Roman" w:cs="Times New Roman"/>
                <w:spacing w:val="-3"/>
                <w:sz w:val="24"/>
              </w:rPr>
              <w:t>s</w:t>
            </w:r>
            <w:r>
              <w:rPr>
                <w:rFonts w:hint="eastAsia" w:ascii="Times New Roman" w:hAnsi="Times New Roman" w:cs="Times New Roman"/>
                <w:spacing w:val="-3"/>
                <w:sz w:val="24"/>
                <w:lang w:eastAsia="zh-CN"/>
              </w:rPr>
              <w:t>）；</w:t>
            </w:r>
            <w:r>
              <w:rPr>
                <w:rFonts w:hint="default" w:ascii="Times New Roman" w:hAnsi="Times New Roman" w:cs="Times New Roman"/>
                <w:sz w:val="24"/>
              </w:rPr>
              <w:t>简单防渗区进行</w:t>
            </w:r>
            <w:r>
              <w:rPr>
                <w:rFonts w:hint="default" w:ascii="Times New Roman" w:hAnsi="Times New Roman" w:cs="Times New Roman"/>
                <w:sz w:val="24"/>
                <w:lang w:eastAsia="zh-CN"/>
              </w:rPr>
              <w:t>水泥</w:t>
            </w:r>
            <w:r>
              <w:rPr>
                <w:rFonts w:hint="default" w:ascii="Times New Roman" w:hAnsi="Times New Roman" w:cs="Times New Roman"/>
                <w:sz w:val="24"/>
              </w:rPr>
              <w:t>地面硬化。综上，在采取上述防渗、防腐处理措施后，并在加强维护和厂区环境管理的前提下，可有效控制厂区内的废液污染物下渗现象，项目对地下水基本不会造成明显影响。</w:t>
            </w:r>
          </w:p>
        </w:tc>
      </w:tr>
    </w:tbl>
    <w:p w14:paraId="341E2D89">
      <w:pPr>
        <w:pStyle w:val="3"/>
        <w:spacing w:before="0" w:after="0" w:line="576" w:lineRule="auto"/>
        <w:rPr>
          <w:rFonts w:hint="default" w:ascii="Times New Roman" w:hAnsi="Times New Roman" w:cs="Times New Roman"/>
          <w:color w:val="auto"/>
          <w:sz w:val="28"/>
          <w:szCs w:val="28"/>
        </w:rPr>
      </w:pPr>
      <w:r>
        <w:rPr>
          <w:rFonts w:hint="default" w:ascii="Times New Roman" w:hAnsi="Times New Roman" w:cs="Times New Roman"/>
          <w:color w:val="auto"/>
          <w:sz w:val="28"/>
          <w:szCs w:val="28"/>
        </w:rPr>
        <w:t xml:space="preserve">项目主要污染物产生及预计排放情况                           </w:t>
      </w:r>
      <w:r>
        <w:rPr>
          <w:rFonts w:hint="default" w:ascii="Times New Roman" w:hAnsi="Times New Roman" w:cs="Times New Roman"/>
          <w:color w:val="auto"/>
          <w:sz w:val="28"/>
          <w:szCs w:val="28"/>
          <w:lang w:val="en-US" w:eastAsia="zh-CN"/>
        </w:rPr>
        <w:t xml:space="preserve">     </w:t>
      </w:r>
      <w:r>
        <w:rPr>
          <w:rFonts w:hint="default" w:ascii="Times New Roman" w:hAnsi="Times New Roman" w:cs="Times New Roman"/>
          <w:color w:val="auto"/>
          <w:sz w:val="28"/>
          <w:szCs w:val="28"/>
        </w:rPr>
        <w:t>（表六）</w:t>
      </w:r>
    </w:p>
    <w:tbl>
      <w:tblPr>
        <w:tblStyle w:val="24"/>
        <w:tblW w:w="104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2"/>
        <w:gridCol w:w="330"/>
        <w:gridCol w:w="383"/>
        <w:gridCol w:w="1412"/>
        <w:gridCol w:w="2175"/>
        <w:gridCol w:w="2122"/>
        <w:gridCol w:w="2208"/>
        <w:gridCol w:w="1398"/>
      </w:tblGrid>
      <w:tr w14:paraId="48C6F9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5" w:type="dxa"/>
            <w:gridSpan w:val="3"/>
            <w:vAlign w:val="center"/>
          </w:tcPr>
          <w:p w14:paraId="1BC8C3DD">
            <w:pPr>
              <w:spacing w:line="276" w:lineRule="auto"/>
              <w:ind w:firstLine="281" w:firstLineChars="100"/>
              <w:rPr>
                <w:rFonts w:hint="default" w:ascii="Times New Roman" w:hAnsi="Times New Roman" w:cs="Times New Roman"/>
                <w:color w:val="auto"/>
                <w:szCs w:val="21"/>
              </w:rPr>
            </w:pPr>
            <w:r>
              <w:rPr>
                <w:rFonts w:hint="default" w:ascii="Times New Roman" w:hAnsi="Times New Roman" w:cs="Times New Roman"/>
                <w:b/>
                <w:color w:val="auto"/>
                <w:sz w:val="28"/>
                <w:szCs w:val="28"/>
              </w:rPr>
              <mc:AlternateContent>
                <mc:Choice Requires="wps">
                  <w:drawing>
                    <wp:anchor distT="0" distB="0" distL="114300" distR="114300" simplePos="0" relativeHeight="251735040" behindDoc="0" locked="0" layoutInCell="1" allowOverlap="1">
                      <wp:simplePos x="0" y="0"/>
                      <wp:positionH relativeFrom="column">
                        <wp:posOffset>-47625</wp:posOffset>
                      </wp:positionH>
                      <wp:positionV relativeFrom="paragraph">
                        <wp:posOffset>-635</wp:posOffset>
                      </wp:positionV>
                      <wp:extent cx="533400" cy="447675"/>
                      <wp:effectExtent l="0" t="0" r="19050" b="28575"/>
                      <wp:wrapNone/>
                      <wp:docPr id="7" name="直接连接符 7"/>
                      <wp:cNvGraphicFramePr/>
                      <a:graphic xmlns:a="http://schemas.openxmlformats.org/drawingml/2006/main">
                        <a:graphicData uri="http://schemas.microsoft.com/office/word/2010/wordprocessingShape">
                          <wps:wsp>
                            <wps:cNvCnPr/>
                            <wps:spPr>
                              <a:xfrm>
                                <a:off x="0" y="0"/>
                                <a:ext cx="533400" cy="4476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3.75pt;margin-top:-0.05pt;height:35.25pt;width:42pt;z-index:251735040;mso-width-relative:page;mso-height-relative:page;" filled="f" stroked="t" coordsize="21600,21600" o:gfxdata="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Bn0mDTTAAAABgEA&#10;AA8AAAAAAAAAAQAgAAAAIgAAAGRycy9kb3ducmV2LnhtbFBLAQIUABQAAAAIAIdO4kCO8n/d5gEA&#10;ALUDAAAOAAAAAAAAAAEAIAAAACIBAABkcnMvZTJvRG9jLnhtbFBLBQYAAAAABgAGAFkBAAB6BQAA&#10;AAA=&#10;">
                      <v:fill on="f" focussize="0,0"/>
                      <v:stroke weight="0.5pt" color="#000000 [3213]" miterlimit="8" joinstyle="miter"/>
                      <v:imagedata o:title=""/>
                      <o:lock v:ext="edit" aspectratio="f"/>
                    </v:line>
                  </w:pict>
                </mc:Fallback>
              </mc:AlternateContent>
            </w:r>
            <w:r>
              <w:rPr>
                <w:rFonts w:hint="default" w:ascii="Times New Roman" w:hAnsi="Times New Roman" w:cs="Times New Roman"/>
                <w:color w:val="auto"/>
                <w:szCs w:val="21"/>
              </w:rPr>
              <w:t>内容</w:t>
            </w:r>
          </w:p>
          <w:p w14:paraId="5A3AB789">
            <w:pPr>
              <w:spacing w:line="276" w:lineRule="auto"/>
              <w:rPr>
                <w:rFonts w:hint="default" w:ascii="Times New Roman" w:hAnsi="Times New Roman" w:cs="Times New Roman"/>
                <w:color w:val="auto"/>
                <w:szCs w:val="21"/>
              </w:rPr>
            </w:pPr>
            <w:r>
              <w:rPr>
                <w:rFonts w:hint="default" w:ascii="Times New Roman" w:hAnsi="Times New Roman" w:cs="Times New Roman"/>
                <w:color w:val="auto"/>
                <w:szCs w:val="21"/>
              </w:rPr>
              <w:t>项目</w:t>
            </w:r>
          </w:p>
        </w:tc>
        <w:tc>
          <w:tcPr>
            <w:tcW w:w="1412" w:type="dxa"/>
            <w:vAlign w:val="center"/>
          </w:tcPr>
          <w:p w14:paraId="4FA98712">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污染物</w:t>
            </w:r>
          </w:p>
          <w:p w14:paraId="41B4A380">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名称</w:t>
            </w:r>
          </w:p>
        </w:tc>
        <w:tc>
          <w:tcPr>
            <w:tcW w:w="2175" w:type="dxa"/>
            <w:vAlign w:val="center"/>
          </w:tcPr>
          <w:p w14:paraId="6B80ECCA">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处理前产生量</w:t>
            </w:r>
          </w:p>
          <w:p w14:paraId="10DA6B09">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及浓度</w:t>
            </w:r>
          </w:p>
        </w:tc>
        <w:tc>
          <w:tcPr>
            <w:tcW w:w="2122" w:type="dxa"/>
            <w:vAlign w:val="center"/>
          </w:tcPr>
          <w:p w14:paraId="2C75D2D4">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处置方式</w:t>
            </w:r>
          </w:p>
        </w:tc>
        <w:tc>
          <w:tcPr>
            <w:tcW w:w="2208" w:type="dxa"/>
            <w:vAlign w:val="center"/>
          </w:tcPr>
          <w:p w14:paraId="3100E9D1">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处理后排放量</w:t>
            </w:r>
          </w:p>
          <w:p w14:paraId="6F3E7BB8">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及浓度</w:t>
            </w:r>
          </w:p>
        </w:tc>
        <w:tc>
          <w:tcPr>
            <w:tcW w:w="1398" w:type="dxa"/>
            <w:vAlign w:val="center"/>
          </w:tcPr>
          <w:p w14:paraId="5A72B3FF">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处理效率及排放去向</w:t>
            </w:r>
          </w:p>
        </w:tc>
      </w:tr>
      <w:tr w14:paraId="3AEF3B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92" w:type="dxa"/>
            <w:vMerge w:val="restart"/>
            <w:vAlign w:val="center"/>
          </w:tcPr>
          <w:p w14:paraId="4CBA9C03">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废气</w:t>
            </w:r>
          </w:p>
        </w:tc>
        <w:tc>
          <w:tcPr>
            <w:tcW w:w="713" w:type="dxa"/>
            <w:gridSpan w:val="2"/>
            <w:vMerge w:val="restart"/>
            <w:vAlign w:val="center"/>
          </w:tcPr>
          <w:p w14:paraId="24348A2C">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施工期</w:t>
            </w:r>
          </w:p>
        </w:tc>
        <w:tc>
          <w:tcPr>
            <w:tcW w:w="1412" w:type="dxa"/>
            <w:vAlign w:val="center"/>
          </w:tcPr>
          <w:p w14:paraId="5F87F172">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扬尘</w:t>
            </w:r>
          </w:p>
        </w:tc>
        <w:tc>
          <w:tcPr>
            <w:tcW w:w="2175" w:type="dxa"/>
            <w:vAlign w:val="center"/>
          </w:tcPr>
          <w:p w14:paraId="13FDA5F4">
            <w:pPr>
              <w:spacing w:line="276" w:lineRule="auto"/>
              <w:jc w:val="center"/>
              <w:rPr>
                <w:rFonts w:hint="default" w:ascii="Times New Roman" w:hAnsi="Times New Roman" w:cs="Times New Roman"/>
                <w:b/>
                <w:color w:val="auto"/>
                <w:szCs w:val="21"/>
              </w:rPr>
            </w:pPr>
            <w:r>
              <w:rPr>
                <w:rFonts w:hint="default" w:ascii="Times New Roman" w:hAnsi="Times New Roman" w:cs="Times New Roman"/>
                <w:color w:val="auto"/>
                <w:szCs w:val="21"/>
              </w:rPr>
              <w:t>3.5mg/m</w:t>
            </w:r>
            <w:r>
              <w:rPr>
                <w:rFonts w:hint="default" w:ascii="Times New Roman" w:hAnsi="Times New Roman" w:cs="Times New Roman"/>
                <w:color w:val="auto"/>
                <w:szCs w:val="21"/>
                <w:vertAlign w:val="superscript"/>
              </w:rPr>
              <w:t>3</w:t>
            </w:r>
          </w:p>
        </w:tc>
        <w:tc>
          <w:tcPr>
            <w:tcW w:w="2122" w:type="dxa"/>
            <w:vAlign w:val="center"/>
          </w:tcPr>
          <w:p w14:paraId="42DA5A80">
            <w:pPr>
              <w:spacing w:line="276" w:lineRule="auto"/>
              <w:jc w:val="center"/>
              <w:rPr>
                <w:rFonts w:hint="default" w:ascii="Times New Roman" w:hAnsi="Times New Roman" w:cs="Times New Roman"/>
                <w:b/>
                <w:color w:val="auto"/>
                <w:szCs w:val="21"/>
              </w:rPr>
            </w:pPr>
            <w:r>
              <w:rPr>
                <w:rFonts w:hint="default" w:ascii="Times New Roman" w:hAnsi="Times New Roman" w:cs="Times New Roman"/>
                <w:color w:val="auto"/>
                <w:szCs w:val="21"/>
              </w:rPr>
              <w:t>定期洒水等</w:t>
            </w:r>
          </w:p>
        </w:tc>
        <w:tc>
          <w:tcPr>
            <w:tcW w:w="2208" w:type="dxa"/>
            <w:vAlign w:val="center"/>
          </w:tcPr>
          <w:p w14:paraId="7E16F333">
            <w:pPr>
              <w:spacing w:line="276" w:lineRule="auto"/>
              <w:jc w:val="center"/>
              <w:rPr>
                <w:rFonts w:hint="default" w:ascii="Times New Roman" w:hAnsi="Times New Roman" w:cs="Times New Roman"/>
                <w:b/>
                <w:color w:val="auto"/>
                <w:szCs w:val="21"/>
              </w:rPr>
            </w:pPr>
            <w:r>
              <w:rPr>
                <w:rFonts w:hint="default" w:ascii="Times New Roman" w:hAnsi="Times New Roman" w:cs="Times New Roman"/>
                <w:color w:val="auto"/>
                <w:szCs w:val="21"/>
              </w:rPr>
              <w:t>&lt;1.0mg/m</w:t>
            </w:r>
            <w:r>
              <w:rPr>
                <w:rFonts w:hint="default" w:ascii="Times New Roman" w:hAnsi="Times New Roman" w:cs="Times New Roman"/>
                <w:color w:val="auto"/>
                <w:szCs w:val="21"/>
                <w:vertAlign w:val="superscript"/>
              </w:rPr>
              <w:t>3</w:t>
            </w:r>
          </w:p>
        </w:tc>
        <w:tc>
          <w:tcPr>
            <w:tcW w:w="1398" w:type="dxa"/>
            <w:vAlign w:val="center"/>
          </w:tcPr>
          <w:p w14:paraId="701D2453">
            <w:pPr>
              <w:spacing w:line="276" w:lineRule="auto"/>
              <w:jc w:val="center"/>
              <w:rPr>
                <w:rFonts w:hint="default" w:ascii="Times New Roman" w:hAnsi="Times New Roman" w:cs="Times New Roman"/>
                <w:b/>
                <w:color w:val="auto"/>
                <w:szCs w:val="21"/>
              </w:rPr>
            </w:pPr>
            <w:r>
              <w:rPr>
                <w:rFonts w:hint="default" w:ascii="Times New Roman" w:hAnsi="Times New Roman" w:cs="Times New Roman"/>
                <w:color w:val="auto"/>
                <w:szCs w:val="21"/>
              </w:rPr>
              <w:t>无组织排放</w:t>
            </w:r>
          </w:p>
        </w:tc>
      </w:tr>
      <w:tr w14:paraId="4FCB9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392" w:type="dxa"/>
            <w:vMerge w:val="continue"/>
            <w:vAlign w:val="center"/>
          </w:tcPr>
          <w:p w14:paraId="488FAAA6">
            <w:pPr>
              <w:spacing w:line="276" w:lineRule="auto"/>
              <w:jc w:val="center"/>
              <w:rPr>
                <w:rFonts w:hint="default" w:ascii="Times New Roman" w:hAnsi="Times New Roman" w:cs="Times New Roman"/>
                <w:color w:val="auto"/>
                <w:szCs w:val="21"/>
              </w:rPr>
            </w:pPr>
          </w:p>
        </w:tc>
        <w:tc>
          <w:tcPr>
            <w:tcW w:w="713" w:type="dxa"/>
            <w:gridSpan w:val="2"/>
            <w:vMerge w:val="continue"/>
            <w:vAlign w:val="center"/>
          </w:tcPr>
          <w:p w14:paraId="6652B791">
            <w:pPr>
              <w:spacing w:line="276" w:lineRule="auto"/>
              <w:jc w:val="center"/>
              <w:rPr>
                <w:rFonts w:hint="default" w:ascii="Times New Roman" w:hAnsi="Times New Roman" w:cs="Times New Roman"/>
                <w:color w:val="auto"/>
                <w:szCs w:val="21"/>
              </w:rPr>
            </w:pPr>
          </w:p>
        </w:tc>
        <w:tc>
          <w:tcPr>
            <w:tcW w:w="1412" w:type="dxa"/>
            <w:vAlign w:val="center"/>
          </w:tcPr>
          <w:p w14:paraId="7E9AA57A">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装修废气</w:t>
            </w:r>
          </w:p>
        </w:tc>
        <w:tc>
          <w:tcPr>
            <w:tcW w:w="2175" w:type="dxa"/>
            <w:vAlign w:val="center"/>
          </w:tcPr>
          <w:p w14:paraId="114B2B0E">
            <w:pPr>
              <w:spacing w:line="276" w:lineRule="auto"/>
              <w:jc w:val="center"/>
              <w:rPr>
                <w:rFonts w:hint="default" w:ascii="Times New Roman" w:hAnsi="Times New Roman" w:cs="Times New Roman"/>
                <w:b/>
                <w:color w:val="auto"/>
                <w:szCs w:val="21"/>
              </w:rPr>
            </w:pPr>
            <w:r>
              <w:rPr>
                <w:rFonts w:hint="default" w:ascii="Times New Roman" w:hAnsi="Times New Roman" w:cs="Times New Roman"/>
                <w:color w:val="auto"/>
                <w:szCs w:val="21"/>
              </w:rPr>
              <w:t>少量</w:t>
            </w:r>
          </w:p>
        </w:tc>
        <w:tc>
          <w:tcPr>
            <w:tcW w:w="2122" w:type="dxa"/>
            <w:vAlign w:val="center"/>
          </w:tcPr>
          <w:p w14:paraId="414995D4">
            <w:pPr>
              <w:spacing w:line="276" w:lineRule="auto"/>
              <w:jc w:val="center"/>
              <w:rPr>
                <w:rFonts w:hint="default" w:ascii="Times New Roman" w:hAnsi="Times New Roman" w:cs="Times New Roman"/>
                <w:b/>
                <w:color w:val="auto"/>
                <w:szCs w:val="21"/>
              </w:rPr>
            </w:pPr>
            <w:r>
              <w:rPr>
                <w:rFonts w:hint="default" w:ascii="Times New Roman" w:hAnsi="Times New Roman" w:cs="Times New Roman"/>
                <w:color w:val="auto"/>
                <w:szCs w:val="21"/>
              </w:rPr>
              <w:t>加强通风</w:t>
            </w:r>
          </w:p>
        </w:tc>
        <w:tc>
          <w:tcPr>
            <w:tcW w:w="2208" w:type="dxa"/>
            <w:vAlign w:val="center"/>
          </w:tcPr>
          <w:p w14:paraId="67962A8F">
            <w:pPr>
              <w:spacing w:line="276" w:lineRule="auto"/>
              <w:jc w:val="center"/>
              <w:rPr>
                <w:rFonts w:hint="default" w:ascii="Times New Roman" w:hAnsi="Times New Roman" w:cs="Times New Roman"/>
                <w:b/>
                <w:color w:val="auto"/>
                <w:szCs w:val="21"/>
              </w:rPr>
            </w:pPr>
            <w:r>
              <w:rPr>
                <w:rFonts w:hint="default" w:ascii="Times New Roman" w:hAnsi="Times New Roman" w:cs="Times New Roman"/>
                <w:color w:val="auto"/>
                <w:szCs w:val="21"/>
              </w:rPr>
              <w:t>少量</w:t>
            </w:r>
          </w:p>
        </w:tc>
        <w:tc>
          <w:tcPr>
            <w:tcW w:w="1398" w:type="dxa"/>
            <w:vAlign w:val="center"/>
          </w:tcPr>
          <w:p w14:paraId="659233EA">
            <w:pPr>
              <w:spacing w:line="276" w:lineRule="auto"/>
              <w:jc w:val="center"/>
              <w:rPr>
                <w:rFonts w:hint="default" w:ascii="Times New Roman" w:hAnsi="Times New Roman" w:cs="Times New Roman"/>
                <w:b/>
                <w:color w:val="auto"/>
                <w:szCs w:val="21"/>
              </w:rPr>
            </w:pPr>
            <w:r>
              <w:rPr>
                <w:rFonts w:hint="default" w:ascii="Times New Roman" w:hAnsi="Times New Roman" w:cs="Times New Roman"/>
                <w:color w:val="auto"/>
                <w:szCs w:val="21"/>
              </w:rPr>
              <w:t>无组织排放</w:t>
            </w:r>
          </w:p>
        </w:tc>
      </w:tr>
      <w:tr w14:paraId="01F148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jc w:val="center"/>
        </w:trPr>
        <w:tc>
          <w:tcPr>
            <w:tcW w:w="392" w:type="dxa"/>
            <w:vMerge w:val="continue"/>
            <w:vAlign w:val="center"/>
          </w:tcPr>
          <w:p w14:paraId="7190ECD0">
            <w:pPr>
              <w:spacing w:line="276" w:lineRule="auto"/>
              <w:jc w:val="center"/>
              <w:rPr>
                <w:rFonts w:hint="default" w:ascii="Times New Roman" w:hAnsi="Times New Roman" w:cs="Times New Roman"/>
                <w:color w:val="auto"/>
                <w:szCs w:val="21"/>
              </w:rPr>
            </w:pPr>
          </w:p>
        </w:tc>
        <w:tc>
          <w:tcPr>
            <w:tcW w:w="713" w:type="dxa"/>
            <w:gridSpan w:val="2"/>
            <w:vMerge w:val="restart"/>
            <w:vAlign w:val="center"/>
          </w:tcPr>
          <w:p w14:paraId="42C2B6C5">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营运期</w:t>
            </w:r>
          </w:p>
        </w:tc>
        <w:tc>
          <w:tcPr>
            <w:tcW w:w="1412" w:type="dxa"/>
            <w:vAlign w:val="center"/>
          </w:tcPr>
          <w:p w14:paraId="09FDB069">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lang w:eastAsia="zh-CN"/>
              </w:rPr>
              <w:t>破碎</w:t>
            </w:r>
            <w:r>
              <w:rPr>
                <w:rFonts w:hint="default" w:ascii="Times New Roman" w:hAnsi="Times New Roman" w:cs="Times New Roman"/>
                <w:color w:val="auto"/>
                <w:szCs w:val="21"/>
              </w:rPr>
              <w:t>粉尘</w:t>
            </w:r>
          </w:p>
        </w:tc>
        <w:tc>
          <w:tcPr>
            <w:tcW w:w="2175" w:type="dxa"/>
            <w:vAlign w:val="center"/>
          </w:tcPr>
          <w:p w14:paraId="2AA29660">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lang w:val="en-US" w:eastAsia="zh-CN"/>
              </w:rPr>
              <w:t>0</w:t>
            </w:r>
            <w:r>
              <w:rPr>
                <w:rFonts w:hint="eastAsia" w:cs="Times New Roman"/>
                <w:color w:val="auto"/>
                <w:szCs w:val="21"/>
                <w:lang w:val="en-US" w:eastAsia="zh-CN"/>
              </w:rPr>
              <w:t>.275</w:t>
            </w:r>
            <w:r>
              <w:rPr>
                <w:rFonts w:hint="default" w:ascii="Times New Roman" w:hAnsi="Times New Roman" w:cs="Times New Roman"/>
                <w:color w:val="auto"/>
                <w:szCs w:val="21"/>
                <w:lang w:val="en-US" w:eastAsia="zh-CN"/>
              </w:rPr>
              <w:t>kg/a</w:t>
            </w:r>
            <w:r>
              <w:rPr>
                <w:rFonts w:hint="eastAsia" w:cs="Times New Roman"/>
                <w:color w:val="auto"/>
                <w:szCs w:val="21"/>
                <w:lang w:val="en-US" w:eastAsia="zh-CN"/>
              </w:rPr>
              <w:t>，</w:t>
            </w:r>
            <w:r>
              <w:rPr>
                <w:rFonts w:hint="default" w:ascii="Times New Roman" w:hAnsi="Times New Roman" w:cs="Times New Roman"/>
                <w:color w:val="auto"/>
                <w:szCs w:val="21"/>
                <w:lang w:val="en-US" w:eastAsia="zh-CN"/>
              </w:rPr>
              <w:t>0.00</w:t>
            </w:r>
            <w:r>
              <w:rPr>
                <w:rFonts w:hint="eastAsia" w:cs="Times New Roman"/>
                <w:color w:val="auto"/>
                <w:szCs w:val="21"/>
                <w:lang w:val="en-US" w:eastAsia="zh-CN"/>
              </w:rPr>
              <w:t>05</w:t>
            </w:r>
            <w:r>
              <w:rPr>
                <w:rFonts w:hint="default" w:ascii="Times New Roman" w:hAnsi="Times New Roman" w:cs="Times New Roman"/>
                <w:color w:val="auto"/>
                <w:szCs w:val="21"/>
                <w:lang w:val="en-US" w:eastAsia="zh-CN"/>
              </w:rPr>
              <w:t>kg/h</w:t>
            </w:r>
          </w:p>
        </w:tc>
        <w:tc>
          <w:tcPr>
            <w:tcW w:w="2122" w:type="dxa"/>
            <w:vAlign w:val="center"/>
          </w:tcPr>
          <w:p w14:paraId="48681407">
            <w:pPr>
              <w:spacing w:line="276" w:lineRule="auto"/>
              <w:jc w:val="center"/>
              <w:rPr>
                <w:rFonts w:hint="default" w:ascii="Times New Roman" w:hAnsi="Times New Roman" w:cs="Times New Roman"/>
                <w:color w:val="auto"/>
                <w:szCs w:val="21"/>
                <w:lang w:val="en-US"/>
              </w:rPr>
            </w:pPr>
            <w:r>
              <w:rPr>
                <w:rFonts w:hint="eastAsia" w:cs="Times New Roman"/>
                <w:color w:val="auto"/>
                <w:szCs w:val="21"/>
                <w:lang w:val="en-US" w:eastAsia="zh-CN"/>
              </w:rPr>
              <w:t>加强管理，密闭操作</w:t>
            </w:r>
          </w:p>
        </w:tc>
        <w:tc>
          <w:tcPr>
            <w:tcW w:w="2208" w:type="dxa"/>
            <w:vAlign w:val="center"/>
          </w:tcPr>
          <w:p w14:paraId="4CC7C064">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lang w:val="en-US" w:eastAsia="zh-CN"/>
              </w:rPr>
              <w:t>少量</w:t>
            </w:r>
          </w:p>
        </w:tc>
        <w:tc>
          <w:tcPr>
            <w:tcW w:w="1398" w:type="dxa"/>
            <w:vAlign w:val="center"/>
          </w:tcPr>
          <w:p w14:paraId="2E17E1AA">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达标排放</w:t>
            </w:r>
          </w:p>
        </w:tc>
      </w:tr>
      <w:tr w14:paraId="3AD6E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392" w:type="dxa"/>
            <w:vMerge w:val="continue"/>
            <w:vAlign w:val="center"/>
          </w:tcPr>
          <w:p w14:paraId="51DD6B2A">
            <w:pPr>
              <w:spacing w:line="276" w:lineRule="auto"/>
              <w:jc w:val="center"/>
              <w:rPr>
                <w:rFonts w:hint="default" w:ascii="Times New Roman" w:hAnsi="Times New Roman" w:cs="Times New Roman"/>
                <w:color w:val="auto"/>
                <w:szCs w:val="21"/>
              </w:rPr>
            </w:pPr>
          </w:p>
        </w:tc>
        <w:tc>
          <w:tcPr>
            <w:tcW w:w="713" w:type="dxa"/>
            <w:gridSpan w:val="2"/>
            <w:vMerge w:val="continue"/>
            <w:vAlign w:val="center"/>
          </w:tcPr>
          <w:p w14:paraId="7525F38C">
            <w:pPr>
              <w:spacing w:line="276" w:lineRule="auto"/>
              <w:jc w:val="center"/>
              <w:rPr>
                <w:rFonts w:hint="default" w:ascii="Times New Roman" w:hAnsi="Times New Roman" w:cs="Times New Roman"/>
                <w:color w:val="auto"/>
                <w:szCs w:val="21"/>
              </w:rPr>
            </w:pPr>
          </w:p>
        </w:tc>
        <w:tc>
          <w:tcPr>
            <w:tcW w:w="1412" w:type="dxa"/>
            <w:vAlign w:val="center"/>
          </w:tcPr>
          <w:p w14:paraId="56B5C10E">
            <w:pPr>
              <w:spacing w:line="276" w:lineRule="auto"/>
              <w:jc w:val="center"/>
              <w:rPr>
                <w:rFonts w:hint="default" w:ascii="Times New Roman" w:hAnsi="Times New Roman" w:cs="Times New Roman"/>
                <w:color w:val="auto"/>
                <w:szCs w:val="21"/>
                <w:lang w:val="en-US" w:eastAsia="zh-CN"/>
              </w:rPr>
            </w:pPr>
            <w:r>
              <w:rPr>
                <w:rFonts w:hint="eastAsia" w:cs="Times New Roman"/>
                <w:color w:val="auto"/>
                <w:szCs w:val="21"/>
                <w:lang w:val="en-US" w:eastAsia="zh-CN"/>
              </w:rPr>
              <w:t>1#车间有机废气</w:t>
            </w:r>
          </w:p>
        </w:tc>
        <w:tc>
          <w:tcPr>
            <w:tcW w:w="2175" w:type="dxa"/>
            <w:vAlign w:val="center"/>
          </w:tcPr>
          <w:p w14:paraId="1A7339C8">
            <w:pPr>
              <w:spacing w:line="276" w:lineRule="auto"/>
              <w:jc w:val="center"/>
              <w:rPr>
                <w:rFonts w:hint="default" w:ascii="Times New Roman" w:hAnsi="Times New Roman" w:cs="Times New Roman"/>
                <w:color w:val="auto"/>
                <w:szCs w:val="21"/>
                <w:lang w:val="en-US" w:eastAsia="zh-CN"/>
              </w:rPr>
            </w:pPr>
            <w:r>
              <w:rPr>
                <w:rFonts w:hint="eastAsia" w:cs="Times New Roman"/>
                <w:color w:val="auto"/>
                <w:szCs w:val="21"/>
                <w:lang w:val="en-US" w:eastAsia="zh-CN"/>
              </w:rPr>
              <w:t>44.98</w:t>
            </w:r>
            <w:r>
              <w:rPr>
                <w:rFonts w:hint="default" w:ascii="Times New Roman" w:hAnsi="Times New Roman" w:cs="Times New Roman"/>
                <w:color w:val="auto"/>
                <w:szCs w:val="21"/>
                <w:lang w:val="en-US" w:eastAsia="zh-CN"/>
              </w:rPr>
              <w:t>kg/a</w:t>
            </w:r>
            <w:r>
              <w:rPr>
                <w:rFonts w:hint="eastAsia" w:cs="Times New Roman"/>
                <w:color w:val="auto"/>
                <w:szCs w:val="21"/>
                <w:lang w:val="en-US" w:eastAsia="zh-CN"/>
              </w:rPr>
              <w:t>、3.75mg/m</w:t>
            </w:r>
            <w:r>
              <w:rPr>
                <w:rFonts w:hint="eastAsia" w:cs="Times New Roman"/>
                <w:color w:val="auto"/>
                <w:szCs w:val="21"/>
                <w:vertAlign w:val="superscript"/>
                <w:lang w:val="en-US" w:eastAsia="zh-CN"/>
              </w:rPr>
              <w:t>3</w:t>
            </w:r>
          </w:p>
        </w:tc>
        <w:tc>
          <w:tcPr>
            <w:tcW w:w="2122" w:type="dxa"/>
            <w:vMerge w:val="restart"/>
            <w:vAlign w:val="center"/>
          </w:tcPr>
          <w:p w14:paraId="0C86AC8D">
            <w:pPr>
              <w:spacing w:line="276" w:lineRule="auto"/>
              <w:jc w:val="center"/>
              <w:rPr>
                <w:rFonts w:hint="default" w:ascii="Times New Roman" w:hAnsi="Times New Roman" w:cs="Times New Roman"/>
                <w:color w:val="auto"/>
                <w:szCs w:val="21"/>
                <w:lang w:eastAsia="zh-CN"/>
              </w:rPr>
            </w:pPr>
            <w:r>
              <w:rPr>
                <w:rFonts w:hint="default" w:ascii="Times New Roman" w:hAnsi="Times New Roman" w:cs="Times New Roman"/>
                <w:color w:val="auto"/>
                <w:szCs w:val="21"/>
                <w:lang w:val="en-US" w:eastAsia="zh-CN"/>
              </w:rPr>
              <w:t>集气罩+UV光催化+活性炭吸附系统+1根15m高排气筒</w:t>
            </w:r>
          </w:p>
        </w:tc>
        <w:tc>
          <w:tcPr>
            <w:tcW w:w="2208" w:type="dxa"/>
            <w:vAlign w:val="center"/>
          </w:tcPr>
          <w:p w14:paraId="6AAE4552">
            <w:pPr>
              <w:spacing w:line="276" w:lineRule="auto"/>
              <w:jc w:val="center"/>
              <w:rPr>
                <w:rFonts w:hint="default" w:ascii="Times New Roman" w:hAnsi="Times New Roman" w:cs="Times New Roman"/>
                <w:color w:val="auto"/>
                <w:szCs w:val="21"/>
                <w:lang w:val="en-US" w:eastAsia="zh-CN"/>
              </w:rPr>
            </w:pPr>
            <w:r>
              <w:rPr>
                <w:rFonts w:hint="eastAsia" w:cs="Times New Roman"/>
                <w:color w:val="auto"/>
                <w:szCs w:val="21"/>
                <w:lang w:val="en-US" w:eastAsia="zh-CN"/>
              </w:rPr>
              <w:t>4.048</w:t>
            </w:r>
            <w:r>
              <w:rPr>
                <w:rFonts w:hint="default" w:ascii="Times New Roman" w:hAnsi="Times New Roman" w:cs="Times New Roman"/>
                <w:color w:val="auto"/>
                <w:szCs w:val="21"/>
                <w:lang w:val="en-US" w:eastAsia="zh-CN"/>
              </w:rPr>
              <w:t>kg/a、</w:t>
            </w:r>
            <w:r>
              <w:rPr>
                <w:rFonts w:hint="eastAsia" w:cs="Times New Roman"/>
                <w:color w:val="auto"/>
                <w:szCs w:val="21"/>
                <w:lang w:val="en-US" w:eastAsia="zh-CN"/>
              </w:rPr>
              <w:t>0.3374</w:t>
            </w:r>
            <w:r>
              <w:rPr>
                <w:rFonts w:hint="default" w:ascii="Times New Roman" w:hAnsi="Times New Roman" w:cs="Times New Roman"/>
                <w:color w:val="auto"/>
                <w:szCs w:val="21"/>
                <w:lang w:val="en-US" w:eastAsia="zh-CN"/>
              </w:rPr>
              <w:t>mg/m</w:t>
            </w:r>
            <w:r>
              <w:rPr>
                <w:rFonts w:hint="default" w:ascii="Times New Roman" w:hAnsi="Times New Roman" w:cs="Times New Roman"/>
                <w:color w:val="auto"/>
                <w:szCs w:val="21"/>
                <w:vertAlign w:val="superscript"/>
                <w:lang w:val="en-US" w:eastAsia="zh-CN"/>
              </w:rPr>
              <w:t>3</w:t>
            </w:r>
          </w:p>
        </w:tc>
        <w:tc>
          <w:tcPr>
            <w:tcW w:w="1398" w:type="dxa"/>
            <w:vAlign w:val="center"/>
          </w:tcPr>
          <w:p w14:paraId="4EC1B8D9">
            <w:pPr>
              <w:spacing w:line="276" w:lineRule="auto"/>
              <w:jc w:val="center"/>
              <w:rPr>
                <w:rFonts w:hint="default" w:ascii="Times New Roman" w:hAnsi="Times New Roman" w:eastAsia="宋体" w:cs="Times New Roman"/>
                <w:color w:val="auto"/>
                <w:szCs w:val="21"/>
                <w:lang w:eastAsia="zh-CN"/>
              </w:rPr>
            </w:pPr>
            <w:r>
              <w:rPr>
                <w:rFonts w:hint="default" w:ascii="Times New Roman" w:hAnsi="Times New Roman" w:cs="Times New Roman"/>
                <w:color w:val="auto"/>
                <w:szCs w:val="21"/>
                <w:lang w:eastAsia="zh-CN"/>
              </w:rPr>
              <w:t>达标排放</w:t>
            </w:r>
          </w:p>
        </w:tc>
      </w:tr>
      <w:tr w14:paraId="5C242A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392" w:type="dxa"/>
            <w:vMerge w:val="continue"/>
            <w:vAlign w:val="center"/>
          </w:tcPr>
          <w:p w14:paraId="26ABA504">
            <w:pPr>
              <w:spacing w:line="276" w:lineRule="auto"/>
              <w:jc w:val="center"/>
              <w:rPr>
                <w:rFonts w:hint="default" w:ascii="Times New Roman" w:hAnsi="Times New Roman" w:cs="Times New Roman"/>
                <w:color w:val="auto"/>
                <w:szCs w:val="21"/>
              </w:rPr>
            </w:pPr>
          </w:p>
        </w:tc>
        <w:tc>
          <w:tcPr>
            <w:tcW w:w="713" w:type="dxa"/>
            <w:gridSpan w:val="2"/>
            <w:vMerge w:val="continue"/>
            <w:vAlign w:val="center"/>
          </w:tcPr>
          <w:p w14:paraId="0C8842A4">
            <w:pPr>
              <w:spacing w:line="276" w:lineRule="auto"/>
              <w:jc w:val="center"/>
              <w:rPr>
                <w:rFonts w:hint="default" w:ascii="Times New Roman" w:hAnsi="Times New Roman" w:cs="Times New Roman"/>
                <w:color w:val="auto"/>
                <w:szCs w:val="21"/>
              </w:rPr>
            </w:pPr>
          </w:p>
        </w:tc>
        <w:tc>
          <w:tcPr>
            <w:tcW w:w="1412" w:type="dxa"/>
            <w:vAlign w:val="center"/>
          </w:tcPr>
          <w:p w14:paraId="712AA1FC">
            <w:pPr>
              <w:spacing w:line="276" w:lineRule="auto"/>
              <w:jc w:val="center"/>
              <w:rPr>
                <w:rFonts w:hint="default" w:ascii="Times New Roman" w:hAnsi="Times New Roman" w:cs="Times New Roman"/>
                <w:color w:val="auto"/>
                <w:szCs w:val="21"/>
                <w:lang w:eastAsia="zh-CN"/>
              </w:rPr>
            </w:pPr>
            <w:r>
              <w:rPr>
                <w:rFonts w:hint="eastAsia" w:cs="Times New Roman"/>
                <w:color w:val="auto"/>
                <w:szCs w:val="21"/>
                <w:lang w:val="en-US" w:eastAsia="zh-CN"/>
              </w:rPr>
              <w:t>2</w:t>
            </w:r>
            <w:r>
              <w:rPr>
                <w:rFonts w:hint="default" w:ascii="Times New Roman" w:hAnsi="Times New Roman" w:cs="Times New Roman"/>
                <w:color w:val="auto"/>
                <w:szCs w:val="21"/>
                <w:lang w:val="en-US" w:eastAsia="zh-CN"/>
              </w:rPr>
              <w:t>#车间有机废气</w:t>
            </w:r>
          </w:p>
        </w:tc>
        <w:tc>
          <w:tcPr>
            <w:tcW w:w="2175" w:type="dxa"/>
            <w:vAlign w:val="center"/>
          </w:tcPr>
          <w:p w14:paraId="46F3F4A7">
            <w:pPr>
              <w:spacing w:line="276" w:lineRule="auto"/>
              <w:jc w:val="center"/>
              <w:rPr>
                <w:rFonts w:hint="default" w:ascii="Times New Roman" w:hAnsi="Times New Roman" w:cs="Times New Roman"/>
                <w:color w:val="auto"/>
                <w:szCs w:val="21"/>
                <w:lang w:val="en-US" w:eastAsia="zh-CN"/>
              </w:rPr>
            </w:pPr>
            <w:r>
              <w:rPr>
                <w:rFonts w:hint="eastAsia" w:cs="Times New Roman"/>
                <w:color w:val="auto"/>
                <w:szCs w:val="21"/>
                <w:lang w:val="en-US" w:eastAsia="zh-CN"/>
              </w:rPr>
              <w:t>16.12</w:t>
            </w:r>
            <w:r>
              <w:rPr>
                <w:rFonts w:hint="default" w:ascii="Times New Roman" w:hAnsi="Times New Roman" w:cs="Times New Roman"/>
                <w:color w:val="auto"/>
                <w:szCs w:val="21"/>
                <w:lang w:val="en-US" w:eastAsia="zh-CN"/>
              </w:rPr>
              <w:t>kg/a、</w:t>
            </w:r>
            <w:r>
              <w:rPr>
                <w:rFonts w:hint="eastAsia" w:cs="Times New Roman"/>
                <w:color w:val="auto"/>
                <w:szCs w:val="21"/>
                <w:lang w:val="en-US" w:eastAsia="zh-CN"/>
              </w:rPr>
              <w:t>4.48</w:t>
            </w:r>
            <w:r>
              <w:rPr>
                <w:rFonts w:hint="default" w:ascii="Times New Roman" w:hAnsi="Times New Roman" w:cs="Times New Roman"/>
                <w:color w:val="auto"/>
                <w:szCs w:val="21"/>
                <w:lang w:val="en-US" w:eastAsia="zh-CN"/>
              </w:rPr>
              <w:t>mg/m</w:t>
            </w:r>
            <w:r>
              <w:rPr>
                <w:rFonts w:hint="default" w:ascii="Times New Roman" w:hAnsi="Times New Roman" w:cs="Times New Roman"/>
                <w:color w:val="auto"/>
                <w:szCs w:val="21"/>
                <w:vertAlign w:val="superscript"/>
                <w:lang w:val="en-US" w:eastAsia="zh-CN"/>
              </w:rPr>
              <w:t>3</w:t>
            </w:r>
          </w:p>
        </w:tc>
        <w:tc>
          <w:tcPr>
            <w:tcW w:w="2122" w:type="dxa"/>
            <w:vMerge w:val="continue"/>
            <w:vAlign w:val="center"/>
          </w:tcPr>
          <w:p w14:paraId="1C7A025D">
            <w:pPr>
              <w:spacing w:line="276" w:lineRule="auto"/>
              <w:jc w:val="center"/>
              <w:rPr>
                <w:rFonts w:hint="default" w:ascii="Times New Roman" w:hAnsi="Times New Roman" w:cs="Times New Roman"/>
                <w:color w:val="auto"/>
                <w:szCs w:val="21"/>
                <w:lang w:eastAsia="zh-CN"/>
              </w:rPr>
            </w:pPr>
          </w:p>
        </w:tc>
        <w:tc>
          <w:tcPr>
            <w:tcW w:w="2208" w:type="dxa"/>
            <w:vAlign w:val="center"/>
          </w:tcPr>
          <w:p w14:paraId="7B13C4CE">
            <w:pPr>
              <w:spacing w:line="276" w:lineRule="auto"/>
              <w:jc w:val="center"/>
              <w:rPr>
                <w:rFonts w:hint="default" w:ascii="Times New Roman" w:hAnsi="Times New Roman" w:cs="Times New Roman"/>
                <w:color w:val="auto"/>
                <w:szCs w:val="21"/>
                <w:lang w:val="en-US" w:eastAsia="zh-CN"/>
              </w:rPr>
            </w:pPr>
            <w:r>
              <w:rPr>
                <w:rFonts w:hint="eastAsia" w:cs="Times New Roman"/>
                <w:color w:val="auto"/>
                <w:szCs w:val="21"/>
                <w:lang w:val="en-US" w:eastAsia="zh-CN"/>
              </w:rPr>
              <w:t>1.451</w:t>
            </w:r>
            <w:r>
              <w:rPr>
                <w:rFonts w:hint="default" w:ascii="Times New Roman" w:hAnsi="Times New Roman" w:cs="Times New Roman"/>
                <w:color w:val="auto"/>
                <w:szCs w:val="21"/>
                <w:lang w:val="en-US" w:eastAsia="zh-CN"/>
              </w:rPr>
              <w:t>kg/a、</w:t>
            </w:r>
            <w:r>
              <w:rPr>
                <w:rFonts w:hint="eastAsia" w:cs="Times New Roman"/>
                <w:color w:val="auto"/>
                <w:szCs w:val="21"/>
                <w:lang w:val="en-US" w:eastAsia="zh-CN"/>
              </w:rPr>
              <w:t>0.4</w:t>
            </w:r>
            <w:r>
              <w:rPr>
                <w:rFonts w:hint="default" w:ascii="Times New Roman" w:hAnsi="Times New Roman" w:cs="Times New Roman"/>
                <w:color w:val="auto"/>
                <w:szCs w:val="21"/>
                <w:lang w:val="en-US" w:eastAsia="zh-CN"/>
              </w:rPr>
              <w:t>mg/m</w:t>
            </w:r>
            <w:r>
              <w:rPr>
                <w:rFonts w:hint="default" w:ascii="Times New Roman" w:hAnsi="Times New Roman" w:cs="Times New Roman"/>
                <w:color w:val="auto"/>
                <w:szCs w:val="21"/>
                <w:vertAlign w:val="superscript"/>
                <w:lang w:val="en-US" w:eastAsia="zh-CN"/>
              </w:rPr>
              <w:t>3</w:t>
            </w:r>
          </w:p>
        </w:tc>
        <w:tc>
          <w:tcPr>
            <w:tcW w:w="1398" w:type="dxa"/>
            <w:vAlign w:val="center"/>
          </w:tcPr>
          <w:p w14:paraId="03B8F951">
            <w:pPr>
              <w:spacing w:line="276" w:lineRule="auto"/>
              <w:jc w:val="center"/>
              <w:rPr>
                <w:rFonts w:hint="default" w:ascii="Times New Roman" w:hAnsi="Times New Roman" w:cs="Times New Roman"/>
                <w:color w:val="auto"/>
                <w:szCs w:val="21"/>
                <w:lang w:eastAsia="zh-CN"/>
              </w:rPr>
            </w:pPr>
            <w:r>
              <w:rPr>
                <w:rFonts w:hint="default" w:ascii="Times New Roman" w:hAnsi="Times New Roman" w:cs="Times New Roman"/>
                <w:color w:val="auto"/>
                <w:szCs w:val="21"/>
                <w:lang w:eastAsia="zh-CN"/>
              </w:rPr>
              <w:t>达标排放</w:t>
            </w:r>
          </w:p>
        </w:tc>
      </w:tr>
      <w:tr w14:paraId="36DE84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392" w:type="dxa"/>
            <w:vMerge w:val="continue"/>
            <w:vAlign w:val="center"/>
          </w:tcPr>
          <w:p w14:paraId="30B19326">
            <w:pPr>
              <w:spacing w:line="276" w:lineRule="auto"/>
              <w:jc w:val="center"/>
              <w:rPr>
                <w:rFonts w:hint="default" w:ascii="Times New Roman" w:hAnsi="Times New Roman" w:cs="Times New Roman"/>
                <w:color w:val="auto"/>
                <w:szCs w:val="21"/>
              </w:rPr>
            </w:pPr>
          </w:p>
        </w:tc>
        <w:tc>
          <w:tcPr>
            <w:tcW w:w="713" w:type="dxa"/>
            <w:gridSpan w:val="2"/>
            <w:vMerge w:val="continue"/>
            <w:vAlign w:val="center"/>
          </w:tcPr>
          <w:p w14:paraId="249C0B3B">
            <w:pPr>
              <w:spacing w:line="276" w:lineRule="auto"/>
              <w:jc w:val="center"/>
              <w:rPr>
                <w:rFonts w:hint="default" w:ascii="Times New Roman" w:hAnsi="Times New Roman" w:cs="Times New Roman"/>
                <w:color w:val="auto"/>
                <w:szCs w:val="21"/>
              </w:rPr>
            </w:pPr>
          </w:p>
        </w:tc>
        <w:tc>
          <w:tcPr>
            <w:tcW w:w="1412" w:type="dxa"/>
            <w:vAlign w:val="center"/>
          </w:tcPr>
          <w:p w14:paraId="29FE73B5">
            <w:pPr>
              <w:spacing w:line="276" w:lineRule="auto"/>
              <w:jc w:val="center"/>
              <w:rPr>
                <w:rFonts w:hint="default" w:ascii="Times New Roman" w:hAnsi="Times New Roman" w:cs="Times New Roman"/>
                <w:color w:val="auto"/>
                <w:szCs w:val="21"/>
                <w:lang w:val="en-US" w:eastAsia="zh-CN"/>
              </w:rPr>
            </w:pPr>
            <w:r>
              <w:rPr>
                <w:rFonts w:hint="eastAsia" w:cs="Times New Roman"/>
                <w:color w:val="auto"/>
                <w:szCs w:val="21"/>
                <w:lang w:val="en-US" w:eastAsia="zh-CN"/>
              </w:rPr>
              <w:t>焊接烟尘</w:t>
            </w:r>
          </w:p>
        </w:tc>
        <w:tc>
          <w:tcPr>
            <w:tcW w:w="2175" w:type="dxa"/>
            <w:vAlign w:val="center"/>
          </w:tcPr>
          <w:p w14:paraId="6A2F86F3">
            <w:pPr>
              <w:spacing w:line="276" w:lineRule="auto"/>
              <w:jc w:val="center"/>
              <w:rPr>
                <w:rFonts w:hint="default" w:ascii="Times New Roman" w:hAnsi="Times New Roman" w:cs="Times New Roman"/>
                <w:color w:val="auto"/>
                <w:szCs w:val="21"/>
                <w:lang w:val="en-US" w:eastAsia="zh-CN"/>
              </w:rPr>
            </w:pPr>
            <w:r>
              <w:rPr>
                <w:rFonts w:hint="eastAsia" w:cs="Times New Roman"/>
                <w:color w:val="auto"/>
                <w:szCs w:val="21"/>
                <w:lang w:val="en-US" w:eastAsia="zh-CN"/>
              </w:rPr>
              <w:t>3</w:t>
            </w:r>
            <w:r>
              <w:rPr>
                <w:rFonts w:hint="default" w:ascii="Times New Roman" w:hAnsi="Times New Roman" w:cs="Times New Roman"/>
                <w:color w:val="auto"/>
                <w:szCs w:val="21"/>
                <w:lang w:val="en-US" w:eastAsia="zh-CN"/>
              </w:rPr>
              <w:t>kg/a、</w:t>
            </w:r>
            <w:r>
              <w:rPr>
                <w:rFonts w:hint="eastAsia" w:cs="Times New Roman"/>
                <w:color w:val="auto"/>
                <w:szCs w:val="21"/>
                <w:lang w:val="en-US" w:eastAsia="zh-CN"/>
              </w:rPr>
              <w:t>5</w:t>
            </w:r>
            <w:r>
              <w:rPr>
                <w:rFonts w:hint="default" w:ascii="Times New Roman" w:hAnsi="Times New Roman" w:cs="Times New Roman"/>
                <w:color w:val="auto"/>
                <w:szCs w:val="21"/>
                <w:lang w:val="en-US" w:eastAsia="zh-CN"/>
              </w:rPr>
              <w:t>mg/m</w:t>
            </w:r>
            <w:r>
              <w:rPr>
                <w:rFonts w:hint="default" w:ascii="Times New Roman" w:hAnsi="Times New Roman" w:cs="Times New Roman"/>
                <w:color w:val="auto"/>
                <w:szCs w:val="21"/>
                <w:vertAlign w:val="superscript"/>
                <w:lang w:val="en-US" w:eastAsia="zh-CN"/>
              </w:rPr>
              <w:t>3</w:t>
            </w:r>
          </w:p>
        </w:tc>
        <w:tc>
          <w:tcPr>
            <w:tcW w:w="2122" w:type="dxa"/>
            <w:vAlign w:val="center"/>
          </w:tcPr>
          <w:p w14:paraId="6D694FEB">
            <w:pPr>
              <w:spacing w:line="276" w:lineRule="auto"/>
              <w:jc w:val="center"/>
              <w:rPr>
                <w:rFonts w:hint="default" w:ascii="Times New Roman" w:hAnsi="Times New Roman" w:cs="Times New Roman"/>
                <w:color w:val="auto"/>
                <w:szCs w:val="21"/>
                <w:lang w:val="en-US" w:eastAsia="zh-CN"/>
              </w:rPr>
            </w:pPr>
            <w:r>
              <w:rPr>
                <w:rFonts w:hint="eastAsia" w:cs="Times New Roman"/>
                <w:color w:val="auto"/>
                <w:szCs w:val="21"/>
                <w:lang w:val="en-US" w:eastAsia="zh-CN"/>
              </w:rPr>
              <w:t>集气罩+焊接烟尘净化器+15</w:t>
            </w:r>
            <w:r>
              <w:rPr>
                <w:rFonts w:hint="default" w:ascii="Times New Roman" w:hAnsi="Times New Roman" w:cs="Times New Roman"/>
                <w:color w:val="auto"/>
                <w:szCs w:val="21"/>
                <w:lang w:val="en-US" w:eastAsia="zh-CN"/>
              </w:rPr>
              <w:t>m高排气筒</w:t>
            </w:r>
          </w:p>
        </w:tc>
        <w:tc>
          <w:tcPr>
            <w:tcW w:w="2208" w:type="dxa"/>
            <w:vAlign w:val="center"/>
          </w:tcPr>
          <w:p w14:paraId="78D71179">
            <w:pPr>
              <w:spacing w:line="276" w:lineRule="auto"/>
              <w:jc w:val="center"/>
              <w:rPr>
                <w:rFonts w:hint="default" w:ascii="Times New Roman" w:hAnsi="Times New Roman" w:cs="Times New Roman"/>
                <w:color w:val="auto"/>
                <w:szCs w:val="21"/>
                <w:lang w:val="en-US" w:eastAsia="zh-CN"/>
              </w:rPr>
            </w:pPr>
            <w:r>
              <w:rPr>
                <w:rFonts w:hint="eastAsia" w:cs="Times New Roman"/>
                <w:color w:val="auto"/>
                <w:szCs w:val="21"/>
                <w:lang w:val="en-US" w:eastAsia="zh-CN"/>
              </w:rPr>
              <w:t>0.27</w:t>
            </w:r>
            <w:r>
              <w:rPr>
                <w:rFonts w:hint="default" w:ascii="Times New Roman" w:hAnsi="Times New Roman" w:cs="Times New Roman"/>
                <w:color w:val="auto"/>
                <w:szCs w:val="21"/>
                <w:lang w:val="en-US" w:eastAsia="zh-CN"/>
              </w:rPr>
              <w:t>kg/a、</w:t>
            </w:r>
            <w:r>
              <w:rPr>
                <w:rFonts w:hint="eastAsia" w:cs="Times New Roman"/>
                <w:color w:val="auto"/>
                <w:szCs w:val="21"/>
                <w:lang w:val="en-US" w:eastAsia="zh-CN"/>
              </w:rPr>
              <w:t>0.45</w:t>
            </w:r>
            <w:r>
              <w:rPr>
                <w:rFonts w:hint="default" w:ascii="Times New Roman" w:hAnsi="Times New Roman" w:cs="Times New Roman"/>
                <w:color w:val="auto"/>
                <w:szCs w:val="21"/>
                <w:lang w:val="en-US" w:eastAsia="zh-CN"/>
              </w:rPr>
              <w:t>mg/m</w:t>
            </w:r>
            <w:r>
              <w:rPr>
                <w:rFonts w:hint="default" w:ascii="Times New Roman" w:hAnsi="Times New Roman" w:cs="Times New Roman"/>
                <w:color w:val="auto"/>
                <w:szCs w:val="21"/>
                <w:vertAlign w:val="superscript"/>
                <w:lang w:val="en-US" w:eastAsia="zh-CN"/>
              </w:rPr>
              <w:t>3</w:t>
            </w:r>
          </w:p>
        </w:tc>
        <w:tc>
          <w:tcPr>
            <w:tcW w:w="1398" w:type="dxa"/>
            <w:vAlign w:val="center"/>
          </w:tcPr>
          <w:p w14:paraId="4E689F30">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lang w:eastAsia="zh-CN"/>
              </w:rPr>
              <w:t>达标排放</w:t>
            </w:r>
          </w:p>
        </w:tc>
      </w:tr>
      <w:tr w14:paraId="15DBD1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392" w:type="dxa"/>
            <w:vMerge w:val="continue"/>
            <w:vAlign w:val="center"/>
          </w:tcPr>
          <w:p w14:paraId="2B1A1404">
            <w:pPr>
              <w:spacing w:line="276" w:lineRule="auto"/>
              <w:jc w:val="center"/>
              <w:rPr>
                <w:rFonts w:hint="default" w:ascii="Times New Roman" w:hAnsi="Times New Roman" w:cs="Times New Roman"/>
                <w:color w:val="auto"/>
                <w:szCs w:val="21"/>
              </w:rPr>
            </w:pPr>
          </w:p>
        </w:tc>
        <w:tc>
          <w:tcPr>
            <w:tcW w:w="713" w:type="dxa"/>
            <w:gridSpan w:val="2"/>
            <w:vMerge w:val="continue"/>
            <w:vAlign w:val="center"/>
          </w:tcPr>
          <w:p w14:paraId="5AD3B725">
            <w:pPr>
              <w:spacing w:line="276" w:lineRule="auto"/>
              <w:jc w:val="center"/>
              <w:rPr>
                <w:rFonts w:hint="default" w:ascii="Times New Roman" w:hAnsi="Times New Roman" w:cs="Times New Roman"/>
                <w:color w:val="auto"/>
                <w:szCs w:val="21"/>
              </w:rPr>
            </w:pPr>
          </w:p>
        </w:tc>
        <w:tc>
          <w:tcPr>
            <w:tcW w:w="1412" w:type="dxa"/>
            <w:vAlign w:val="center"/>
          </w:tcPr>
          <w:p w14:paraId="105EAB50">
            <w:pPr>
              <w:spacing w:line="276" w:lineRule="auto"/>
              <w:jc w:val="center"/>
              <w:rPr>
                <w:rFonts w:hint="default" w:ascii="Times New Roman" w:hAnsi="Times New Roman" w:eastAsia="宋体" w:cs="Times New Roman"/>
                <w:color w:val="auto"/>
                <w:szCs w:val="21"/>
                <w:lang w:eastAsia="zh-CN"/>
              </w:rPr>
            </w:pPr>
            <w:r>
              <w:rPr>
                <w:rFonts w:hint="default" w:ascii="Times New Roman" w:hAnsi="Times New Roman" w:cs="Times New Roman"/>
                <w:color w:val="auto"/>
                <w:szCs w:val="21"/>
                <w:lang w:eastAsia="zh-CN"/>
              </w:rPr>
              <w:t>食堂油烟</w:t>
            </w:r>
          </w:p>
        </w:tc>
        <w:tc>
          <w:tcPr>
            <w:tcW w:w="2175" w:type="dxa"/>
            <w:vAlign w:val="center"/>
          </w:tcPr>
          <w:p w14:paraId="2D8ABEA5">
            <w:pPr>
              <w:spacing w:line="276" w:lineRule="auto"/>
              <w:jc w:val="center"/>
              <w:rPr>
                <w:rFonts w:hint="default" w:ascii="Times New Roman" w:hAnsi="Times New Roman" w:eastAsia="宋体" w:cs="Times New Roman"/>
                <w:color w:val="auto"/>
                <w:szCs w:val="21"/>
                <w:lang w:val="en-US" w:eastAsia="zh-CN"/>
              </w:rPr>
            </w:pPr>
            <w:r>
              <w:rPr>
                <w:rFonts w:hint="eastAsia" w:cs="Times New Roman"/>
                <w:color w:val="auto"/>
                <w:szCs w:val="21"/>
                <w:lang w:val="en-US" w:eastAsia="zh-CN"/>
              </w:rPr>
              <w:t>15.9kg/a、13.25mg/m</w:t>
            </w:r>
            <w:r>
              <w:rPr>
                <w:rFonts w:hint="eastAsia" w:cs="Times New Roman"/>
                <w:color w:val="auto"/>
                <w:szCs w:val="21"/>
                <w:vertAlign w:val="superscript"/>
                <w:lang w:val="en-US" w:eastAsia="zh-CN"/>
              </w:rPr>
              <w:t>3</w:t>
            </w:r>
          </w:p>
        </w:tc>
        <w:tc>
          <w:tcPr>
            <w:tcW w:w="2122" w:type="dxa"/>
            <w:vAlign w:val="center"/>
          </w:tcPr>
          <w:p w14:paraId="2D6C3E95">
            <w:pPr>
              <w:spacing w:line="276" w:lineRule="auto"/>
              <w:jc w:val="center"/>
              <w:rPr>
                <w:rFonts w:hint="default" w:ascii="Times New Roman" w:hAnsi="Times New Roman" w:eastAsia="宋体" w:cs="Times New Roman"/>
                <w:color w:val="auto"/>
                <w:szCs w:val="21"/>
                <w:lang w:eastAsia="zh-CN"/>
              </w:rPr>
            </w:pPr>
            <w:r>
              <w:rPr>
                <w:rFonts w:hint="default" w:ascii="Times New Roman" w:hAnsi="Times New Roman" w:cs="Times New Roman"/>
                <w:color w:val="auto"/>
                <w:szCs w:val="21"/>
                <w:lang w:eastAsia="zh-CN"/>
              </w:rPr>
              <w:t>油烟净化装置</w:t>
            </w:r>
          </w:p>
        </w:tc>
        <w:tc>
          <w:tcPr>
            <w:tcW w:w="2208" w:type="dxa"/>
            <w:vAlign w:val="center"/>
          </w:tcPr>
          <w:p w14:paraId="442B21A6">
            <w:pPr>
              <w:spacing w:line="276" w:lineRule="auto"/>
              <w:jc w:val="center"/>
              <w:rPr>
                <w:rFonts w:hint="default" w:ascii="Times New Roman" w:hAnsi="Times New Roman" w:cs="Times New Roman"/>
                <w:color w:val="auto"/>
                <w:szCs w:val="21"/>
              </w:rPr>
            </w:pPr>
            <w:r>
              <w:rPr>
                <w:rFonts w:hint="eastAsia" w:cs="Times New Roman"/>
                <w:color w:val="auto"/>
                <w:szCs w:val="21"/>
                <w:lang w:val="en-US" w:eastAsia="zh-CN"/>
              </w:rPr>
              <w:t>1.59</w:t>
            </w:r>
            <w:r>
              <w:rPr>
                <w:rFonts w:hint="default" w:ascii="Times New Roman" w:hAnsi="Times New Roman" w:cs="Times New Roman"/>
                <w:color w:val="auto"/>
                <w:szCs w:val="21"/>
              </w:rPr>
              <w:t>kg/a、1</w:t>
            </w:r>
            <w:r>
              <w:rPr>
                <w:rFonts w:hint="default" w:ascii="Times New Roman" w:hAnsi="Times New Roman" w:cs="Times New Roman"/>
                <w:color w:val="auto"/>
                <w:szCs w:val="21"/>
                <w:lang w:val="en-US" w:eastAsia="zh-CN"/>
              </w:rPr>
              <w:t>.</w:t>
            </w:r>
            <w:r>
              <w:rPr>
                <w:rFonts w:hint="eastAsia" w:cs="Times New Roman"/>
                <w:color w:val="auto"/>
                <w:szCs w:val="21"/>
                <w:lang w:val="en-US" w:eastAsia="zh-CN"/>
              </w:rPr>
              <w:t>33</w:t>
            </w:r>
            <w:r>
              <w:rPr>
                <w:rFonts w:hint="default" w:ascii="Times New Roman" w:hAnsi="Times New Roman" w:cs="Times New Roman"/>
                <w:color w:val="auto"/>
                <w:szCs w:val="21"/>
              </w:rPr>
              <w:t>mg/m</w:t>
            </w:r>
            <w:r>
              <w:rPr>
                <w:rFonts w:hint="default" w:ascii="Times New Roman" w:hAnsi="Times New Roman" w:cs="Times New Roman"/>
                <w:color w:val="auto"/>
                <w:szCs w:val="21"/>
                <w:vertAlign w:val="superscript"/>
              </w:rPr>
              <w:t>3</w:t>
            </w:r>
          </w:p>
        </w:tc>
        <w:tc>
          <w:tcPr>
            <w:tcW w:w="1398" w:type="dxa"/>
            <w:vAlign w:val="center"/>
          </w:tcPr>
          <w:p w14:paraId="2471C9BA">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达标排放</w:t>
            </w:r>
          </w:p>
        </w:tc>
      </w:tr>
      <w:tr w14:paraId="52314C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92" w:type="dxa"/>
            <w:vMerge w:val="restart"/>
            <w:vAlign w:val="center"/>
          </w:tcPr>
          <w:p w14:paraId="18BE0BEF">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废水</w:t>
            </w:r>
          </w:p>
        </w:tc>
        <w:tc>
          <w:tcPr>
            <w:tcW w:w="713" w:type="dxa"/>
            <w:gridSpan w:val="2"/>
            <w:vAlign w:val="center"/>
          </w:tcPr>
          <w:p w14:paraId="791A3709">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施工期</w:t>
            </w:r>
          </w:p>
        </w:tc>
        <w:tc>
          <w:tcPr>
            <w:tcW w:w="1412" w:type="dxa"/>
            <w:vAlign w:val="center"/>
          </w:tcPr>
          <w:p w14:paraId="0FFF4085">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生活污水</w:t>
            </w:r>
          </w:p>
        </w:tc>
        <w:tc>
          <w:tcPr>
            <w:tcW w:w="2175" w:type="dxa"/>
            <w:vAlign w:val="center"/>
          </w:tcPr>
          <w:p w14:paraId="19CD1013">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0.425 m</w:t>
            </w:r>
            <w:r>
              <w:rPr>
                <w:rFonts w:hint="default" w:ascii="Times New Roman" w:hAnsi="Times New Roman" w:cs="Times New Roman"/>
                <w:color w:val="auto"/>
                <w:szCs w:val="21"/>
                <w:vertAlign w:val="superscript"/>
              </w:rPr>
              <w:t>3</w:t>
            </w:r>
            <w:r>
              <w:rPr>
                <w:rFonts w:hint="default" w:ascii="Times New Roman" w:hAnsi="Times New Roman" w:cs="Times New Roman"/>
                <w:color w:val="auto"/>
                <w:szCs w:val="21"/>
              </w:rPr>
              <w:t>/d</w:t>
            </w:r>
          </w:p>
        </w:tc>
        <w:tc>
          <w:tcPr>
            <w:tcW w:w="2122" w:type="dxa"/>
            <w:vAlign w:val="center"/>
          </w:tcPr>
          <w:p w14:paraId="69975F37">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lang w:eastAsia="zh-CN"/>
              </w:rPr>
              <w:t>化粪池</w:t>
            </w:r>
            <w:r>
              <w:rPr>
                <w:rFonts w:hint="default" w:ascii="Times New Roman" w:hAnsi="Times New Roman" w:cs="Times New Roman"/>
                <w:color w:val="auto"/>
                <w:szCs w:val="21"/>
              </w:rPr>
              <w:t>处理</w:t>
            </w:r>
          </w:p>
        </w:tc>
        <w:tc>
          <w:tcPr>
            <w:tcW w:w="2208" w:type="dxa"/>
            <w:vAlign w:val="center"/>
          </w:tcPr>
          <w:p w14:paraId="0232D065">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0.425 m</w:t>
            </w:r>
            <w:r>
              <w:rPr>
                <w:rFonts w:hint="default" w:ascii="Times New Roman" w:hAnsi="Times New Roman" w:cs="Times New Roman"/>
                <w:color w:val="auto"/>
                <w:szCs w:val="21"/>
                <w:vertAlign w:val="superscript"/>
              </w:rPr>
              <w:t>3</w:t>
            </w:r>
            <w:r>
              <w:rPr>
                <w:rFonts w:hint="default" w:ascii="Times New Roman" w:hAnsi="Times New Roman" w:cs="Times New Roman"/>
                <w:color w:val="auto"/>
                <w:szCs w:val="21"/>
              </w:rPr>
              <w:t>/d</w:t>
            </w:r>
          </w:p>
        </w:tc>
        <w:tc>
          <w:tcPr>
            <w:tcW w:w="1398" w:type="dxa"/>
            <w:vAlign w:val="center"/>
          </w:tcPr>
          <w:p w14:paraId="7D353487">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排入园区污水管网</w:t>
            </w:r>
          </w:p>
        </w:tc>
      </w:tr>
      <w:tr w14:paraId="714C53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2" w:hRule="atLeast"/>
          <w:jc w:val="center"/>
        </w:trPr>
        <w:tc>
          <w:tcPr>
            <w:tcW w:w="392" w:type="dxa"/>
            <w:vMerge w:val="continue"/>
            <w:vAlign w:val="center"/>
          </w:tcPr>
          <w:p w14:paraId="6D332A8F">
            <w:pPr>
              <w:spacing w:line="276" w:lineRule="auto"/>
              <w:jc w:val="center"/>
              <w:rPr>
                <w:rFonts w:hint="default" w:ascii="Times New Roman" w:hAnsi="Times New Roman" w:cs="Times New Roman"/>
                <w:color w:val="auto"/>
                <w:szCs w:val="21"/>
              </w:rPr>
            </w:pPr>
          </w:p>
        </w:tc>
        <w:tc>
          <w:tcPr>
            <w:tcW w:w="713" w:type="dxa"/>
            <w:gridSpan w:val="2"/>
            <w:vAlign w:val="center"/>
          </w:tcPr>
          <w:p w14:paraId="4CD22674">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营运期</w:t>
            </w:r>
          </w:p>
        </w:tc>
        <w:tc>
          <w:tcPr>
            <w:tcW w:w="1412" w:type="dxa"/>
            <w:vAlign w:val="center"/>
          </w:tcPr>
          <w:p w14:paraId="5D25F2C2">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生活污水</w:t>
            </w:r>
          </w:p>
        </w:tc>
        <w:tc>
          <w:tcPr>
            <w:tcW w:w="2175" w:type="dxa"/>
            <w:vAlign w:val="center"/>
          </w:tcPr>
          <w:p w14:paraId="71C0558C">
            <w:pPr>
              <w:spacing w:line="276" w:lineRule="auto"/>
              <w:jc w:val="center"/>
              <w:rPr>
                <w:rFonts w:hint="default"/>
              </w:rPr>
            </w:pPr>
            <w:r>
              <w:rPr>
                <w:rFonts w:hint="default"/>
              </w:rPr>
              <w:t>废水量</w:t>
            </w:r>
            <w:r>
              <w:rPr>
                <w:rFonts w:hint="eastAsia"/>
                <w:lang w:eastAsia="zh-CN"/>
              </w:rPr>
              <w:t>：</w:t>
            </w:r>
            <w:r>
              <w:rPr>
                <w:rFonts w:hint="eastAsia"/>
                <w:lang w:val="en-US" w:eastAsia="zh-CN"/>
              </w:rPr>
              <w:t>2124</w:t>
            </w:r>
            <w:r>
              <w:rPr>
                <w:rFonts w:hint="default"/>
              </w:rPr>
              <w:t>m</w:t>
            </w:r>
            <w:r>
              <w:rPr>
                <w:rFonts w:hint="default"/>
                <w:vertAlign w:val="superscript"/>
              </w:rPr>
              <w:t>3</w:t>
            </w:r>
            <w:r>
              <w:rPr>
                <w:rFonts w:hint="default"/>
              </w:rPr>
              <w:t>/a</w:t>
            </w:r>
          </w:p>
          <w:p w14:paraId="58C670CC">
            <w:pPr>
              <w:spacing w:line="276" w:lineRule="auto"/>
              <w:jc w:val="center"/>
              <w:rPr>
                <w:rFonts w:hint="eastAsia"/>
                <w:lang w:val="en-US" w:eastAsia="zh-CN"/>
              </w:rPr>
            </w:pPr>
            <w:r>
              <w:rPr>
                <w:rFonts w:hint="default"/>
              </w:rPr>
              <w:t>COD：</w:t>
            </w:r>
            <w:r>
              <w:rPr>
                <w:rFonts w:hint="eastAsia"/>
                <w:lang w:val="en-US" w:eastAsia="zh-CN"/>
              </w:rPr>
              <w:t>0.85</w:t>
            </w:r>
            <w:r>
              <w:rPr>
                <w:rFonts w:hint="default"/>
              </w:rPr>
              <w:t>t/a</w:t>
            </w:r>
            <w:r>
              <w:rPr>
                <w:rFonts w:hint="eastAsia"/>
                <w:lang w:eastAsia="zh-CN"/>
              </w:rPr>
              <w:t>，</w:t>
            </w:r>
            <w:r>
              <w:rPr>
                <w:rFonts w:hint="eastAsia"/>
                <w:lang w:val="en-US" w:eastAsia="zh-CN"/>
              </w:rPr>
              <w:t>400mg/L</w:t>
            </w:r>
          </w:p>
          <w:p w14:paraId="38A4CF21">
            <w:pPr>
              <w:spacing w:line="276" w:lineRule="auto"/>
              <w:jc w:val="center"/>
              <w:rPr>
                <w:rFonts w:hint="eastAsia"/>
                <w:lang w:val="en-US" w:eastAsia="zh-CN"/>
              </w:rPr>
            </w:pPr>
            <w:r>
              <w:rPr>
                <w:rFonts w:hint="default"/>
              </w:rPr>
              <w:t>BOD</w:t>
            </w:r>
            <w:r>
              <w:rPr>
                <w:rFonts w:hint="default"/>
                <w:vertAlign w:val="subscript"/>
              </w:rPr>
              <w:t>5</w:t>
            </w:r>
            <w:r>
              <w:rPr>
                <w:rFonts w:hint="default"/>
              </w:rPr>
              <w:t>：</w:t>
            </w:r>
            <w:r>
              <w:rPr>
                <w:rFonts w:hint="eastAsia"/>
                <w:lang w:val="en-US" w:eastAsia="zh-CN"/>
              </w:rPr>
              <w:t>0.531</w:t>
            </w:r>
            <w:r>
              <w:rPr>
                <w:rFonts w:hint="default"/>
              </w:rPr>
              <w:t>t/a</w:t>
            </w:r>
            <w:r>
              <w:rPr>
                <w:rFonts w:hint="eastAsia"/>
                <w:lang w:eastAsia="zh-CN"/>
              </w:rPr>
              <w:t>，</w:t>
            </w:r>
            <w:r>
              <w:rPr>
                <w:rFonts w:hint="eastAsia"/>
                <w:lang w:val="en-US" w:eastAsia="zh-CN"/>
              </w:rPr>
              <w:t>250mg/L</w:t>
            </w:r>
          </w:p>
          <w:p w14:paraId="5395DA3C">
            <w:pPr>
              <w:spacing w:line="276" w:lineRule="auto"/>
              <w:jc w:val="center"/>
              <w:rPr>
                <w:rFonts w:hint="eastAsia"/>
                <w:lang w:val="en-US" w:eastAsia="zh-CN"/>
              </w:rPr>
            </w:pPr>
            <w:r>
              <w:rPr>
                <w:rFonts w:hint="default"/>
              </w:rPr>
              <w:t>SS：</w:t>
            </w:r>
            <w:r>
              <w:rPr>
                <w:rFonts w:hint="eastAsia"/>
                <w:lang w:val="en-US" w:eastAsia="zh-CN"/>
              </w:rPr>
              <w:t>0.743</w:t>
            </w:r>
            <w:r>
              <w:rPr>
                <w:rFonts w:hint="default"/>
              </w:rPr>
              <w:t>t/a</w:t>
            </w:r>
            <w:r>
              <w:rPr>
                <w:rFonts w:hint="eastAsia"/>
                <w:lang w:eastAsia="zh-CN"/>
              </w:rPr>
              <w:t>，</w:t>
            </w:r>
            <w:r>
              <w:rPr>
                <w:rFonts w:hint="eastAsia"/>
                <w:lang w:val="en-US" w:eastAsia="zh-CN"/>
              </w:rPr>
              <w:t>350mg/L</w:t>
            </w:r>
          </w:p>
          <w:p w14:paraId="7A1DC262">
            <w:pPr>
              <w:spacing w:line="276" w:lineRule="auto"/>
              <w:jc w:val="center"/>
              <w:rPr>
                <w:rFonts w:hint="eastAsia"/>
                <w:lang w:val="en-US" w:eastAsia="zh-CN"/>
              </w:rPr>
            </w:pPr>
            <w:r>
              <w:rPr>
                <w:rFonts w:hint="default"/>
              </w:rPr>
              <w:t>NH</w:t>
            </w:r>
            <w:r>
              <w:rPr>
                <w:rFonts w:hint="default"/>
                <w:vertAlign w:val="subscript"/>
              </w:rPr>
              <w:t>3</w:t>
            </w:r>
            <w:r>
              <w:rPr>
                <w:rFonts w:hint="default"/>
              </w:rPr>
              <w:t>-N：</w:t>
            </w:r>
            <w:r>
              <w:rPr>
                <w:rFonts w:hint="eastAsia"/>
                <w:lang w:val="en-US" w:eastAsia="zh-CN"/>
              </w:rPr>
              <w:t>0.074</w:t>
            </w:r>
            <w:r>
              <w:rPr>
                <w:rFonts w:hint="default"/>
              </w:rPr>
              <w:t>t/a</w:t>
            </w:r>
            <w:r>
              <w:rPr>
                <w:rFonts w:hint="eastAsia"/>
                <w:lang w:eastAsia="zh-CN"/>
              </w:rPr>
              <w:t>，</w:t>
            </w:r>
            <w:r>
              <w:rPr>
                <w:rFonts w:hint="eastAsia"/>
                <w:lang w:val="en-US" w:eastAsia="zh-CN"/>
              </w:rPr>
              <w:t>35mg/L</w:t>
            </w:r>
          </w:p>
          <w:p w14:paraId="5DAD9CBF">
            <w:pPr>
              <w:spacing w:line="276" w:lineRule="auto"/>
              <w:jc w:val="center"/>
              <w:rPr>
                <w:rFonts w:hint="eastAsia"/>
                <w:lang w:val="en-US" w:eastAsia="zh-CN"/>
              </w:rPr>
            </w:pPr>
            <w:r>
              <w:rPr>
                <w:rFonts w:hint="eastAsia"/>
                <w:lang w:val="en-US" w:eastAsia="zh-CN"/>
              </w:rPr>
              <w:t>动植物油：0.255t/a，120mg/L</w:t>
            </w:r>
          </w:p>
        </w:tc>
        <w:tc>
          <w:tcPr>
            <w:tcW w:w="2122" w:type="dxa"/>
            <w:vAlign w:val="center"/>
          </w:tcPr>
          <w:p w14:paraId="7A93C4AC">
            <w:pPr>
              <w:spacing w:line="276" w:lineRule="auto"/>
              <w:jc w:val="center"/>
              <w:rPr>
                <w:rFonts w:hint="default"/>
                <w:lang w:eastAsia="zh-CN"/>
              </w:rPr>
            </w:pPr>
            <w:r>
              <w:rPr>
                <w:rFonts w:hint="eastAsia"/>
                <w:lang w:val="en-US" w:eastAsia="zh-CN"/>
              </w:rPr>
              <w:t>食堂废水经</w:t>
            </w:r>
            <w:r>
              <w:rPr>
                <w:rFonts w:hint="default"/>
                <w:lang w:eastAsia="zh-CN"/>
              </w:rPr>
              <w:t>隔油池</w:t>
            </w:r>
            <w:r>
              <w:rPr>
                <w:rFonts w:hint="default"/>
              </w:rPr>
              <w:t>处理</w:t>
            </w:r>
            <w:r>
              <w:rPr>
                <w:rFonts w:hint="default"/>
                <w:lang w:eastAsia="zh-CN"/>
              </w:rPr>
              <w:t>后</w:t>
            </w:r>
            <w:r>
              <w:rPr>
                <w:rFonts w:hint="eastAsia"/>
                <w:lang w:val="en-US" w:eastAsia="zh-CN"/>
              </w:rPr>
              <w:t>同生活污水一并由化粪池处理后，</w:t>
            </w:r>
            <w:r>
              <w:rPr>
                <w:rFonts w:hint="default"/>
                <w:lang w:eastAsia="zh-CN"/>
              </w:rPr>
              <w:t>排入园区污水管网</w:t>
            </w:r>
          </w:p>
        </w:tc>
        <w:tc>
          <w:tcPr>
            <w:tcW w:w="2208" w:type="dxa"/>
            <w:vAlign w:val="center"/>
          </w:tcPr>
          <w:p w14:paraId="4802599B">
            <w:pPr>
              <w:spacing w:line="276" w:lineRule="auto"/>
              <w:jc w:val="center"/>
              <w:rPr>
                <w:rFonts w:hint="default"/>
              </w:rPr>
            </w:pPr>
            <w:r>
              <w:rPr>
                <w:rFonts w:hint="default"/>
              </w:rPr>
              <w:t>废水量：</w:t>
            </w:r>
            <w:r>
              <w:rPr>
                <w:rFonts w:hint="eastAsia"/>
                <w:lang w:val="en-US" w:eastAsia="zh-CN"/>
              </w:rPr>
              <w:t>2124</w:t>
            </w:r>
            <w:r>
              <w:rPr>
                <w:rFonts w:hint="default"/>
              </w:rPr>
              <w:t>m</w:t>
            </w:r>
            <w:r>
              <w:rPr>
                <w:rFonts w:hint="default"/>
                <w:vertAlign w:val="superscript"/>
              </w:rPr>
              <w:t>3</w:t>
            </w:r>
            <w:r>
              <w:rPr>
                <w:rFonts w:hint="default"/>
              </w:rPr>
              <w:t>/a</w:t>
            </w:r>
          </w:p>
          <w:p w14:paraId="04A6D980">
            <w:pPr>
              <w:spacing w:line="276" w:lineRule="auto"/>
              <w:jc w:val="center"/>
              <w:rPr>
                <w:rFonts w:hint="default"/>
                <w:lang w:val="en-US" w:eastAsia="zh-CN"/>
              </w:rPr>
            </w:pPr>
            <w:r>
              <w:rPr>
                <w:rFonts w:hint="default"/>
              </w:rPr>
              <w:t>COD：</w:t>
            </w:r>
            <w:r>
              <w:rPr>
                <w:rFonts w:hint="eastAsia"/>
                <w:lang w:val="en-US" w:eastAsia="zh-CN"/>
              </w:rPr>
              <w:t>0.531</w:t>
            </w:r>
            <w:r>
              <w:rPr>
                <w:rFonts w:hint="default"/>
              </w:rPr>
              <w:t>t/a</w:t>
            </w:r>
            <w:r>
              <w:rPr>
                <w:rFonts w:hint="default"/>
                <w:lang w:eastAsia="zh-CN"/>
              </w:rPr>
              <w:t>，</w:t>
            </w:r>
            <w:r>
              <w:rPr>
                <w:rFonts w:hint="eastAsia"/>
                <w:lang w:val="en-US" w:eastAsia="zh-CN"/>
              </w:rPr>
              <w:t>250</w:t>
            </w:r>
            <w:r>
              <w:rPr>
                <w:rFonts w:hint="default"/>
                <w:lang w:val="en-US" w:eastAsia="zh-CN"/>
              </w:rPr>
              <w:t>mg/L</w:t>
            </w:r>
          </w:p>
          <w:p w14:paraId="443713BE">
            <w:pPr>
              <w:spacing w:line="276" w:lineRule="auto"/>
              <w:jc w:val="center"/>
              <w:rPr>
                <w:rFonts w:hint="default"/>
                <w:lang w:val="en-US" w:eastAsia="zh-CN"/>
              </w:rPr>
            </w:pPr>
            <w:r>
              <w:rPr>
                <w:rFonts w:hint="default"/>
              </w:rPr>
              <w:t>BOD5：</w:t>
            </w:r>
            <w:r>
              <w:rPr>
                <w:rFonts w:hint="eastAsia"/>
                <w:lang w:val="en-US" w:eastAsia="zh-CN"/>
              </w:rPr>
              <w:t>0.425</w:t>
            </w:r>
            <w:r>
              <w:rPr>
                <w:rFonts w:hint="default"/>
              </w:rPr>
              <w:t>t/a</w:t>
            </w:r>
            <w:r>
              <w:rPr>
                <w:rFonts w:hint="default"/>
                <w:lang w:eastAsia="zh-CN"/>
              </w:rPr>
              <w:t>，</w:t>
            </w:r>
            <w:r>
              <w:rPr>
                <w:rFonts w:hint="eastAsia"/>
                <w:lang w:val="en-US" w:eastAsia="zh-CN"/>
              </w:rPr>
              <w:t>200</w:t>
            </w:r>
            <w:r>
              <w:rPr>
                <w:rFonts w:hint="default"/>
                <w:lang w:val="en-US" w:eastAsia="zh-CN"/>
              </w:rPr>
              <w:t>mg/L</w:t>
            </w:r>
          </w:p>
          <w:p w14:paraId="1E91753A">
            <w:pPr>
              <w:spacing w:line="276" w:lineRule="auto"/>
              <w:jc w:val="center"/>
              <w:rPr>
                <w:rFonts w:hint="default"/>
                <w:lang w:val="en-US" w:eastAsia="zh-CN"/>
              </w:rPr>
            </w:pPr>
            <w:r>
              <w:rPr>
                <w:rFonts w:hint="default"/>
              </w:rPr>
              <w:t>SS：</w:t>
            </w:r>
            <w:r>
              <w:rPr>
                <w:rFonts w:hint="eastAsia"/>
                <w:lang w:val="en-US" w:eastAsia="zh-CN"/>
              </w:rPr>
              <w:t>0.467</w:t>
            </w:r>
            <w:r>
              <w:rPr>
                <w:rFonts w:hint="default"/>
              </w:rPr>
              <w:t>t/a</w:t>
            </w:r>
            <w:r>
              <w:rPr>
                <w:rFonts w:hint="default"/>
                <w:lang w:eastAsia="zh-CN"/>
              </w:rPr>
              <w:t>，</w:t>
            </w:r>
            <w:r>
              <w:rPr>
                <w:rFonts w:hint="default"/>
                <w:lang w:val="en-US" w:eastAsia="zh-CN"/>
              </w:rPr>
              <w:t>350mg/L</w:t>
            </w:r>
          </w:p>
          <w:p w14:paraId="37DE6894">
            <w:pPr>
              <w:spacing w:line="276" w:lineRule="auto"/>
              <w:jc w:val="center"/>
              <w:rPr>
                <w:rFonts w:hint="default"/>
                <w:lang w:val="en-US" w:eastAsia="zh-CN"/>
              </w:rPr>
            </w:pPr>
            <w:r>
              <w:rPr>
                <w:rFonts w:hint="default"/>
              </w:rPr>
              <w:t>NH3-N：0.0</w:t>
            </w:r>
            <w:r>
              <w:rPr>
                <w:rFonts w:hint="eastAsia"/>
                <w:lang w:val="en-US" w:eastAsia="zh-CN"/>
              </w:rPr>
              <w:t>53</w:t>
            </w:r>
            <w:r>
              <w:rPr>
                <w:rFonts w:hint="default"/>
              </w:rPr>
              <w:t>t/a</w:t>
            </w:r>
            <w:r>
              <w:rPr>
                <w:rFonts w:hint="default"/>
                <w:lang w:eastAsia="zh-CN"/>
              </w:rPr>
              <w:t>，</w:t>
            </w:r>
            <w:r>
              <w:rPr>
                <w:rFonts w:hint="default"/>
                <w:lang w:val="en-US" w:eastAsia="zh-CN"/>
              </w:rPr>
              <w:t>35mg/L</w:t>
            </w:r>
          </w:p>
          <w:p w14:paraId="4D6803D9">
            <w:pPr>
              <w:spacing w:line="276" w:lineRule="auto"/>
              <w:jc w:val="center"/>
              <w:rPr>
                <w:rFonts w:hint="default"/>
              </w:rPr>
            </w:pPr>
            <w:r>
              <w:rPr>
                <w:rFonts w:hint="default"/>
                <w:lang w:val="en-US" w:eastAsia="zh-CN"/>
              </w:rPr>
              <w:t>动植物油：</w:t>
            </w:r>
            <w:r>
              <w:rPr>
                <w:rFonts w:hint="eastAsia"/>
                <w:lang w:val="en-US" w:eastAsia="zh-CN"/>
              </w:rPr>
              <w:t>0.17</w:t>
            </w:r>
            <w:r>
              <w:rPr>
                <w:rFonts w:hint="default"/>
                <w:lang w:val="en-US" w:eastAsia="zh-CN"/>
              </w:rPr>
              <w:t>t/a，120mg/L</w:t>
            </w:r>
          </w:p>
        </w:tc>
        <w:tc>
          <w:tcPr>
            <w:tcW w:w="1398" w:type="dxa"/>
            <w:vAlign w:val="center"/>
          </w:tcPr>
          <w:p w14:paraId="2BD92450">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排入园区污水管网</w:t>
            </w:r>
          </w:p>
        </w:tc>
      </w:tr>
      <w:tr w14:paraId="3E4313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8" w:hRule="atLeast"/>
          <w:jc w:val="center"/>
        </w:trPr>
        <w:tc>
          <w:tcPr>
            <w:tcW w:w="392" w:type="dxa"/>
            <w:vAlign w:val="center"/>
          </w:tcPr>
          <w:p w14:paraId="5744B822">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噪声</w:t>
            </w:r>
          </w:p>
        </w:tc>
        <w:tc>
          <w:tcPr>
            <w:tcW w:w="713" w:type="dxa"/>
            <w:gridSpan w:val="2"/>
            <w:vAlign w:val="center"/>
          </w:tcPr>
          <w:p w14:paraId="2AC6FB44">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营运期</w:t>
            </w:r>
          </w:p>
        </w:tc>
        <w:tc>
          <w:tcPr>
            <w:tcW w:w="1412" w:type="dxa"/>
            <w:vAlign w:val="center"/>
          </w:tcPr>
          <w:p w14:paraId="261282B5">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设备噪声</w:t>
            </w:r>
          </w:p>
        </w:tc>
        <w:tc>
          <w:tcPr>
            <w:tcW w:w="2175" w:type="dxa"/>
            <w:vAlign w:val="center"/>
          </w:tcPr>
          <w:p w14:paraId="0C855254">
            <w:pPr>
              <w:spacing w:line="276" w:lineRule="auto"/>
              <w:jc w:val="center"/>
              <w:rPr>
                <w:rFonts w:hint="default" w:ascii="Times New Roman" w:hAnsi="Times New Roman" w:cs="Times New Roman"/>
                <w:color w:val="auto"/>
                <w:szCs w:val="21"/>
              </w:rPr>
            </w:pPr>
            <w:r>
              <w:rPr>
                <w:rFonts w:hint="eastAsia" w:cs="Times New Roman"/>
                <w:color w:val="auto"/>
                <w:szCs w:val="21"/>
                <w:lang w:val="en-US" w:eastAsia="zh-CN"/>
              </w:rPr>
              <w:t>75</w:t>
            </w:r>
            <w:r>
              <w:rPr>
                <w:rFonts w:hint="default" w:ascii="Times New Roman" w:hAnsi="Times New Roman" w:cs="Times New Roman"/>
                <w:color w:val="auto"/>
                <w:szCs w:val="21"/>
              </w:rPr>
              <w:t>~</w:t>
            </w:r>
            <w:r>
              <w:rPr>
                <w:rFonts w:hint="eastAsia" w:cs="Times New Roman"/>
                <w:color w:val="auto"/>
                <w:szCs w:val="21"/>
                <w:lang w:val="en-US" w:eastAsia="zh-CN"/>
              </w:rPr>
              <w:t>90</w:t>
            </w:r>
            <w:r>
              <w:rPr>
                <w:rFonts w:hint="default" w:ascii="Times New Roman" w:hAnsi="Times New Roman" w:cs="Times New Roman"/>
                <w:color w:val="auto"/>
                <w:szCs w:val="21"/>
              </w:rPr>
              <w:t>dB</w:t>
            </w:r>
          </w:p>
        </w:tc>
        <w:tc>
          <w:tcPr>
            <w:tcW w:w="2122" w:type="dxa"/>
            <w:vAlign w:val="center"/>
          </w:tcPr>
          <w:p w14:paraId="12A62D8B">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厂房隔声，采取减振、消音措施</w:t>
            </w:r>
          </w:p>
        </w:tc>
        <w:tc>
          <w:tcPr>
            <w:tcW w:w="2208" w:type="dxa"/>
            <w:vAlign w:val="center"/>
          </w:tcPr>
          <w:p w14:paraId="5953FD0D">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昼间≤65dB</w:t>
            </w:r>
          </w:p>
          <w:p w14:paraId="50BD4E5C">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夜间≤55dB</w:t>
            </w:r>
          </w:p>
        </w:tc>
        <w:tc>
          <w:tcPr>
            <w:tcW w:w="1398" w:type="dxa"/>
            <w:vAlign w:val="center"/>
          </w:tcPr>
          <w:p w14:paraId="4A422553">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达标排放</w:t>
            </w:r>
          </w:p>
        </w:tc>
      </w:tr>
      <w:tr w14:paraId="42BF7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92" w:type="dxa"/>
            <w:vMerge w:val="restart"/>
            <w:vAlign w:val="center"/>
          </w:tcPr>
          <w:p w14:paraId="6FBCF2E9">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固体废物</w:t>
            </w:r>
          </w:p>
        </w:tc>
        <w:tc>
          <w:tcPr>
            <w:tcW w:w="330" w:type="dxa"/>
            <w:vMerge w:val="restart"/>
            <w:vAlign w:val="center"/>
          </w:tcPr>
          <w:p w14:paraId="6DE5A731">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营运期</w:t>
            </w:r>
          </w:p>
        </w:tc>
        <w:tc>
          <w:tcPr>
            <w:tcW w:w="383" w:type="dxa"/>
            <w:vMerge w:val="restart"/>
            <w:vAlign w:val="center"/>
          </w:tcPr>
          <w:p w14:paraId="4961C071">
            <w:pPr>
              <w:spacing w:line="276" w:lineRule="auto"/>
              <w:jc w:val="center"/>
              <w:rPr>
                <w:rFonts w:hint="eastAsia" w:ascii="Times New Roman" w:hAnsi="Times New Roman" w:eastAsia="宋体" w:cs="Times New Roman"/>
                <w:color w:val="auto"/>
                <w:szCs w:val="21"/>
                <w:lang w:val="en-US" w:eastAsia="zh-CN"/>
              </w:rPr>
            </w:pPr>
            <w:r>
              <w:rPr>
                <w:rFonts w:hint="eastAsia" w:cs="Times New Roman"/>
                <w:color w:val="auto"/>
                <w:szCs w:val="21"/>
                <w:lang w:val="en-US" w:eastAsia="zh-CN"/>
              </w:rPr>
              <w:t>一般固废</w:t>
            </w:r>
          </w:p>
        </w:tc>
        <w:tc>
          <w:tcPr>
            <w:tcW w:w="1412" w:type="dxa"/>
            <w:vAlign w:val="center"/>
          </w:tcPr>
          <w:p w14:paraId="73B6119F">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lang w:val="en-US" w:eastAsia="zh-CN"/>
              </w:rPr>
              <w:t>PP、PE废料</w:t>
            </w:r>
            <w:r>
              <w:rPr>
                <w:rFonts w:hint="eastAsia" w:cs="Times New Roman"/>
                <w:color w:val="auto"/>
                <w:sz w:val="21"/>
                <w:szCs w:val="21"/>
                <w:lang w:val="en-US" w:eastAsia="zh-CN"/>
              </w:rPr>
              <w:t>及不合格注塑吹塑产品</w:t>
            </w:r>
          </w:p>
        </w:tc>
        <w:tc>
          <w:tcPr>
            <w:tcW w:w="2175" w:type="dxa"/>
            <w:vAlign w:val="center"/>
          </w:tcPr>
          <w:p w14:paraId="71231CB7">
            <w:pPr>
              <w:spacing w:line="276" w:lineRule="auto"/>
              <w:jc w:val="center"/>
              <w:rPr>
                <w:rFonts w:hint="default" w:ascii="Times New Roman" w:hAnsi="Times New Roman" w:cs="Times New Roman"/>
                <w:color w:val="auto"/>
                <w:szCs w:val="21"/>
              </w:rPr>
            </w:pPr>
            <w:r>
              <w:rPr>
                <w:rFonts w:hint="eastAsia" w:cs="Times New Roman"/>
                <w:color w:val="auto"/>
                <w:sz w:val="21"/>
                <w:szCs w:val="21"/>
                <w:lang w:val="en-US" w:eastAsia="zh-CN"/>
              </w:rPr>
              <w:t>3t</w:t>
            </w:r>
            <w:r>
              <w:rPr>
                <w:rFonts w:hint="default" w:ascii="Times New Roman" w:hAnsi="Times New Roman" w:cs="Times New Roman"/>
                <w:color w:val="auto"/>
                <w:sz w:val="21"/>
                <w:szCs w:val="21"/>
              </w:rPr>
              <w:t>/a</w:t>
            </w:r>
          </w:p>
        </w:tc>
        <w:tc>
          <w:tcPr>
            <w:tcW w:w="2122" w:type="dxa"/>
            <w:vAlign w:val="center"/>
          </w:tcPr>
          <w:p w14:paraId="270432DD">
            <w:pPr>
              <w:spacing w:line="276" w:lineRule="auto"/>
              <w:jc w:val="center"/>
              <w:rPr>
                <w:rFonts w:hint="eastAsia" w:ascii="Times New Roman" w:hAnsi="Times New Roman" w:eastAsia="宋体" w:cs="Times New Roman"/>
                <w:color w:val="auto"/>
                <w:szCs w:val="21"/>
                <w:lang w:val="en-US" w:eastAsia="zh-CN"/>
              </w:rPr>
            </w:pPr>
            <w:r>
              <w:rPr>
                <w:rFonts w:hint="eastAsia" w:cs="Times New Roman"/>
                <w:color w:val="auto"/>
                <w:sz w:val="21"/>
                <w:szCs w:val="21"/>
                <w:lang w:val="en-US" w:eastAsia="zh-CN"/>
              </w:rPr>
              <w:t>破碎后回用</w:t>
            </w:r>
          </w:p>
        </w:tc>
        <w:tc>
          <w:tcPr>
            <w:tcW w:w="2208" w:type="dxa"/>
            <w:vAlign w:val="center"/>
          </w:tcPr>
          <w:p w14:paraId="48DAFBD9">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w:t>
            </w:r>
          </w:p>
        </w:tc>
        <w:tc>
          <w:tcPr>
            <w:tcW w:w="1398" w:type="dxa"/>
            <w:vAlign w:val="center"/>
          </w:tcPr>
          <w:p w14:paraId="7A2ECAC6">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无害化处置</w:t>
            </w:r>
          </w:p>
        </w:tc>
      </w:tr>
      <w:tr w14:paraId="5A2EA7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92" w:type="dxa"/>
            <w:vMerge w:val="continue"/>
            <w:vAlign w:val="center"/>
          </w:tcPr>
          <w:p w14:paraId="2D53D355">
            <w:pPr>
              <w:spacing w:line="276" w:lineRule="auto"/>
              <w:jc w:val="center"/>
              <w:rPr>
                <w:rFonts w:hint="default" w:ascii="Times New Roman" w:hAnsi="Times New Roman" w:cs="Times New Roman"/>
                <w:color w:val="auto"/>
                <w:szCs w:val="21"/>
              </w:rPr>
            </w:pPr>
          </w:p>
        </w:tc>
        <w:tc>
          <w:tcPr>
            <w:tcW w:w="330" w:type="dxa"/>
            <w:vMerge w:val="continue"/>
            <w:vAlign w:val="center"/>
          </w:tcPr>
          <w:p w14:paraId="40D1763B">
            <w:pPr>
              <w:spacing w:line="276" w:lineRule="auto"/>
              <w:jc w:val="center"/>
              <w:rPr>
                <w:rFonts w:hint="default" w:ascii="Times New Roman" w:hAnsi="Times New Roman" w:cs="Times New Roman"/>
                <w:color w:val="auto"/>
                <w:szCs w:val="21"/>
              </w:rPr>
            </w:pPr>
          </w:p>
        </w:tc>
        <w:tc>
          <w:tcPr>
            <w:tcW w:w="383" w:type="dxa"/>
            <w:vMerge w:val="continue"/>
            <w:vAlign w:val="center"/>
          </w:tcPr>
          <w:p w14:paraId="782B988E">
            <w:pPr>
              <w:spacing w:line="276" w:lineRule="auto"/>
              <w:jc w:val="center"/>
              <w:rPr>
                <w:rFonts w:hint="default" w:ascii="Times New Roman" w:hAnsi="Times New Roman" w:cs="Times New Roman"/>
                <w:color w:val="auto"/>
                <w:szCs w:val="21"/>
              </w:rPr>
            </w:pPr>
          </w:p>
        </w:tc>
        <w:tc>
          <w:tcPr>
            <w:tcW w:w="1412" w:type="dxa"/>
            <w:vAlign w:val="center"/>
          </w:tcPr>
          <w:p w14:paraId="760292F5">
            <w:pPr>
              <w:spacing w:line="276" w:lineRule="auto"/>
              <w:jc w:val="center"/>
              <w:rPr>
                <w:rFonts w:hint="default" w:ascii="Times New Roman" w:hAnsi="Times New Roman" w:eastAsia="宋体" w:cs="Times New Roman"/>
                <w:color w:val="auto"/>
                <w:szCs w:val="21"/>
                <w:lang w:eastAsia="zh-CN"/>
              </w:rPr>
            </w:pPr>
            <w:r>
              <w:rPr>
                <w:rFonts w:hint="default" w:ascii="Times New Roman" w:hAnsi="Times New Roman" w:cs="Times New Roman"/>
                <w:color w:val="auto"/>
                <w:sz w:val="21"/>
                <w:szCs w:val="21"/>
                <w:lang w:val="en-US" w:eastAsia="zh-CN"/>
              </w:rPr>
              <w:t>金属废料、包装弃料</w:t>
            </w:r>
          </w:p>
        </w:tc>
        <w:tc>
          <w:tcPr>
            <w:tcW w:w="2175" w:type="dxa"/>
            <w:vAlign w:val="center"/>
          </w:tcPr>
          <w:p w14:paraId="7F4429EB">
            <w:pPr>
              <w:spacing w:line="276" w:lineRule="auto"/>
              <w:jc w:val="center"/>
              <w:rPr>
                <w:rFonts w:hint="default" w:ascii="Times New Roman" w:hAnsi="Times New Roman" w:cs="Times New Roman"/>
                <w:color w:val="auto"/>
                <w:szCs w:val="21"/>
              </w:rPr>
            </w:pPr>
            <w:r>
              <w:rPr>
                <w:rFonts w:hint="eastAsia" w:cs="Times New Roman"/>
                <w:color w:val="auto"/>
                <w:sz w:val="21"/>
                <w:szCs w:val="21"/>
                <w:lang w:val="en-US" w:eastAsia="zh-CN"/>
              </w:rPr>
              <w:t>2</w:t>
            </w:r>
            <w:r>
              <w:rPr>
                <w:rFonts w:hint="default" w:ascii="Times New Roman" w:hAnsi="Times New Roman" w:cs="Times New Roman"/>
                <w:color w:val="auto"/>
                <w:sz w:val="21"/>
                <w:szCs w:val="21"/>
                <w:lang w:val="en-US" w:eastAsia="zh-CN"/>
              </w:rPr>
              <w:t>t</w:t>
            </w:r>
            <w:r>
              <w:rPr>
                <w:rFonts w:hint="default" w:ascii="Times New Roman" w:hAnsi="Times New Roman" w:cs="Times New Roman"/>
                <w:color w:val="auto"/>
                <w:sz w:val="21"/>
                <w:szCs w:val="21"/>
              </w:rPr>
              <w:t>/a</w:t>
            </w:r>
          </w:p>
        </w:tc>
        <w:tc>
          <w:tcPr>
            <w:tcW w:w="2122" w:type="dxa"/>
            <w:vAlign w:val="center"/>
          </w:tcPr>
          <w:p w14:paraId="287627DD">
            <w:pPr>
              <w:spacing w:line="276" w:lineRule="auto"/>
              <w:jc w:val="center"/>
              <w:rPr>
                <w:rFonts w:hint="default" w:ascii="Times New Roman" w:hAnsi="Times New Roman" w:eastAsia="宋体" w:cs="Times New Roman"/>
                <w:color w:val="auto"/>
                <w:szCs w:val="21"/>
                <w:lang w:eastAsia="zh-CN"/>
              </w:rPr>
            </w:pPr>
            <w:r>
              <w:rPr>
                <w:rFonts w:hint="default" w:ascii="Times New Roman" w:hAnsi="Times New Roman" w:cs="Times New Roman"/>
                <w:color w:val="auto"/>
                <w:sz w:val="21"/>
                <w:szCs w:val="21"/>
              </w:rPr>
              <w:t>外卖废品收购站</w:t>
            </w:r>
          </w:p>
        </w:tc>
        <w:tc>
          <w:tcPr>
            <w:tcW w:w="2208" w:type="dxa"/>
            <w:vAlign w:val="center"/>
          </w:tcPr>
          <w:p w14:paraId="50CEE27F">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w:t>
            </w:r>
          </w:p>
        </w:tc>
        <w:tc>
          <w:tcPr>
            <w:tcW w:w="1398" w:type="dxa"/>
            <w:vAlign w:val="center"/>
          </w:tcPr>
          <w:p w14:paraId="2791735E">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无害化处置</w:t>
            </w:r>
          </w:p>
        </w:tc>
      </w:tr>
      <w:tr w14:paraId="7F141F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92" w:type="dxa"/>
            <w:vMerge w:val="continue"/>
            <w:vAlign w:val="center"/>
          </w:tcPr>
          <w:p w14:paraId="4926A6A9">
            <w:pPr>
              <w:spacing w:line="276" w:lineRule="auto"/>
              <w:jc w:val="center"/>
              <w:rPr>
                <w:rFonts w:hint="default" w:ascii="Times New Roman" w:hAnsi="Times New Roman" w:cs="Times New Roman"/>
                <w:color w:val="auto"/>
                <w:szCs w:val="21"/>
              </w:rPr>
            </w:pPr>
          </w:p>
        </w:tc>
        <w:tc>
          <w:tcPr>
            <w:tcW w:w="330" w:type="dxa"/>
            <w:vMerge w:val="continue"/>
            <w:vAlign w:val="center"/>
          </w:tcPr>
          <w:p w14:paraId="43C8638C">
            <w:pPr>
              <w:spacing w:line="276" w:lineRule="auto"/>
              <w:jc w:val="center"/>
              <w:rPr>
                <w:rFonts w:hint="default" w:ascii="Times New Roman" w:hAnsi="Times New Roman" w:cs="Times New Roman"/>
                <w:color w:val="auto"/>
                <w:szCs w:val="21"/>
              </w:rPr>
            </w:pPr>
          </w:p>
        </w:tc>
        <w:tc>
          <w:tcPr>
            <w:tcW w:w="383" w:type="dxa"/>
            <w:vMerge w:val="continue"/>
            <w:vAlign w:val="center"/>
          </w:tcPr>
          <w:p w14:paraId="7E4B48F4">
            <w:pPr>
              <w:spacing w:line="276" w:lineRule="auto"/>
              <w:jc w:val="center"/>
              <w:rPr>
                <w:rFonts w:hint="default" w:ascii="Times New Roman" w:hAnsi="Times New Roman" w:cs="Times New Roman"/>
                <w:color w:val="auto"/>
                <w:szCs w:val="21"/>
              </w:rPr>
            </w:pPr>
          </w:p>
        </w:tc>
        <w:tc>
          <w:tcPr>
            <w:tcW w:w="1412" w:type="dxa"/>
            <w:vAlign w:val="center"/>
          </w:tcPr>
          <w:p w14:paraId="3AE29A98">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rPr>
              <w:t>生活垃圾</w:t>
            </w:r>
          </w:p>
        </w:tc>
        <w:tc>
          <w:tcPr>
            <w:tcW w:w="2175" w:type="dxa"/>
            <w:vAlign w:val="center"/>
          </w:tcPr>
          <w:p w14:paraId="0EDB3A50">
            <w:pPr>
              <w:spacing w:line="276" w:lineRule="auto"/>
              <w:jc w:val="center"/>
              <w:rPr>
                <w:rFonts w:hint="default" w:ascii="Times New Roman" w:hAnsi="Times New Roman" w:cs="Times New Roman"/>
                <w:color w:val="auto"/>
                <w:szCs w:val="21"/>
              </w:rPr>
            </w:pPr>
            <w:r>
              <w:rPr>
                <w:rFonts w:hint="eastAsia" w:cs="Times New Roman"/>
                <w:color w:val="auto"/>
                <w:sz w:val="21"/>
                <w:szCs w:val="21"/>
                <w:lang w:val="en-US" w:eastAsia="zh-CN"/>
              </w:rPr>
              <w:t>8.85</w:t>
            </w:r>
            <w:r>
              <w:rPr>
                <w:rFonts w:hint="default" w:ascii="Times New Roman" w:hAnsi="Times New Roman" w:cs="Times New Roman"/>
                <w:color w:val="auto"/>
                <w:sz w:val="21"/>
                <w:szCs w:val="21"/>
              </w:rPr>
              <w:t>t/a</w:t>
            </w:r>
          </w:p>
        </w:tc>
        <w:tc>
          <w:tcPr>
            <w:tcW w:w="2122" w:type="dxa"/>
            <w:vAlign w:val="center"/>
          </w:tcPr>
          <w:p w14:paraId="04D0C075">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rPr>
              <w:t>环卫部门清运处理</w:t>
            </w:r>
          </w:p>
        </w:tc>
        <w:tc>
          <w:tcPr>
            <w:tcW w:w="2208" w:type="dxa"/>
            <w:vAlign w:val="center"/>
          </w:tcPr>
          <w:p w14:paraId="6B62CCFA">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w:t>
            </w:r>
          </w:p>
        </w:tc>
        <w:tc>
          <w:tcPr>
            <w:tcW w:w="1398" w:type="dxa"/>
            <w:vAlign w:val="center"/>
          </w:tcPr>
          <w:p w14:paraId="36501284">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无害化处置</w:t>
            </w:r>
          </w:p>
        </w:tc>
      </w:tr>
      <w:tr w14:paraId="1D5DEB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92" w:type="dxa"/>
            <w:vMerge w:val="continue"/>
            <w:vAlign w:val="center"/>
          </w:tcPr>
          <w:p w14:paraId="73ED4609">
            <w:pPr>
              <w:spacing w:line="276" w:lineRule="auto"/>
              <w:jc w:val="center"/>
              <w:rPr>
                <w:rFonts w:hint="default" w:ascii="Times New Roman" w:hAnsi="Times New Roman" w:cs="Times New Roman"/>
                <w:color w:val="auto"/>
                <w:szCs w:val="21"/>
              </w:rPr>
            </w:pPr>
          </w:p>
        </w:tc>
        <w:tc>
          <w:tcPr>
            <w:tcW w:w="330" w:type="dxa"/>
            <w:vMerge w:val="continue"/>
            <w:vAlign w:val="center"/>
          </w:tcPr>
          <w:p w14:paraId="5157AE63">
            <w:pPr>
              <w:spacing w:line="276" w:lineRule="auto"/>
              <w:jc w:val="center"/>
              <w:rPr>
                <w:rFonts w:hint="default" w:ascii="Times New Roman" w:hAnsi="Times New Roman" w:cs="Times New Roman"/>
                <w:color w:val="auto"/>
                <w:szCs w:val="21"/>
              </w:rPr>
            </w:pPr>
          </w:p>
        </w:tc>
        <w:tc>
          <w:tcPr>
            <w:tcW w:w="383" w:type="dxa"/>
            <w:vMerge w:val="continue"/>
            <w:vAlign w:val="center"/>
          </w:tcPr>
          <w:p w14:paraId="09ECE2E7">
            <w:pPr>
              <w:spacing w:line="276" w:lineRule="auto"/>
              <w:jc w:val="center"/>
              <w:rPr>
                <w:rFonts w:hint="default" w:ascii="Times New Roman" w:hAnsi="Times New Roman" w:cs="Times New Roman"/>
                <w:color w:val="auto"/>
                <w:szCs w:val="21"/>
              </w:rPr>
            </w:pPr>
          </w:p>
        </w:tc>
        <w:tc>
          <w:tcPr>
            <w:tcW w:w="1412" w:type="dxa"/>
            <w:vAlign w:val="center"/>
          </w:tcPr>
          <w:p w14:paraId="12276580">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lang w:eastAsia="zh-CN"/>
              </w:rPr>
              <w:t>化粪池</w:t>
            </w:r>
            <w:r>
              <w:rPr>
                <w:rFonts w:hint="default" w:ascii="Times New Roman" w:hAnsi="Times New Roman" w:cs="Times New Roman"/>
                <w:color w:val="auto"/>
                <w:sz w:val="21"/>
                <w:szCs w:val="21"/>
              </w:rPr>
              <w:t>污泥</w:t>
            </w:r>
          </w:p>
        </w:tc>
        <w:tc>
          <w:tcPr>
            <w:tcW w:w="2175" w:type="dxa"/>
            <w:vAlign w:val="center"/>
          </w:tcPr>
          <w:p w14:paraId="1489BB4F">
            <w:pPr>
              <w:spacing w:line="276" w:lineRule="auto"/>
              <w:jc w:val="center"/>
              <w:rPr>
                <w:rFonts w:hint="default" w:ascii="Times New Roman" w:hAnsi="Times New Roman" w:cs="Times New Roman"/>
                <w:color w:val="auto"/>
                <w:szCs w:val="21"/>
              </w:rPr>
            </w:pPr>
            <w:r>
              <w:rPr>
                <w:rFonts w:hint="eastAsia" w:cs="Times New Roman"/>
                <w:color w:val="auto"/>
                <w:sz w:val="21"/>
                <w:szCs w:val="21"/>
                <w:lang w:val="en-US" w:eastAsia="zh-CN"/>
              </w:rPr>
              <w:t>170</w:t>
            </w:r>
            <w:r>
              <w:rPr>
                <w:rFonts w:hint="default" w:ascii="Times New Roman" w:hAnsi="Times New Roman" w:cs="Times New Roman"/>
                <w:color w:val="auto"/>
                <w:sz w:val="21"/>
                <w:szCs w:val="21"/>
              </w:rPr>
              <w:t>kg/a</w:t>
            </w:r>
          </w:p>
        </w:tc>
        <w:tc>
          <w:tcPr>
            <w:tcW w:w="2122" w:type="dxa"/>
            <w:vAlign w:val="center"/>
          </w:tcPr>
          <w:p w14:paraId="2F416812">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rPr>
              <w:t>环卫部门清运处理</w:t>
            </w:r>
          </w:p>
        </w:tc>
        <w:tc>
          <w:tcPr>
            <w:tcW w:w="2208" w:type="dxa"/>
            <w:vAlign w:val="center"/>
          </w:tcPr>
          <w:p w14:paraId="1C1CFC71">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w:t>
            </w:r>
          </w:p>
        </w:tc>
        <w:tc>
          <w:tcPr>
            <w:tcW w:w="1398" w:type="dxa"/>
            <w:vAlign w:val="center"/>
          </w:tcPr>
          <w:p w14:paraId="6B018AA3">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无害化处置</w:t>
            </w:r>
          </w:p>
        </w:tc>
      </w:tr>
      <w:tr w14:paraId="0E8F8A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92" w:type="dxa"/>
            <w:vMerge w:val="continue"/>
            <w:vAlign w:val="center"/>
          </w:tcPr>
          <w:p w14:paraId="597AE1B1">
            <w:pPr>
              <w:spacing w:line="276" w:lineRule="auto"/>
              <w:jc w:val="center"/>
              <w:rPr>
                <w:rFonts w:hint="default" w:ascii="Times New Roman" w:hAnsi="Times New Roman" w:cs="Times New Roman"/>
                <w:color w:val="auto"/>
                <w:szCs w:val="21"/>
              </w:rPr>
            </w:pPr>
          </w:p>
        </w:tc>
        <w:tc>
          <w:tcPr>
            <w:tcW w:w="330" w:type="dxa"/>
            <w:vMerge w:val="continue"/>
            <w:vAlign w:val="center"/>
          </w:tcPr>
          <w:p w14:paraId="4B16E719">
            <w:pPr>
              <w:spacing w:line="276" w:lineRule="auto"/>
              <w:jc w:val="center"/>
              <w:rPr>
                <w:rFonts w:hint="default" w:ascii="Times New Roman" w:hAnsi="Times New Roman" w:cs="Times New Roman"/>
                <w:color w:val="auto"/>
                <w:szCs w:val="21"/>
              </w:rPr>
            </w:pPr>
          </w:p>
        </w:tc>
        <w:tc>
          <w:tcPr>
            <w:tcW w:w="383" w:type="dxa"/>
            <w:vMerge w:val="continue"/>
            <w:vAlign w:val="center"/>
          </w:tcPr>
          <w:p w14:paraId="221D330C">
            <w:pPr>
              <w:spacing w:line="276" w:lineRule="auto"/>
              <w:jc w:val="center"/>
              <w:rPr>
                <w:rFonts w:hint="default" w:ascii="Times New Roman" w:hAnsi="Times New Roman" w:cs="Times New Roman"/>
                <w:color w:val="auto"/>
                <w:szCs w:val="21"/>
              </w:rPr>
            </w:pPr>
          </w:p>
        </w:tc>
        <w:tc>
          <w:tcPr>
            <w:tcW w:w="1412" w:type="dxa"/>
            <w:vAlign w:val="center"/>
          </w:tcPr>
          <w:p w14:paraId="2FE1E226">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lang w:eastAsia="zh-CN"/>
              </w:rPr>
              <w:t>隔油池废油脂</w:t>
            </w:r>
          </w:p>
        </w:tc>
        <w:tc>
          <w:tcPr>
            <w:tcW w:w="2175" w:type="dxa"/>
            <w:vAlign w:val="center"/>
          </w:tcPr>
          <w:p w14:paraId="272BD363">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lang w:val="en-US" w:eastAsia="zh-CN"/>
              </w:rPr>
              <w:t>0.003t/a</w:t>
            </w:r>
          </w:p>
        </w:tc>
        <w:tc>
          <w:tcPr>
            <w:tcW w:w="2122" w:type="dxa"/>
            <w:vAlign w:val="center"/>
          </w:tcPr>
          <w:p w14:paraId="638365EC">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lang w:eastAsia="zh-CN"/>
              </w:rPr>
              <w:t>交</w:t>
            </w:r>
            <w:r>
              <w:rPr>
                <w:rFonts w:hint="eastAsia" w:cs="Times New Roman"/>
                <w:color w:val="auto"/>
                <w:sz w:val="21"/>
                <w:szCs w:val="21"/>
                <w:lang w:val="en-US" w:eastAsia="zh-CN"/>
              </w:rPr>
              <w:t>由有</w:t>
            </w:r>
            <w:r>
              <w:rPr>
                <w:rFonts w:hint="default" w:ascii="Times New Roman" w:hAnsi="Times New Roman" w:cs="Times New Roman"/>
                <w:color w:val="auto"/>
                <w:sz w:val="21"/>
                <w:szCs w:val="21"/>
                <w:lang w:eastAsia="zh-CN"/>
              </w:rPr>
              <w:t>收运资质的</w:t>
            </w:r>
            <w:r>
              <w:rPr>
                <w:rFonts w:hint="default" w:ascii="Times New Roman" w:hAnsi="Times New Roman" w:cs="Times New Roman"/>
                <w:color w:val="auto"/>
                <w:sz w:val="21"/>
                <w:szCs w:val="21"/>
                <w:lang w:val="en-US" w:eastAsia="zh-CN"/>
              </w:rPr>
              <w:t>餐厨垃圾收运单位</w:t>
            </w:r>
          </w:p>
        </w:tc>
        <w:tc>
          <w:tcPr>
            <w:tcW w:w="2208" w:type="dxa"/>
            <w:vAlign w:val="center"/>
          </w:tcPr>
          <w:p w14:paraId="1AB7D704">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w:t>
            </w:r>
          </w:p>
        </w:tc>
        <w:tc>
          <w:tcPr>
            <w:tcW w:w="1398" w:type="dxa"/>
            <w:vAlign w:val="center"/>
          </w:tcPr>
          <w:p w14:paraId="0DC4D48E">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无害化处置</w:t>
            </w:r>
          </w:p>
        </w:tc>
      </w:tr>
      <w:tr w14:paraId="65608F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92" w:type="dxa"/>
            <w:vMerge w:val="continue"/>
            <w:vAlign w:val="center"/>
          </w:tcPr>
          <w:p w14:paraId="43414B45">
            <w:pPr>
              <w:spacing w:line="276" w:lineRule="auto"/>
              <w:jc w:val="center"/>
              <w:rPr>
                <w:rFonts w:hint="default" w:ascii="Times New Roman" w:hAnsi="Times New Roman" w:cs="Times New Roman"/>
                <w:color w:val="auto"/>
                <w:szCs w:val="21"/>
              </w:rPr>
            </w:pPr>
          </w:p>
        </w:tc>
        <w:tc>
          <w:tcPr>
            <w:tcW w:w="330" w:type="dxa"/>
            <w:vMerge w:val="continue"/>
            <w:vAlign w:val="center"/>
          </w:tcPr>
          <w:p w14:paraId="39E508CD">
            <w:pPr>
              <w:spacing w:line="276" w:lineRule="auto"/>
              <w:jc w:val="center"/>
              <w:rPr>
                <w:rFonts w:hint="default" w:ascii="Times New Roman" w:hAnsi="Times New Roman" w:cs="Times New Roman"/>
                <w:color w:val="auto"/>
                <w:szCs w:val="21"/>
              </w:rPr>
            </w:pPr>
          </w:p>
        </w:tc>
        <w:tc>
          <w:tcPr>
            <w:tcW w:w="383" w:type="dxa"/>
            <w:vMerge w:val="restart"/>
            <w:vAlign w:val="center"/>
          </w:tcPr>
          <w:p w14:paraId="6E2479FE">
            <w:pPr>
              <w:spacing w:line="276" w:lineRule="auto"/>
              <w:jc w:val="center"/>
              <w:rPr>
                <w:rFonts w:hint="eastAsia" w:ascii="Times New Roman" w:hAnsi="Times New Roman" w:eastAsia="宋体" w:cs="Times New Roman"/>
                <w:color w:val="auto"/>
                <w:szCs w:val="21"/>
                <w:lang w:val="en-US" w:eastAsia="zh-CN"/>
              </w:rPr>
            </w:pPr>
            <w:r>
              <w:rPr>
                <w:rFonts w:hint="eastAsia" w:cs="Times New Roman"/>
                <w:color w:val="auto"/>
                <w:szCs w:val="21"/>
                <w:lang w:val="en-US" w:eastAsia="zh-CN"/>
              </w:rPr>
              <w:t>危险废物</w:t>
            </w:r>
          </w:p>
        </w:tc>
        <w:tc>
          <w:tcPr>
            <w:tcW w:w="1412" w:type="dxa"/>
            <w:vAlign w:val="center"/>
          </w:tcPr>
          <w:p w14:paraId="217EE366">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rPr>
              <w:t>废</w:t>
            </w:r>
            <w:r>
              <w:rPr>
                <w:rFonts w:hint="default" w:ascii="Times New Roman" w:hAnsi="Times New Roman" w:cs="Times New Roman"/>
                <w:color w:val="auto"/>
                <w:sz w:val="21"/>
                <w:szCs w:val="21"/>
                <w:lang w:eastAsia="zh-CN"/>
              </w:rPr>
              <w:t>液压油</w:t>
            </w:r>
          </w:p>
        </w:tc>
        <w:tc>
          <w:tcPr>
            <w:tcW w:w="2175" w:type="dxa"/>
            <w:vAlign w:val="center"/>
          </w:tcPr>
          <w:p w14:paraId="26A78F17">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rPr>
              <w:t>0.0</w:t>
            </w:r>
            <w:r>
              <w:rPr>
                <w:rFonts w:hint="eastAsia" w:cs="Times New Roman"/>
                <w:color w:val="auto"/>
                <w:sz w:val="21"/>
                <w:szCs w:val="21"/>
                <w:lang w:val="en-US" w:eastAsia="zh-CN"/>
              </w:rPr>
              <w:t>4</w:t>
            </w:r>
            <w:r>
              <w:rPr>
                <w:rFonts w:hint="default" w:ascii="Times New Roman" w:hAnsi="Times New Roman" w:cs="Times New Roman"/>
                <w:color w:val="auto"/>
                <w:sz w:val="21"/>
                <w:szCs w:val="21"/>
              </w:rPr>
              <w:t>t/a</w:t>
            </w:r>
          </w:p>
        </w:tc>
        <w:tc>
          <w:tcPr>
            <w:tcW w:w="2122" w:type="dxa"/>
            <w:vMerge w:val="restart"/>
            <w:vAlign w:val="center"/>
          </w:tcPr>
          <w:p w14:paraId="55627101">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rPr>
              <w:t>交由有资质的单位进行处理</w:t>
            </w:r>
          </w:p>
        </w:tc>
        <w:tc>
          <w:tcPr>
            <w:tcW w:w="2208" w:type="dxa"/>
            <w:vAlign w:val="center"/>
          </w:tcPr>
          <w:p w14:paraId="7C03915C">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w:t>
            </w:r>
          </w:p>
        </w:tc>
        <w:tc>
          <w:tcPr>
            <w:tcW w:w="1398" w:type="dxa"/>
            <w:vAlign w:val="center"/>
          </w:tcPr>
          <w:p w14:paraId="5BDCCB29">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无害化处置</w:t>
            </w:r>
          </w:p>
        </w:tc>
      </w:tr>
      <w:tr w14:paraId="4E0A23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92" w:type="dxa"/>
            <w:vMerge w:val="continue"/>
            <w:vAlign w:val="center"/>
          </w:tcPr>
          <w:p w14:paraId="2394F2AB">
            <w:pPr>
              <w:spacing w:line="276" w:lineRule="auto"/>
              <w:jc w:val="center"/>
              <w:rPr>
                <w:rFonts w:hint="default" w:ascii="Times New Roman" w:hAnsi="Times New Roman" w:cs="Times New Roman"/>
                <w:color w:val="auto"/>
                <w:szCs w:val="21"/>
              </w:rPr>
            </w:pPr>
          </w:p>
        </w:tc>
        <w:tc>
          <w:tcPr>
            <w:tcW w:w="330" w:type="dxa"/>
            <w:vMerge w:val="continue"/>
            <w:vAlign w:val="center"/>
          </w:tcPr>
          <w:p w14:paraId="367B2D26">
            <w:pPr>
              <w:spacing w:line="276" w:lineRule="auto"/>
              <w:jc w:val="center"/>
              <w:rPr>
                <w:rFonts w:hint="default" w:ascii="Times New Roman" w:hAnsi="Times New Roman" w:cs="Times New Roman"/>
                <w:color w:val="auto"/>
                <w:szCs w:val="21"/>
              </w:rPr>
            </w:pPr>
          </w:p>
        </w:tc>
        <w:tc>
          <w:tcPr>
            <w:tcW w:w="383" w:type="dxa"/>
            <w:vMerge w:val="continue"/>
            <w:vAlign w:val="center"/>
          </w:tcPr>
          <w:p w14:paraId="00859D93">
            <w:pPr>
              <w:spacing w:line="276" w:lineRule="auto"/>
              <w:jc w:val="center"/>
              <w:rPr>
                <w:rFonts w:hint="default" w:ascii="Times New Roman" w:hAnsi="Times New Roman" w:cs="Times New Roman"/>
                <w:color w:val="auto"/>
                <w:szCs w:val="21"/>
              </w:rPr>
            </w:pPr>
          </w:p>
        </w:tc>
        <w:tc>
          <w:tcPr>
            <w:tcW w:w="1412" w:type="dxa"/>
            <w:vAlign w:val="center"/>
          </w:tcPr>
          <w:p w14:paraId="71A6F569">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rPr>
              <w:t>废</w:t>
            </w:r>
            <w:r>
              <w:rPr>
                <w:rFonts w:hint="default" w:ascii="Times New Roman" w:hAnsi="Times New Roman" w:cs="Times New Roman"/>
                <w:color w:val="auto"/>
                <w:sz w:val="21"/>
                <w:szCs w:val="21"/>
                <w:lang w:eastAsia="zh-CN"/>
              </w:rPr>
              <w:t>含油抹布手套</w:t>
            </w:r>
          </w:p>
        </w:tc>
        <w:tc>
          <w:tcPr>
            <w:tcW w:w="2175" w:type="dxa"/>
            <w:vAlign w:val="center"/>
          </w:tcPr>
          <w:p w14:paraId="33C7E29B">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rPr>
              <w:t>0.</w:t>
            </w:r>
            <w:r>
              <w:rPr>
                <w:rFonts w:hint="default" w:ascii="Times New Roman" w:hAnsi="Times New Roman" w:cs="Times New Roman"/>
                <w:color w:val="auto"/>
                <w:sz w:val="21"/>
                <w:szCs w:val="21"/>
                <w:lang w:val="en-US" w:eastAsia="zh-CN"/>
              </w:rPr>
              <w:t>02</w:t>
            </w:r>
            <w:r>
              <w:rPr>
                <w:rFonts w:hint="default" w:ascii="Times New Roman" w:hAnsi="Times New Roman" w:cs="Times New Roman"/>
                <w:color w:val="auto"/>
                <w:sz w:val="21"/>
                <w:szCs w:val="21"/>
              </w:rPr>
              <w:t>t/a</w:t>
            </w:r>
          </w:p>
        </w:tc>
        <w:tc>
          <w:tcPr>
            <w:tcW w:w="2122" w:type="dxa"/>
            <w:vMerge w:val="continue"/>
            <w:vAlign w:val="center"/>
          </w:tcPr>
          <w:p w14:paraId="1CB777F3">
            <w:pPr>
              <w:spacing w:line="276" w:lineRule="auto"/>
              <w:jc w:val="center"/>
              <w:rPr>
                <w:rFonts w:hint="default" w:ascii="Times New Roman" w:hAnsi="Times New Roman" w:cs="Times New Roman"/>
                <w:color w:val="auto"/>
                <w:szCs w:val="21"/>
              </w:rPr>
            </w:pPr>
          </w:p>
        </w:tc>
        <w:tc>
          <w:tcPr>
            <w:tcW w:w="2208" w:type="dxa"/>
            <w:vAlign w:val="center"/>
          </w:tcPr>
          <w:p w14:paraId="0270DD9A">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w:t>
            </w:r>
          </w:p>
        </w:tc>
        <w:tc>
          <w:tcPr>
            <w:tcW w:w="1398" w:type="dxa"/>
            <w:vAlign w:val="center"/>
          </w:tcPr>
          <w:p w14:paraId="7A642CC1">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无害化处置</w:t>
            </w:r>
          </w:p>
        </w:tc>
      </w:tr>
      <w:tr w14:paraId="77B2A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92" w:type="dxa"/>
            <w:vMerge w:val="continue"/>
            <w:vAlign w:val="center"/>
          </w:tcPr>
          <w:p w14:paraId="2FAB512D">
            <w:pPr>
              <w:spacing w:line="276" w:lineRule="auto"/>
              <w:jc w:val="center"/>
              <w:rPr>
                <w:rFonts w:hint="default" w:ascii="Times New Roman" w:hAnsi="Times New Roman" w:cs="Times New Roman"/>
                <w:color w:val="auto"/>
                <w:szCs w:val="21"/>
              </w:rPr>
            </w:pPr>
          </w:p>
        </w:tc>
        <w:tc>
          <w:tcPr>
            <w:tcW w:w="330" w:type="dxa"/>
            <w:vMerge w:val="continue"/>
            <w:vAlign w:val="center"/>
          </w:tcPr>
          <w:p w14:paraId="0E9A38C9">
            <w:pPr>
              <w:spacing w:line="276" w:lineRule="auto"/>
              <w:jc w:val="center"/>
              <w:rPr>
                <w:rFonts w:hint="default" w:ascii="Times New Roman" w:hAnsi="Times New Roman" w:cs="Times New Roman"/>
                <w:color w:val="auto"/>
                <w:szCs w:val="21"/>
              </w:rPr>
            </w:pPr>
          </w:p>
        </w:tc>
        <w:tc>
          <w:tcPr>
            <w:tcW w:w="383" w:type="dxa"/>
            <w:vMerge w:val="continue"/>
            <w:vAlign w:val="center"/>
          </w:tcPr>
          <w:p w14:paraId="644D19A0">
            <w:pPr>
              <w:spacing w:line="276" w:lineRule="auto"/>
              <w:jc w:val="center"/>
              <w:rPr>
                <w:rFonts w:hint="default" w:ascii="Times New Roman" w:hAnsi="Times New Roman" w:cs="Times New Roman"/>
                <w:color w:val="auto"/>
                <w:szCs w:val="21"/>
              </w:rPr>
            </w:pPr>
          </w:p>
        </w:tc>
        <w:tc>
          <w:tcPr>
            <w:tcW w:w="1412" w:type="dxa"/>
            <w:vAlign w:val="center"/>
          </w:tcPr>
          <w:p w14:paraId="5FF5146E">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lang w:val="en-US" w:eastAsia="zh-CN"/>
              </w:rPr>
              <w:t>废</w:t>
            </w:r>
            <w:r>
              <w:rPr>
                <w:rFonts w:hint="eastAsia" w:cs="Times New Roman"/>
                <w:color w:val="auto"/>
                <w:sz w:val="21"/>
                <w:szCs w:val="21"/>
                <w:lang w:val="en-US" w:eastAsia="zh-CN"/>
              </w:rPr>
              <w:t>润滑油</w:t>
            </w:r>
          </w:p>
        </w:tc>
        <w:tc>
          <w:tcPr>
            <w:tcW w:w="2175" w:type="dxa"/>
            <w:vAlign w:val="center"/>
          </w:tcPr>
          <w:p w14:paraId="71C12CD9">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rPr>
              <w:t>0.0</w:t>
            </w:r>
            <w:r>
              <w:rPr>
                <w:rFonts w:hint="default" w:ascii="Times New Roman" w:hAnsi="Times New Roman" w:cs="Times New Roman"/>
                <w:color w:val="auto"/>
                <w:sz w:val="21"/>
                <w:szCs w:val="21"/>
                <w:lang w:val="en-US" w:eastAsia="zh-CN"/>
              </w:rPr>
              <w:t>4</w:t>
            </w:r>
            <w:r>
              <w:rPr>
                <w:rFonts w:hint="default" w:ascii="Times New Roman" w:hAnsi="Times New Roman" w:cs="Times New Roman"/>
                <w:color w:val="auto"/>
                <w:sz w:val="21"/>
                <w:szCs w:val="21"/>
              </w:rPr>
              <w:t>t/a</w:t>
            </w:r>
          </w:p>
        </w:tc>
        <w:tc>
          <w:tcPr>
            <w:tcW w:w="2122" w:type="dxa"/>
            <w:vMerge w:val="continue"/>
            <w:vAlign w:val="center"/>
          </w:tcPr>
          <w:p w14:paraId="4B9375C1">
            <w:pPr>
              <w:spacing w:line="276" w:lineRule="auto"/>
              <w:jc w:val="center"/>
              <w:rPr>
                <w:rFonts w:hint="default" w:ascii="Times New Roman" w:hAnsi="Times New Roman" w:cs="Times New Roman"/>
                <w:color w:val="auto"/>
                <w:szCs w:val="21"/>
              </w:rPr>
            </w:pPr>
          </w:p>
        </w:tc>
        <w:tc>
          <w:tcPr>
            <w:tcW w:w="2208" w:type="dxa"/>
            <w:vAlign w:val="center"/>
          </w:tcPr>
          <w:p w14:paraId="63036B20">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w:t>
            </w:r>
          </w:p>
        </w:tc>
        <w:tc>
          <w:tcPr>
            <w:tcW w:w="1398" w:type="dxa"/>
            <w:vAlign w:val="center"/>
          </w:tcPr>
          <w:p w14:paraId="091C9FB2">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无害化处置</w:t>
            </w:r>
          </w:p>
        </w:tc>
      </w:tr>
      <w:tr w14:paraId="4CCC37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92" w:type="dxa"/>
            <w:vMerge w:val="continue"/>
            <w:vAlign w:val="center"/>
          </w:tcPr>
          <w:p w14:paraId="3A52C1D1">
            <w:pPr>
              <w:spacing w:line="276" w:lineRule="auto"/>
              <w:jc w:val="center"/>
              <w:rPr>
                <w:rFonts w:hint="default" w:ascii="Times New Roman" w:hAnsi="Times New Roman" w:cs="Times New Roman"/>
                <w:color w:val="auto"/>
                <w:szCs w:val="21"/>
              </w:rPr>
            </w:pPr>
          </w:p>
        </w:tc>
        <w:tc>
          <w:tcPr>
            <w:tcW w:w="330" w:type="dxa"/>
            <w:vMerge w:val="continue"/>
            <w:vAlign w:val="center"/>
          </w:tcPr>
          <w:p w14:paraId="2B296D6C">
            <w:pPr>
              <w:spacing w:line="276" w:lineRule="auto"/>
              <w:jc w:val="center"/>
              <w:rPr>
                <w:rFonts w:hint="default" w:ascii="Times New Roman" w:hAnsi="Times New Roman" w:cs="Times New Roman"/>
                <w:color w:val="auto"/>
                <w:szCs w:val="21"/>
              </w:rPr>
            </w:pPr>
          </w:p>
        </w:tc>
        <w:tc>
          <w:tcPr>
            <w:tcW w:w="383" w:type="dxa"/>
            <w:vMerge w:val="continue"/>
            <w:vAlign w:val="center"/>
          </w:tcPr>
          <w:p w14:paraId="777E04F0">
            <w:pPr>
              <w:spacing w:line="276" w:lineRule="auto"/>
              <w:jc w:val="center"/>
              <w:rPr>
                <w:rFonts w:hint="default" w:ascii="Times New Roman" w:hAnsi="Times New Roman" w:cs="Times New Roman"/>
                <w:color w:val="auto"/>
                <w:szCs w:val="21"/>
              </w:rPr>
            </w:pPr>
          </w:p>
        </w:tc>
        <w:tc>
          <w:tcPr>
            <w:tcW w:w="1412" w:type="dxa"/>
            <w:vAlign w:val="center"/>
          </w:tcPr>
          <w:p w14:paraId="0A0733AA">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lang w:val="en-US" w:eastAsia="zh-CN"/>
              </w:rPr>
              <w:t>废活性炭</w:t>
            </w:r>
          </w:p>
        </w:tc>
        <w:tc>
          <w:tcPr>
            <w:tcW w:w="2175" w:type="dxa"/>
            <w:vAlign w:val="center"/>
          </w:tcPr>
          <w:p w14:paraId="572D5964">
            <w:pPr>
              <w:spacing w:line="276" w:lineRule="auto"/>
              <w:jc w:val="center"/>
              <w:rPr>
                <w:rFonts w:hint="default" w:ascii="Times New Roman" w:hAnsi="Times New Roman" w:cs="Times New Roman"/>
                <w:color w:val="auto"/>
                <w:szCs w:val="21"/>
              </w:rPr>
            </w:pPr>
            <w:r>
              <w:rPr>
                <w:rFonts w:hint="eastAsia" w:cs="Times New Roman"/>
                <w:color w:val="auto"/>
                <w:sz w:val="21"/>
                <w:szCs w:val="21"/>
                <w:lang w:val="en-US" w:eastAsia="zh-CN"/>
              </w:rPr>
              <w:t>140</w:t>
            </w:r>
            <w:r>
              <w:rPr>
                <w:rFonts w:hint="default" w:ascii="Times New Roman" w:hAnsi="Times New Roman" w:cs="Times New Roman"/>
                <w:color w:val="auto"/>
                <w:sz w:val="21"/>
                <w:szCs w:val="21"/>
              </w:rPr>
              <w:t>kg/a</w:t>
            </w:r>
          </w:p>
        </w:tc>
        <w:tc>
          <w:tcPr>
            <w:tcW w:w="2122" w:type="dxa"/>
            <w:vMerge w:val="continue"/>
            <w:vAlign w:val="center"/>
          </w:tcPr>
          <w:p w14:paraId="4177360B">
            <w:pPr>
              <w:spacing w:line="276" w:lineRule="auto"/>
              <w:jc w:val="center"/>
              <w:rPr>
                <w:rFonts w:hint="default" w:ascii="Times New Roman" w:hAnsi="Times New Roman" w:cs="Times New Roman"/>
                <w:color w:val="auto"/>
                <w:szCs w:val="21"/>
              </w:rPr>
            </w:pPr>
          </w:p>
        </w:tc>
        <w:tc>
          <w:tcPr>
            <w:tcW w:w="2208" w:type="dxa"/>
            <w:vAlign w:val="center"/>
          </w:tcPr>
          <w:p w14:paraId="1D4CC794">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w:t>
            </w:r>
          </w:p>
        </w:tc>
        <w:tc>
          <w:tcPr>
            <w:tcW w:w="1398" w:type="dxa"/>
            <w:vAlign w:val="center"/>
          </w:tcPr>
          <w:p w14:paraId="5EAB6631">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无害化处置</w:t>
            </w:r>
          </w:p>
        </w:tc>
      </w:tr>
      <w:tr w14:paraId="5E75C6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92" w:type="dxa"/>
            <w:vMerge w:val="continue"/>
            <w:vAlign w:val="center"/>
          </w:tcPr>
          <w:p w14:paraId="3C420C08">
            <w:pPr>
              <w:spacing w:line="276" w:lineRule="auto"/>
              <w:jc w:val="center"/>
              <w:rPr>
                <w:rFonts w:hint="default" w:ascii="Times New Roman" w:hAnsi="Times New Roman" w:cs="Times New Roman"/>
                <w:color w:val="auto"/>
                <w:szCs w:val="21"/>
              </w:rPr>
            </w:pPr>
          </w:p>
        </w:tc>
        <w:tc>
          <w:tcPr>
            <w:tcW w:w="330" w:type="dxa"/>
            <w:vMerge w:val="continue"/>
            <w:vAlign w:val="center"/>
          </w:tcPr>
          <w:p w14:paraId="18C8717F">
            <w:pPr>
              <w:spacing w:line="276" w:lineRule="auto"/>
              <w:jc w:val="center"/>
              <w:rPr>
                <w:rFonts w:hint="default" w:ascii="Times New Roman" w:hAnsi="Times New Roman" w:cs="Times New Roman"/>
                <w:color w:val="auto"/>
                <w:szCs w:val="21"/>
              </w:rPr>
            </w:pPr>
          </w:p>
        </w:tc>
        <w:tc>
          <w:tcPr>
            <w:tcW w:w="383" w:type="dxa"/>
            <w:vMerge w:val="continue"/>
            <w:vAlign w:val="center"/>
          </w:tcPr>
          <w:p w14:paraId="663E046E">
            <w:pPr>
              <w:spacing w:line="276" w:lineRule="auto"/>
              <w:jc w:val="center"/>
              <w:rPr>
                <w:rFonts w:hint="default" w:ascii="Times New Roman" w:hAnsi="Times New Roman" w:cs="Times New Roman"/>
                <w:color w:val="auto"/>
                <w:szCs w:val="21"/>
              </w:rPr>
            </w:pPr>
          </w:p>
        </w:tc>
        <w:tc>
          <w:tcPr>
            <w:tcW w:w="1412" w:type="dxa"/>
            <w:vAlign w:val="center"/>
          </w:tcPr>
          <w:p w14:paraId="4E311033">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lang w:val="en-US" w:eastAsia="zh-CN"/>
              </w:rPr>
              <w:t>废</w:t>
            </w:r>
            <w:r>
              <w:rPr>
                <w:rFonts w:hint="eastAsia" w:cs="Times New Roman"/>
                <w:color w:val="auto"/>
                <w:sz w:val="21"/>
                <w:szCs w:val="21"/>
                <w:lang w:val="en-US" w:eastAsia="zh-CN"/>
              </w:rPr>
              <w:t>原料</w:t>
            </w:r>
            <w:r>
              <w:rPr>
                <w:rFonts w:hint="default" w:ascii="Times New Roman" w:hAnsi="Times New Roman" w:cs="Times New Roman"/>
                <w:color w:val="auto"/>
                <w:sz w:val="21"/>
                <w:szCs w:val="21"/>
                <w:lang w:val="en-US" w:eastAsia="zh-CN"/>
              </w:rPr>
              <w:t>桶</w:t>
            </w:r>
          </w:p>
        </w:tc>
        <w:tc>
          <w:tcPr>
            <w:tcW w:w="2175" w:type="dxa"/>
            <w:vAlign w:val="center"/>
          </w:tcPr>
          <w:p w14:paraId="6BFEF71D">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 w:val="21"/>
                <w:szCs w:val="21"/>
                <w:lang w:val="en-US" w:eastAsia="zh-CN"/>
              </w:rPr>
              <w:t>1t/a</w:t>
            </w:r>
          </w:p>
        </w:tc>
        <w:tc>
          <w:tcPr>
            <w:tcW w:w="2122" w:type="dxa"/>
            <w:vMerge w:val="continue"/>
            <w:vAlign w:val="center"/>
          </w:tcPr>
          <w:p w14:paraId="711EDA47">
            <w:pPr>
              <w:spacing w:line="276" w:lineRule="auto"/>
              <w:jc w:val="center"/>
              <w:rPr>
                <w:rFonts w:hint="default" w:ascii="Times New Roman" w:hAnsi="Times New Roman" w:cs="Times New Roman"/>
                <w:color w:val="auto"/>
                <w:szCs w:val="21"/>
              </w:rPr>
            </w:pPr>
          </w:p>
        </w:tc>
        <w:tc>
          <w:tcPr>
            <w:tcW w:w="2208" w:type="dxa"/>
            <w:vAlign w:val="center"/>
          </w:tcPr>
          <w:p w14:paraId="7BCE67EC">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w:t>
            </w:r>
          </w:p>
        </w:tc>
        <w:tc>
          <w:tcPr>
            <w:tcW w:w="1398" w:type="dxa"/>
            <w:vAlign w:val="center"/>
          </w:tcPr>
          <w:p w14:paraId="7689471F">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无害化处置</w:t>
            </w:r>
          </w:p>
        </w:tc>
      </w:tr>
      <w:tr w14:paraId="4B4FD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20" w:type="dxa"/>
            <w:gridSpan w:val="8"/>
            <w:vAlign w:val="center"/>
          </w:tcPr>
          <w:p w14:paraId="38AC3153">
            <w:pPr>
              <w:spacing w:line="360" w:lineRule="auto"/>
              <w:rPr>
                <w:rFonts w:hint="default"/>
                <w:b/>
                <w:bCs/>
                <w:sz w:val="24"/>
                <w:szCs w:val="24"/>
              </w:rPr>
            </w:pPr>
            <w:r>
              <w:rPr>
                <w:rFonts w:hint="default"/>
                <w:b/>
                <w:bCs/>
                <w:sz w:val="24"/>
                <w:szCs w:val="24"/>
              </w:rPr>
              <w:t>主要生态影响、保护措施及预期效果</w:t>
            </w:r>
          </w:p>
          <w:p w14:paraId="6ADA6765">
            <w:pPr>
              <w:spacing w:line="360" w:lineRule="auto"/>
              <w:ind w:firstLine="480" w:firstLineChars="200"/>
              <w:rPr>
                <w:rFonts w:hint="default"/>
                <w:b w:val="0"/>
                <w:bCs w:val="0"/>
                <w:sz w:val="24"/>
                <w:szCs w:val="24"/>
                <w:lang w:val="en-US" w:eastAsia="zh-CN"/>
              </w:rPr>
            </w:pPr>
            <w:r>
              <w:rPr>
                <w:rFonts w:hint="default"/>
                <w:b w:val="0"/>
                <w:bCs w:val="0"/>
                <w:sz w:val="24"/>
                <w:szCs w:val="24"/>
                <w:lang w:val="en-US" w:eastAsia="zh-CN"/>
              </w:rPr>
              <w:t>本项目用地为空地</w:t>
            </w:r>
            <w:r>
              <w:rPr>
                <w:rFonts w:hint="eastAsia"/>
                <w:b w:val="0"/>
                <w:bCs w:val="0"/>
                <w:sz w:val="24"/>
                <w:szCs w:val="24"/>
                <w:lang w:val="en-US" w:eastAsia="zh-CN"/>
              </w:rPr>
              <w:t>，</w:t>
            </w:r>
            <w:r>
              <w:rPr>
                <w:rFonts w:hint="default"/>
                <w:b w:val="0"/>
                <w:bCs w:val="0"/>
                <w:sz w:val="24"/>
                <w:szCs w:val="24"/>
                <w:lang w:val="en-US" w:eastAsia="zh-CN"/>
              </w:rPr>
              <w:t>位于</w:t>
            </w:r>
            <w:r>
              <w:rPr>
                <w:rFonts w:hint="eastAsia"/>
                <w:b w:val="0"/>
                <w:bCs w:val="0"/>
                <w:sz w:val="24"/>
                <w:szCs w:val="24"/>
                <w:lang w:val="en-US" w:eastAsia="zh-CN"/>
              </w:rPr>
              <w:t>遂宁市安居区汽摩产业园内</w:t>
            </w:r>
            <w:r>
              <w:rPr>
                <w:rFonts w:hint="default"/>
                <w:b w:val="0"/>
                <w:bCs w:val="0"/>
                <w:sz w:val="24"/>
                <w:szCs w:val="24"/>
                <w:lang w:val="en-US" w:eastAsia="zh-CN"/>
              </w:rPr>
              <w:t>，项目所在区域为工业用地，周边均以</w:t>
            </w:r>
            <w:r>
              <w:rPr>
                <w:rFonts w:hint="eastAsia"/>
                <w:b w:val="0"/>
                <w:bCs w:val="0"/>
                <w:sz w:val="24"/>
                <w:szCs w:val="24"/>
                <w:lang w:val="en-US" w:eastAsia="zh-CN"/>
              </w:rPr>
              <w:t>汽车零部件</w:t>
            </w:r>
            <w:r>
              <w:rPr>
                <w:rFonts w:hint="default"/>
                <w:b w:val="0"/>
                <w:bCs w:val="0"/>
                <w:sz w:val="24"/>
                <w:szCs w:val="24"/>
                <w:lang w:val="en-US" w:eastAsia="zh-CN"/>
              </w:rPr>
              <w:t>生产企业为主，其自然生态环境已很大程度上受到人类干扰，周围无生态敏感点，不涉及野生动植物。项目建成后，在</w:t>
            </w:r>
            <w:r>
              <w:rPr>
                <w:rFonts w:hint="eastAsia"/>
                <w:b w:val="0"/>
                <w:bCs w:val="0"/>
                <w:sz w:val="24"/>
                <w:szCs w:val="24"/>
                <w:lang w:val="en-US" w:eastAsia="zh-CN"/>
              </w:rPr>
              <w:t>厂区内</w:t>
            </w:r>
            <w:r>
              <w:rPr>
                <w:rFonts w:hint="default"/>
                <w:b w:val="0"/>
                <w:bCs w:val="0"/>
                <w:sz w:val="24"/>
                <w:szCs w:val="24"/>
                <w:lang w:val="en-US" w:eastAsia="zh-CN"/>
              </w:rPr>
              <w:t>适当进行绿化，不仅</w:t>
            </w:r>
            <w:r>
              <w:rPr>
                <w:rFonts w:hint="eastAsia"/>
                <w:b w:val="0"/>
                <w:bCs w:val="0"/>
                <w:sz w:val="24"/>
                <w:szCs w:val="24"/>
                <w:lang w:val="en-US" w:eastAsia="zh-CN"/>
              </w:rPr>
              <w:t>对厂区内的生态环境进行补偿、维护和美化环境</w:t>
            </w:r>
            <w:r>
              <w:rPr>
                <w:rFonts w:hint="default"/>
                <w:b w:val="0"/>
                <w:bCs w:val="0"/>
                <w:sz w:val="24"/>
                <w:szCs w:val="24"/>
                <w:lang w:val="en-US" w:eastAsia="zh-CN"/>
              </w:rPr>
              <w:t>，而且也可以在一定程度上减缓生产期间的噪声对周围环境的影响。因此，项目建设不会对区域生态环境产生不良影响，无须特殊的生态保护措施。</w:t>
            </w:r>
          </w:p>
          <w:p w14:paraId="6DD279C3">
            <w:pPr>
              <w:pStyle w:val="28"/>
              <w:rPr>
                <w:rFonts w:hint="default"/>
              </w:rPr>
            </w:pPr>
          </w:p>
          <w:p w14:paraId="7D66DBF5">
            <w:pPr>
              <w:pStyle w:val="28"/>
              <w:rPr>
                <w:rFonts w:hint="default"/>
              </w:rPr>
            </w:pPr>
          </w:p>
          <w:p w14:paraId="57E8BB6F">
            <w:pPr>
              <w:pStyle w:val="28"/>
              <w:rPr>
                <w:rFonts w:hint="default"/>
              </w:rPr>
            </w:pPr>
          </w:p>
          <w:p w14:paraId="2272597E">
            <w:pPr>
              <w:pStyle w:val="28"/>
              <w:rPr>
                <w:rFonts w:hint="default"/>
              </w:rPr>
            </w:pPr>
          </w:p>
        </w:tc>
      </w:tr>
    </w:tbl>
    <w:p w14:paraId="0FE1D8B1">
      <w:pPr>
        <w:pStyle w:val="3"/>
        <w:spacing w:before="0" w:after="0" w:line="480" w:lineRule="auto"/>
        <w:rPr>
          <w:rFonts w:hint="default" w:ascii="Times New Roman" w:hAnsi="Times New Roman" w:cs="Times New Roman"/>
          <w:color w:val="auto"/>
          <w:sz w:val="28"/>
          <w:szCs w:val="28"/>
        </w:rPr>
      </w:pPr>
    </w:p>
    <w:p w14:paraId="2E3D05CC">
      <w:pPr>
        <w:rPr>
          <w:rFonts w:hint="default"/>
        </w:rPr>
      </w:pPr>
    </w:p>
    <w:p w14:paraId="054DCBB9">
      <w:pPr>
        <w:pStyle w:val="2"/>
        <w:rPr>
          <w:rFonts w:hint="default"/>
        </w:rPr>
      </w:pPr>
    </w:p>
    <w:p w14:paraId="202C511C">
      <w:pPr>
        <w:pStyle w:val="2"/>
        <w:rPr>
          <w:rFonts w:hint="default"/>
        </w:rPr>
      </w:pPr>
    </w:p>
    <w:p w14:paraId="415CBCFC">
      <w:pPr>
        <w:pStyle w:val="3"/>
        <w:spacing w:before="0" w:after="0" w:line="480" w:lineRule="auto"/>
        <w:rPr>
          <w:rFonts w:hint="default" w:ascii="Times New Roman" w:hAnsi="Times New Roman" w:cs="Times New Roman"/>
          <w:color w:val="auto"/>
          <w:szCs w:val="21"/>
        </w:rPr>
      </w:pPr>
      <w:r>
        <w:rPr>
          <w:rFonts w:hint="default" w:ascii="Times New Roman" w:hAnsi="Times New Roman" w:cs="Times New Roman"/>
          <w:color w:val="auto"/>
          <w:sz w:val="28"/>
          <w:szCs w:val="28"/>
        </w:rPr>
        <w:t xml:space="preserve">环境影响分析                                               </w:t>
      </w:r>
      <w:r>
        <w:rPr>
          <w:rFonts w:hint="default" w:ascii="Times New Roman" w:hAnsi="Times New Roman" w:cs="Times New Roman"/>
          <w:color w:val="auto"/>
          <w:sz w:val="28"/>
          <w:szCs w:val="28"/>
          <w:lang w:val="en-US" w:eastAsia="zh-CN"/>
        </w:rPr>
        <w:t xml:space="preserve">      </w:t>
      </w:r>
      <w:r>
        <w:rPr>
          <w:rFonts w:hint="default" w:ascii="Times New Roman" w:hAnsi="Times New Roman" w:cs="Times New Roman"/>
          <w:color w:val="auto"/>
          <w:sz w:val="28"/>
          <w:szCs w:val="28"/>
        </w:rPr>
        <w:t>（表七）</w:t>
      </w:r>
    </w:p>
    <w:tbl>
      <w:tblPr>
        <w:tblStyle w:val="23"/>
        <w:tblW w:w="101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94"/>
      </w:tblGrid>
      <w:tr w14:paraId="478E51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194" w:type="dxa"/>
            <w:shd w:val="clear" w:color="auto" w:fill="auto"/>
          </w:tcPr>
          <w:p w14:paraId="06E670DD">
            <w:pPr>
              <w:spacing w:line="360" w:lineRule="auto"/>
              <w:rPr>
                <w:rFonts w:hint="default" w:ascii="Times New Roman" w:hAnsi="Times New Roman" w:eastAsia="黑体" w:cs="Times New Roman"/>
                <w:color w:val="auto"/>
                <w:sz w:val="28"/>
              </w:rPr>
            </w:pPr>
            <w:r>
              <w:rPr>
                <w:rFonts w:hint="default" w:ascii="Times New Roman" w:hAnsi="Times New Roman" w:eastAsia="黑体" w:cs="Times New Roman"/>
                <w:color w:val="auto"/>
                <w:sz w:val="28"/>
              </w:rPr>
              <w:t>一、施工期环境影响分析</w:t>
            </w:r>
          </w:p>
          <w:p w14:paraId="258F3A3D">
            <w:pPr>
              <w:spacing w:line="360" w:lineRule="auto"/>
              <w:rPr>
                <w:rFonts w:hint="default" w:ascii="Times New Roman" w:hAnsi="Times New Roman" w:cs="Times New Roman"/>
                <w:b/>
                <w:bCs/>
                <w:color w:val="auto"/>
                <w:sz w:val="24"/>
                <w:szCs w:val="24"/>
                <w:lang w:eastAsia="zh-CN"/>
              </w:rPr>
            </w:pPr>
            <w:r>
              <w:rPr>
                <w:rFonts w:hint="default" w:ascii="Times New Roman" w:hAnsi="Times New Roman" w:cs="Times New Roman"/>
                <w:b/>
                <w:bCs/>
                <w:color w:val="auto"/>
                <w:sz w:val="24"/>
                <w:szCs w:val="24"/>
                <w:lang w:eastAsia="zh-CN"/>
              </w:rPr>
              <w:t>1</w:t>
            </w:r>
            <w:r>
              <w:rPr>
                <w:rFonts w:hint="default" w:ascii="Times New Roman" w:hAnsi="Times New Roman" w:cs="Times New Roman"/>
                <w:b/>
                <w:bCs/>
                <w:color w:val="auto"/>
                <w:sz w:val="24"/>
                <w:szCs w:val="24"/>
                <w:lang w:val="en-US" w:eastAsia="zh-CN"/>
              </w:rPr>
              <w:t>.</w:t>
            </w:r>
            <w:r>
              <w:rPr>
                <w:rFonts w:hint="default" w:ascii="Times New Roman" w:hAnsi="Times New Roman" w:cs="Times New Roman"/>
                <w:b/>
                <w:bCs/>
                <w:color w:val="auto"/>
                <w:sz w:val="24"/>
                <w:szCs w:val="24"/>
                <w:lang w:eastAsia="zh-CN"/>
              </w:rPr>
              <w:t>、施工期大气环境影响分析及对策</w:t>
            </w:r>
          </w:p>
          <w:p w14:paraId="282D08AF">
            <w:pPr>
              <w:spacing w:line="360" w:lineRule="auto"/>
              <w:ind w:firstLine="482" w:firstLineChars="200"/>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rPr>
              <w:t>1</w:t>
            </w:r>
            <w:r>
              <w:rPr>
                <w:rFonts w:hint="default" w:ascii="Times New Roman" w:hAnsi="Times New Roman" w:cs="Times New Roman"/>
                <w:b/>
                <w:bCs/>
                <w:color w:val="auto"/>
                <w:sz w:val="24"/>
                <w:szCs w:val="24"/>
                <w:lang w:val="en-US" w:eastAsia="zh-CN"/>
              </w:rPr>
              <w:t>.1</w:t>
            </w:r>
            <w:r>
              <w:rPr>
                <w:rFonts w:hint="default" w:ascii="Times New Roman" w:hAnsi="Times New Roman" w:cs="Times New Roman"/>
                <w:b/>
                <w:bCs/>
                <w:color w:val="auto"/>
                <w:sz w:val="24"/>
                <w:szCs w:val="24"/>
              </w:rPr>
              <w:t>、扬尘对大气环境的影响</w:t>
            </w:r>
          </w:p>
          <w:p w14:paraId="134E8B88">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施工过程中造成大气污染的主要产生源有：施工运输车辆、施工机械走行车道所带来的扬尘；施工建筑材料（水泥、石灰、砂石料）的装卸、运输、堆砌过程以及开挖弃土的堆砌、运输过程中造成扬起和洒落；各类施工机械和运输车辆所排放的废气。</w:t>
            </w:r>
          </w:p>
          <w:p w14:paraId="39086751">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施工期间对环境空气影响最主要的是粉尘。干燥地表的开挖和钻孔产生的粉尘，一部分悬浮于空中，另一部分随风飘落到附近地面和建筑物表面；开挖的泥土堆砌过程中，在风力较大时，会产生粉尘扬起；而装卸和运输过程中，会造成部分粉尘扬起和洒落；雨水冲刷夹带的泥土散布路面，晒干后因车辆的移动或刮风再次扬尘；开挖的回填过程中也会引起大量粉尘飞扬；建筑材料的装卸、运输、堆砌过程中也必然引起洒落及飞扬。</w:t>
            </w:r>
          </w:p>
          <w:p w14:paraId="4D8CA3F2">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施工过程中粉尘污染的危害性是不容忽视的。浮于空气中的粉尘被施工人员和周围居民吸入，不但会引起各种呼吸道疾病，而且粉尘夹带大量的病原菌，传染各种疾病，严重影响施工人员及周围居民的身体健康。此外，粉尘飘扬，降低能见度，易引发交通事故。粉尘飘落在各种建筑物和树木枝叶上，影响景观。同时根据《四川省人民政府办公厅关于加强灰霾污染防治的通知》（川办发[2013]32号）及《四川省灰霾污染防治实施方案》中的要求加强施工场地扬尘的控制，全面落实关于扬尘整治的“六必须”、“六不准”，即：必须打围作业、必须硬化道路、必须设置冲洗设施、必须湿法作业、必须配齐保洁人员、必须定时清扫施工现场；不准车辆带泥出门，不准运渣车辆冒顶装载、不准高空抛撒建渣、不准现场搅拌混凝土、不准场地积水、不准现场焚烧废弃物。要加强对建设工地的监督检查，督促建设单位落实降尘、压尘和抑尘措施。</w:t>
            </w:r>
          </w:p>
          <w:p w14:paraId="604CCFFE">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因此，施工期间建设方只要严格按照有关规定和本环评提出的治理措施，做到文明施工、清洁施工和科学施工，就能最大限度地减少扬尘产生量，进而可以大大减轻扬尘对周围环境的影响。</w:t>
            </w:r>
          </w:p>
          <w:p w14:paraId="34AB7DD3">
            <w:pPr>
              <w:spacing w:line="360" w:lineRule="auto"/>
              <w:ind w:firstLine="482" w:firstLineChars="200"/>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lang w:val="en-US" w:eastAsia="zh-CN"/>
              </w:rPr>
              <w:t>1.</w:t>
            </w:r>
            <w:r>
              <w:rPr>
                <w:rFonts w:hint="eastAsia" w:cs="Times New Roman"/>
                <w:b/>
                <w:bCs/>
                <w:color w:val="auto"/>
                <w:sz w:val="24"/>
                <w:szCs w:val="24"/>
                <w:lang w:val="en-US" w:eastAsia="zh-CN"/>
              </w:rPr>
              <w:t>2</w:t>
            </w:r>
            <w:r>
              <w:rPr>
                <w:rFonts w:hint="default" w:ascii="Times New Roman" w:hAnsi="Times New Roman" w:cs="Times New Roman"/>
                <w:b/>
                <w:bCs/>
                <w:color w:val="auto"/>
                <w:sz w:val="24"/>
                <w:szCs w:val="24"/>
              </w:rPr>
              <w:t>、机动车尾气</w:t>
            </w:r>
          </w:p>
          <w:p w14:paraId="58D112C6">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项目施工期间，物料运输车辆运输过程中，将产生</w:t>
            </w:r>
            <w:r>
              <w:rPr>
                <w:rFonts w:hint="default" w:ascii="Times New Roman" w:hAnsi="Times New Roman" w:cs="Times New Roman"/>
                <w:color w:val="auto"/>
                <w:sz w:val="24"/>
                <w:szCs w:val="24"/>
                <w:lang w:eastAsia="zh-CN"/>
              </w:rPr>
              <w:t>货车</w:t>
            </w:r>
            <w:r>
              <w:rPr>
                <w:rFonts w:hint="default" w:ascii="Times New Roman" w:hAnsi="Times New Roman" w:cs="Times New Roman"/>
                <w:color w:val="auto"/>
                <w:sz w:val="24"/>
                <w:szCs w:val="24"/>
              </w:rPr>
              <w:t>尾气，它们排放的污染物主要有一氧化碳、氮氧化物、总烃等。</w:t>
            </w:r>
          </w:p>
          <w:p w14:paraId="592EFFEE">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由于项目施工量较小，物料运输车辆主要在室外运行，且其产生的机动车尾气属于间断性无组织排放，加之施工场地周围地势较开阔，扩散条件良好，因此，机动车尾气直接排放，对周围大气环境影响较小。</w:t>
            </w:r>
          </w:p>
          <w:p w14:paraId="5F73E80D">
            <w:pPr>
              <w:spacing w:line="360" w:lineRule="auto"/>
              <w:ind w:firstLine="482" w:firstLineChars="200"/>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lang w:val="en-US" w:eastAsia="zh-CN"/>
              </w:rPr>
              <w:t>1.</w:t>
            </w:r>
            <w:r>
              <w:rPr>
                <w:rFonts w:hint="default" w:ascii="Times New Roman" w:hAnsi="Times New Roman" w:cs="Times New Roman"/>
                <w:b/>
                <w:bCs/>
                <w:color w:val="auto"/>
                <w:sz w:val="24"/>
                <w:szCs w:val="24"/>
              </w:rPr>
              <w:t>3、装修废气</w:t>
            </w:r>
          </w:p>
          <w:p w14:paraId="63999675">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油漆废气主要产生于厂房内装修阶段。油漆废气的主要污染因子是作为稀释剂的二甲苯，此外还有较少量的醋酸丁酯、乙醇、丁醇等，该废气的排放属无组织排放。本项目拟使用环保型油漆，其甲苯、二甲苯含量较少。该废气的排放属无组织排放，由于其过程持续时间较长，是一个缓慢挥发的过程。环评要求项目做好车间通排风工作，加快有机废气挥发，对周围大气环境影响较小。</w:t>
            </w:r>
          </w:p>
          <w:p w14:paraId="36D15720">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施工期应严格遵守《重点区域大气污染防治“十二五”规划》四川实施方案、《四川省灰霾污染防治实施方案》（川环发[2013]78号）等相关规定。</w:t>
            </w:r>
          </w:p>
          <w:p w14:paraId="2BE404FA">
            <w:pPr>
              <w:spacing w:line="360" w:lineRule="auto"/>
              <w:ind w:firstLine="48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w:t>综上所述，项目施工期将会对项目所在地环境空气质量造成一定影响，但这些影响随着施工期的结束也会结束。因此，项目施工期不会造成项目所在地环境空气质量明显恶化。</w:t>
            </w:r>
          </w:p>
          <w:p w14:paraId="575FBC20">
            <w:pPr>
              <w:spacing w:line="360" w:lineRule="auto"/>
              <w:rPr>
                <w:rFonts w:hint="default" w:ascii="Times New Roman" w:hAnsi="Times New Roman" w:cs="Times New Roman"/>
                <w:b/>
                <w:bCs/>
                <w:color w:val="auto"/>
                <w:sz w:val="24"/>
                <w:szCs w:val="24"/>
                <w:lang w:eastAsia="zh-CN"/>
              </w:rPr>
            </w:pPr>
            <w:r>
              <w:rPr>
                <w:rFonts w:hint="default" w:ascii="Times New Roman" w:hAnsi="Times New Roman" w:cs="Times New Roman"/>
                <w:b/>
                <w:bCs/>
                <w:color w:val="auto"/>
                <w:sz w:val="24"/>
                <w:szCs w:val="24"/>
                <w:lang w:eastAsia="zh-CN"/>
              </w:rPr>
              <w:t>2、施工期废水排放及对策措施</w:t>
            </w:r>
          </w:p>
          <w:p w14:paraId="1039E605">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项目施工期污废水主要为生活污水及施工废水。</w:t>
            </w:r>
          </w:p>
          <w:p w14:paraId="64CB2B69">
            <w:pPr>
              <w:spacing w:line="360" w:lineRule="auto"/>
              <w:ind w:firstLine="482" w:firstLineChars="200"/>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lang w:val="en-US" w:eastAsia="zh-CN"/>
              </w:rPr>
              <w:t>2.</w:t>
            </w:r>
            <w:r>
              <w:rPr>
                <w:rFonts w:hint="default" w:ascii="Times New Roman" w:hAnsi="Times New Roman" w:cs="Times New Roman"/>
                <w:b/>
                <w:bCs/>
                <w:color w:val="auto"/>
                <w:sz w:val="24"/>
                <w:szCs w:val="24"/>
              </w:rPr>
              <w:t>1、施工人员生活污水</w:t>
            </w:r>
          </w:p>
          <w:p w14:paraId="2BBFAB3E">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由工程分析可知，本项目施工期间产生少量的生活污水，施工过程中产生的生活污水经旱厕收集处理后用于周边绿化灌溉及农灌。</w:t>
            </w:r>
          </w:p>
          <w:p w14:paraId="40230DEA">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因此，本项目施工期生活污水不会对当地水环境产生明显不利影响。</w:t>
            </w:r>
          </w:p>
          <w:p w14:paraId="36932A0C">
            <w:pPr>
              <w:spacing w:line="360" w:lineRule="auto"/>
              <w:ind w:firstLine="482" w:firstLineChars="200"/>
              <w:rPr>
                <w:rFonts w:hint="default" w:ascii="Times New Roman" w:hAnsi="Times New Roman" w:cs="Times New Roman"/>
                <w:b/>
                <w:bCs/>
                <w:color w:val="auto"/>
                <w:sz w:val="24"/>
                <w:szCs w:val="24"/>
              </w:rPr>
            </w:pPr>
            <w:r>
              <w:rPr>
                <w:rFonts w:hint="default" w:ascii="Times New Roman" w:hAnsi="Times New Roman" w:cs="Times New Roman"/>
                <w:b/>
                <w:bCs/>
                <w:color w:val="auto"/>
                <w:sz w:val="24"/>
                <w:szCs w:val="24"/>
                <w:lang w:val="en-US" w:eastAsia="zh-CN"/>
              </w:rPr>
              <w:t>2.</w:t>
            </w:r>
            <w:r>
              <w:rPr>
                <w:rFonts w:hint="default" w:ascii="Times New Roman" w:hAnsi="Times New Roman" w:cs="Times New Roman"/>
                <w:b/>
                <w:bCs/>
                <w:color w:val="auto"/>
                <w:sz w:val="24"/>
                <w:szCs w:val="24"/>
              </w:rPr>
              <w:t>2、施工废水</w:t>
            </w:r>
          </w:p>
          <w:p w14:paraId="4AEFB42F">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施工废水中污染因子SS浓度较高，随意排放易污染环境。因此，项目在施工期间应设置临时沉砂池，并设置集水管对其废水排放点的废水进行收集。通过临时沉砂池处理后，上清液可以作为中水回用或用作洒水抑尘，池底泥沙作为固废运往建筑垃圾堆放场。</w:t>
            </w:r>
          </w:p>
          <w:p w14:paraId="58B924AD">
            <w:pPr>
              <w:spacing w:line="360" w:lineRule="auto"/>
              <w:ind w:firstLine="48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w:t>通过采取上述措施后，项目施工期废水不会对周围地表水环境造成明显影响。</w:t>
            </w:r>
            <w:bookmarkStart w:id="8" w:name="_Toc312680159"/>
          </w:p>
          <w:p w14:paraId="0178D457">
            <w:pPr>
              <w:spacing w:line="360" w:lineRule="auto"/>
              <w:rPr>
                <w:rFonts w:hint="default" w:ascii="Times New Roman" w:hAnsi="Times New Roman" w:cs="Times New Roman"/>
                <w:b/>
                <w:bCs/>
                <w:color w:val="auto"/>
                <w:sz w:val="24"/>
                <w:szCs w:val="24"/>
                <w:lang w:eastAsia="zh-CN"/>
              </w:rPr>
            </w:pPr>
            <w:r>
              <w:rPr>
                <w:rFonts w:hint="default" w:ascii="Times New Roman" w:hAnsi="Times New Roman" w:cs="Times New Roman"/>
                <w:b/>
                <w:bCs/>
                <w:color w:val="auto"/>
                <w:sz w:val="24"/>
                <w:szCs w:val="24"/>
                <w:lang w:eastAsia="zh-CN"/>
              </w:rPr>
              <w:t>3</w:t>
            </w:r>
            <w:bookmarkEnd w:id="8"/>
            <w:r>
              <w:rPr>
                <w:rFonts w:hint="default" w:ascii="Times New Roman" w:hAnsi="Times New Roman" w:cs="Times New Roman"/>
                <w:b/>
                <w:bCs/>
                <w:color w:val="auto"/>
                <w:sz w:val="24"/>
                <w:szCs w:val="24"/>
                <w:lang w:eastAsia="zh-CN"/>
              </w:rPr>
              <w:t>、施工期固体废物影响分析及对策</w:t>
            </w:r>
          </w:p>
          <w:p w14:paraId="30B3EEFB">
            <w:pPr>
              <w:spacing w:line="360" w:lineRule="auto"/>
              <w:ind w:firstLine="480"/>
              <w:rPr>
                <w:rFonts w:hint="default" w:ascii="Times New Roman" w:hAnsi="Times New Roman" w:cs="Times New Roman"/>
                <w:color w:val="auto"/>
                <w:sz w:val="24"/>
                <w:szCs w:val="24"/>
              </w:rPr>
            </w:pPr>
            <w:bookmarkStart w:id="9" w:name="_Toc132445722"/>
            <w:bookmarkStart w:id="10" w:name="_Toc240253519"/>
            <w:bookmarkStart w:id="11" w:name="_Toc240253058"/>
            <w:bookmarkStart w:id="12" w:name="_Toc102299357"/>
            <w:bookmarkStart w:id="13" w:name="_Toc85130483"/>
            <w:bookmarkStart w:id="14" w:name="_Toc312680160"/>
            <w:r>
              <w:rPr>
                <w:rFonts w:hint="default" w:ascii="Times New Roman" w:hAnsi="Times New Roman" w:cs="Times New Roman"/>
                <w:color w:val="auto"/>
                <w:sz w:val="24"/>
                <w:szCs w:val="24"/>
              </w:rPr>
              <w:t>施工期固废主要来源于施工过程产生的弃土、建筑垃圾及施工人员产生的生活垃圾。</w:t>
            </w:r>
          </w:p>
          <w:p w14:paraId="689EF16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施工在已建成的厂房内进行，土石方主要来自于沉淀池及循环水池挖方，挖方全部用于项目周围绿化场地的回填，因此，项目无弃土石方，不设置堆土场。根据现场勘查，施工场地无弃土石方，无环境遗留问题。</w:t>
            </w:r>
          </w:p>
          <w:p w14:paraId="3C89A515">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施工期将产生少量建筑垃圾，送至专业的建渣回收利用企业。为确保废弃物处置措施落实，建设单位与建筑垃圾清运公司签订清运合同时，要求承包公司提供一废弃物去向的证明材料，严禁随意倾倒、填埋，造成二次污染，无环境遗留问题。</w:t>
            </w:r>
          </w:p>
          <w:p w14:paraId="163274BF">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项目生活垃圾产生量约为10kg/d，经集中收集后委托当地市政环卫部门送往垃圾处理厂进行卫生填埋，不可就地填埋，以避免对区域环境空气和地下水环境质量构成潜在的影响因素，无环境遗留问题。</w:t>
            </w:r>
          </w:p>
          <w:p w14:paraId="21F667F2">
            <w:pPr>
              <w:spacing w:line="360" w:lineRule="auto"/>
              <w:ind w:firstLine="48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rPr>
              <w:t>采取上述措施后，项目施工期固体废物不会对周围环境产生污染影响。</w:t>
            </w:r>
            <w:bookmarkEnd w:id="9"/>
            <w:bookmarkEnd w:id="10"/>
            <w:bookmarkEnd w:id="11"/>
            <w:bookmarkEnd w:id="12"/>
            <w:bookmarkEnd w:id="13"/>
            <w:bookmarkEnd w:id="14"/>
            <w:bookmarkStart w:id="15" w:name="_Toc312680161"/>
          </w:p>
          <w:p w14:paraId="548A90A5">
            <w:pPr>
              <w:spacing w:line="360" w:lineRule="auto"/>
              <w:rPr>
                <w:rFonts w:hint="default" w:ascii="Times New Roman" w:hAnsi="Times New Roman" w:cs="Times New Roman"/>
                <w:b/>
                <w:bCs/>
                <w:color w:val="auto"/>
                <w:sz w:val="24"/>
                <w:szCs w:val="24"/>
                <w:lang w:eastAsia="zh-CN"/>
              </w:rPr>
            </w:pPr>
            <w:r>
              <w:rPr>
                <w:rFonts w:hint="default" w:ascii="Times New Roman" w:hAnsi="Times New Roman" w:cs="Times New Roman"/>
                <w:b/>
                <w:bCs/>
                <w:color w:val="auto"/>
                <w:sz w:val="24"/>
                <w:szCs w:val="24"/>
                <w:lang w:eastAsia="zh-CN"/>
              </w:rPr>
              <w:t>4、施工期噪声影响分析及对策</w:t>
            </w:r>
          </w:p>
          <w:p w14:paraId="6C5F4F44">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本项目施工期间噪声主要包括施工机械噪声和运输车辆噪声。</w:t>
            </w:r>
          </w:p>
          <w:p w14:paraId="58C14199">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（1）施工机械噪声</w:t>
            </w:r>
          </w:p>
          <w:p w14:paraId="25B8D156">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主要指施工现场使用各类机械设备产生的施工噪声。这些施工机械包括装载机、挖掘机、推土机、钻机、混凝土搅拌机、中型吊车等，在施工中这类机械是最主要的施工噪声源。</w:t>
            </w:r>
          </w:p>
          <w:p w14:paraId="4587634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（2）运输车辆噪声</w:t>
            </w:r>
          </w:p>
          <w:p w14:paraId="0D8EE7CC">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工程施工中各类设备、材料和大量土石方需要用</w:t>
            </w:r>
            <w:r>
              <w:rPr>
                <w:rFonts w:hint="default" w:ascii="Times New Roman" w:hAnsi="Times New Roman" w:cs="Times New Roman"/>
                <w:color w:val="auto"/>
                <w:sz w:val="24"/>
                <w:szCs w:val="24"/>
                <w:lang w:eastAsia="zh-CN"/>
              </w:rPr>
              <w:t>货车</w:t>
            </w:r>
            <w:r>
              <w:rPr>
                <w:rFonts w:hint="default" w:ascii="Times New Roman" w:hAnsi="Times New Roman" w:cs="Times New Roman"/>
                <w:color w:val="auto"/>
                <w:sz w:val="24"/>
                <w:szCs w:val="24"/>
              </w:rPr>
              <w:t>运至工地。这些运输车辆在行驶过程中会产生交通噪声，特别是重型</w:t>
            </w:r>
            <w:r>
              <w:rPr>
                <w:rFonts w:hint="default" w:ascii="Times New Roman" w:hAnsi="Times New Roman" w:cs="Times New Roman"/>
                <w:color w:val="auto"/>
                <w:sz w:val="24"/>
                <w:szCs w:val="24"/>
                <w:lang w:eastAsia="zh-CN"/>
              </w:rPr>
              <w:t>货车</w:t>
            </w:r>
            <w:r>
              <w:rPr>
                <w:rFonts w:hint="default" w:ascii="Times New Roman" w:hAnsi="Times New Roman" w:cs="Times New Roman"/>
                <w:color w:val="auto"/>
                <w:sz w:val="24"/>
                <w:szCs w:val="24"/>
              </w:rPr>
              <w:t>运行中产生的噪声辐射强度较高。因各类运输车辆频繁行驶在施工工地、施工便道和既有公路上，会对周围环境产生交通噪声影响。常用施工设备和运输车辆在作业期间所产生的噪声值见下表</w:t>
            </w:r>
            <w:r>
              <w:rPr>
                <w:rFonts w:hint="default" w:ascii="Times New Roman" w:hAnsi="Times New Roman" w:cs="Times New Roman"/>
                <w:color w:val="auto"/>
                <w:sz w:val="24"/>
                <w:szCs w:val="24"/>
                <w:lang w:val="en-US" w:eastAsia="zh-CN"/>
              </w:rPr>
              <w:t>7</w:t>
            </w:r>
            <w:r>
              <w:rPr>
                <w:rFonts w:hint="default" w:ascii="Times New Roman" w:hAnsi="Times New Roman" w:cs="Times New Roman"/>
                <w:color w:val="auto"/>
                <w:sz w:val="24"/>
                <w:szCs w:val="24"/>
              </w:rPr>
              <w:t xml:space="preserve">-1。  </w:t>
            </w:r>
          </w:p>
          <w:p w14:paraId="102A43EC">
            <w:pPr>
              <w:pStyle w:val="65"/>
              <w:spacing w:before="121"/>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表</w:t>
            </w:r>
            <w:r>
              <w:rPr>
                <w:rFonts w:hint="default" w:ascii="Times New Roman" w:hAnsi="Times New Roman" w:eastAsia="宋体" w:cs="Times New Roman"/>
                <w:b/>
                <w:bCs/>
                <w:sz w:val="21"/>
                <w:szCs w:val="21"/>
                <w:lang w:val="en-US" w:eastAsia="zh-CN"/>
              </w:rPr>
              <w:t>7</w:t>
            </w:r>
            <w:r>
              <w:rPr>
                <w:rFonts w:hint="default" w:ascii="Times New Roman" w:hAnsi="Times New Roman" w:eastAsia="宋体" w:cs="Times New Roman"/>
                <w:b/>
                <w:bCs/>
                <w:sz w:val="21"/>
                <w:szCs w:val="21"/>
              </w:rPr>
              <w:t>-1  各种施工机械设备的噪声值      单位：dB(A)</w:t>
            </w:r>
          </w:p>
          <w:tbl>
            <w:tblPr>
              <w:tblStyle w:val="23"/>
              <w:tblW w:w="9978" w:type="dxa"/>
              <w:jc w:val="center"/>
              <w:tblBorders>
                <w:top w:val="double" w:color="auto" w:sz="4" w:space="0"/>
                <w:left w:val="none" w:color="auto" w:sz="0" w:space="0"/>
                <w:bottom w:val="double" w:color="auto" w:sz="4"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1237"/>
              <w:gridCol w:w="2513"/>
              <w:gridCol w:w="2512"/>
              <w:gridCol w:w="3716"/>
            </w:tblGrid>
            <w:tr w14:paraId="3898F3FF">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89" w:hRule="atLeast"/>
                <w:jc w:val="center"/>
              </w:trPr>
              <w:tc>
                <w:tcPr>
                  <w:tcW w:w="1237" w:type="dxa"/>
                  <w:vAlign w:val="center"/>
                </w:tcPr>
                <w:p w14:paraId="5907967C">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序号</w:t>
                  </w:r>
                </w:p>
              </w:tc>
              <w:tc>
                <w:tcPr>
                  <w:tcW w:w="2513" w:type="dxa"/>
                  <w:vAlign w:val="center"/>
                </w:tcPr>
                <w:p w14:paraId="33130D99">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机械类型</w:t>
                  </w:r>
                </w:p>
              </w:tc>
              <w:tc>
                <w:tcPr>
                  <w:tcW w:w="2512" w:type="dxa"/>
                  <w:vAlign w:val="center"/>
                </w:tcPr>
                <w:p w14:paraId="0824989B">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声源特点</w:t>
                  </w:r>
                </w:p>
              </w:tc>
              <w:tc>
                <w:tcPr>
                  <w:tcW w:w="3716" w:type="dxa"/>
                  <w:vAlign w:val="center"/>
                </w:tcPr>
                <w:p w14:paraId="10962565">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距离设备5m处噪声值</w:t>
                  </w:r>
                </w:p>
              </w:tc>
            </w:tr>
            <w:tr w14:paraId="2A031D33">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57" w:hRule="atLeast"/>
                <w:jc w:val="center"/>
              </w:trPr>
              <w:tc>
                <w:tcPr>
                  <w:tcW w:w="1237" w:type="dxa"/>
                  <w:vAlign w:val="center"/>
                </w:tcPr>
                <w:p w14:paraId="247235CE">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1</w:t>
                  </w:r>
                </w:p>
              </w:tc>
              <w:tc>
                <w:tcPr>
                  <w:tcW w:w="2513" w:type="dxa"/>
                  <w:vAlign w:val="center"/>
                </w:tcPr>
                <w:p w14:paraId="323171D9">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切割机</w:t>
                  </w:r>
                </w:p>
              </w:tc>
              <w:tc>
                <w:tcPr>
                  <w:tcW w:w="2512" w:type="dxa"/>
                  <w:vAlign w:val="center"/>
                </w:tcPr>
                <w:p w14:paraId="0003D10A">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流动不稳态源</w:t>
                  </w:r>
                </w:p>
              </w:tc>
              <w:tc>
                <w:tcPr>
                  <w:tcW w:w="3716" w:type="dxa"/>
                  <w:vAlign w:val="center"/>
                </w:tcPr>
                <w:p w14:paraId="7718C0FC">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90</w:t>
                  </w:r>
                </w:p>
              </w:tc>
            </w:tr>
            <w:tr w14:paraId="1CF15F1A">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237" w:type="dxa"/>
                  <w:vAlign w:val="center"/>
                </w:tcPr>
                <w:p w14:paraId="7E4C230C">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2</w:t>
                  </w:r>
                </w:p>
              </w:tc>
              <w:tc>
                <w:tcPr>
                  <w:tcW w:w="2513" w:type="dxa"/>
                  <w:vAlign w:val="center"/>
                </w:tcPr>
                <w:p w14:paraId="5C0F8562">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装载机</w:t>
                  </w:r>
                </w:p>
              </w:tc>
              <w:tc>
                <w:tcPr>
                  <w:tcW w:w="2512" w:type="dxa"/>
                  <w:vAlign w:val="center"/>
                </w:tcPr>
                <w:p w14:paraId="7D2EC25C">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不稳态源</w:t>
                  </w:r>
                </w:p>
              </w:tc>
              <w:tc>
                <w:tcPr>
                  <w:tcW w:w="3716" w:type="dxa"/>
                  <w:vAlign w:val="center"/>
                </w:tcPr>
                <w:p w14:paraId="3340C92C">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90</w:t>
                  </w:r>
                </w:p>
              </w:tc>
            </w:tr>
            <w:tr w14:paraId="615FBE96">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06" w:hRule="atLeast"/>
                <w:jc w:val="center"/>
              </w:trPr>
              <w:tc>
                <w:tcPr>
                  <w:tcW w:w="1237" w:type="dxa"/>
                  <w:vAlign w:val="center"/>
                </w:tcPr>
                <w:p w14:paraId="6B1E54CF">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3</w:t>
                  </w:r>
                </w:p>
              </w:tc>
              <w:tc>
                <w:tcPr>
                  <w:tcW w:w="2513" w:type="dxa"/>
                  <w:vAlign w:val="center"/>
                </w:tcPr>
                <w:p w14:paraId="16B6FA76">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压路机</w:t>
                  </w:r>
                </w:p>
              </w:tc>
              <w:tc>
                <w:tcPr>
                  <w:tcW w:w="2512" w:type="dxa"/>
                  <w:vAlign w:val="center"/>
                </w:tcPr>
                <w:p w14:paraId="23319A4C">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流动不稳态源</w:t>
                  </w:r>
                </w:p>
              </w:tc>
              <w:tc>
                <w:tcPr>
                  <w:tcW w:w="3716" w:type="dxa"/>
                  <w:vAlign w:val="center"/>
                </w:tcPr>
                <w:p w14:paraId="66DC6BF0">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85</w:t>
                  </w:r>
                </w:p>
              </w:tc>
            </w:tr>
            <w:tr w14:paraId="59923611">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06" w:hRule="atLeast"/>
                <w:jc w:val="center"/>
              </w:trPr>
              <w:tc>
                <w:tcPr>
                  <w:tcW w:w="1237" w:type="dxa"/>
                  <w:vAlign w:val="center"/>
                </w:tcPr>
                <w:p w14:paraId="21745D88">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4</w:t>
                  </w:r>
                </w:p>
              </w:tc>
              <w:tc>
                <w:tcPr>
                  <w:tcW w:w="2513" w:type="dxa"/>
                  <w:vAlign w:val="center"/>
                </w:tcPr>
                <w:p w14:paraId="047CE428">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推土机</w:t>
                  </w:r>
                </w:p>
              </w:tc>
              <w:tc>
                <w:tcPr>
                  <w:tcW w:w="2512" w:type="dxa"/>
                  <w:vAlign w:val="center"/>
                </w:tcPr>
                <w:p w14:paraId="4AB99D12">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流动不稳态源</w:t>
                  </w:r>
                </w:p>
              </w:tc>
              <w:tc>
                <w:tcPr>
                  <w:tcW w:w="3716" w:type="dxa"/>
                  <w:vAlign w:val="center"/>
                </w:tcPr>
                <w:p w14:paraId="68E8F913">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82</w:t>
                  </w:r>
                </w:p>
              </w:tc>
            </w:tr>
            <w:tr w14:paraId="7A9AD8E3">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06" w:hRule="atLeast"/>
                <w:jc w:val="center"/>
              </w:trPr>
              <w:tc>
                <w:tcPr>
                  <w:tcW w:w="1237" w:type="dxa"/>
                  <w:vAlign w:val="center"/>
                </w:tcPr>
                <w:p w14:paraId="784C22CB">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w:t>
                  </w:r>
                </w:p>
              </w:tc>
              <w:tc>
                <w:tcPr>
                  <w:tcW w:w="2513" w:type="dxa"/>
                  <w:vAlign w:val="center"/>
                </w:tcPr>
                <w:p w14:paraId="56EA6708">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挖掘机</w:t>
                  </w:r>
                </w:p>
              </w:tc>
              <w:tc>
                <w:tcPr>
                  <w:tcW w:w="2512" w:type="dxa"/>
                  <w:vAlign w:val="center"/>
                </w:tcPr>
                <w:p w14:paraId="7F220B51">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不稳态源</w:t>
                  </w:r>
                </w:p>
              </w:tc>
              <w:tc>
                <w:tcPr>
                  <w:tcW w:w="3716" w:type="dxa"/>
                  <w:vAlign w:val="center"/>
                </w:tcPr>
                <w:p w14:paraId="3F8B7E83">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84</w:t>
                  </w:r>
                </w:p>
              </w:tc>
            </w:tr>
            <w:tr w14:paraId="7F944239">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06" w:hRule="atLeast"/>
                <w:jc w:val="center"/>
              </w:trPr>
              <w:tc>
                <w:tcPr>
                  <w:tcW w:w="1237" w:type="dxa"/>
                  <w:vAlign w:val="center"/>
                </w:tcPr>
                <w:p w14:paraId="6827F9DD">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w:t>
                  </w:r>
                </w:p>
              </w:tc>
              <w:tc>
                <w:tcPr>
                  <w:tcW w:w="2513" w:type="dxa"/>
                  <w:vAlign w:val="center"/>
                </w:tcPr>
                <w:p w14:paraId="5244C0ED">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移动式吊车</w:t>
                  </w:r>
                </w:p>
              </w:tc>
              <w:tc>
                <w:tcPr>
                  <w:tcW w:w="2512" w:type="dxa"/>
                  <w:vAlign w:val="center"/>
                </w:tcPr>
                <w:p w14:paraId="490CECEC">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流动不稳态源</w:t>
                  </w:r>
                </w:p>
              </w:tc>
              <w:tc>
                <w:tcPr>
                  <w:tcW w:w="3716" w:type="dxa"/>
                  <w:vAlign w:val="center"/>
                </w:tcPr>
                <w:p w14:paraId="6AF77A12">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92</w:t>
                  </w:r>
                </w:p>
              </w:tc>
            </w:tr>
            <w:tr w14:paraId="27579F6D">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89" w:hRule="atLeast"/>
                <w:jc w:val="center"/>
              </w:trPr>
              <w:tc>
                <w:tcPr>
                  <w:tcW w:w="1237" w:type="dxa"/>
                  <w:vAlign w:val="center"/>
                </w:tcPr>
                <w:p w14:paraId="649F3A61">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w:t>
                  </w:r>
                </w:p>
              </w:tc>
              <w:tc>
                <w:tcPr>
                  <w:tcW w:w="2513" w:type="dxa"/>
                  <w:vAlign w:val="center"/>
                </w:tcPr>
                <w:p w14:paraId="219A27AD">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运输车辆</w:t>
                  </w:r>
                </w:p>
              </w:tc>
              <w:tc>
                <w:tcPr>
                  <w:tcW w:w="2512" w:type="dxa"/>
                  <w:vAlign w:val="center"/>
                </w:tcPr>
                <w:p w14:paraId="5DCC9E28">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流动不稳态源</w:t>
                  </w:r>
                </w:p>
              </w:tc>
              <w:tc>
                <w:tcPr>
                  <w:tcW w:w="3716" w:type="dxa"/>
                  <w:vAlign w:val="center"/>
                </w:tcPr>
                <w:p w14:paraId="7CFACC8D">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88</w:t>
                  </w:r>
                </w:p>
              </w:tc>
            </w:tr>
          </w:tbl>
          <w:p w14:paraId="0F4043AC">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施工噪声影响分析</w:t>
            </w:r>
          </w:p>
          <w:p w14:paraId="69CFB774">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 预测模式</w:t>
            </w:r>
          </w:p>
          <w:p w14:paraId="35542A2D">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噪声源至某一预测点的计算公式</w:t>
            </w:r>
          </w:p>
          <w:p w14:paraId="1A9E9D13">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object>
                <v:shape id="_x0000_i1031" o:spt="75" type="#_x0000_t75" style="height:17pt;width:98pt;" o:ole="t" fillcolor="#6D6D6D" filled="f" o:preferrelative="t" stroked="f" coordsize="21600,21600">
                  <v:path/>
                  <v:fill on="f" alignshape="1" focussize="0,0"/>
                  <v:stroke on="f"/>
                  <v:imagedata r:id="rId29" o:title=""/>
                  <o:lock v:ext="edit" aspectratio="t"/>
                  <w10:wrap type="none"/>
                  <w10:anchorlock/>
                </v:shape>
                <o:OLEObject Type="Embed" ProgID="Equation.3" ShapeID="_x0000_i1031" DrawAspect="Content" ObjectID="_1468075731" r:id="rId28">
                  <o:LockedField>false</o:LockedField>
                </o:OLEObject>
              </w:object>
            </w:r>
          </w:p>
          <w:p w14:paraId="53126C5C">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式中：L1、L2分别为距声源r1、r2处的等效A声级dB(A)；</w:t>
            </w:r>
          </w:p>
          <w:p w14:paraId="02131ACA">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 xml:space="preserve">      r1、r2为接受点距声源的距离，m。</w:t>
            </w:r>
          </w:p>
          <w:p w14:paraId="7C210BC4">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（2）预测结果</w:t>
            </w:r>
          </w:p>
          <w:p w14:paraId="13159AC5">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根据上式可计算出施工设备噪声值随距离衰减的情况见表</w:t>
            </w:r>
            <w:r>
              <w:rPr>
                <w:rFonts w:hint="default" w:ascii="Times New Roman" w:hAnsi="Times New Roman" w:cs="Times New Roman"/>
                <w:color w:val="auto"/>
                <w:sz w:val="24"/>
                <w:szCs w:val="24"/>
                <w:lang w:val="en-US" w:eastAsia="zh-CN"/>
              </w:rPr>
              <w:t>7</w:t>
            </w:r>
            <w:r>
              <w:rPr>
                <w:rFonts w:hint="default" w:ascii="Times New Roman" w:hAnsi="Times New Roman" w:cs="Times New Roman"/>
                <w:color w:val="auto"/>
                <w:sz w:val="24"/>
                <w:szCs w:val="24"/>
              </w:rPr>
              <w:t>-2。</w:t>
            </w:r>
          </w:p>
          <w:p w14:paraId="359CAC98">
            <w:pPr>
              <w:spacing w:line="360" w:lineRule="auto"/>
              <w:ind w:firstLine="480"/>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表</w:t>
            </w:r>
            <w:r>
              <w:rPr>
                <w:rFonts w:hint="default" w:ascii="Times New Roman" w:hAnsi="Times New Roman" w:eastAsia="宋体" w:cs="Times New Roman"/>
                <w:b/>
                <w:bCs/>
                <w:sz w:val="21"/>
                <w:szCs w:val="21"/>
                <w:lang w:val="en-US" w:eastAsia="zh-CN"/>
              </w:rPr>
              <w:t>7</w:t>
            </w:r>
            <w:r>
              <w:rPr>
                <w:rFonts w:hint="default" w:ascii="Times New Roman" w:hAnsi="Times New Roman" w:eastAsia="宋体" w:cs="Times New Roman"/>
                <w:b/>
                <w:bCs/>
                <w:sz w:val="21"/>
                <w:szCs w:val="21"/>
              </w:rPr>
              <w:t>-2 噪声随距离的衰减关系表</w:t>
            </w:r>
          </w:p>
          <w:tbl>
            <w:tblPr>
              <w:tblStyle w:val="23"/>
              <w:tblW w:w="9978" w:type="dxa"/>
              <w:jc w:val="center"/>
              <w:tblBorders>
                <w:top w:val="double" w:color="auto" w:sz="4" w:space="0"/>
                <w:left w:val="none" w:color="auto" w:sz="0" w:space="0"/>
                <w:bottom w:val="double" w:color="auto" w:sz="4"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1694"/>
              <w:gridCol w:w="639"/>
              <w:gridCol w:w="851"/>
              <w:gridCol w:w="849"/>
              <w:gridCol w:w="849"/>
              <w:gridCol w:w="850"/>
              <w:gridCol w:w="849"/>
              <w:gridCol w:w="849"/>
              <w:gridCol w:w="849"/>
              <w:gridCol w:w="850"/>
              <w:gridCol w:w="849"/>
            </w:tblGrid>
            <w:tr w14:paraId="3A952E62">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01" w:hRule="atLeast"/>
                <w:jc w:val="center"/>
              </w:trPr>
              <w:tc>
                <w:tcPr>
                  <w:tcW w:w="1694" w:type="dxa"/>
                  <w:vMerge w:val="restart"/>
                  <w:vAlign w:val="center"/>
                </w:tcPr>
                <w:p w14:paraId="059506BE">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机械名称</w:t>
                  </w:r>
                </w:p>
              </w:tc>
              <w:tc>
                <w:tcPr>
                  <w:tcW w:w="8284" w:type="dxa"/>
                  <w:gridSpan w:val="10"/>
                  <w:vAlign w:val="center"/>
                </w:tcPr>
                <w:p w14:paraId="6D4C05E2">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噪声预测值dB(A)</w:t>
                  </w:r>
                </w:p>
              </w:tc>
            </w:tr>
            <w:tr w14:paraId="40CBC791">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145" w:hRule="atLeast"/>
                <w:jc w:val="center"/>
              </w:trPr>
              <w:tc>
                <w:tcPr>
                  <w:tcW w:w="1694" w:type="dxa"/>
                  <w:vMerge w:val="continue"/>
                  <w:vAlign w:val="center"/>
                </w:tcPr>
                <w:p w14:paraId="10BB563E">
                  <w:pPr>
                    <w:jc w:val="center"/>
                    <w:rPr>
                      <w:rFonts w:hint="default" w:ascii="Times New Roman" w:hAnsi="Times New Roman" w:cs="Times New Roman"/>
                      <w:bCs/>
                      <w:color w:val="auto"/>
                      <w:sz w:val="21"/>
                      <w:szCs w:val="21"/>
                    </w:rPr>
                  </w:pPr>
                </w:p>
              </w:tc>
              <w:tc>
                <w:tcPr>
                  <w:tcW w:w="639" w:type="dxa"/>
                  <w:vAlign w:val="center"/>
                </w:tcPr>
                <w:p w14:paraId="4A54C120">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5m</w:t>
                  </w:r>
                </w:p>
              </w:tc>
              <w:tc>
                <w:tcPr>
                  <w:tcW w:w="851" w:type="dxa"/>
                  <w:vAlign w:val="center"/>
                </w:tcPr>
                <w:p w14:paraId="449AD77C">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10m</w:t>
                  </w:r>
                </w:p>
              </w:tc>
              <w:tc>
                <w:tcPr>
                  <w:tcW w:w="849" w:type="dxa"/>
                  <w:vAlign w:val="center"/>
                </w:tcPr>
                <w:p w14:paraId="24C24B23">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20m</w:t>
                  </w:r>
                </w:p>
              </w:tc>
              <w:tc>
                <w:tcPr>
                  <w:tcW w:w="849" w:type="dxa"/>
                  <w:vAlign w:val="center"/>
                </w:tcPr>
                <w:p w14:paraId="42B06A4D">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30m</w:t>
                  </w:r>
                </w:p>
              </w:tc>
              <w:tc>
                <w:tcPr>
                  <w:tcW w:w="850" w:type="dxa"/>
                  <w:vAlign w:val="center"/>
                </w:tcPr>
                <w:p w14:paraId="478A057C">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40m</w:t>
                  </w:r>
                </w:p>
              </w:tc>
              <w:tc>
                <w:tcPr>
                  <w:tcW w:w="849" w:type="dxa"/>
                  <w:vAlign w:val="center"/>
                </w:tcPr>
                <w:p w14:paraId="6DE1BE50">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50m</w:t>
                  </w:r>
                </w:p>
              </w:tc>
              <w:tc>
                <w:tcPr>
                  <w:tcW w:w="849" w:type="dxa"/>
                  <w:vAlign w:val="center"/>
                </w:tcPr>
                <w:p w14:paraId="3DFF8461">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100m</w:t>
                  </w:r>
                </w:p>
              </w:tc>
              <w:tc>
                <w:tcPr>
                  <w:tcW w:w="849" w:type="dxa"/>
                  <w:vAlign w:val="center"/>
                </w:tcPr>
                <w:p w14:paraId="2791843D">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150m</w:t>
                  </w:r>
                </w:p>
              </w:tc>
              <w:tc>
                <w:tcPr>
                  <w:tcW w:w="850" w:type="dxa"/>
                  <w:vAlign w:val="center"/>
                </w:tcPr>
                <w:p w14:paraId="70419E12">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200m</w:t>
                  </w:r>
                </w:p>
              </w:tc>
              <w:tc>
                <w:tcPr>
                  <w:tcW w:w="849" w:type="dxa"/>
                  <w:vAlign w:val="center"/>
                </w:tcPr>
                <w:p w14:paraId="6149894F">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300m</w:t>
                  </w:r>
                </w:p>
              </w:tc>
            </w:tr>
            <w:tr w14:paraId="47EAB6EE">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01" w:hRule="atLeast"/>
                <w:jc w:val="center"/>
              </w:trPr>
              <w:tc>
                <w:tcPr>
                  <w:tcW w:w="1694" w:type="dxa"/>
                  <w:vAlign w:val="center"/>
                </w:tcPr>
                <w:p w14:paraId="7B8123AC">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切割机</w:t>
                  </w:r>
                </w:p>
              </w:tc>
              <w:tc>
                <w:tcPr>
                  <w:tcW w:w="639" w:type="dxa"/>
                  <w:vAlign w:val="center"/>
                </w:tcPr>
                <w:p w14:paraId="3AC58F6E">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90</w:t>
                  </w:r>
                </w:p>
              </w:tc>
              <w:tc>
                <w:tcPr>
                  <w:tcW w:w="851" w:type="dxa"/>
                  <w:vAlign w:val="center"/>
                </w:tcPr>
                <w:p w14:paraId="4D3F82DB">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84</w:t>
                  </w:r>
                </w:p>
              </w:tc>
              <w:tc>
                <w:tcPr>
                  <w:tcW w:w="849" w:type="dxa"/>
                  <w:vAlign w:val="center"/>
                </w:tcPr>
                <w:p w14:paraId="19B62996">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78</w:t>
                  </w:r>
                </w:p>
              </w:tc>
              <w:tc>
                <w:tcPr>
                  <w:tcW w:w="849" w:type="dxa"/>
                  <w:vAlign w:val="center"/>
                </w:tcPr>
                <w:p w14:paraId="40D0E64D">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74</w:t>
                  </w:r>
                </w:p>
              </w:tc>
              <w:tc>
                <w:tcPr>
                  <w:tcW w:w="850" w:type="dxa"/>
                  <w:vAlign w:val="center"/>
                </w:tcPr>
                <w:p w14:paraId="31B229D0">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72</w:t>
                  </w:r>
                </w:p>
              </w:tc>
              <w:tc>
                <w:tcPr>
                  <w:tcW w:w="849" w:type="dxa"/>
                  <w:vAlign w:val="center"/>
                </w:tcPr>
                <w:p w14:paraId="3EFECB17">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70</w:t>
                  </w:r>
                </w:p>
              </w:tc>
              <w:tc>
                <w:tcPr>
                  <w:tcW w:w="849" w:type="dxa"/>
                  <w:vAlign w:val="center"/>
                </w:tcPr>
                <w:p w14:paraId="537F2B6E">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64</w:t>
                  </w:r>
                </w:p>
              </w:tc>
              <w:tc>
                <w:tcPr>
                  <w:tcW w:w="849" w:type="dxa"/>
                  <w:vAlign w:val="center"/>
                </w:tcPr>
                <w:p w14:paraId="7B60FEB9">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60</w:t>
                  </w:r>
                </w:p>
              </w:tc>
              <w:tc>
                <w:tcPr>
                  <w:tcW w:w="850" w:type="dxa"/>
                  <w:vAlign w:val="center"/>
                </w:tcPr>
                <w:p w14:paraId="54A53599">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58</w:t>
                  </w:r>
                </w:p>
              </w:tc>
              <w:tc>
                <w:tcPr>
                  <w:tcW w:w="849" w:type="dxa"/>
                  <w:vAlign w:val="center"/>
                </w:tcPr>
                <w:p w14:paraId="30C82663">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54</w:t>
                  </w:r>
                </w:p>
              </w:tc>
            </w:tr>
            <w:tr w14:paraId="28F853BC">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16" w:hRule="atLeast"/>
                <w:jc w:val="center"/>
              </w:trPr>
              <w:tc>
                <w:tcPr>
                  <w:tcW w:w="1694" w:type="dxa"/>
                  <w:vAlign w:val="center"/>
                </w:tcPr>
                <w:p w14:paraId="5682E2FA">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装载机</w:t>
                  </w:r>
                </w:p>
              </w:tc>
              <w:tc>
                <w:tcPr>
                  <w:tcW w:w="639" w:type="dxa"/>
                  <w:vAlign w:val="center"/>
                </w:tcPr>
                <w:p w14:paraId="6F0C2F46">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90</w:t>
                  </w:r>
                </w:p>
              </w:tc>
              <w:tc>
                <w:tcPr>
                  <w:tcW w:w="851" w:type="dxa"/>
                  <w:vAlign w:val="center"/>
                </w:tcPr>
                <w:p w14:paraId="529AF649">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84</w:t>
                  </w:r>
                </w:p>
              </w:tc>
              <w:tc>
                <w:tcPr>
                  <w:tcW w:w="849" w:type="dxa"/>
                  <w:vAlign w:val="center"/>
                </w:tcPr>
                <w:p w14:paraId="2FF2D1EF">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78</w:t>
                  </w:r>
                </w:p>
              </w:tc>
              <w:tc>
                <w:tcPr>
                  <w:tcW w:w="849" w:type="dxa"/>
                  <w:vAlign w:val="center"/>
                </w:tcPr>
                <w:p w14:paraId="2D2BA568">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74</w:t>
                  </w:r>
                </w:p>
              </w:tc>
              <w:tc>
                <w:tcPr>
                  <w:tcW w:w="850" w:type="dxa"/>
                  <w:vAlign w:val="center"/>
                </w:tcPr>
                <w:p w14:paraId="452E7E6A">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72</w:t>
                  </w:r>
                </w:p>
              </w:tc>
              <w:tc>
                <w:tcPr>
                  <w:tcW w:w="849" w:type="dxa"/>
                  <w:vAlign w:val="center"/>
                </w:tcPr>
                <w:p w14:paraId="7913190E">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70</w:t>
                  </w:r>
                </w:p>
              </w:tc>
              <w:tc>
                <w:tcPr>
                  <w:tcW w:w="849" w:type="dxa"/>
                  <w:vAlign w:val="center"/>
                </w:tcPr>
                <w:p w14:paraId="3F84BBD4">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64</w:t>
                  </w:r>
                </w:p>
              </w:tc>
              <w:tc>
                <w:tcPr>
                  <w:tcW w:w="849" w:type="dxa"/>
                  <w:vAlign w:val="center"/>
                </w:tcPr>
                <w:p w14:paraId="662604E9">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60</w:t>
                  </w:r>
                </w:p>
              </w:tc>
              <w:tc>
                <w:tcPr>
                  <w:tcW w:w="850" w:type="dxa"/>
                  <w:vAlign w:val="center"/>
                </w:tcPr>
                <w:p w14:paraId="3F007155">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58</w:t>
                  </w:r>
                </w:p>
              </w:tc>
              <w:tc>
                <w:tcPr>
                  <w:tcW w:w="849" w:type="dxa"/>
                  <w:vAlign w:val="center"/>
                </w:tcPr>
                <w:p w14:paraId="3239A73F">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54</w:t>
                  </w:r>
                </w:p>
              </w:tc>
            </w:tr>
            <w:tr w14:paraId="1F119E72">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01" w:hRule="atLeast"/>
                <w:jc w:val="center"/>
              </w:trPr>
              <w:tc>
                <w:tcPr>
                  <w:tcW w:w="1694" w:type="dxa"/>
                  <w:vAlign w:val="center"/>
                </w:tcPr>
                <w:p w14:paraId="3E5A529E">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压路机</w:t>
                  </w:r>
                </w:p>
              </w:tc>
              <w:tc>
                <w:tcPr>
                  <w:tcW w:w="639" w:type="dxa"/>
                  <w:vAlign w:val="center"/>
                </w:tcPr>
                <w:p w14:paraId="26BF2D6C">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85</w:t>
                  </w:r>
                </w:p>
              </w:tc>
              <w:tc>
                <w:tcPr>
                  <w:tcW w:w="851" w:type="dxa"/>
                  <w:vAlign w:val="center"/>
                </w:tcPr>
                <w:p w14:paraId="6DAF32CA">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79</w:t>
                  </w:r>
                </w:p>
              </w:tc>
              <w:tc>
                <w:tcPr>
                  <w:tcW w:w="849" w:type="dxa"/>
                  <w:vAlign w:val="center"/>
                </w:tcPr>
                <w:p w14:paraId="739948C0">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73</w:t>
                  </w:r>
                </w:p>
              </w:tc>
              <w:tc>
                <w:tcPr>
                  <w:tcW w:w="849" w:type="dxa"/>
                  <w:vAlign w:val="center"/>
                </w:tcPr>
                <w:p w14:paraId="75C7B2A9">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69</w:t>
                  </w:r>
                </w:p>
              </w:tc>
              <w:tc>
                <w:tcPr>
                  <w:tcW w:w="850" w:type="dxa"/>
                  <w:vAlign w:val="center"/>
                </w:tcPr>
                <w:p w14:paraId="326C3585">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67</w:t>
                  </w:r>
                </w:p>
              </w:tc>
              <w:tc>
                <w:tcPr>
                  <w:tcW w:w="849" w:type="dxa"/>
                  <w:vAlign w:val="center"/>
                </w:tcPr>
                <w:p w14:paraId="2F030C3E">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65</w:t>
                  </w:r>
                </w:p>
              </w:tc>
              <w:tc>
                <w:tcPr>
                  <w:tcW w:w="849" w:type="dxa"/>
                  <w:vAlign w:val="center"/>
                </w:tcPr>
                <w:p w14:paraId="5F6CBB89">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59</w:t>
                  </w:r>
                </w:p>
              </w:tc>
              <w:tc>
                <w:tcPr>
                  <w:tcW w:w="849" w:type="dxa"/>
                  <w:vAlign w:val="center"/>
                </w:tcPr>
                <w:p w14:paraId="4DED2C7C">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55</w:t>
                  </w:r>
                </w:p>
              </w:tc>
              <w:tc>
                <w:tcPr>
                  <w:tcW w:w="850" w:type="dxa"/>
                  <w:vAlign w:val="center"/>
                </w:tcPr>
                <w:p w14:paraId="2EFED7DE">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53</w:t>
                  </w:r>
                </w:p>
              </w:tc>
              <w:tc>
                <w:tcPr>
                  <w:tcW w:w="849" w:type="dxa"/>
                  <w:vAlign w:val="center"/>
                </w:tcPr>
                <w:p w14:paraId="0CAE76D6">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51</w:t>
                  </w:r>
                </w:p>
              </w:tc>
            </w:tr>
            <w:tr w14:paraId="463E52FA">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16" w:hRule="atLeast"/>
                <w:jc w:val="center"/>
              </w:trPr>
              <w:tc>
                <w:tcPr>
                  <w:tcW w:w="1694" w:type="dxa"/>
                  <w:vAlign w:val="center"/>
                </w:tcPr>
                <w:p w14:paraId="77986BEC">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推土机</w:t>
                  </w:r>
                </w:p>
              </w:tc>
              <w:tc>
                <w:tcPr>
                  <w:tcW w:w="639" w:type="dxa"/>
                  <w:vAlign w:val="center"/>
                </w:tcPr>
                <w:p w14:paraId="43EBAACD">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82</w:t>
                  </w:r>
                </w:p>
              </w:tc>
              <w:tc>
                <w:tcPr>
                  <w:tcW w:w="851" w:type="dxa"/>
                  <w:vAlign w:val="center"/>
                </w:tcPr>
                <w:p w14:paraId="0EFE13ED">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76</w:t>
                  </w:r>
                </w:p>
              </w:tc>
              <w:tc>
                <w:tcPr>
                  <w:tcW w:w="849" w:type="dxa"/>
                  <w:vAlign w:val="center"/>
                </w:tcPr>
                <w:p w14:paraId="5C1542B2">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70</w:t>
                  </w:r>
                </w:p>
              </w:tc>
              <w:tc>
                <w:tcPr>
                  <w:tcW w:w="849" w:type="dxa"/>
                  <w:vAlign w:val="center"/>
                </w:tcPr>
                <w:p w14:paraId="3FCA4EA8">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66</w:t>
                  </w:r>
                </w:p>
              </w:tc>
              <w:tc>
                <w:tcPr>
                  <w:tcW w:w="850" w:type="dxa"/>
                  <w:vAlign w:val="center"/>
                </w:tcPr>
                <w:p w14:paraId="6817809D">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64</w:t>
                  </w:r>
                </w:p>
              </w:tc>
              <w:tc>
                <w:tcPr>
                  <w:tcW w:w="849" w:type="dxa"/>
                  <w:vAlign w:val="center"/>
                </w:tcPr>
                <w:p w14:paraId="248A879C">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62</w:t>
                  </w:r>
                </w:p>
              </w:tc>
              <w:tc>
                <w:tcPr>
                  <w:tcW w:w="849" w:type="dxa"/>
                  <w:vAlign w:val="center"/>
                </w:tcPr>
                <w:p w14:paraId="5A17DA98">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56</w:t>
                  </w:r>
                </w:p>
              </w:tc>
              <w:tc>
                <w:tcPr>
                  <w:tcW w:w="849" w:type="dxa"/>
                  <w:vAlign w:val="center"/>
                </w:tcPr>
                <w:p w14:paraId="4546EF5F">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52</w:t>
                  </w:r>
                </w:p>
              </w:tc>
              <w:tc>
                <w:tcPr>
                  <w:tcW w:w="850" w:type="dxa"/>
                  <w:vAlign w:val="center"/>
                </w:tcPr>
                <w:p w14:paraId="18041B83">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50</w:t>
                  </w:r>
                </w:p>
              </w:tc>
              <w:tc>
                <w:tcPr>
                  <w:tcW w:w="849" w:type="dxa"/>
                  <w:vAlign w:val="center"/>
                </w:tcPr>
                <w:p w14:paraId="22AB241D">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46</w:t>
                  </w:r>
                </w:p>
              </w:tc>
            </w:tr>
            <w:tr w14:paraId="0DD79D5D">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01" w:hRule="atLeast"/>
                <w:jc w:val="center"/>
              </w:trPr>
              <w:tc>
                <w:tcPr>
                  <w:tcW w:w="1694" w:type="dxa"/>
                  <w:vAlign w:val="center"/>
                </w:tcPr>
                <w:p w14:paraId="17BCFE44">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挖掘机</w:t>
                  </w:r>
                </w:p>
              </w:tc>
              <w:tc>
                <w:tcPr>
                  <w:tcW w:w="639" w:type="dxa"/>
                  <w:vAlign w:val="center"/>
                </w:tcPr>
                <w:p w14:paraId="292587B2">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84</w:t>
                  </w:r>
                </w:p>
              </w:tc>
              <w:tc>
                <w:tcPr>
                  <w:tcW w:w="851" w:type="dxa"/>
                  <w:vAlign w:val="center"/>
                </w:tcPr>
                <w:p w14:paraId="3326184E">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78</w:t>
                  </w:r>
                </w:p>
              </w:tc>
              <w:tc>
                <w:tcPr>
                  <w:tcW w:w="849" w:type="dxa"/>
                  <w:vAlign w:val="center"/>
                </w:tcPr>
                <w:p w14:paraId="48851254">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72</w:t>
                  </w:r>
                </w:p>
              </w:tc>
              <w:tc>
                <w:tcPr>
                  <w:tcW w:w="849" w:type="dxa"/>
                  <w:vAlign w:val="center"/>
                </w:tcPr>
                <w:p w14:paraId="1A0C8711">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68</w:t>
                  </w:r>
                </w:p>
              </w:tc>
              <w:tc>
                <w:tcPr>
                  <w:tcW w:w="850" w:type="dxa"/>
                  <w:vAlign w:val="center"/>
                </w:tcPr>
                <w:p w14:paraId="3F0F75DF">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66</w:t>
                  </w:r>
                </w:p>
              </w:tc>
              <w:tc>
                <w:tcPr>
                  <w:tcW w:w="849" w:type="dxa"/>
                  <w:vAlign w:val="center"/>
                </w:tcPr>
                <w:p w14:paraId="28202F37">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64</w:t>
                  </w:r>
                </w:p>
              </w:tc>
              <w:tc>
                <w:tcPr>
                  <w:tcW w:w="849" w:type="dxa"/>
                  <w:vAlign w:val="center"/>
                </w:tcPr>
                <w:p w14:paraId="6D417428">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58</w:t>
                  </w:r>
                </w:p>
              </w:tc>
              <w:tc>
                <w:tcPr>
                  <w:tcW w:w="849" w:type="dxa"/>
                  <w:vAlign w:val="center"/>
                </w:tcPr>
                <w:p w14:paraId="742BF479">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54</w:t>
                  </w:r>
                </w:p>
              </w:tc>
              <w:tc>
                <w:tcPr>
                  <w:tcW w:w="850" w:type="dxa"/>
                  <w:vAlign w:val="center"/>
                </w:tcPr>
                <w:p w14:paraId="3C0D5DFF">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52</w:t>
                  </w:r>
                </w:p>
              </w:tc>
              <w:tc>
                <w:tcPr>
                  <w:tcW w:w="849" w:type="dxa"/>
                  <w:vAlign w:val="center"/>
                </w:tcPr>
                <w:p w14:paraId="7D9E32F3">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48</w:t>
                  </w:r>
                </w:p>
              </w:tc>
            </w:tr>
            <w:tr w14:paraId="3A328132">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16" w:hRule="atLeast"/>
                <w:jc w:val="center"/>
              </w:trPr>
              <w:tc>
                <w:tcPr>
                  <w:tcW w:w="1694" w:type="dxa"/>
                  <w:vAlign w:val="center"/>
                </w:tcPr>
                <w:p w14:paraId="1D09CA48">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移动式吊车</w:t>
                  </w:r>
                </w:p>
              </w:tc>
              <w:tc>
                <w:tcPr>
                  <w:tcW w:w="639" w:type="dxa"/>
                  <w:vAlign w:val="center"/>
                </w:tcPr>
                <w:p w14:paraId="7681B09E">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92</w:t>
                  </w:r>
                </w:p>
              </w:tc>
              <w:tc>
                <w:tcPr>
                  <w:tcW w:w="851" w:type="dxa"/>
                  <w:vAlign w:val="center"/>
                </w:tcPr>
                <w:p w14:paraId="4C28461B">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86</w:t>
                  </w:r>
                </w:p>
              </w:tc>
              <w:tc>
                <w:tcPr>
                  <w:tcW w:w="849" w:type="dxa"/>
                  <w:vAlign w:val="center"/>
                </w:tcPr>
                <w:p w14:paraId="13097514">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80</w:t>
                  </w:r>
                </w:p>
              </w:tc>
              <w:tc>
                <w:tcPr>
                  <w:tcW w:w="849" w:type="dxa"/>
                  <w:vAlign w:val="center"/>
                </w:tcPr>
                <w:p w14:paraId="57B787A9">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76</w:t>
                  </w:r>
                </w:p>
              </w:tc>
              <w:tc>
                <w:tcPr>
                  <w:tcW w:w="850" w:type="dxa"/>
                  <w:vAlign w:val="center"/>
                </w:tcPr>
                <w:p w14:paraId="00AED6D5">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74</w:t>
                  </w:r>
                </w:p>
              </w:tc>
              <w:tc>
                <w:tcPr>
                  <w:tcW w:w="849" w:type="dxa"/>
                  <w:vAlign w:val="center"/>
                </w:tcPr>
                <w:p w14:paraId="7B2AA39F">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72</w:t>
                  </w:r>
                </w:p>
              </w:tc>
              <w:tc>
                <w:tcPr>
                  <w:tcW w:w="849" w:type="dxa"/>
                  <w:vAlign w:val="center"/>
                </w:tcPr>
                <w:p w14:paraId="3BC3F66C">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66</w:t>
                  </w:r>
                </w:p>
              </w:tc>
              <w:tc>
                <w:tcPr>
                  <w:tcW w:w="849" w:type="dxa"/>
                  <w:vAlign w:val="center"/>
                </w:tcPr>
                <w:p w14:paraId="699B6EFE">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62</w:t>
                  </w:r>
                </w:p>
              </w:tc>
              <w:tc>
                <w:tcPr>
                  <w:tcW w:w="850" w:type="dxa"/>
                  <w:vAlign w:val="center"/>
                </w:tcPr>
                <w:p w14:paraId="2DF92692">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60</w:t>
                  </w:r>
                </w:p>
              </w:tc>
              <w:tc>
                <w:tcPr>
                  <w:tcW w:w="849" w:type="dxa"/>
                  <w:vAlign w:val="center"/>
                </w:tcPr>
                <w:p w14:paraId="7F9DC988">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56</w:t>
                  </w:r>
                </w:p>
              </w:tc>
            </w:tr>
            <w:tr w14:paraId="1E6E88FE">
              <w:tblPrEx>
                <w:tblBorders>
                  <w:top w:val="double" w:color="auto" w:sz="4" w:space="0"/>
                  <w:left w:val="none" w:color="auto" w:sz="0" w:space="0"/>
                  <w:bottom w:val="double" w:color="auto" w:sz="4"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01" w:hRule="atLeast"/>
                <w:jc w:val="center"/>
              </w:trPr>
              <w:tc>
                <w:tcPr>
                  <w:tcW w:w="1694" w:type="dxa"/>
                  <w:vAlign w:val="center"/>
                </w:tcPr>
                <w:p w14:paraId="4ADD2ED1">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运输车辆</w:t>
                  </w:r>
                </w:p>
              </w:tc>
              <w:tc>
                <w:tcPr>
                  <w:tcW w:w="639" w:type="dxa"/>
                  <w:vAlign w:val="center"/>
                </w:tcPr>
                <w:p w14:paraId="084941E0">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88</w:t>
                  </w:r>
                </w:p>
              </w:tc>
              <w:tc>
                <w:tcPr>
                  <w:tcW w:w="851" w:type="dxa"/>
                  <w:vAlign w:val="center"/>
                </w:tcPr>
                <w:p w14:paraId="63743DBF">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82</w:t>
                  </w:r>
                </w:p>
              </w:tc>
              <w:tc>
                <w:tcPr>
                  <w:tcW w:w="849" w:type="dxa"/>
                  <w:vAlign w:val="center"/>
                </w:tcPr>
                <w:p w14:paraId="0A241BAB">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76</w:t>
                  </w:r>
                </w:p>
              </w:tc>
              <w:tc>
                <w:tcPr>
                  <w:tcW w:w="849" w:type="dxa"/>
                  <w:vAlign w:val="center"/>
                </w:tcPr>
                <w:p w14:paraId="39DD66C2">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72</w:t>
                  </w:r>
                </w:p>
              </w:tc>
              <w:tc>
                <w:tcPr>
                  <w:tcW w:w="850" w:type="dxa"/>
                  <w:vAlign w:val="center"/>
                </w:tcPr>
                <w:p w14:paraId="39C7E854">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72</w:t>
                  </w:r>
                </w:p>
              </w:tc>
              <w:tc>
                <w:tcPr>
                  <w:tcW w:w="849" w:type="dxa"/>
                  <w:vAlign w:val="center"/>
                </w:tcPr>
                <w:p w14:paraId="7661D2D7">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68</w:t>
                  </w:r>
                </w:p>
              </w:tc>
              <w:tc>
                <w:tcPr>
                  <w:tcW w:w="849" w:type="dxa"/>
                  <w:vAlign w:val="center"/>
                </w:tcPr>
                <w:p w14:paraId="33AB5316">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62</w:t>
                  </w:r>
                </w:p>
              </w:tc>
              <w:tc>
                <w:tcPr>
                  <w:tcW w:w="849" w:type="dxa"/>
                  <w:vAlign w:val="center"/>
                </w:tcPr>
                <w:p w14:paraId="2CBB18B2">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58</w:t>
                  </w:r>
                </w:p>
              </w:tc>
              <w:tc>
                <w:tcPr>
                  <w:tcW w:w="850" w:type="dxa"/>
                  <w:vAlign w:val="center"/>
                </w:tcPr>
                <w:p w14:paraId="099217CA">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56</w:t>
                  </w:r>
                </w:p>
              </w:tc>
              <w:tc>
                <w:tcPr>
                  <w:tcW w:w="849" w:type="dxa"/>
                  <w:vAlign w:val="center"/>
                </w:tcPr>
                <w:p w14:paraId="695753DE">
                  <w:pPr>
                    <w:jc w:val="center"/>
                    <w:rPr>
                      <w:rFonts w:hint="default" w:ascii="Times New Roman" w:hAnsi="Times New Roman" w:cs="Times New Roman"/>
                      <w:bCs/>
                      <w:color w:val="auto"/>
                      <w:sz w:val="21"/>
                      <w:szCs w:val="21"/>
                    </w:rPr>
                  </w:pPr>
                  <w:r>
                    <w:rPr>
                      <w:rFonts w:hint="default" w:ascii="Times New Roman" w:hAnsi="Times New Roman" w:cs="Times New Roman"/>
                      <w:bCs/>
                      <w:color w:val="auto"/>
                      <w:sz w:val="21"/>
                      <w:szCs w:val="21"/>
                    </w:rPr>
                    <w:t>52</w:t>
                  </w:r>
                </w:p>
              </w:tc>
            </w:tr>
          </w:tbl>
          <w:p w14:paraId="7A544082">
            <w:pPr>
              <w:spacing w:line="360" w:lineRule="auto"/>
              <w:ind w:firstLine="480"/>
              <w:rPr>
                <w:rFonts w:hint="default" w:ascii="Times New Roman" w:hAnsi="Times New Roman" w:cs="Times New Roman"/>
                <w:color w:val="auto"/>
                <w:sz w:val="24"/>
                <w:szCs w:val="24"/>
              </w:rPr>
            </w:pPr>
          </w:p>
          <w:p w14:paraId="728ABAB5">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（3）施工期噪声影响分析</w:t>
            </w:r>
          </w:p>
          <w:p w14:paraId="6968415C">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工程建设施工工作量不大，而且机械化程度高，由此而产生的噪声对周围区域环境有一定的影响。这种影响是短期的、暂时的，而且具有局部地段特性。根据《建筑施工场界环境噪声排放标准》（GB12523-2011），施工阶段作业噪声限值为：昼间70dB(A)，夜间55dB(A)。</w:t>
            </w:r>
          </w:p>
          <w:p w14:paraId="2C891FA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建设单位对施工期噪声采取的措施主要为：调整施工时间，禁止夜间施工；合理布置高噪声施工部位、使用低噪声施工机械。</w:t>
            </w:r>
          </w:p>
          <w:p w14:paraId="25BF1751">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通过上述措施，结合项目周围外环境分布情况可得，项目施工期噪声不会对周围环境造成不利影响。</w:t>
            </w:r>
            <w:bookmarkEnd w:id="15"/>
          </w:p>
          <w:p w14:paraId="7CE17CC0">
            <w:pPr>
              <w:spacing w:line="360" w:lineRule="auto"/>
              <w:outlineLvl w:val="0"/>
              <w:rPr>
                <w:rFonts w:hint="default" w:ascii="Times New Roman" w:hAnsi="Times New Roman" w:eastAsia="黑体" w:cs="Times New Roman"/>
                <w:color w:val="auto"/>
                <w:sz w:val="28"/>
              </w:rPr>
            </w:pPr>
            <w:r>
              <w:rPr>
                <w:rFonts w:hint="default" w:ascii="Times New Roman" w:hAnsi="Times New Roman" w:eastAsia="黑体" w:cs="Times New Roman"/>
                <w:color w:val="auto"/>
                <w:sz w:val="28"/>
              </w:rPr>
              <w:t>二、营运期环境影响分析</w:t>
            </w:r>
          </w:p>
          <w:p w14:paraId="2874C05C">
            <w:pPr>
              <w:snapToGrid w:val="0"/>
              <w:spacing w:line="360" w:lineRule="auto"/>
              <w:rPr>
                <w:rFonts w:hint="default" w:ascii="Times New Roman" w:hAnsi="Times New Roman" w:cs="Times New Roman"/>
                <w:b/>
                <w:bCs/>
                <w:color w:val="auto"/>
                <w:sz w:val="24"/>
              </w:rPr>
            </w:pPr>
            <w:r>
              <w:rPr>
                <w:rFonts w:hint="eastAsia" w:cs="Times New Roman"/>
                <w:b/>
                <w:color w:val="auto"/>
                <w:kern w:val="28"/>
                <w:sz w:val="24"/>
                <w:lang w:eastAsia="zh-CN"/>
              </w:rPr>
              <w:t>（</w:t>
            </w:r>
            <w:r>
              <w:rPr>
                <w:rFonts w:hint="eastAsia" w:cs="Times New Roman"/>
                <w:b/>
                <w:color w:val="auto"/>
                <w:kern w:val="28"/>
                <w:sz w:val="24"/>
                <w:lang w:val="en-US" w:eastAsia="zh-CN"/>
              </w:rPr>
              <w:t>一</w:t>
            </w:r>
            <w:r>
              <w:rPr>
                <w:rFonts w:hint="eastAsia" w:cs="Times New Roman"/>
                <w:b/>
                <w:color w:val="auto"/>
                <w:kern w:val="28"/>
                <w:sz w:val="24"/>
                <w:lang w:eastAsia="zh-CN"/>
              </w:rPr>
              <w:t>）</w:t>
            </w:r>
            <w:r>
              <w:rPr>
                <w:rFonts w:hint="default" w:ascii="Times New Roman" w:hAnsi="Times New Roman" w:cs="Times New Roman"/>
                <w:b/>
                <w:bCs/>
                <w:color w:val="auto"/>
                <w:sz w:val="24"/>
              </w:rPr>
              <w:t>大气环境影响分析</w:t>
            </w:r>
          </w:p>
          <w:p w14:paraId="23A332EA">
            <w:pPr>
              <w:pStyle w:val="28"/>
              <w:spacing w:line="360" w:lineRule="auto"/>
              <w:ind w:firstLine="482" w:firstLineChars="200"/>
              <w:rPr>
                <w:rFonts w:hint="eastAsia" w:ascii="Times New Roman" w:hAnsi="Times New Roman" w:eastAsia="宋体" w:cs="Times New Roman"/>
                <w:b/>
                <w:bCs/>
                <w:color w:val="auto"/>
                <w:lang w:val="en-US" w:eastAsia="zh-CN"/>
              </w:rPr>
            </w:pPr>
            <w:r>
              <w:rPr>
                <w:rFonts w:hint="eastAsia" w:ascii="Times New Roman" w:cs="Times New Roman"/>
                <w:b/>
                <w:bCs/>
                <w:color w:val="auto"/>
                <w:lang w:val="en-US" w:eastAsia="zh-CN"/>
              </w:rPr>
              <w:t>1、大气污染物排放分析</w:t>
            </w:r>
          </w:p>
          <w:p w14:paraId="52D2FB2D">
            <w:pPr>
              <w:pStyle w:val="28"/>
              <w:numPr>
                <w:ilvl w:val="0"/>
                <w:numId w:val="0"/>
              </w:numPr>
              <w:spacing w:line="360" w:lineRule="auto"/>
              <w:ind w:firstLine="482" w:firstLineChars="200"/>
              <w:rPr>
                <w:rFonts w:hint="eastAsia" w:ascii="Times New Roman" w:cs="Times New Roman"/>
                <w:b/>
                <w:bCs/>
                <w:color w:val="auto"/>
                <w:sz w:val="24"/>
                <w:szCs w:val="24"/>
                <w:lang w:val="en-US" w:eastAsia="zh-CN"/>
              </w:rPr>
            </w:pPr>
            <w:r>
              <w:rPr>
                <w:rFonts w:hint="eastAsia" w:ascii="Times New Roman" w:cs="Times New Roman"/>
                <w:b/>
                <w:bCs/>
                <w:color w:val="auto"/>
                <w:sz w:val="24"/>
                <w:szCs w:val="24"/>
                <w:lang w:val="en-US" w:eastAsia="zh-CN"/>
              </w:rPr>
              <w:t>①破碎粉尘</w:t>
            </w:r>
          </w:p>
          <w:p w14:paraId="4B291992">
            <w:pPr>
              <w:pStyle w:val="28"/>
              <w:numPr>
                <w:ilvl w:val="0"/>
                <w:numId w:val="0"/>
              </w:numPr>
              <w:spacing w:line="360" w:lineRule="auto"/>
              <w:ind w:firstLine="480" w:firstLineChars="200"/>
              <w:rPr>
                <w:rFonts w:hint="eastAsia" w:ascii="Times New Roman" w:cs="Times New Roman"/>
                <w:b w:val="0"/>
                <w:bCs w:val="0"/>
                <w:color w:val="auto"/>
                <w:sz w:val="24"/>
                <w:szCs w:val="24"/>
                <w:lang w:val="en-US" w:eastAsia="zh-CN"/>
              </w:rPr>
            </w:pPr>
            <w:r>
              <w:rPr>
                <w:rFonts w:hint="eastAsia" w:ascii="Times New Roman" w:cs="Times New Roman"/>
                <w:b w:val="0"/>
                <w:bCs w:val="0"/>
                <w:color w:val="auto"/>
                <w:sz w:val="24"/>
                <w:szCs w:val="24"/>
                <w:lang w:val="en-US" w:eastAsia="zh-CN"/>
              </w:rPr>
              <w:t>根据工程分析可知，项目破碎工序产生的粉尘量为0.275kg/a，速率为0.0005kg/h。因产生量极少，且在密闭环境中工作，因此不会对周边大气产生影响。</w:t>
            </w:r>
          </w:p>
          <w:p w14:paraId="6915F066">
            <w:pPr>
              <w:pStyle w:val="28"/>
              <w:numPr>
                <w:ilvl w:val="0"/>
                <w:numId w:val="0"/>
              </w:numPr>
              <w:spacing w:line="360" w:lineRule="auto"/>
              <w:ind w:firstLine="482" w:firstLineChars="200"/>
              <w:rPr>
                <w:rFonts w:hint="default" w:ascii="Times New Roman" w:hAnsi="Times New Roman" w:cs="Times New Roman"/>
                <w:b/>
                <w:bCs/>
                <w:color w:val="auto"/>
                <w:sz w:val="24"/>
                <w:szCs w:val="24"/>
                <w:lang w:val="en-US" w:eastAsia="zh-CN"/>
              </w:rPr>
            </w:pPr>
            <w:r>
              <w:rPr>
                <w:rFonts w:hint="default" w:ascii="Times New Roman" w:hAnsi="Times New Roman" w:cs="Times New Roman"/>
                <w:b/>
                <w:bCs/>
                <w:color w:val="auto"/>
                <w:sz w:val="24"/>
                <w:szCs w:val="24"/>
              </w:rPr>
              <w:fldChar w:fldCharType="begin"/>
            </w:r>
            <w:r>
              <w:rPr>
                <w:rFonts w:hint="default" w:ascii="Times New Roman" w:hAnsi="Times New Roman" w:cs="Times New Roman"/>
                <w:b/>
                <w:bCs/>
                <w:color w:val="auto"/>
                <w:sz w:val="24"/>
                <w:szCs w:val="24"/>
              </w:rPr>
              <w:instrText xml:space="preserve"> = 2 \* GB3 \* MERGEFORMAT </w:instrText>
            </w:r>
            <w:r>
              <w:rPr>
                <w:rFonts w:hint="default" w:ascii="Times New Roman" w:hAnsi="Times New Roman" w:cs="Times New Roman"/>
                <w:b/>
                <w:bCs/>
                <w:color w:val="auto"/>
                <w:sz w:val="24"/>
                <w:szCs w:val="24"/>
              </w:rPr>
              <w:fldChar w:fldCharType="separate"/>
            </w:r>
            <w:r>
              <w:rPr>
                <w:rFonts w:hint="default" w:ascii="Times New Roman" w:hAnsi="Times New Roman" w:cs="Times New Roman"/>
                <w:b/>
                <w:bCs/>
                <w:color w:val="auto"/>
              </w:rPr>
              <w:t>②</w:t>
            </w:r>
            <w:r>
              <w:rPr>
                <w:rFonts w:hint="default" w:ascii="Times New Roman" w:hAnsi="Times New Roman" w:cs="Times New Roman"/>
                <w:b/>
                <w:bCs/>
                <w:color w:val="auto"/>
                <w:sz w:val="24"/>
                <w:szCs w:val="24"/>
              </w:rPr>
              <w:fldChar w:fldCharType="end"/>
            </w:r>
            <w:r>
              <w:rPr>
                <w:rFonts w:hint="eastAsia" w:ascii="Times New Roman" w:cs="Times New Roman"/>
                <w:b/>
                <w:bCs/>
                <w:color w:val="auto"/>
                <w:sz w:val="24"/>
                <w:szCs w:val="24"/>
                <w:lang w:val="en-US" w:eastAsia="zh-CN"/>
              </w:rPr>
              <w:t>焊接烟尘</w:t>
            </w:r>
          </w:p>
          <w:p w14:paraId="238D0630">
            <w:pPr>
              <w:pStyle w:val="28"/>
              <w:numPr>
                <w:ilvl w:val="0"/>
                <w:numId w:val="0"/>
              </w:numPr>
              <w:spacing w:line="360" w:lineRule="auto"/>
              <w:ind w:firstLine="480" w:firstLineChars="200"/>
              <w:rPr>
                <w:rFonts w:hint="default" w:ascii="Times New Roman" w:hAnsi="Times New Roman" w:cs="Times New Roman"/>
                <w:bCs/>
                <w:color w:val="auto"/>
                <w:sz w:val="24"/>
                <w:szCs w:val="24"/>
                <w:lang w:eastAsia="zh-CN"/>
              </w:rPr>
            </w:pPr>
            <w:r>
              <w:rPr>
                <w:rFonts w:hint="eastAsia" w:ascii="Times New Roman" w:cs="Times New Roman"/>
                <w:bCs/>
                <w:color w:val="auto"/>
                <w:sz w:val="24"/>
                <w:szCs w:val="24"/>
                <w:lang w:val="en-US" w:eastAsia="zh-CN"/>
              </w:rPr>
              <w:t>根据工程分析可知，</w:t>
            </w:r>
            <w:r>
              <w:rPr>
                <w:rFonts w:hint="default" w:ascii="Times New Roman" w:hAnsi="Times New Roman" w:cs="Times New Roman"/>
                <w:bCs/>
                <w:color w:val="auto"/>
                <w:sz w:val="24"/>
                <w:szCs w:val="24"/>
                <w:lang w:val="en-US" w:eastAsia="zh-CN"/>
              </w:rPr>
              <w:t>项目在2#厂房焊接烟尘中烟尘量为</w:t>
            </w:r>
            <w:r>
              <w:rPr>
                <w:rFonts w:hint="eastAsia" w:ascii="Times New Roman" w:cs="Times New Roman"/>
                <w:bCs/>
                <w:color w:val="auto"/>
                <w:sz w:val="24"/>
                <w:szCs w:val="24"/>
                <w:lang w:val="en-US" w:eastAsia="zh-CN"/>
              </w:rPr>
              <w:t>3</w:t>
            </w:r>
            <w:r>
              <w:rPr>
                <w:rFonts w:hint="default" w:ascii="Times New Roman" w:hAnsi="Times New Roman" w:cs="Times New Roman"/>
                <w:bCs/>
                <w:color w:val="auto"/>
                <w:sz w:val="24"/>
                <w:szCs w:val="24"/>
                <w:lang w:val="en-US" w:eastAsia="zh-CN"/>
              </w:rPr>
              <w:t>kg/a。</w:t>
            </w:r>
            <w:r>
              <w:rPr>
                <w:rFonts w:hint="eastAsia" w:ascii="Times New Roman" w:cs="Times New Roman"/>
                <w:bCs/>
                <w:color w:val="auto"/>
                <w:sz w:val="24"/>
                <w:szCs w:val="24"/>
                <w:lang w:val="en-US" w:eastAsia="zh-CN"/>
              </w:rPr>
              <w:t>本环评要求建设单位采取产污工序上方设集气罩，通过</w:t>
            </w:r>
            <w:r>
              <w:rPr>
                <w:rFonts w:hint="default" w:ascii="Times New Roman" w:hAnsi="Times New Roman" w:cs="Times New Roman"/>
                <w:bCs/>
                <w:color w:val="auto"/>
                <w:sz w:val="24"/>
                <w:szCs w:val="24"/>
                <w:lang w:val="en-US" w:eastAsia="zh-CN"/>
              </w:rPr>
              <w:t>焊接烟尘净化器处置</w:t>
            </w:r>
            <w:r>
              <w:rPr>
                <w:rFonts w:hint="eastAsia" w:ascii="Times New Roman" w:cs="Times New Roman"/>
                <w:bCs/>
                <w:color w:val="auto"/>
                <w:sz w:val="24"/>
                <w:szCs w:val="24"/>
                <w:lang w:val="en-US" w:eastAsia="zh-CN"/>
              </w:rPr>
              <w:t>后</w:t>
            </w:r>
            <w:r>
              <w:rPr>
                <w:rFonts w:hint="default" w:ascii="Times New Roman" w:hAnsi="Times New Roman" w:cs="Times New Roman"/>
                <w:bCs/>
                <w:color w:val="auto"/>
                <w:sz w:val="24"/>
                <w:szCs w:val="24"/>
                <w:lang w:val="en-US" w:eastAsia="zh-CN"/>
              </w:rPr>
              <w:t>，通过2#排气筒（15米）排放。</w:t>
            </w:r>
            <w:r>
              <w:rPr>
                <w:rFonts w:hint="eastAsia" w:ascii="Times New Roman" w:cs="Times New Roman"/>
                <w:bCs/>
                <w:color w:val="auto"/>
                <w:sz w:val="24"/>
                <w:szCs w:val="24"/>
                <w:lang w:val="en-US" w:eastAsia="zh-CN"/>
              </w:rPr>
              <w:t>其中</w:t>
            </w:r>
            <w:r>
              <w:rPr>
                <w:rFonts w:hint="default" w:ascii="Times New Roman" w:hAnsi="Times New Roman" w:cs="Times New Roman"/>
                <w:bCs/>
                <w:color w:val="auto"/>
                <w:sz w:val="24"/>
                <w:szCs w:val="24"/>
                <w:lang w:val="en-US" w:eastAsia="zh-CN"/>
              </w:rPr>
              <w:t>设计风量为</w:t>
            </w:r>
            <w:r>
              <w:rPr>
                <w:rFonts w:hint="eastAsia" w:ascii="Times New Roman" w:cs="Times New Roman"/>
                <w:bCs/>
                <w:color w:val="auto"/>
                <w:sz w:val="24"/>
                <w:szCs w:val="24"/>
                <w:lang w:val="en-US" w:eastAsia="zh-CN"/>
              </w:rPr>
              <w:t>1</w:t>
            </w:r>
            <w:r>
              <w:rPr>
                <w:rFonts w:hint="default" w:ascii="Times New Roman" w:hAnsi="Times New Roman" w:cs="Times New Roman"/>
                <w:bCs/>
                <w:color w:val="auto"/>
                <w:sz w:val="24"/>
                <w:szCs w:val="24"/>
                <w:lang w:val="en-US" w:eastAsia="zh-CN"/>
              </w:rPr>
              <w:t>000m</w:t>
            </w:r>
            <w:r>
              <w:rPr>
                <w:rFonts w:hint="default" w:ascii="Times New Roman" w:hAnsi="Times New Roman" w:cs="Times New Roman"/>
                <w:bCs/>
                <w:color w:val="auto"/>
                <w:sz w:val="24"/>
                <w:szCs w:val="24"/>
                <w:vertAlign w:val="superscript"/>
                <w:lang w:val="en-US" w:eastAsia="zh-CN"/>
              </w:rPr>
              <w:t>3</w:t>
            </w:r>
            <w:r>
              <w:rPr>
                <w:rFonts w:hint="default" w:ascii="Times New Roman" w:hAnsi="Times New Roman" w:cs="Times New Roman"/>
                <w:bCs/>
                <w:color w:val="auto"/>
                <w:sz w:val="24"/>
                <w:szCs w:val="24"/>
                <w:lang w:val="en-US" w:eastAsia="zh-CN"/>
              </w:rPr>
              <w:t>/h</w:t>
            </w:r>
            <w:r>
              <w:rPr>
                <w:rFonts w:hint="eastAsia" w:ascii="Times New Roman" w:cs="Times New Roman"/>
                <w:bCs/>
                <w:color w:val="auto"/>
                <w:sz w:val="24"/>
                <w:szCs w:val="24"/>
                <w:lang w:val="en-US" w:eastAsia="zh-CN"/>
              </w:rPr>
              <w:t>，</w:t>
            </w:r>
            <w:r>
              <w:rPr>
                <w:rFonts w:hint="default" w:ascii="Times New Roman" w:hAnsi="Times New Roman" w:cs="Times New Roman"/>
                <w:bCs/>
                <w:color w:val="auto"/>
                <w:sz w:val="24"/>
                <w:szCs w:val="24"/>
                <w:lang w:val="en-US" w:eastAsia="zh-CN"/>
              </w:rPr>
              <w:t>收集效率</w:t>
            </w:r>
            <w:r>
              <w:rPr>
                <w:rFonts w:hint="eastAsia" w:ascii="Times New Roman" w:cs="Times New Roman"/>
                <w:bCs/>
                <w:color w:val="auto"/>
                <w:sz w:val="24"/>
                <w:szCs w:val="24"/>
                <w:lang w:val="en-US" w:eastAsia="zh-CN"/>
              </w:rPr>
              <w:t>不低于</w:t>
            </w:r>
            <w:r>
              <w:rPr>
                <w:rFonts w:hint="default" w:ascii="Times New Roman" w:hAnsi="Times New Roman" w:cs="Times New Roman"/>
                <w:bCs/>
                <w:color w:val="auto"/>
                <w:sz w:val="24"/>
                <w:szCs w:val="24"/>
                <w:lang w:val="en-US" w:eastAsia="zh-CN"/>
              </w:rPr>
              <w:t>90%</w:t>
            </w:r>
            <w:r>
              <w:rPr>
                <w:rFonts w:hint="eastAsia" w:ascii="Times New Roman" w:cs="Times New Roman"/>
                <w:bCs/>
                <w:color w:val="auto"/>
                <w:sz w:val="24"/>
                <w:szCs w:val="24"/>
                <w:lang w:val="en-US" w:eastAsia="zh-CN"/>
              </w:rPr>
              <w:t>，</w:t>
            </w:r>
            <w:r>
              <w:rPr>
                <w:rFonts w:hint="default" w:ascii="Times New Roman" w:hAnsi="Times New Roman" w:cs="Times New Roman"/>
                <w:bCs/>
                <w:color w:val="auto"/>
                <w:sz w:val="24"/>
                <w:szCs w:val="24"/>
                <w:lang w:val="en-US" w:eastAsia="zh-CN"/>
              </w:rPr>
              <w:t>净化效率</w:t>
            </w:r>
            <w:r>
              <w:rPr>
                <w:rFonts w:hint="eastAsia" w:ascii="Times New Roman" w:cs="Times New Roman"/>
                <w:bCs/>
                <w:color w:val="auto"/>
                <w:sz w:val="24"/>
                <w:szCs w:val="24"/>
                <w:lang w:val="en-US" w:eastAsia="zh-CN"/>
              </w:rPr>
              <w:t>不低于</w:t>
            </w:r>
            <w:r>
              <w:rPr>
                <w:rFonts w:hint="default" w:ascii="Times New Roman" w:hAnsi="Times New Roman" w:cs="Times New Roman"/>
                <w:bCs/>
                <w:color w:val="auto"/>
                <w:sz w:val="24"/>
                <w:szCs w:val="24"/>
                <w:lang w:val="en-US" w:eastAsia="zh-CN"/>
              </w:rPr>
              <w:t>90%</w:t>
            </w:r>
            <w:r>
              <w:rPr>
                <w:rFonts w:hint="eastAsia" w:ascii="Times New Roman" w:cs="Times New Roman"/>
                <w:bCs/>
                <w:color w:val="auto"/>
                <w:sz w:val="24"/>
                <w:szCs w:val="24"/>
                <w:lang w:val="en-US" w:eastAsia="zh-CN"/>
              </w:rPr>
              <w:t>，则焊接烟尘处理</w:t>
            </w:r>
            <w:r>
              <w:rPr>
                <w:rFonts w:hint="default" w:ascii="Times New Roman" w:hAnsi="Times New Roman" w:cs="Times New Roman"/>
                <w:bCs/>
                <w:color w:val="auto"/>
                <w:sz w:val="24"/>
                <w:szCs w:val="24"/>
                <w:lang w:val="en-US" w:eastAsia="zh-CN"/>
              </w:rPr>
              <w:t>后有组织排放量为0.27kg/a，排放浓度为0.45mg/m</w:t>
            </w:r>
            <w:r>
              <w:rPr>
                <w:rFonts w:hint="default" w:ascii="Times New Roman" w:hAnsi="Times New Roman" w:cs="Times New Roman"/>
                <w:bCs/>
                <w:color w:val="auto"/>
                <w:sz w:val="24"/>
                <w:szCs w:val="24"/>
                <w:vertAlign w:val="superscript"/>
                <w:lang w:val="en-US" w:eastAsia="zh-CN"/>
              </w:rPr>
              <w:t>3</w:t>
            </w:r>
            <w:r>
              <w:rPr>
                <w:rFonts w:hint="default" w:ascii="Times New Roman" w:hAnsi="Times New Roman" w:cs="Times New Roman"/>
                <w:bCs/>
                <w:color w:val="auto"/>
                <w:sz w:val="24"/>
                <w:szCs w:val="24"/>
                <w:lang w:val="en-US" w:eastAsia="zh-CN"/>
              </w:rPr>
              <w:t>，排放速率为0.45g/h。满足《大气污染综合排放标准标准（GB16297-1996）》表2中颗粒物的要求（15m高排气筒，最高允许排放速率3.5kg/h，最高允许排放浓度120mg/m</w:t>
            </w:r>
            <w:r>
              <w:rPr>
                <w:rFonts w:hint="default" w:ascii="Times New Roman" w:hAnsi="Times New Roman" w:cs="Times New Roman"/>
                <w:bCs/>
                <w:color w:val="auto"/>
                <w:sz w:val="24"/>
                <w:szCs w:val="24"/>
                <w:vertAlign w:val="superscript"/>
                <w:lang w:val="en-US" w:eastAsia="zh-CN"/>
              </w:rPr>
              <w:t>3</w:t>
            </w:r>
            <w:r>
              <w:rPr>
                <w:rFonts w:hint="default" w:ascii="Times New Roman" w:hAnsi="Times New Roman" w:cs="Times New Roman"/>
                <w:bCs/>
                <w:color w:val="auto"/>
                <w:sz w:val="24"/>
                <w:szCs w:val="24"/>
                <w:lang w:val="en-US" w:eastAsia="zh-CN"/>
              </w:rPr>
              <w:t>）</w:t>
            </w:r>
          </w:p>
          <w:p w14:paraId="1E7FEDB3">
            <w:pPr>
              <w:pageBreakBefore w:val="0"/>
              <w:kinsoku/>
              <w:wordWrap/>
              <w:overflowPunct/>
              <w:topLinePunct w:val="0"/>
              <w:bidi w:val="0"/>
              <w:spacing w:line="360" w:lineRule="auto"/>
              <w:ind w:firstLine="482" w:firstLineChars="200"/>
              <w:rPr>
                <w:rFonts w:hint="default" w:ascii="Times New Roman" w:hAnsi="Times New Roman" w:cs="Times New Roman"/>
                <w:b/>
                <w:bCs/>
                <w:color w:val="auto"/>
                <w:sz w:val="24"/>
                <w:szCs w:val="24"/>
                <w:lang w:val="en-US" w:eastAsia="zh-CN"/>
              </w:rPr>
            </w:pPr>
            <w:r>
              <w:rPr>
                <w:rFonts w:hint="default" w:ascii="Times New Roman" w:hAnsi="Times New Roman" w:cs="Times New Roman"/>
                <w:b/>
                <w:bCs/>
                <w:color w:val="auto"/>
                <w:sz w:val="24"/>
                <w:szCs w:val="24"/>
                <w:lang w:eastAsia="zh-CN"/>
              </w:rPr>
              <w:fldChar w:fldCharType="begin"/>
            </w:r>
            <w:r>
              <w:rPr>
                <w:rFonts w:hint="default" w:ascii="Times New Roman" w:hAnsi="Times New Roman" w:cs="Times New Roman"/>
                <w:b/>
                <w:bCs/>
                <w:color w:val="auto"/>
                <w:sz w:val="24"/>
                <w:szCs w:val="24"/>
                <w:lang w:eastAsia="zh-CN"/>
              </w:rPr>
              <w:instrText xml:space="preserve"> = 3 \* GB3 \* MERGEFORMAT </w:instrText>
            </w:r>
            <w:r>
              <w:rPr>
                <w:rFonts w:hint="default" w:ascii="Times New Roman" w:hAnsi="Times New Roman" w:cs="Times New Roman"/>
                <w:b/>
                <w:bCs/>
                <w:color w:val="auto"/>
                <w:sz w:val="24"/>
                <w:szCs w:val="24"/>
                <w:lang w:eastAsia="zh-CN"/>
              </w:rPr>
              <w:fldChar w:fldCharType="separate"/>
            </w:r>
            <w:r>
              <w:rPr>
                <w:rFonts w:hint="default" w:ascii="Times New Roman" w:hAnsi="Times New Roman" w:cs="Times New Roman"/>
                <w:b/>
                <w:bCs/>
                <w:color w:val="auto"/>
              </w:rPr>
              <w:t>③</w:t>
            </w:r>
            <w:r>
              <w:rPr>
                <w:rFonts w:hint="default" w:ascii="Times New Roman" w:hAnsi="Times New Roman" w:cs="Times New Roman"/>
                <w:b/>
                <w:bCs/>
                <w:color w:val="auto"/>
                <w:sz w:val="24"/>
                <w:szCs w:val="24"/>
                <w:lang w:eastAsia="zh-CN"/>
              </w:rPr>
              <w:fldChar w:fldCharType="end"/>
            </w:r>
            <w:r>
              <w:rPr>
                <w:rFonts w:hint="eastAsia" w:cs="Times New Roman"/>
                <w:b/>
                <w:bCs/>
                <w:color w:val="auto"/>
                <w:sz w:val="24"/>
                <w:szCs w:val="24"/>
                <w:lang w:val="en-US" w:eastAsia="zh-CN"/>
              </w:rPr>
              <w:t>有机废气</w:t>
            </w:r>
          </w:p>
          <w:p w14:paraId="5E0621DE">
            <w:pPr>
              <w:pageBreakBefore w:val="0"/>
              <w:kinsoku/>
              <w:wordWrap/>
              <w:overflowPunct/>
              <w:topLinePunct w:val="0"/>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a、1#车间有机废气</w:t>
            </w:r>
            <w:r>
              <w:rPr>
                <w:rFonts w:hint="default" w:ascii="Times New Roman" w:hAnsi="Times New Roman" w:cs="Times New Roman"/>
                <w:color w:val="auto"/>
                <w:sz w:val="24"/>
                <w:szCs w:val="24"/>
                <w:lang w:val="en-US" w:eastAsia="zh-CN"/>
              </w:rPr>
              <w:t>本项目有机废气</w:t>
            </w:r>
            <w:r>
              <w:rPr>
                <w:rFonts w:hint="eastAsia" w:cs="Times New Roman"/>
                <w:color w:val="auto"/>
                <w:sz w:val="24"/>
                <w:szCs w:val="24"/>
                <w:lang w:val="en-US" w:eastAsia="zh-CN"/>
              </w:rPr>
              <w:t>包括折纸上胶（热熔胶）工序产生的有机废气，注塑、吹塑以及注胶工艺中产生的有机废气和激光打码工序产生的有机废气。</w:t>
            </w:r>
          </w:p>
          <w:p w14:paraId="1C0AAE03">
            <w:pPr>
              <w:pageBreakBefore w:val="0"/>
              <w:kinsoku/>
              <w:wordWrap/>
              <w:overflowPunct/>
              <w:topLinePunct w:val="0"/>
              <w:bidi w:val="0"/>
              <w:spacing w:line="360" w:lineRule="auto"/>
              <w:ind w:firstLine="480" w:firstLineChars="200"/>
              <w:rPr>
                <w:rFonts w:hint="default" w:ascii="Times New Roman" w:hAnsi="Times New Roman" w:cs="Times New Roman"/>
                <w:color w:val="auto"/>
                <w:sz w:val="24"/>
                <w:szCs w:val="24"/>
                <w:lang w:val="en-US" w:eastAsia="zh-CN"/>
              </w:rPr>
            </w:pPr>
            <w:r>
              <w:rPr>
                <w:rFonts w:hint="eastAsia" w:cs="Times New Roman"/>
                <w:color w:val="auto"/>
                <w:sz w:val="24"/>
                <w:szCs w:val="24"/>
                <w:lang w:val="en-US" w:eastAsia="zh-CN"/>
              </w:rPr>
              <w:t>根据工程分析可知，</w:t>
            </w:r>
            <w:r>
              <w:rPr>
                <w:rFonts w:hint="default" w:ascii="Times New Roman" w:hAnsi="Times New Roman" w:cs="Times New Roman"/>
                <w:color w:val="auto"/>
                <w:sz w:val="24"/>
                <w:szCs w:val="24"/>
                <w:lang w:val="en-US" w:eastAsia="zh-CN"/>
              </w:rPr>
              <w:t>1#车间VOCs的产生总量为44.98kg/a，18.74g/h。</w:t>
            </w:r>
          </w:p>
          <w:p w14:paraId="687FAD3A">
            <w:pPr>
              <w:pageBreakBefore w:val="0"/>
              <w:kinsoku/>
              <w:wordWrap/>
              <w:overflowPunct/>
              <w:topLinePunct w:val="0"/>
              <w:bidi w:val="0"/>
              <w:spacing w:line="360" w:lineRule="auto"/>
              <w:ind w:firstLine="480" w:firstLineChars="200"/>
              <w:rPr>
                <w:rFonts w:hint="default" w:ascii="Times New Roman" w:hAnsi="Times New Roman" w:cs="Times New Roman"/>
                <w:color w:val="auto"/>
                <w:sz w:val="24"/>
                <w:szCs w:val="24"/>
                <w:lang w:val="en-US" w:eastAsia="zh-CN"/>
              </w:rPr>
            </w:pPr>
            <w:r>
              <w:rPr>
                <w:rFonts w:hint="eastAsia" w:cs="Times New Roman"/>
                <w:color w:val="auto"/>
                <w:sz w:val="24"/>
                <w:szCs w:val="24"/>
                <w:lang w:val="en-US" w:eastAsia="zh-CN"/>
              </w:rPr>
              <w:t>项目拟采取</w:t>
            </w:r>
            <w:r>
              <w:rPr>
                <w:rFonts w:hint="default" w:ascii="Times New Roman" w:hAnsi="Times New Roman" w:cs="Times New Roman"/>
                <w:color w:val="auto"/>
                <w:sz w:val="24"/>
                <w:szCs w:val="24"/>
                <w:lang w:val="en-US" w:eastAsia="zh-CN"/>
              </w:rPr>
              <w:t>“集气罩+UV光催化装置+活性炭吸附装置”进行处理，处理后经15m高的排气筒（1#）有组织排放。集气管道抽风系统捕集效率≥90%，光氧催化装置+活性炭吸附处理效率≥90%，风机风量按5000m</w:t>
            </w:r>
            <w:r>
              <w:rPr>
                <w:rFonts w:hint="default" w:ascii="Times New Roman" w:hAnsi="Times New Roman" w:cs="Times New Roman"/>
                <w:color w:val="auto"/>
                <w:sz w:val="24"/>
                <w:szCs w:val="24"/>
                <w:vertAlign w:val="superscript"/>
                <w:lang w:val="en-US" w:eastAsia="zh-CN"/>
              </w:rPr>
              <w:t>3</w:t>
            </w:r>
            <w:r>
              <w:rPr>
                <w:rFonts w:hint="default" w:ascii="Times New Roman" w:hAnsi="Times New Roman" w:cs="Times New Roman"/>
                <w:color w:val="auto"/>
                <w:sz w:val="24"/>
                <w:szCs w:val="24"/>
                <w:lang w:val="en-US" w:eastAsia="zh-CN"/>
              </w:rPr>
              <w:t>/h。经处理后，VOCs有组织排放量为4.048kg/a，排放速率1.687g/h，排放浓度为0.3374mg/m</w:t>
            </w:r>
            <w:r>
              <w:rPr>
                <w:rFonts w:hint="default" w:ascii="Times New Roman" w:hAnsi="Times New Roman" w:cs="Times New Roman"/>
                <w:color w:val="auto"/>
                <w:sz w:val="24"/>
                <w:szCs w:val="24"/>
                <w:vertAlign w:val="superscript"/>
                <w:lang w:val="en-US" w:eastAsia="zh-CN"/>
              </w:rPr>
              <w:t>3</w:t>
            </w:r>
            <w:r>
              <w:rPr>
                <w:rFonts w:hint="default" w:ascii="Times New Roman" w:hAnsi="Times New Roman" w:cs="Times New Roman"/>
                <w:color w:val="auto"/>
                <w:sz w:val="24"/>
                <w:szCs w:val="24"/>
                <w:lang w:val="en-US" w:eastAsia="zh-CN"/>
              </w:rPr>
              <w:t>，满足《四川省固定污染源大气挥发性有机物排放标准（DB51/2377-2017）》表3中汽车制造的要求（15m高排气筒，最高允许排放速率3.4kg/h，最高允许排放浓度60mg/m3）。</w:t>
            </w:r>
          </w:p>
          <w:p w14:paraId="3056AA71">
            <w:pPr>
              <w:pageBreakBefore w:val="0"/>
              <w:kinsoku/>
              <w:wordWrap/>
              <w:overflowPunct/>
              <w:topLinePunct w:val="0"/>
              <w:bidi w:val="0"/>
              <w:spacing w:line="360" w:lineRule="auto"/>
              <w:ind w:firstLine="480" w:firstLineChars="200"/>
              <w:rPr>
                <w:rFonts w:hint="default" w:ascii="Times New Roman" w:hAnsi="Times New Roman" w:cs="Times New Roman"/>
                <w:color w:val="auto"/>
                <w:sz w:val="24"/>
                <w:szCs w:val="24"/>
                <w:lang w:val="en-US" w:eastAsia="zh-CN"/>
              </w:rPr>
            </w:pPr>
            <w:r>
              <w:rPr>
                <w:rFonts w:hint="eastAsia" w:cs="Times New Roman"/>
                <w:color w:val="auto"/>
                <w:sz w:val="24"/>
                <w:szCs w:val="24"/>
                <w:lang w:val="en-US" w:eastAsia="zh-CN"/>
              </w:rPr>
              <w:t>b</w:t>
            </w:r>
            <w:r>
              <w:rPr>
                <w:rFonts w:hint="default" w:ascii="Times New Roman" w:hAnsi="Times New Roman" w:cs="Times New Roman"/>
                <w:color w:val="auto"/>
                <w:sz w:val="24"/>
                <w:szCs w:val="24"/>
                <w:lang w:val="en-US" w:eastAsia="zh-CN"/>
              </w:rPr>
              <w:t>、</w:t>
            </w:r>
            <w:r>
              <w:rPr>
                <w:rFonts w:hint="eastAsia" w:cs="Times New Roman"/>
                <w:color w:val="auto"/>
                <w:sz w:val="24"/>
                <w:szCs w:val="24"/>
                <w:lang w:val="en-US" w:eastAsia="zh-CN"/>
              </w:rPr>
              <w:t>2</w:t>
            </w:r>
            <w:r>
              <w:rPr>
                <w:rFonts w:hint="default" w:ascii="Times New Roman" w:hAnsi="Times New Roman" w:cs="Times New Roman"/>
                <w:color w:val="auto"/>
                <w:sz w:val="24"/>
                <w:szCs w:val="24"/>
                <w:lang w:val="en-US" w:eastAsia="zh-CN"/>
              </w:rPr>
              <w:t>#车间有机废气本项目有机废气包括折纸上胶（热熔胶）工序产生的有机废气</w:t>
            </w:r>
            <w:r>
              <w:rPr>
                <w:rFonts w:hint="eastAsia" w:cs="Times New Roman"/>
                <w:color w:val="auto"/>
                <w:sz w:val="24"/>
                <w:szCs w:val="24"/>
                <w:lang w:val="en-US" w:eastAsia="zh-CN"/>
              </w:rPr>
              <w:t>，</w:t>
            </w:r>
            <w:r>
              <w:rPr>
                <w:rFonts w:hint="default" w:ascii="Times New Roman" w:hAnsi="Times New Roman" w:cs="Times New Roman"/>
                <w:color w:val="auto"/>
                <w:sz w:val="24"/>
                <w:szCs w:val="24"/>
                <w:lang w:val="en-US" w:eastAsia="zh-CN"/>
              </w:rPr>
              <w:t>注塑</w:t>
            </w:r>
            <w:r>
              <w:rPr>
                <w:rFonts w:hint="eastAsia" w:cs="Times New Roman"/>
                <w:color w:val="auto"/>
                <w:sz w:val="24"/>
                <w:szCs w:val="24"/>
                <w:lang w:val="en-US" w:eastAsia="zh-CN"/>
              </w:rPr>
              <w:t>和</w:t>
            </w:r>
            <w:r>
              <w:rPr>
                <w:rFonts w:hint="default" w:ascii="Times New Roman" w:hAnsi="Times New Roman" w:cs="Times New Roman"/>
                <w:color w:val="auto"/>
                <w:sz w:val="24"/>
                <w:szCs w:val="24"/>
                <w:lang w:val="en-US" w:eastAsia="zh-CN"/>
              </w:rPr>
              <w:t>注胶工艺中产生的有机废气和激光打码工序产生的有机废气。</w:t>
            </w:r>
          </w:p>
          <w:p w14:paraId="678969CF">
            <w:pPr>
              <w:pageBreakBefore w:val="0"/>
              <w:kinsoku/>
              <w:wordWrap/>
              <w:overflowPunct/>
              <w:topLinePunct w:val="0"/>
              <w:bidi w:val="0"/>
              <w:spacing w:line="360" w:lineRule="auto"/>
              <w:ind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根据工程分析可知，2#车间VOCs的产生总量为16.12kg/a，6.71g/h。</w:t>
            </w:r>
          </w:p>
          <w:p w14:paraId="702FB2E1">
            <w:pPr>
              <w:pageBreakBefore w:val="0"/>
              <w:kinsoku/>
              <w:wordWrap/>
              <w:overflowPunct/>
              <w:topLinePunct w:val="0"/>
              <w:bidi w:val="0"/>
              <w:spacing w:line="360" w:lineRule="auto"/>
              <w:ind w:firstLine="480" w:firstLineChars="20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项目拟采取“集气罩+UV光催化装置+活性炭吸附装置”进行处理，处理后经15m高的排气筒（2#）有组织排放。集气管道抽风系统捕集效率≥90%，光氧催化装置+活性炭吸附处理效率≥90%，风机风量按1500m</w:t>
            </w:r>
            <w:r>
              <w:rPr>
                <w:rFonts w:hint="default" w:ascii="Times New Roman" w:hAnsi="Times New Roman" w:cs="Times New Roman"/>
                <w:color w:val="auto"/>
                <w:sz w:val="24"/>
                <w:szCs w:val="24"/>
                <w:vertAlign w:val="superscript"/>
                <w:lang w:val="en-US" w:eastAsia="zh-CN"/>
              </w:rPr>
              <w:t>3</w:t>
            </w:r>
            <w:r>
              <w:rPr>
                <w:rFonts w:hint="default" w:ascii="Times New Roman" w:hAnsi="Times New Roman" w:cs="Times New Roman"/>
                <w:color w:val="auto"/>
                <w:sz w:val="24"/>
                <w:szCs w:val="24"/>
                <w:lang w:val="en-US" w:eastAsia="zh-CN"/>
              </w:rPr>
              <w:t>/h。经处理后，VOCs有组织排放量为1.451kg/a，排放速率0.605g/h，排放浓度为0.4mg/m</w:t>
            </w:r>
            <w:r>
              <w:rPr>
                <w:rFonts w:hint="default" w:ascii="Times New Roman" w:hAnsi="Times New Roman" w:cs="Times New Roman"/>
                <w:color w:val="auto"/>
                <w:sz w:val="24"/>
                <w:szCs w:val="24"/>
                <w:vertAlign w:val="superscript"/>
                <w:lang w:val="en-US" w:eastAsia="zh-CN"/>
              </w:rPr>
              <w:t>3</w:t>
            </w:r>
            <w:r>
              <w:rPr>
                <w:rFonts w:hint="default" w:ascii="Times New Roman" w:hAnsi="Times New Roman" w:cs="Times New Roman"/>
                <w:color w:val="auto"/>
                <w:sz w:val="24"/>
                <w:szCs w:val="24"/>
                <w:lang w:val="en-US" w:eastAsia="zh-CN"/>
              </w:rPr>
              <w:t>，满足《四川省固定污染源大气挥发性有机物排放标准（DB51/2377-2017）》表3中汽车制造的要求（15m高排气筒，最高允许排放速率3.4kg/h，最高允许排放浓度60mg/m</w:t>
            </w:r>
            <w:r>
              <w:rPr>
                <w:rFonts w:hint="default" w:ascii="Times New Roman" w:hAnsi="Times New Roman" w:cs="Times New Roman"/>
                <w:color w:val="auto"/>
                <w:sz w:val="24"/>
                <w:szCs w:val="24"/>
                <w:vertAlign w:val="superscript"/>
                <w:lang w:val="en-US" w:eastAsia="zh-CN"/>
              </w:rPr>
              <w:t>3</w:t>
            </w:r>
            <w:r>
              <w:rPr>
                <w:rFonts w:hint="default" w:ascii="Times New Roman" w:hAnsi="Times New Roman" w:cs="Times New Roman"/>
                <w:color w:val="auto"/>
                <w:sz w:val="24"/>
                <w:szCs w:val="24"/>
                <w:lang w:val="en-US" w:eastAsia="zh-CN"/>
              </w:rPr>
              <w:t>）。</w:t>
            </w:r>
          </w:p>
          <w:p w14:paraId="325220B0">
            <w:pPr>
              <w:pStyle w:val="28"/>
              <w:numPr>
                <w:ilvl w:val="0"/>
                <w:numId w:val="0"/>
              </w:numPr>
              <w:spacing w:line="360" w:lineRule="auto"/>
              <w:ind w:firstLine="482" w:firstLineChars="200"/>
              <w:rPr>
                <w:rFonts w:hint="default" w:ascii="Times New Roman" w:hAnsi="Times New Roman" w:cs="Times New Roman"/>
                <w:b/>
                <w:bCs/>
                <w:color w:val="auto"/>
                <w:sz w:val="24"/>
                <w:szCs w:val="24"/>
                <w:lang w:eastAsia="zh-CN"/>
              </w:rPr>
            </w:pPr>
            <w:r>
              <w:rPr>
                <w:rFonts w:hint="default" w:ascii="Times New Roman" w:hAnsi="Times New Roman" w:cs="Times New Roman"/>
                <w:b/>
                <w:bCs/>
                <w:color w:val="auto"/>
                <w:sz w:val="24"/>
                <w:szCs w:val="24"/>
              </w:rPr>
              <w:fldChar w:fldCharType="begin"/>
            </w:r>
            <w:r>
              <w:rPr>
                <w:rFonts w:hint="default" w:ascii="Times New Roman" w:hAnsi="Times New Roman" w:cs="Times New Roman"/>
                <w:b/>
                <w:bCs/>
                <w:color w:val="auto"/>
                <w:sz w:val="24"/>
                <w:szCs w:val="24"/>
              </w:rPr>
              <w:instrText xml:space="preserve"> = 4 \* GB3 \* MERGEFORMAT </w:instrText>
            </w:r>
            <w:r>
              <w:rPr>
                <w:rFonts w:hint="default" w:ascii="Times New Roman" w:hAnsi="Times New Roman" w:cs="Times New Roman"/>
                <w:b/>
                <w:bCs/>
                <w:color w:val="auto"/>
                <w:sz w:val="24"/>
                <w:szCs w:val="24"/>
              </w:rPr>
              <w:fldChar w:fldCharType="separate"/>
            </w:r>
            <w:r>
              <w:rPr>
                <w:rFonts w:hint="default" w:ascii="Times New Roman" w:hAnsi="Times New Roman" w:cs="Times New Roman"/>
                <w:b/>
                <w:bCs/>
                <w:color w:val="auto"/>
              </w:rPr>
              <w:t>④</w:t>
            </w:r>
            <w:r>
              <w:rPr>
                <w:rFonts w:hint="default" w:ascii="Times New Roman" w:hAnsi="Times New Roman" w:cs="Times New Roman"/>
                <w:b/>
                <w:bCs/>
                <w:color w:val="auto"/>
                <w:sz w:val="24"/>
                <w:szCs w:val="24"/>
              </w:rPr>
              <w:fldChar w:fldCharType="end"/>
            </w:r>
            <w:r>
              <w:rPr>
                <w:rFonts w:hint="default" w:ascii="Times New Roman" w:hAnsi="Times New Roman" w:cs="Times New Roman"/>
                <w:b/>
                <w:bCs/>
                <w:color w:val="auto"/>
                <w:sz w:val="24"/>
                <w:szCs w:val="24"/>
                <w:lang w:eastAsia="zh-CN"/>
              </w:rPr>
              <w:t>食堂油烟</w:t>
            </w:r>
          </w:p>
          <w:p w14:paraId="409B795C">
            <w:pPr>
              <w:pageBreakBefore w:val="0"/>
              <w:kinsoku/>
              <w:wordWrap/>
              <w:overflowPunct/>
              <w:topLinePunct w:val="0"/>
              <w:bidi w:val="0"/>
              <w:spacing w:line="360" w:lineRule="auto"/>
              <w:ind w:firstLine="510"/>
              <w:rPr>
                <w:rFonts w:hint="eastAsia" w:cs="Times New Roman"/>
                <w:color w:val="auto"/>
                <w:sz w:val="24"/>
                <w:szCs w:val="24"/>
                <w:lang w:val="en-US" w:eastAsia="zh-CN"/>
              </w:rPr>
            </w:pPr>
            <w:r>
              <w:rPr>
                <w:rFonts w:hint="default" w:ascii="Times New Roman" w:hAnsi="Times New Roman" w:cs="Times New Roman"/>
                <w:color w:val="auto"/>
                <w:sz w:val="24"/>
                <w:szCs w:val="24"/>
                <w:lang w:val="en-US" w:eastAsia="zh-CN"/>
              </w:rPr>
              <w:t>根据工程分析可知，</w:t>
            </w:r>
            <w:r>
              <w:rPr>
                <w:rFonts w:hint="default" w:ascii="Times New Roman" w:hAnsi="Times New Roman" w:cs="Times New Roman"/>
                <w:color w:val="auto"/>
                <w:sz w:val="24"/>
                <w:szCs w:val="24"/>
                <w:lang w:eastAsia="zh-CN"/>
              </w:rPr>
              <w:t>本</w:t>
            </w:r>
            <w:r>
              <w:rPr>
                <w:rFonts w:hint="default" w:ascii="Times New Roman" w:hAnsi="Times New Roman" w:eastAsia="宋体" w:cs="Times New Roman"/>
                <w:color w:val="auto"/>
                <w:sz w:val="24"/>
                <w:szCs w:val="24"/>
              </w:rPr>
              <w:t>项目设置</w:t>
            </w:r>
            <w:r>
              <w:rPr>
                <w:rFonts w:hint="eastAsia" w:cs="Times New Roman"/>
                <w:color w:val="auto"/>
                <w:sz w:val="24"/>
                <w:szCs w:val="24"/>
                <w:lang w:val="en-US" w:eastAsia="zh-CN"/>
              </w:rPr>
              <w:t>2</w:t>
            </w:r>
            <w:r>
              <w:rPr>
                <w:rFonts w:hint="default" w:ascii="Times New Roman" w:hAnsi="Times New Roman" w:eastAsia="宋体" w:cs="Times New Roman"/>
                <w:color w:val="auto"/>
                <w:sz w:val="24"/>
                <w:szCs w:val="24"/>
              </w:rPr>
              <w:t>个灶台，采用</w:t>
            </w:r>
            <w:r>
              <w:rPr>
                <w:rFonts w:hint="default" w:ascii="Times New Roman" w:hAnsi="Times New Roman" w:eastAsia="宋体" w:cs="Times New Roman"/>
                <w:color w:val="auto"/>
                <w:sz w:val="24"/>
                <w:szCs w:val="24"/>
                <w:lang w:eastAsia="zh-CN"/>
              </w:rPr>
              <w:t>天然气</w:t>
            </w:r>
            <w:r>
              <w:rPr>
                <w:rFonts w:hint="default" w:ascii="Times New Roman" w:hAnsi="Times New Roman" w:cs="Times New Roman"/>
                <w:color w:val="auto"/>
                <w:sz w:val="24"/>
                <w:szCs w:val="24"/>
                <w:lang w:eastAsia="zh-CN"/>
              </w:rPr>
              <w:t>作为能源</w:t>
            </w:r>
            <w:r>
              <w:rPr>
                <w:rFonts w:hint="default" w:ascii="Times New Roman" w:hAnsi="Times New Roman" w:eastAsia="宋体" w:cs="Times New Roman"/>
                <w:color w:val="auto"/>
                <w:sz w:val="24"/>
                <w:szCs w:val="24"/>
              </w:rPr>
              <w:t>，</w:t>
            </w:r>
            <w:r>
              <w:rPr>
                <w:rFonts w:hint="default" w:ascii="Times New Roman" w:hAnsi="Times New Roman" w:cs="Times New Roman"/>
                <w:color w:val="auto"/>
                <w:sz w:val="24"/>
                <w:szCs w:val="24"/>
                <w:lang w:eastAsia="zh-CN"/>
              </w:rPr>
              <w:t>天然气作为国家推荐使用的清洁能源，在充分燃烧的过程中几乎不产生污染物，食堂废气主要是</w:t>
            </w:r>
            <w:r>
              <w:rPr>
                <w:rFonts w:hint="default" w:ascii="Times New Roman" w:hAnsi="Times New Roman" w:eastAsia="宋体" w:cs="Times New Roman"/>
                <w:color w:val="auto"/>
                <w:sz w:val="24"/>
                <w:szCs w:val="24"/>
              </w:rPr>
              <w:t>烹饪过程中会产生一定量的油烟废气。</w:t>
            </w:r>
            <w:r>
              <w:rPr>
                <w:rFonts w:hint="eastAsia" w:cs="Times New Roman"/>
                <w:color w:val="auto"/>
                <w:sz w:val="24"/>
                <w:szCs w:val="24"/>
                <w:lang w:val="en-US" w:eastAsia="zh-CN"/>
              </w:rPr>
              <w:t>项目日产生油烟量为0.053kg/d，年产生油烟量为15.9kg/a。按日高峰期2小时计，则高峰期该项目所产生的油烟量为0.0265kg/h。</w:t>
            </w:r>
          </w:p>
          <w:p w14:paraId="6F3AABC6">
            <w:pPr>
              <w:pageBreakBefore w:val="0"/>
              <w:kinsoku/>
              <w:wordWrap/>
              <w:overflowPunct/>
              <w:topLinePunct w:val="0"/>
              <w:bidi w:val="0"/>
              <w:spacing w:line="360" w:lineRule="auto"/>
              <w:ind w:firstLine="510"/>
              <w:rPr>
                <w:rFonts w:hint="eastAsia" w:cs="Times New Roman"/>
                <w:color w:val="auto"/>
                <w:sz w:val="24"/>
                <w:szCs w:val="24"/>
                <w:lang w:val="en-US" w:eastAsia="zh-CN"/>
              </w:rPr>
            </w:pPr>
            <w:r>
              <w:rPr>
                <w:rFonts w:hint="eastAsia" w:cs="Times New Roman"/>
                <w:color w:val="auto"/>
                <w:sz w:val="24"/>
                <w:szCs w:val="24"/>
                <w:lang w:val="en-US" w:eastAsia="zh-CN"/>
              </w:rPr>
              <w:t>本次评价要求食堂设置2个油烟收集罩及1套油烟净化设备进行净化处理（基准灶头风量为2000m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h），净化效率达90%，经油烟净化设施处理后，排放浓度1.33mg/m3，排放量为1.59kg/a，满足《饮食业油烟排放标准（试行）》（GB18483-2001）中最高允许排放浓度2.0mg/m3的要求。另环评要求净化后的食堂油烟通过专用烟道由食堂楼顶排出。</w:t>
            </w:r>
          </w:p>
          <w:p w14:paraId="75FB7EEC">
            <w:pPr>
              <w:spacing w:line="360" w:lineRule="auto"/>
              <w:jc w:val="center"/>
              <w:rPr>
                <w:rFonts w:hint="default" w:ascii="Times New Roman" w:hAnsi="Times New Roman" w:cs="Times New Roman"/>
                <w:b w:val="0"/>
                <w:bCs w:val="0"/>
                <w:color w:val="auto"/>
                <w:sz w:val="24"/>
                <w:szCs w:val="24"/>
                <w:lang w:eastAsia="zh-CN"/>
              </w:rPr>
            </w:pPr>
            <w:r>
              <w:rPr>
                <w:rFonts w:hint="default" w:ascii="Times New Roman" w:hAnsi="Times New Roman" w:eastAsia="宋体" w:cs="Times New Roman"/>
                <w:b w:val="0"/>
                <w:bCs w:val="0"/>
                <w:color w:val="auto"/>
                <w:sz w:val="24"/>
                <w:szCs w:val="24"/>
              </w:rPr>
              <w:t>综上所述，项目所产生的废气均能做到妥善处理，达标排放，对周围环境影响较小。</w:t>
            </w:r>
          </w:p>
          <w:p w14:paraId="18649B27">
            <w:pPr>
              <w:pageBreakBefore w:val="0"/>
              <w:kinsoku/>
              <w:wordWrap/>
              <w:overflowPunct/>
              <w:topLinePunct w:val="0"/>
              <w:bidi w:val="0"/>
              <w:spacing w:line="360" w:lineRule="auto"/>
              <w:ind w:firstLine="510"/>
              <w:rPr>
                <w:rFonts w:hint="default" w:ascii="Times New Roman" w:hAnsi="Times New Roman" w:cs="Times New Roman" w:eastAsiaTheme="minorEastAsia"/>
                <w:b/>
                <w:bCs/>
                <w:color w:val="auto"/>
                <w:sz w:val="24"/>
                <w:szCs w:val="24"/>
                <w:lang w:eastAsia="zh-CN"/>
              </w:rPr>
            </w:pPr>
            <w:r>
              <w:rPr>
                <w:rFonts w:hint="default" w:ascii="Times New Roman" w:hAnsi="Times New Roman" w:cs="Times New Roman" w:eastAsiaTheme="minorEastAsia"/>
                <w:b/>
                <w:bCs/>
                <w:color w:val="auto"/>
                <w:sz w:val="24"/>
                <w:szCs w:val="24"/>
                <w:lang w:eastAsia="zh-CN"/>
              </w:rPr>
              <w:fldChar w:fldCharType="begin"/>
            </w:r>
            <w:r>
              <w:rPr>
                <w:rFonts w:hint="default" w:ascii="Times New Roman" w:hAnsi="Times New Roman" w:cs="Times New Roman" w:eastAsiaTheme="minorEastAsia"/>
                <w:b/>
                <w:bCs/>
                <w:color w:val="auto"/>
                <w:sz w:val="24"/>
                <w:szCs w:val="24"/>
                <w:lang w:eastAsia="zh-CN"/>
              </w:rPr>
              <w:instrText xml:space="preserve"> = 5 \* GB3 \* MERGEFORMAT </w:instrText>
            </w:r>
            <w:r>
              <w:rPr>
                <w:rFonts w:hint="default" w:ascii="Times New Roman" w:hAnsi="Times New Roman" w:cs="Times New Roman" w:eastAsiaTheme="minorEastAsia"/>
                <w:b/>
                <w:bCs/>
                <w:color w:val="auto"/>
                <w:sz w:val="24"/>
                <w:szCs w:val="24"/>
                <w:lang w:eastAsia="zh-CN"/>
              </w:rPr>
              <w:fldChar w:fldCharType="separate"/>
            </w:r>
            <w:r>
              <w:rPr>
                <w:rFonts w:hint="default" w:ascii="Times New Roman" w:hAnsi="Times New Roman" w:cs="Times New Roman" w:eastAsiaTheme="minorEastAsia"/>
                <w:b/>
                <w:bCs/>
                <w:color w:val="auto"/>
                <w:sz w:val="24"/>
                <w:szCs w:val="24"/>
                <w:lang w:eastAsia="zh-CN"/>
              </w:rPr>
              <w:t>⑤</w:t>
            </w:r>
            <w:r>
              <w:rPr>
                <w:rFonts w:hint="default" w:ascii="Times New Roman" w:hAnsi="Times New Roman" w:cs="Times New Roman" w:eastAsiaTheme="minorEastAsia"/>
                <w:b/>
                <w:bCs/>
                <w:color w:val="auto"/>
                <w:sz w:val="24"/>
                <w:szCs w:val="24"/>
                <w:lang w:eastAsia="zh-CN"/>
              </w:rPr>
              <w:fldChar w:fldCharType="end"/>
            </w:r>
            <w:r>
              <w:rPr>
                <w:rFonts w:hint="default" w:ascii="Times New Roman" w:hAnsi="Times New Roman" w:cs="Times New Roman" w:eastAsiaTheme="minorEastAsia"/>
                <w:b/>
                <w:bCs/>
                <w:color w:val="auto"/>
                <w:sz w:val="24"/>
                <w:szCs w:val="24"/>
                <w:lang w:eastAsia="zh-CN"/>
              </w:rPr>
              <w:t>大气环境影响预测</w:t>
            </w:r>
          </w:p>
          <w:p w14:paraId="64B68A6A">
            <w:pPr>
              <w:pageBreakBefore w:val="0"/>
              <w:kinsoku/>
              <w:wordWrap/>
              <w:overflowPunct/>
              <w:topLinePunct w:val="0"/>
              <w:bidi w:val="0"/>
              <w:spacing w:line="360" w:lineRule="auto"/>
              <w:ind w:firstLine="510"/>
              <w:rPr>
                <w:rFonts w:hint="default" w:ascii="Times New Roman" w:hAnsi="Times New Roman" w:cs="Times New Roman"/>
                <w:b w:val="0"/>
                <w:bCs w:val="0"/>
                <w:color w:val="auto"/>
                <w:sz w:val="24"/>
                <w:lang w:val="en-US" w:eastAsia="zh-CN"/>
              </w:rPr>
            </w:pPr>
            <w:r>
              <w:rPr>
                <w:rFonts w:hint="eastAsia" w:cs="Times New Roman" w:eastAsiaTheme="minorEastAsia"/>
                <w:b w:val="0"/>
                <w:bCs w:val="0"/>
                <w:color w:val="auto"/>
                <w:sz w:val="24"/>
                <w:szCs w:val="24"/>
                <w:lang w:val="en-US" w:eastAsia="zh-CN"/>
              </w:rPr>
              <w:t>根据《环境影响评价技术导则——大气环境》（HJ2.2-2008）“5.3 评价工作分级方法”中“5.3.2.4……三级评价可不进行大气环境影响预测工作，直接以估算模式的计算结果作为预测与分析依据”。本项目根据大气评价等级估算，评价等级为三级，因此不进行大气环境影响预测工作，直接以估算模式的计算结果作为预测结果。</w:t>
            </w:r>
            <w:r>
              <w:rPr>
                <w:rFonts w:hint="default" w:ascii="Times New Roman" w:hAnsi="Times New Roman" w:cs="Times New Roman" w:eastAsiaTheme="minorEastAsia"/>
                <w:b w:val="0"/>
                <w:bCs w:val="0"/>
                <w:color w:val="auto"/>
                <w:sz w:val="24"/>
                <w:szCs w:val="24"/>
                <w:lang w:val="en-US" w:eastAsia="zh-CN"/>
              </w:rPr>
              <w:t>为分析项目废气排放对周围环境空气以及环境周边敏感目标影响，本报告根据《环境影响评价技术导则大气环境》（HJ2.2-2008）推荐的估算模式（Screen3）模型对废气环境影响进行估算分析，预测评价区域内的最大落地</w:t>
            </w:r>
            <w:r>
              <w:rPr>
                <w:rFonts w:hint="default" w:ascii="Times New Roman" w:hAnsi="Times New Roman" w:cs="Times New Roman"/>
                <w:b w:val="0"/>
                <w:bCs w:val="0"/>
                <w:color w:val="auto"/>
                <w:sz w:val="24"/>
                <w:lang w:val="en-US" w:eastAsia="zh-CN"/>
              </w:rPr>
              <w:t>浓度及扩散到周围敏感点的最大落地浓度。本次环评选取的预测因子为颗粒物、VOC</w:t>
            </w:r>
            <w:r>
              <w:rPr>
                <w:rFonts w:hint="eastAsia" w:cs="Times New Roman"/>
                <w:b w:val="0"/>
                <w:bCs w:val="0"/>
                <w:color w:val="auto"/>
                <w:sz w:val="24"/>
                <w:lang w:val="en-US" w:eastAsia="zh-CN"/>
              </w:rPr>
              <w:t>s</w:t>
            </w:r>
            <w:r>
              <w:rPr>
                <w:rFonts w:hint="default" w:ascii="Times New Roman" w:hAnsi="Times New Roman" w:cs="Times New Roman"/>
                <w:b w:val="0"/>
                <w:bCs w:val="0"/>
                <w:color w:val="auto"/>
                <w:sz w:val="24"/>
                <w:lang w:val="en-US" w:eastAsia="zh-CN"/>
              </w:rPr>
              <w:t>。</w:t>
            </w:r>
          </w:p>
          <w:p w14:paraId="4BCF7129">
            <w:pPr>
              <w:spacing w:line="360" w:lineRule="auto"/>
              <w:ind w:firstLine="48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fldChar w:fldCharType="begin"/>
            </w:r>
            <w:r>
              <w:rPr>
                <w:rFonts w:hint="default" w:ascii="Times New Roman" w:hAnsi="Times New Roman" w:cs="Times New Roman"/>
                <w:b w:val="0"/>
                <w:bCs w:val="0"/>
                <w:color w:val="auto"/>
                <w:sz w:val="24"/>
                <w:lang w:val="en-US" w:eastAsia="zh-CN"/>
              </w:rPr>
              <w:instrText xml:space="preserve"> = 1 \* GB3 \* MERGEFORMAT </w:instrText>
            </w:r>
            <w:r>
              <w:rPr>
                <w:rFonts w:hint="default" w:ascii="Times New Roman" w:hAnsi="Times New Roman" w:cs="Times New Roman"/>
                <w:b w:val="0"/>
                <w:bCs w:val="0"/>
                <w:color w:val="auto"/>
                <w:sz w:val="24"/>
                <w:lang w:val="en-US" w:eastAsia="zh-CN"/>
              </w:rPr>
              <w:fldChar w:fldCharType="separate"/>
            </w:r>
            <w:r>
              <w:rPr>
                <w:rFonts w:hint="default" w:ascii="Times New Roman" w:hAnsi="Times New Roman" w:cs="Times New Roman"/>
                <w:b w:val="0"/>
                <w:bCs w:val="0"/>
                <w:color w:val="auto"/>
                <w:sz w:val="24"/>
                <w:lang w:val="en-US" w:eastAsia="zh-CN"/>
              </w:rPr>
              <w:t>①</w:t>
            </w:r>
            <w:r>
              <w:rPr>
                <w:rFonts w:hint="default" w:ascii="Times New Roman" w:hAnsi="Times New Roman" w:cs="Times New Roman"/>
                <w:b w:val="0"/>
                <w:bCs w:val="0"/>
                <w:color w:val="auto"/>
                <w:sz w:val="24"/>
                <w:lang w:val="en-US" w:eastAsia="zh-CN"/>
              </w:rPr>
              <w:fldChar w:fldCharType="end"/>
            </w:r>
            <w:r>
              <w:rPr>
                <w:rFonts w:hint="default" w:ascii="Times New Roman" w:hAnsi="Times New Roman" w:cs="Times New Roman"/>
                <w:b w:val="0"/>
                <w:bCs w:val="0"/>
                <w:color w:val="auto"/>
                <w:sz w:val="24"/>
                <w:lang w:val="en-US" w:eastAsia="zh-CN"/>
              </w:rPr>
              <w:t>计算参数及其选取</w:t>
            </w:r>
          </w:p>
          <w:p w14:paraId="23812235">
            <w:pPr>
              <w:spacing w:line="360" w:lineRule="auto"/>
              <w:ind w:firstLine="48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t>项目各污染物排放源强及相关参数见表7-</w:t>
            </w:r>
            <w:r>
              <w:rPr>
                <w:rFonts w:hint="eastAsia" w:cs="Times New Roman"/>
                <w:b w:val="0"/>
                <w:bCs w:val="0"/>
                <w:color w:val="auto"/>
                <w:sz w:val="24"/>
                <w:lang w:val="en-US" w:eastAsia="zh-CN"/>
              </w:rPr>
              <w:t>3</w:t>
            </w:r>
            <w:r>
              <w:rPr>
                <w:rFonts w:hint="default" w:ascii="Times New Roman" w:hAnsi="Times New Roman" w:cs="Times New Roman"/>
                <w:b w:val="0"/>
                <w:bCs w:val="0"/>
                <w:color w:val="auto"/>
                <w:sz w:val="24"/>
                <w:lang w:val="en-US" w:eastAsia="zh-CN"/>
              </w:rPr>
              <w:t>。</w:t>
            </w:r>
          </w:p>
          <w:p w14:paraId="387B6CD9">
            <w:pPr>
              <w:pStyle w:val="65"/>
              <w:spacing w:before="121"/>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表7-</w:t>
            </w:r>
            <w:r>
              <w:rPr>
                <w:rFonts w:hint="eastAsia" w:ascii="Times New Roman" w:hAnsi="Times New Roman" w:cs="Times New Roman"/>
                <w:b/>
                <w:bCs/>
                <w:sz w:val="21"/>
                <w:szCs w:val="21"/>
                <w:lang w:val="en-US" w:eastAsia="zh-CN"/>
              </w:rPr>
              <w:t>3</w:t>
            </w:r>
            <w:r>
              <w:rPr>
                <w:rFonts w:hint="default" w:ascii="Times New Roman" w:hAnsi="Times New Roman" w:eastAsia="宋体" w:cs="Times New Roman"/>
                <w:b/>
                <w:bCs/>
                <w:sz w:val="21"/>
                <w:szCs w:val="21"/>
                <w:lang w:val="en-US" w:eastAsia="zh-CN"/>
              </w:rPr>
              <w:t xml:space="preserve"> 大气污染物有组织排放源强及排放参数一览表</w:t>
            </w:r>
          </w:p>
          <w:tbl>
            <w:tblPr>
              <w:tblStyle w:val="24"/>
              <w:tblW w:w="99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6"/>
              <w:gridCol w:w="1246"/>
              <w:gridCol w:w="1245"/>
              <w:gridCol w:w="1246"/>
              <w:gridCol w:w="1245"/>
              <w:gridCol w:w="1247"/>
              <w:gridCol w:w="1191"/>
              <w:gridCol w:w="1302"/>
            </w:tblGrid>
            <w:tr w14:paraId="0A2521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46" w:type="dxa"/>
                  <w:vAlign w:val="center"/>
                </w:tcPr>
                <w:p w14:paraId="1986CC9A">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排气筒名称</w:t>
                  </w:r>
                </w:p>
              </w:tc>
              <w:tc>
                <w:tcPr>
                  <w:tcW w:w="1246" w:type="dxa"/>
                  <w:vAlign w:val="center"/>
                </w:tcPr>
                <w:p w14:paraId="67AB734A">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污染因子</w:t>
                  </w:r>
                </w:p>
              </w:tc>
              <w:tc>
                <w:tcPr>
                  <w:tcW w:w="1245" w:type="dxa"/>
                  <w:vAlign w:val="center"/>
                </w:tcPr>
                <w:p w14:paraId="1324690F">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排气筒高度（m）</w:t>
                  </w:r>
                </w:p>
              </w:tc>
              <w:tc>
                <w:tcPr>
                  <w:tcW w:w="1246" w:type="dxa"/>
                  <w:vAlign w:val="center"/>
                </w:tcPr>
                <w:p w14:paraId="5FF93AD4">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排气筒内径（m）</w:t>
                  </w:r>
                </w:p>
              </w:tc>
              <w:tc>
                <w:tcPr>
                  <w:tcW w:w="1245" w:type="dxa"/>
                  <w:vAlign w:val="center"/>
                </w:tcPr>
                <w:p w14:paraId="5B19FDF9">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废气出口风量（m</w:t>
                  </w:r>
                  <w:r>
                    <w:rPr>
                      <w:rFonts w:hint="default" w:ascii="Times New Roman" w:hAnsi="Times New Roman" w:cs="Times New Roman"/>
                      <w:bCs/>
                      <w:color w:val="auto"/>
                      <w:sz w:val="21"/>
                      <w:szCs w:val="21"/>
                      <w:vertAlign w:val="superscript"/>
                      <w:lang w:val="en-US" w:eastAsia="zh-CN"/>
                    </w:rPr>
                    <w:t>3</w:t>
                  </w:r>
                  <w:r>
                    <w:rPr>
                      <w:rFonts w:hint="default" w:ascii="Times New Roman" w:hAnsi="Times New Roman" w:cs="Times New Roman"/>
                      <w:bCs/>
                      <w:color w:val="auto"/>
                      <w:sz w:val="21"/>
                      <w:szCs w:val="21"/>
                      <w:lang w:val="en-US" w:eastAsia="zh-CN"/>
                    </w:rPr>
                    <w:t>/h）</w:t>
                  </w:r>
                </w:p>
              </w:tc>
              <w:tc>
                <w:tcPr>
                  <w:tcW w:w="1247" w:type="dxa"/>
                  <w:vAlign w:val="center"/>
                </w:tcPr>
                <w:p w14:paraId="2E56C987">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废气出口温度（℃）</w:t>
                  </w:r>
                </w:p>
              </w:tc>
              <w:tc>
                <w:tcPr>
                  <w:tcW w:w="1191" w:type="dxa"/>
                  <w:vAlign w:val="center"/>
                </w:tcPr>
                <w:p w14:paraId="428C2723">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年排放小时数（h）</w:t>
                  </w:r>
                </w:p>
              </w:tc>
              <w:tc>
                <w:tcPr>
                  <w:tcW w:w="1302" w:type="dxa"/>
                  <w:vAlign w:val="center"/>
                </w:tcPr>
                <w:p w14:paraId="25DB71B5">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排放源强</w:t>
                  </w:r>
                </w:p>
              </w:tc>
            </w:tr>
            <w:tr w14:paraId="7F896F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46" w:type="dxa"/>
                  <w:vAlign w:val="center"/>
                </w:tcPr>
                <w:p w14:paraId="5330B0D4">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1#</w:t>
                  </w:r>
                </w:p>
              </w:tc>
              <w:tc>
                <w:tcPr>
                  <w:tcW w:w="1246" w:type="dxa"/>
                  <w:vAlign w:val="center"/>
                </w:tcPr>
                <w:p w14:paraId="4C146E1B">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VOC</w:t>
                  </w:r>
                  <w:r>
                    <w:rPr>
                      <w:rFonts w:hint="eastAsia" w:cs="Times New Roman"/>
                      <w:bCs/>
                      <w:color w:val="auto"/>
                      <w:sz w:val="21"/>
                      <w:szCs w:val="21"/>
                      <w:lang w:val="en-US" w:eastAsia="zh-CN"/>
                    </w:rPr>
                    <w:t>s</w:t>
                  </w:r>
                </w:p>
              </w:tc>
              <w:tc>
                <w:tcPr>
                  <w:tcW w:w="1245" w:type="dxa"/>
                  <w:vAlign w:val="center"/>
                </w:tcPr>
                <w:p w14:paraId="494D41C2">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15</w:t>
                  </w:r>
                </w:p>
              </w:tc>
              <w:tc>
                <w:tcPr>
                  <w:tcW w:w="1246" w:type="dxa"/>
                  <w:vAlign w:val="center"/>
                </w:tcPr>
                <w:p w14:paraId="2B0E71BD">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0.4</w:t>
                  </w:r>
                </w:p>
              </w:tc>
              <w:tc>
                <w:tcPr>
                  <w:tcW w:w="1245" w:type="dxa"/>
                  <w:vAlign w:val="center"/>
                </w:tcPr>
                <w:p w14:paraId="3D8667CE">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5</w:t>
                  </w:r>
                  <w:r>
                    <w:rPr>
                      <w:rFonts w:hint="default" w:ascii="Times New Roman" w:hAnsi="Times New Roman" w:cs="Times New Roman"/>
                      <w:bCs/>
                      <w:color w:val="auto"/>
                      <w:sz w:val="21"/>
                      <w:szCs w:val="21"/>
                      <w:lang w:val="en-US" w:eastAsia="zh-CN"/>
                    </w:rPr>
                    <w:t>000</w:t>
                  </w:r>
                </w:p>
              </w:tc>
              <w:tc>
                <w:tcPr>
                  <w:tcW w:w="1247" w:type="dxa"/>
                  <w:vAlign w:val="center"/>
                </w:tcPr>
                <w:p w14:paraId="4BF3C951">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25</w:t>
                  </w:r>
                </w:p>
              </w:tc>
              <w:tc>
                <w:tcPr>
                  <w:tcW w:w="1191" w:type="dxa"/>
                  <w:vAlign w:val="center"/>
                </w:tcPr>
                <w:p w14:paraId="039943EF">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2400</w:t>
                  </w:r>
                </w:p>
              </w:tc>
              <w:tc>
                <w:tcPr>
                  <w:tcW w:w="1302" w:type="dxa"/>
                  <w:vAlign w:val="center"/>
                </w:tcPr>
                <w:p w14:paraId="31DB78B8">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 xml:space="preserve">1.687g/h </w:t>
                  </w:r>
                </w:p>
              </w:tc>
            </w:tr>
            <w:tr w14:paraId="3998F3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46" w:type="dxa"/>
                  <w:vAlign w:val="center"/>
                </w:tcPr>
                <w:p w14:paraId="655431BF">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2#</w:t>
                  </w:r>
                </w:p>
              </w:tc>
              <w:tc>
                <w:tcPr>
                  <w:tcW w:w="1246" w:type="dxa"/>
                  <w:vAlign w:val="center"/>
                </w:tcPr>
                <w:p w14:paraId="0697B8F4">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VOC</w:t>
                  </w:r>
                  <w:r>
                    <w:rPr>
                      <w:rFonts w:hint="eastAsia" w:cs="Times New Roman"/>
                      <w:bCs/>
                      <w:color w:val="auto"/>
                      <w:sz w:val="21"/>
                      <w:szCs w:val="21"/>
                      <w:lang w:val="en-US" w:eastAsia="zh-CN"/>
                    </w:rPr>
                    <w:t>s</w:t>
                  </w:r>
                </w:p>
              </w:tc>
              <w:tc>
                <w:tcPr>
                  <w:tcW w:w="1245" w:type="dxa"/>
                  <w:vAlign w:val="center"/>
                </w:tcPr>
                <w:p w14:paraId="53DAFC81">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15</w:t>
                  </w:r>
                </w:p>
              </w:tc>
              <w:tc>
                <w:tcPr>
                  <w:tcW w:w="1246" w:type="dxa"/>
                  <w:vAlign w:val="center"/>
                </w:tcPr>
                <w:p w14:paraId="0A6FFCA5">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0.4</w:t>
                  </w:r>
                </w:p>
              </w:tc>
              <w:tc>
                <w:tcPr>
                  <w:tcW w:w="1245" w:type="dxa"/>
                  <w:vAlign w:val="center"/>
                </w:tcPr>
                <w:p w14:paraId="60E00CC3">
                  <w:pPr>
                    <w:jc w:val="center"/>
                    <w:rPr>
                      <w:rFonts w:hint="eastAsia" w:cs="Times New Roman"/>
                      <w:bCs/>
                      <w:color w:val="auto"/>
                      <w:sz w:val="21"/>
                      <w:szCs w:val="21"/>
                      <w:lang w:val="en-US" w:eastAsia="zh-CN"/>
                    </w:rPr>
                  </w:pPr>
                  <w:r>
                    <w:rPr>
                      <w:rFonts w:hint="eastAsia" w:cs="Times New Roman"/>
                      <w:bCs/>
                      <w:color w:val="auto"/>
                      <w:sz w:val="21"/>
                      <w:szCs w:val="21"/>
                      <w:lang w:val="en-US" w:eastAsia="zh-CN"/>
                    </w:rPr>
                    <w:t>1500</w:t>
                  </w:r>
                </w:p>
              </w:tc>
              <w:tc>
                <w:tcPr>
                  <w:tcW w:w="1247" w:type="dxa"/>
                  <w:vAlign w:val="center"/>
                </w:tcPr>
                <w:p w14:paraId="7EA44FAC">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25</w:t>
                  </w:r>
                </w:p>
              </w:tc>
              <w:tc>
                <w:tcPr>
                  <w:tcW w:w="1191" w:type="dxa"/>
                  <w:vAlign w:val="center"/>
                </w:tcPr>
                <w:p w14:paraId="516FC320">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2400</w:t>
                  </w:r>
                </w:p>
              </w:tc>
              <w:tc>
                <w:tcPr>
                  <w:tcW w:w="1302" w:type="dxa"/>
                  <w:vAlign w:val="center"/>
                </w:tcPr>
                <w:p w14:paraId="3C5CB7E8">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 xml:space="preserve">0.605g/h </w:t>
                  </w:r>
                </w:p>
              </w:tc>
            </w:tr>
            <w:tr w14:paraId="6CE8C1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46" w:type="dxa"/>
                  <w:vAlign w:val="center"/>
                </w:tcPr>
                <w:p w14:paraId="44CB7287">
                  <w:pPr>
                    <w:jc w:val="center"/>
                    <w:rPr>
                      <w:rFonts w:hint="eastAsia" w:cs="Times New Roman"/>
                      <w:bCs/>
                      <w:color w:val="auto"/>
                      <w:sz w:val="21"/>
                      <w:szCs w:val="21"/>
                      <w:lang w:val="en-US" w:eastAsia="zh-CN"/>
                    </w:rPr>
                  </w:pPr>
                  <w:r>
                    <w:rPr>
                      <w:rFonts w:hint="eastAsia" w:cs="Times New Roman"/>
                      <w:bCs/>
                      <w:color w:val="auto"/>
                      <w:sz w:val="21"/>
                      <w:szCs w:val="21"/>
                      <w:lang w:val="en-US" w:eastAsia="zh-CN"/>
                    </w:rPr>
                    <w:t>2#</w:t>
                  </w:r>
                </w:p>
              </w:tc>
              <w:tc>
                <w:tcPr>
                  <w:tcW w:w="1246" w:type="dxa"/>
                  <w:vAlign w:val="center"/>
                </w:tcPr>
                <w:p w14:paraId="728F48EC">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颗粒物</w:t>
                  </w:r>
                </w:p>
              </w:tc>
              <w:tc>
                <w:tcPr>
                  <w:tcW w:w="1245" w:type="dxa"/>
                  <w:vAlign w:val="center"/>
                </w:tcPr>
                <w:p w14:paraId="4B4FCBAB">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15</w:t>
                  </w:r>
                </w:p>
              </w:tc>
              <w:tc>
                <w:tcPr>
                  <w:tcW w:w="1246" w:type="dxa"/>
                  <w:vAlign w:val="center"/>
                </w:tcPr>
                <w:p w14:paraId="3B8A4A20">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0.4</w:t>
                  </w:r>
                </w:p>
              </w:tc>
              <w:tc>
                <w:tcPr>
                  <w:tcW w:w="1245" w:type="dxa"/>
                  <w:vAlign w:val="center"/>
                </w:tcPr>
                <w:p w14:paraId="33424894">
                  <w:pPr>
                    <w:jc w:val="center"/>
                    <w:rPr>
                      <w:rFonts w:hint="eastAsia" w:cs="Times New Roman"/>
                      <w:bCs/>
                      <w:color w:val="auto"/>
                      <w:sz w:val="21"/>
                      <w:szCs w:val="21"/>
                      <w:lang w:val="en-US" w:eastAsia="zh-CN"/>
                    </w:rPr>
                  </w:pPr>
                  <w:r>
                    <w:rPr>
                      <w:rFonts w:hint="eastAsia" w:cs="Times New Roman"/>
                      <w:bCs/>
                      <w:color w:val="auto"/>
                      <w:sz w:val="21"/>
                      <w:szCs w:val="21"/>
                      <w:lang w:val="en-US" w:eastAsia="zh-CN"/>
                    </w:rPr>
                    <w:t>1000</w:t>
                  </w:r>
                </w:p>
              </w:tc>
              <w:tc>
                <w:tcPr>
                  <w:tcW w:w="1247" w:type="dxa"/>
                  <w:vAlign w:val="center"/>
                </w:tcPr>
                <w:p w14:paraId="71B77D5A">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25</w:t>
                  </w:r>
                </w:p>
              </w:tc>
              <w:tc>
                <w:tcPr>
                  <w:tcW w:w="1191" w:type="dxa"/>
                  <w:vAlign w:val="center"/>
                </w:tcPr>
                <w:p w14:paraId="4AE2AD13">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600</w:t>
                  </w:r>
                </w:p>
              </w:tc>
              <w:tc>
                <w:tcPr>
                  <w:tcW w:w="1302" w:type="dxa"/>
                  <w:vAlign w:val="center"/>
                </w:tcPr>
                <w:p w14:paraId="2BCE9735">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 xml:space="preserve">0.45g/h </w:t>
                  </w:r>
                </w:p>
              </w:tc>
            </w:tr>
          </w:tbl>
          <w:p w14:paraId="206B0559">
            <w:pPr>
              <w:spacing w:line="360" w:lineRule="auto"/>
              <w:ind w:firstLine="48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fldChar w:fldCharType="begin"/>
            </w:r>
            <w:r>
              <w:rPr>
                <w:rFonts w:hint="default" w:ascii="Times New Roman" w:hAnsi="Times New Roman" w:cs="Times New Roman"/>
                <w:b w:val="0"/>
                <w:bCs w:val="0"/>
                <w:color w:val="auto"/>
                <w:sz w:val="24"/>
                <w:lang w:val="en-US" w:eastAsia="zh-CN"/>
              </w:rPr>
              <w:instrText xml:space="preserve"> = 2 \* GB3 \* MERGEFORMAT </w:instrText>
            </w:r>
            <w:r>
              <w:rPr>
                <w:rFonts w:hint="default" w:ascii="Times New Roman" w:hAnsi="Times New Roman" w:cs="Times New Roman"/>
                <w:b w:val="0"/>
                <w:bCs w:val="0"/>
                <w:color w:val="auto"/>
                <w:sz w:val="24"/>
                <w:lang w:val="en-US" w:eastAsia="zh-CN"/>
              </w:rPr>
              <w:fldChar w:fldCharType="separate"/>
            </w:r>
            <w:r>
              <w:rPr>
                <w:rFonts w:hint="default" w:ascii="Times New Roman" w:hAnsi="Times New Roman" w:cs="Times New Roman"/>
                <w:b w:val="0"/>
                <w:bCs w:val="0"/>
                <w:color w:val="auto"/>
                <w:sz w:val="24"/>
                <w:lang w:val="en-US" w:eastAsia="zh-CN"/>
              </w:rPr>
              <w:t>②</w:t>
            </w:r>
            <w:r>
              <w:rPr>
                <w:rFonts w:hint="default" w:ascii="Times New Roman" w:hAnsi="Times New Roman" w:cs="Times New Roman"/>
                <w:b w:val="0"/>
                <w:bCs w:val="0"/>
                <w:color w:val="auto"/>
                <w:sz w:val="24"/>
                <w:lang w:val="en-US" w:eastAsia="zh-CN"/>
              </w:rPr>
              <w:fldChar w:fldCharType="end"/>
            </w:r>
            <w:r>
              <w:rPr>
                <w:rFonts w:hint="default" w:ascii="Times New Roman" w:hAnsi="Times New Roman" w:cs="Times New Roman"/>
                <w:b w:val="0"/>
                <w:bCs w:val="0"/>
                <w:color w:val="auto"/>
                <w:sz w:val="24"/>
                <w:lang w:val="en-US" w:eastAsia="zh-CN"/>
              </w:rPr>
              <w:t>采取估算模式计算结果</w:t>
            </w:r>
          </w:p>
          <w:p w14:paraId="1AFA459E">
            <w:pPr>
              <w:spacing w:line="360" w:lineRule="auto"/>
              <w:ind w:firstLine="48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t>根据项目工程分析结果，结合各污染物大气环境质量标准限值及污染物的排放特征，颗粒物</w:t>
            </w:r>
            <w:r>
              <w:rPr>
                <w:rFonts w:hint="eastAsia" w:cs="Times New Roman"/>
                <w:b w:val="0"/>
                <w:bCs w:val="0"/>
                <w:color w:val="auto"/>
                <w:sz w:val="24"/>
                <w:lang w:val="en-US" w:eastAsia="zh-CN"/>
              </w:rPr>
              <w:t>排放量估算选取PM</w:t>
            </w:r>
            <w:r>
              <w:rPr>
                <w:rFonts w:hint="eastAsia" w:cs="Times New Roman"/>
                <w:b w:val="0"/>
                <w:bCs w:val="0"/>
                <w:color w:val="auto"/>
                <w:sz w:val="24"/>
                <w:vertAlign w:val="subscript"/>
                <w:lang w:val="en-US" w:eastAsia="zh-CN"/>
              </w:rPr>
              <w:t>10</w:t>
            </w:r>
            <w:r>
              <w:rPr>
                <w:rFonts w:hint="default" w:ascii="Times New Roman" w:hAnsi="Times New Roman" w:cs="Times New Roman"/>
                <w:b w:val="0"/>
                <w:bCs w:val="0"/>
                <w:color w:val="auto"/>
                <w:sz w:val="24"/>
                <w:lang w:val="en-US" w:eastAsia="zh-CN"/>
              </w:rPr>
              <w:t>环境空气质量标准日均值的三倍：0.45mg/m</w:t>
            </w:r>
            <w:r>
              <w:rPr>
                <w:rFonts w:hint="default" w:ascii="Times New Roman" w:hAnsi="Times New Roman" w:cs="Times New Roman"/>
                <w:b w:val="0"/>
                <w:bCs w:val="0"/>
                <w:color w:val="auto"/>
                <w:sz w:val="24"/>
                <w:vertAlign w:val="superscript"/>
                <w:lang w:val="en-US" w:eastAsia="zh-CN"/>
              </w:rPr>
              <w:t>3</w:t>
            </w:r>
            <w:r>
              <w:rPr>
                <w:rFonts w:hint="eastAsia" w:cs="Times New Roman"/>
                <w:b w:val="0"/>
                <w:bCs w:val="0"/>
                <w:color w:val="auto"/>
                <w:sz w:val="24"/>
                <w:lang w:val="en-US" w:eastAsia="zh-CN"/>
              </w:rPr>
              <w:t>，有机废气</w:t>
            </w:r>
            <w:r>
              <w:rPr>
                <w:rFonts w:hint="default" w:ascii="Times New Roman" w:hAnsi="Times New Roman" w:cs="Times New Roman"/>
                <w:b w:val="0"/>
                <w:bCs w:val="0"/>
                <w:color w:val="auto"/>
                <w:sz w:val="24"/>
                <w:lang w:val="en-US" w:eastAsia="zh-CN"/>
              </w:rPr>
              <w:t>的排放量估算选取VOC</w:t>
            </w:r>
            <w:r>
              <w:rPr>
                <w:rFonts w:hint="eastAsia" w:cs="Times New Roman"/>
                <w:b w:val="0"/>
                <w:bCs w:val="0"/>
                <w:color w:val="auto"/>
                <w:sz w:val="24"/>
                <w:lang w:val="en-US" w:eastAsia="zh-CN"/>
              </w:rPr>
              <w:t>s</w:t>
            </w:r>
            <w:r>
              <w:rPr>
                <w:rFonts w:hint="default" w:ascii="Times New Roman" w:hAnsi="Times New Roman" w:cs="Times New Roman"/>
                <w:b w:val="0"/>
                <w:bCs w:val="0"/>
                <w:color w:val="auto"/>
                <w:sz w:val="24"/>
                <w:lang w:val="en-US" w:eastAsia="zh-CN"/>
              </w:rPr>
              <w:t>的环境质量标准（2.0mg/m</w:t>
            </w:r>
            <w:r>
              <w:rPr>
                <w:rFonts w:hint="default" w:ascii="Times New Roman" w:hAnsi="Times New Roman" w:cs="Times New Roman"/>
                <w:b w:val="0"/>
                <w:bCs w:val="0"/>
                <w:color w:val="auto"/>
                <w:sz w:val="24"/>
                <w:vertAlign w:val="superscript"/>
                <w:lang w:val="en-US" w:eastAsia="zh-CN"/>
              </w:rPr>
              <w:t>3</w:t>
            </w:r>
            <w:r>
              <w:rPr>
                <w:rFonts w:hint="default" w:ascii="Times New Roman" w:hAnsi="Times New Roman" w:cs="Times New Roman"/>
                <w:b w:val="0"/>
                <w:bCs w:val="0"/>
                <w:color w:val="auto"/>
                <w:sz w:val="24"/>
                <w:lang w:val="en-US" w:eastAsia="zh-CN"/>
              </w:rPr>
              <w:t>）进行计算，按照HJ2.2-2008推荐估算模式计算的各污染物浓度扩散计算结果见表7-</w:t>
            </w:r>
            <w:r>
              <w:rPr>
                <w:rFonts w:hint="eastAsia" w:cs="Times New Roman"/>
                <w:b w:val="0"/>
                <w:bCs w:val="0"/>
                <w:color w:val="auto"/>
                <w:sz w:val="24"/>
                <w:lang w:val="en-US" w:eastAsia="zh-CN"/>
              </w:rPr>
              <w:t>4、7-5</w:t>
            </w:r>
            <w:r>
              <w:rPr>
                <w:rFonts w:hint="default" w:ascii="Times New Roman" w:hAnsi="Times New Roman" w:cs="Times New Roman"/>
                <w:b w:val="0"/>
                <w:bCs w:val="0"/>
                <w:color w:val="auto"/>
                <w:sz w:val="24"/>
                <w:lang w:val="en-US" w:eastAsia="zh-CN"/>
              </w:rPr>
              <w:t>。</w:t>
            </w:r>
          </w:p>
          <w:p w14:paraId="7FCF24A5">
            <w:pPr>
              <w:pStyle w:val="28"/>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表7-</w:t>
            </w:r>
            <w:r>
              <w:rPr>
                <w:rFonts w:hint="eastAsia" w:ascii="Times New Roman" w:cs="Times New Roman"/>
                <w:b/>
                <w:bCs/>
                <w:sz w:val="21"/>
                <w:szCs w:val="21"/>
                <w:lang w:val="en-US" w:eastAsia="zh-CN"/>
              </w:rPr>
              <w:t xml:space="preserve">4 </w:t>
            </w:r>
            <w:r>
              <w:rPr>
                <w:rFonts w:hint="default" w:ascii="Times New Roman" w:hAnsi="Times New Roman" w:eastAsia="宋体" w:cs="Times New Roman"/>
                <w:b/>
                <w:bCs/>
                <w:sz w:val="21"/>
                <w:szCs w:val="21"/>
                <w:lang w:val="en-US" w:eastAsia="zh-CN"/>
              </w:rPr>
              <w:t xml:space="preserve"> 1#排气筒估算预测结果</w:t>
            </w:r>
          </w:p>
          <w:tbl>
            <w:tblPr>
              <w:tblStyle w:val="69"/>
              <w:tblW w:w="9211"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
            <w:tblGrid>
              <w:gridCol w:w="3500"/>
              <w:gridCol w:w="2999"/>
              <w:gridCol w:w="2712"/>
            </w:tblGrid>
            <w:tr w14:paraId="19A66D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16" w:hRule="atLeast"/>
                <w:jc w:val="center"/>
              </w:trPr>
              <w:tc>
                <w:tcPr>
                  <w:tcW w:w="9211"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75D8AE62">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VOC</w:t>
                  </w:r>
                  <w:r>
                    <w:rPr>
                      <w:rFonts w:hint="eastAsia" w:cs="Times New Roman"/>
                      <w:b w:val="0"/>
                      <w:bCs/>
                      <w:color w:val="auto"/>
                      <w:sz w:val="21"/>
                      <w:szCs w:val="21"/>
                      <w:lang w:val="en-US" w:eastAsia="zh-CN"/>
                    </w:rPr>
                    <w:t>s</w:t>
                  </w:r>
                </w:p>
              </w:tc>
            </w:tr>
            <w:tr w14:paraId="4F7D7A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16"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3F0CD493">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距离中心下风向距离D（m）</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2D48F657">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下风向预测浓度 mg/m3</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70E93FEC">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占标率%</w:t>
                  </w:r>
                </w:p>
              </w:tc>
            </w:tr>
            <w:tr w14:paraId="12AC63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90"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291EEAE7">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10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7BF5B4EA">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5.76E-9</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3FF57DCE">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w:t>
                  </w:r>
                </w:p>
              </w:tc>
            </w:tr>
            <w:tr w14:paraId="2ECE87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42F32AA1">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100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4D50B334">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0.001264</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66CD8B6E">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0.14</w:t>
                  </w:r>
                </w:p>
              </w:tc>
            </w:tr>
            <w:tr w14:paraId="31E993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576748C8">
                  <w:pPr>
                    <w:spacing w:line="240" w:lineRule="auto"/>
                    <w:jc w:val="center"/>
                    <w:rPr>
                      <w:rFonts w:hint="default" w:ascii="Times New Roman" w:hAnsi="Times New Roman" w:cs="Times New Roman"/>
                      <w:b/>
                      <w:bCs w:val="0"/>
                      <w:color w:val="auto"/>
                      <w:sz w:val="21"/>
                      <w:szCs w:val="21"/>
                      <w:lang w:val="en-US" w:eastAsia="zh-CN"/>
                    </w:rPr>
                  </w:pPr>
                  <w:r>
                    <w:rPr>
                      <w:rFonts w:hint="default" w:ascii="Times New Roman" w:hAnsi="Times New Roman" w:cs="Times New Roman"/>
                      <w:b/>
                      <w:bCs w:val="0"/>
                      <w:color w:val="auto"/>
                      <w:sz w:val="21"/>
                      <w:szCs w:val="21"/>
                      <w:lang w:val="en-US" w:eastAsia="zh-CN"/>
                    </w:rPr>
                    <w:t>103</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3CB1EB53">
                  <w:pPr>
                    <w:spacing w:line="240" w:lineRule="auto"/>
                    <w:jc w:val="center"/>
                    <w:rPr>
                      <w:rFonts w:hint="default" w:ascii="Times New Roman" w:hAnsi="Times New Roman" w:cs="Times New Roman"/>
                      <w:b/>
                      <w:bCs w:val="0"/>
                      <w:color w:val="auto"/>
                      <w:sz w:val="21"/>
                      <w:szCs w:val="21"/>
                      <w:lang w:val="en-US" w:eastAsia="zh-CN"/>
                    </w:rPr>
                  </w:pPr>
                  <w:r>
                    <w:rPr>
                      <w:rFonts w:hint="default" w:ascii="Times New Roman" w:hAnsi="Times New Roman" w:cs="Times New Roman"/>
                      <w:b/>
                      <w:bCs w:val="0"/>
                      <w:color w:val="auto"/>
                      <w:sz w:val="21"/>
                      <w:szCs w:val="21"/>
                      <w:lang w:val="en-US" w:eastAsia="zh-CN"/>
                    </w:rPr>
                    <w:t>0.001267</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12B2A1BE">
                  <w:pPr>
                    <w:spacing w:line="240" w:lineRule="auto"/>
                    <w:jc w:val="center"/>
                    <w:rPr>
                      <w:rFonts w:hint="default" w:ascii="Times New Roman" w:hAnsi="Times New Roman" w:cs="Times New Roman"/>
                      <w:b/>
                      <w:bCs w:val="0"/>
                      <w:color w:val="auto"/>
                      <w:sz w:val="21"/>
                      <w:szCs w:val="21"/>
                      <w:lang w:val="en-US" w:eastAsia="zh-CN"/>
                    </w:rPr>
                  </w:pPr>
                  <w:r>
                    <w:rPr>
                      <w:rFonts w:hint="default" w:ascii="Times New Roman" w:hAnsi="Times New Roman" w:cs="Times New Roman"/>
                      <w:b/>
                      <w:bCs w:val="0"/>
                      <w:color w:val="auto"/>
                      <w:sz w:val="21"/>
                      <w:szCs w:val="21"/>
                      <w:lang w:val="en-US" w:eastAsia="zh-CN"/>
                    </w:rPr>
                    <w:t>0.14</w:t>
                  </w:r>
                </w:p>
              </w:tc>
            </w:tr>
            <w:tr w14:paraId="50D1C6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5607BD1B">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200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5B178B9D">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0.001149</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7658E20D">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0.13</w:t>
                  </w:r>
                </w:p>
              </w:tc>
            </w:tr>
            <w:tr w14:paraId="4F51F4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7254C2E0">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300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0C200DBF">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0.001142</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75F5A2AA">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0.13</w:t>
                  </w:r>
                </w:p>
              </w:tc>
            </w:tr>
            <w:tr w14:paraId="5EB9C7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443D0D0C">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400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11391464">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0.001174</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4E02C032">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0.13</w:t>
                  </w:r>
                </w:p>
              </w:tc>
            </w:tr>
            <w:tr w14:paraId="0CBE41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6BA9AF3B">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500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3F899F6D">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0.001053</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74209B2B">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0.12</w:t>
                  </w:r>
                </w:p>
              </w:tc>
            </w:tr>
            <w:tr w14:paraId="607FA2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59B2454B">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600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168A113A">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0.00091</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41593223">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0.1</w:t>
                  </w:r>
                </w:p>
              </w:tc>
            </w:tr>
            <w:tr w14:paraId="281169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06B94D0B">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700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5AAC957B">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0.0007829</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3720A513">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0.09</w:t>
                  </w:r>
                </w:p>
              </w:tc>
            </w:tr>
            <w:tr w14:paraId="00750E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1A794D81">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800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6DD06F66">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0.0006773</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33285E73">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0.08</w:t>
                  </w:r>
                </w:p>
              </w:tc>
            </w:tr>
            <w:tr w14:paraId="1E6960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10CB8C2F">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900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0CF2F04C">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0.0005912</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4E028E46">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0.07</w:t>
                  </w:r>
                </w:p>
              </w:tc>
            </w:tr>
            <w:tr w14:paraId="48B7A9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72765358">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1000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6CCC1AD3">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0.000521</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27A8D522">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0.06</w:t>
                  </w:r>
                </w:p>
              </w:tc>
            </w:tr>
            <w:tr w14:paraId="52D7F4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73EA4B2A">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1100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22C4B54D">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0.0004633</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54873619">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0.05</w:t>
                  </w:r>
                </w:p>
              </w:tc>
            </w:tr>
            <w:tr w14:paraId="7DEB23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1CBC73CC">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1200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108F6FEF">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0.0004156</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43076E0B">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0.05</w:t>
                  </w:r>
                </w:p>
              </w:tc>
            </w:tr>
            <w:tr w14:paraId="2A9031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793C876B">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1300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1D82388A">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0.0003755</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2899666C">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0.04</w:t>
                  </w:r>
                </w:p>
              </w:tc>
            </w:tr>
            <w:tr w14:paraId="49D242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42BBE451">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1400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3337C488">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0.0003417</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7F0D6B39">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0.04</w:t>
                  </w:r>
                </w:p>
              </w:tc>
            </w:tr>
            <w:tr w14:paraId="69A1B6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0D013B61">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1500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2F060390">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0.0003128</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295509D1">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0.03</w:t>
                  </w:r>
                </w:p>
              </w:tc>
            </w:tr>
            <w:tr w14:paraId="3B247D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6BEB206D">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1600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6AC6F7D9">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0.000288</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68B65E2E">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0.03</w:t>
                  </w:r>
                </w:p>
              </w:tc>
            </w:tr>
            <w:tr w14:paraId="35C638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20F90260">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1700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6482C248">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0.0002664</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3D3A694F">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0.03</w:t>
                  </w:r>
                </w:p>
              </w:tc>
            </w:tr>
            <w:tr w14:paraId="129EB1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33ABF35A">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1800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7844DFC7">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0.0002476</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4D86AE95">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0.03</w:t>
                  </w:r>
                </w:p>
              </w:tc>
            </w:tr>
            <w:tr w14:paraId="371EB0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2562C8FE">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1900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2DF674A1">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0.000231</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6F8D51A0">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0.03</w:t>
                  </w:r>
                </w:p>
              </w:tc>
            </w:tr>
            <w:tr w14:paraId="3C0A4C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2"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6BAF3840">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2000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0C7244B6">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0.0002163</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7BCB0F88">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0.02</w:t>
                  </w:r>
                </w:p>
              </w:tc>
            </w:tr>
            <w:tr w14:paraId="2684F7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45" w:hRule="atLeast"/>
                <w:jc w:val="center"/>
              </w:trPr>
              <w:tc>
                <w:tcPr>
                  <w:tcW w:w="3500" w:type="dxa"/>
                  <w:tcBorders>
                    <w:top w:val="single" w:color="000000" w:sz="4" w:space="0"/>
                    <w:left w:val="single" w:color="000000" w:sz="4" w:space="0"/>
                    <w:bottom w:val="single" w:color="000000" w:sz="4" w:space="0"/>
                    <w:right w:val="single" w:color="000000" w:sz="4" w:space="0"/>
                  </w:tcBorders>
                  <w:shd w:val="clear" w:color="auto" w:fill="auto"/>
                  <w:vAlign w:val="top"/>
                </w:tcPr>
                <w:p w14:paraId="1AFA6896">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2100</w:t>
                  </w:r>
                </w:p>
              </w:tc>
              <w:tc>
                <w:tcPr>
                  <w:tcW w:w="2999" w:type="dxa"/>
                  <w:tcBorders>
                    <w:top w:val="single" w:color="000000" w:sz="4" w:space="0"/>
                    <w:left w:val="nil"/>
                    <w:bottom w:val="single" w:color="000000" w:sz="4" w:space="0"/>
                    <w:right w:val="single" w:color="000000" w:sz="4" w:space="0"/>
                  </w:tcBorders>
                  <w:shd w:val="clear" w:color="auto" w:fill="auto"/>
                  <w:vAlign w:val="top"/>
                </w:tcPr>
                <w:p w14:paraId="0FCD75B9">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0.0002032</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1025F32D">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0.02</w:t>
                  </w:r>
                </w:p>
              </w:tc>
            </w:tr>
            <w:tr w14:paraId="409D1B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1" w:hRule="atLeast"/>
                <w:jc w:val="center"/>
              </w:trPr>
              <w:tc>
                <w:tcPr>
                  <w:tcW w:w="6499" w:type="dxa"/>
                  <w:gridSpan w:val="2"/>
                  <w:tcBorders>
                    <w:top w:val="single" w:color="000000" w:sz="4" w:space="0"/>
                    <w:left w:val="single" w:color="000000" w:sz="4" w:space="0"/>
                    <w:bottom w:val="single" w:color="000000" w:sz="4" w:space="0"/>
                    <w:right w:val="single" w:color="000000" w:sz="4" w:space="0"/>
                  </w:tcBorders>
                  <w:shd w:val="clear" w:color="auto" w:fill="auto"/>
                  <w:vAlign w:val="top"/>
                </w:tcPr>
                <w:p w14:paraId="61A32A22">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0.001267mg/m</w:t>
                  </w:r>
                  <w:r>
                    <w:rPr>
                      <w:rFonts w:hint="default" w:ascii="Times New Roman" w:hAnsi="Times New Roman" w:cs="Times New Roman"/>
                      <w:b w:val="0"/>
                      <w:bCs/>
                      <w:color w:val="auto"/>
                      <w:sz w:val="21"/>
                      <w:szCs w:val="21"/>
                      <w:vertAlign w:val="superscript"/>
                      <w:lang w:val="en-US" w:eastAsia="zh-CN"/>
                    </w:rPr>
                    <w:t>3</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25B8D916">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0.14</w:t>
                  </w:r>
                </w:p>
              </w:tc>
            </w:tr>
            <w:tr w14:paraId="145785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84" w:hRule="atLeast"/>
                <w:jc w:val="center"/>
              </w:trPr>
              <w:tc>
                <w:tcPr>
                  <w:tcW w:w="6499" w:type="dxa"/>
                  <w:gridSpan w:val="2"/>
                  <w:tcBorders>
                    <w:top w:val="single" w:color="000000" w:sz="4" w:space="0"/>
                    <w:left w:val="single" w:color="000000" w:sz="4" w:space="0"/>
                    <w:bottom w:val="single" w:color="000000" w:sz="4" w:space="0"/>
                    <w:right w:val="single" w:color="000000" w:sz="4" w:space="0"/>
                  </w:tcBorders>
                  <w:shd w:val="clear" w:color="auto" w:fill="auto"/>
                  <w:vAlign w:val="top"/>
                </w:tcPr>
                <w:p w14:paraId="7B9FBEAB">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103m</w:t>
                  </w:r>
                </w:p>
              </w:tc>
              <w:tc>
                <w:tcPr>
                  <w:tcW w:w="2712" w:type="dxa"/>
                  <w:tcBorders>
                    <w:top w:val="single" w:color="000000" w:sz="4" w:space="0"/>
                    <w:left w:val="nil"/>
                    <w:bottom w:val="single" w:color="000000" w:sz="4" w:space="0"/>
                    <w:right w:val="single" w:color="000000" w:sz="4" w:space="0"/>
                  </w:tcBorders>
                  <w:shd w:val="clear" w:color="auto" w:fill="auto"/>
                  <w:vAlign w:val="top"/>
                </w:tcPr>
                <w:p w14:paraId="486A6FEE">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103m</w:t>
                  </w:r>
                </w:p>
              </w:tc>
            </w:tr>
          </w:tbl>
          <w:p w14:paraId="6A974898">
            <w:pPr>
              <w:pStyle w:val="28"/>
              <w:rPr>
                <w:rFonts w:hint="default"/>
                <w:lang w:val="en-US" w:eastAsia="zh-CN"/>
              </w:rPr>
            </w:pPr>
          </w:p>
          <w:p w14:paraId="1FB5B4B1">
            <w:pPr>
              <w:pStyle w:val="65"/>
              <w:spacing w:before="121"/>
              <w:jc w:val="center"/>
              <w:rPr>
                <w:rFonts w:hint="eastAsia" w:ascii="Times New Roman" w:hAnsi="Times New Roman" w:cs="Times New Roman"/>
                <w:b/>
                <w:bCs/>
                <w:sz w:val="21"/>
                <w:szCs w:val="21"/>
                <w:lang w:val="en-US" w:eastAsia="zh-CN"/>
              </w:rPr>
            </w:pPr>
            <w:r>
              <w:rPr>
                <w:rFonts w:hint="default" w:ascii="Times New Roman" w:hAnsi="Times New Roman" w:eastAsia="宋体" w:cs="Times New Roman"/>
                <w:b/>
                <w:bCs/>
                <w:sz w:val="21"/>
                <w:szCs w:val="21"/>
                <w:lang w:val="en-US" w:eastAsia="zh-CN"/>
              </w:rPr>
              <w:t>表7-</w:t>
            </w:r>
            <w:r>
              <w:rPr>
                <w:rFonts w:hint="eastAsia" w:ascii="Times New Roman" w:hAnsi="Times New Roman" w:cs="Times New Roman"/>
                <w:b/>
                <w:bCs/>
                <w:sz w:val="21"/>
                <w:szCs w:val="21"/>
                <w:lang w:val="en-US" w:eastAsia="zh-CN"/>
              </w:rPr>
              <w:t>5</w:t>
            </w:r>
            <w:r>
              <w:rPr>
                <w:rFonts w:hint="default" w:ascii="Times New Roman" w:hAnsi="Times New Roman" w:eastAsia="宋体" w:cs="Times New Roman"/>
                <w:b/>
                <w:bCs/>
                <w:sz w:val="21"/>
                <w:szCs w:val="21"/>
                <w:lang w:val="en-US" w:eastAsia="zh-CN"/>
              </w:rPr>
              <w:t xml:space="preserve">  </w:t>
            </w:r>
            <w:r>
              <w:rPr>
                <w:rFonts w:hint="eastAsia" w:ascii="Times New Roman" w:hAnsi="Times New Roman" w:cs="Times New Roman"/>
                <w:b/>
                <w:bCs/>
                <w:sz w:val="21"/>
                <w:szCs w:val="21"/>
                <w:lang w:val="en-US" w:eastAsia="zh-CN"/>
              </w:rPr>
              <w:t>2#排气筒估算预测结果</w:t>
            </w:r>
          </w:p>
          <w:tbl>
            <w:tblPr>
              <w:tblStyle w:val="69"/>
              <w:tblW w:w="9211"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380"/>
              <w:gridCol w:w="2277"/>
              <w:gridCol w:w="1166"/>
              <w:gridCol w:w="2235"/>
              <w:gridCol w:w="1153"/>
            </w:tblGrid>
            <w:tr w14:paraId="65097C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3" w:hRule="exact"/>
                <w:jc w:val="center"/>
              </w:trPr>
              <w:tc>
                <w:tcPr>
                  <w:tcW w:w="2380" w:type="dxa"/>
                  <w:vMerge w:val="restart"/>
                  <w:vAlign w:val="center"/>
                </w:tcPr>
                <w:p w14:paraId="0C2AC07A">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距离中心下风向距离 D（m）</w:t>
                  </w:r>
                </w:p>
              </w:tc>
              <w:tc>
                <w:tcPr>
                  <w:tcW w:w="3443" w:type="dxa"/>
                  <w:gridSpan w:val="2"/>
                  <w:vAlign w:val="center"/>
                </w:tcPr>
                <w:p w14:paraId="0F4E1020">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VOCs</w:t>
                  </w:r>
                </w:p>
              </w:tc>
              <w:tc>
                <w:tcPr>
                  <w:tcW w:w="3388" w:type="dxa"/>
                  <w:gridSpan w:val="2"/>
                  <w:vAlign w:val="center"/>
                </w:tcPr>
                <w:p w14:paraId="2BFCF64E">
                  <w:pPr>
                    <w:spacing w:line="240" w:lineRule="auto"/>
                    <w:jc w:val="center"/>
                    <w:rPr>
                      <w:rFonts w:hint="eastAsia" w:ascii="Times New Roman" w:hAnsi="Times New Roman" w:cs="Times New Roman"/>
                      <w:b w:val="0"/>
                      <w:bCs/>
                      <w:color w:val="auto"/>
                      <w:sz w:val="21"/>
                      <w:szCs w:val="21"/>
                      <w:lang w:val="en-US" w:eastAsia="zh-CN"/>
                    </w:rPr>
                  </w:pPr>
                  <w:r>
                    <w:rPr>
                      <w:rFonts w:hint="eastAsia" w:cs="Times New Roman"/>
                      <w:b w:val="0"/>
                      <w:bCs/>
                      <w:color w:val="auto"/>
                      <w:sz w:val="21"/>
                      <w:szCs w:val="21"/>
                      <w:lang w:val="en-US" w:eastAsia="zh-CN"/>
                    </w:rPr>
                    <w:t>颗粒物</w:t>
                  </w:r>
                </w:p>
              </w:tc>
            </w:tr>
            <w:tr w14:paraId="5DF5F9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99" w:hRule="exact"/>
                <w:jc w:val="center"/>
              </w:trPr>
              <w:tc>
                <w:tcPr>
                  <w:tcW w:w="2380" w:type="dxa"/>
                  <w:vMerge w:val="continue"/>
                  <w:vAlign w:val="center"/>
                </w:tcPr>
                <w:p w14:paraId="17C039C7">
                  <w:pPr>
                    <w:spacing w:line="240" w:lineRule="auto"/>
                    <w:jc w:val="center"/>
                    <w:rPr>
                      <w:rFonts w:hint="eastAsia" w:ascii="Times New Roman" w:hAnsi="Times New Roman" w:cs="Times New Roman"/>
                      <w:b w:val="0"/>
                      <w:bCs/>
                      <w:color w:val="auto"/>
                      <w:sz w:val="21"/>
                      <w:szCs w:val="21"/>
                      <w:lang w:val="en-US" w:eastAsia="zh-CN"/>
                    </w:rPr>
                  </w:pPr>
                </w:p>
              </w:tc>
              <w:tc>
                <w:tcPr>
                  <w:tcW w:w="2277" w:type="dxa"/>
                  <w:vAlign w:val="center"/>
                </w:tcPr>
                <w:p w14:paraId="360CEC8E">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下风向预测浓度</w:t>
                  </w:r>
                </w:p>
                <w:p w14:paraId="17BE1E7E">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mg/m</w:t>
                  </w:r>
                  <w:r>
                    <w:rPr>
                      <w:rFonts w:hint="eastAsia" w:ascii="Times New Roman" w:hAnsi="Times New Roman" w:cs="Times New Roman"/>
                      <w:b w:val="0"/>
                      <w:bCs/>
                      <w:color w:val="auto"/>
                      <w:sz w:val="21"/>
                      <w:szCs w:val="21"/>
                      <w:vertAlign w:val="superscript"/>
                      <w:lang w:val="en-US" w:eastAsia="zh-CN"/>
                    </w:rPr>
                    <w:t>3</w:t>
                  </w:r>
                </w:p>
              </w:tc>
              <w:tc>
                <w:tcPr>
                  <w:tcW w:w="1166" w:type="dxa"/>
                  <w:vAlign w:val="center"/>
                </w:tcPr>
                <w:p w14:paraId="40CAE5EC">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占标率</w:t>
                  </w:r>
                </w:p>
                <w:p w14:paraId="24D96D9F">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w:t>
                  </w:r>
                </w:p>
              </w:tc>
              <w:tc>
                <w:tcPr>
                  <w:tcW w:w="2235" w:type="dxa"/>
                  <w:vAlign w:val="center"/>
                </w:tcPr>
                <w:p w14:paraId="5C6E4A11">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下风向预测浓度</w:t>
                  </w:r>
                </w:p>
                <w:p w14:paraId="31068F49">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mg/m</w:t>
                  </w:r>
                  <w:r>
                    <w:rPr>
                      <w:rFonts w:hint="eastAsia" w:ascii="Times New Roman" w:hAnsi="Times New Roman" w:cs="Times New Roman"/>
                      <w:b w:val="0"/>
                      <w:bCs/>
                      <w:color w:val="auto"/>
                      <w:sz w:val="21"/>
                      <w:szCs w:val="21"/>
                      <w:vertAlign w:val="superscript"/>
                      <w:lang w:val="en-US" w:eastAsia="zh-CN"/>
                    </w:rPr>
                    <w:t>3</w:t>
                  </w:r>
                </w:p>
              </w:tc>
              <w:tc>
                <w:tcPr>
                  <w:tcW w:w="1153" w:type="dxa"/>
                  <w:vAlign w:val="center"/>
                </w:tcPr>
                <w:p w14:paraId="7DC784C0">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占标率</w:t>
                  </w:r>
                </w:p>
                <w:p w14:paraId="68618BB4">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w:t>
                  </w:r>
                </w:p>
              </w:tc>
            </w:tr>
            <w:tr w14:paraId="498880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49EE212F">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10</w:t>
                  </w:r>
                </w:p>
              </w:tc>
              <w:tc>
                <w:tcPr>
                  <w:tcW w:w="2277" w:type="dxa"/>
                  <w:vAlign w:val="center"/>
                </w:tcPr>
                <w:p w14:paraId="6F5A2DD8">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1.01E-12</w:t>
                  </w:r>
                </w:p>
              </w:tc>
              <w:tc>
                <w:tcPr>
                  <w:tcW w:w="1166" w:type="dxa"/>
                  <w:vAlign w:val="center"/>
                </w:tcPr>
                <w:p w14:paraId="370FF2DF">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w:t>
                  </w:r>
                </w:p>
              </w:tc>
              <w:tc>
                <w:tcPr>
                  <w:tcW w:w="2235" w:type="dxa"/>
                  <w:vAlign w:val="center"/>
                </w:tcPr>
                <w:p w14:paraId="4DAD1888">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8.26E-14</w:t>
                  </w:r>
                </w:p>
              </w:tc>
              <w:tc>
                <w:tcPr>
                  <w:tcW w:w="1153" w:type="dxa"/>
                  <w:vAlign w:val="center"/>
                </w:tcPr>
                <w:p w14:paraId="5B367C82">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w:t>
                  </w:r>
                </w:p>
              </w:tc>
            </w:tr>
            <w:tr w14:paraId="56E2C6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1841F51A">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100</w:t>
                  </w:r>
                </w:p>
              </w:tc>
              <w:tc>
                <w:tcPr>
                  <w:tcW w:w="2277" w:type="dxa"/>
                  <w:vAlign w:val="center"/>
                </w:tcPr>
                <w:p w14:paraId="1FD83385">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0.004864</w:t>
                  </w:r>
                </w:p>
              </w:tc>
              <w:tc>
                <w:tcPr>
                  <w:tcW w:w="1166" w:type="dxa"/>
                  <w:vAlign w:val="center"/>
                </w:tcPr>
                <w:p w14:paraId="490BF2AF">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0.81</w:t>
                  </w:r>
                </w:p>
              </w:tc>
              <w:tc>
                <w:tcPr>
                  <w:tcW w:w="2235" w:type="dxa"/>
                  <w:vAlign w:val="center"/>
                </w:tcPr>
                <w:p w14:paraId="50CEDD4E">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0.0003971</w:t>
                  </w:r>
                </w:p>
              </w:tc>
              <w:tc>
                <w:tcPr>
                  <w:tcW w:w="1153" w:type="dxa"/>
                  <w:vAlign w:val="center"/>
                </w:tcPr>
                <w:p w14:paraId="2D90B343">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0.2</w:t>
                  </w:r>
                </w:p>
              </w:tc>
            </w:tr>
            <w:tr w14:paraId="360331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3AB25CD5">
                  <w:pPr>
                    <w:spacing w:line="240" w:lineRule="auto"/>
                    <w:jc w:val="center"/>
                    <w:rPr>
                      <w:rFonts w:hint="eastAsia" w:ascii="Times New Roman" w:hAnsi="Times New Roman" w:cs="Times New Roman"/>
                      <w:b/>
                      <w:bCs w:val="0"/>
                      <w:color w:val="auto"/>
                      <w:sz w:val="21"/>
                      <w:szCs w:val="21"/>
                      <w:lang w:val="en-US" w:eastAsia="zh-CN"/>
                    </w:rPr>
                  </w:pPr>
                  <w:r>
                    <w:rPr>
                      <w:rFonts w:hint="eastAsia" w:ascii="Times New Roman" w:hAnsi="Times New Roman" w:cs="Times New Roman"/>
                      <w:b/>
                      <w:bCs w:val="0"/>
                      <w:color w:val="auto"/>
                      <w:sz w:val="21"/>
                      <w:szCs w:val="21"/>
                      <w:lang w:val="en-US" w:eastAsia="zh-CN"/>
                    </w:rPr>
                    <w:t>104</w:t>
                  </w:r>
                </w:p>
              </w:tc>
              <w:tc>
                <w:tcPr>
                  <w:tcW w:w="2277" w:type="dxa"/>
                  <w:vAlign w:val="center"/>
                </w:tcPr>
                <w:p w14:paraId="684CDDE4">
                  <w:pPr>
                    <w:spacing w:line="240" w:lineRule="auto"/>
                    <w:jc w:val="center"/>
                    <w:rPr>
                      <w:rFonts w:hint="eastAsia" w:ascii="Times New Roman" w:hAnsi="Times New Roman" w:cs="Times New Roman"/>
                      <w:b/>
                      <w:bCs w:val="0"/>
                      <w:color w:val="auto"/>
                      <w:sz w:val="21"/>
                      <w:szCs w:val="21"/>
                      <w:lang w:val="en-US" w:eastAsia="zh-CN"/>
                    </w:rPr>
                  </w:pPr>
                  <w:r>
                    <w:rPr>
                      <w:rFonts w:hint="eastAsia" w:ascii="Times New Roman" w:hAnsi="Times New Roman" w:cs="Times New Roman"/>
                      <w:b/>
                      <w:bCs w:val="0"/>
                      <w:color w:val="auto"/>
                      <w:sz w:val="21"/>
                      <w:szCs w:val="21"/>
                      <w:lang w:val="en-US" w:eastAsia="zh-CN"/>
                    </w:rPr>
                    <w:t>0.004879</w:t>
                  </w:r>
                </w:p>
              </w:tc>
              <w:tc>
                <w:tcPr>
                  <w:tcW w:w="1166" w:type="dxa"/>
                  <w:vAlign w:val="center"/>
                </w:tcPr>
                <w:p w14:paraId="2C1402DA">
                  <w:pPr>
                    <w:spacing w:line="240" w:lineRule="auto"/>
                    <w:jc w:val="center"/>
                    <w:rPr>
                      <w:rFonts w:hint="eastAsia" w:ascii="Times New Roman" w:hAnsi="Times New Roman" w:cs="Times New Roman"/>
                      <w:b/>
                      <w:bCs w:val="0"/>
                      <w:color w:val="auto"/>
                      <w:sz w:val="21"/>
                      <w:szCs w:val="21"/>
                      <w:lang w:val="en-US" w:eastAsia="zh-CN"/>
                    </w:rPr>
                  </w:pPr>
                  <w:r>
                    <w:rPr>
                      <w:rFonts w:hint="eastAsia" w:ascii="Times New Roman" w:hAnsi="Times New Roman" w:cs="Times New Roman"/>
                      <w:b/>
                      <w:bCs w:val="0"/>
                      <w:color w:val="auto"/>
                      <w:sz w:val="21"/>
                      <w:szCs w:val="21"/>
                      <w:lang w:val="en-US" w:eastAsia="zh-CN"/>
                    </w:rPr>
                    <w:t>0.81</w:t>
                  </w:r>
                </w:p>
              </w:tc>
              <w:tc>
                <w:tcPr>
                  <w:tcW w:w="2235" w:type="dxa"/>
                  <w:vAlign w:val="center"/>
                </w:tcPr>
                <w:p w14:paraId="72901DEC">
                  <w:pPr>
                    <w:spacing w:line="240" w:lineRule="auto"/>
                    <w:jc w:val="center"/>
                    <w:rPr>
                      <w:rFonts w:hint="eastAsia" w:ascii="Times New Roman" w:hAnsi="Times New Roman" w:cs="Times New Roman"/>
                      <w:b/>
                      <w:bCs w:val="0"/>
                      <w:color w:val="auto"/>
                      <w:sz w:val="21"/>
                      <w:szCs w:val="21"/>
                      <w:lang w:val="en-US" w:eastAsia="zh-CN"/>
                    </w:rPr>
                  </w:pPr>
                  <w:r>
                    <w:rPr>
                      <w:rFonts w:hint="eastAsia" w:ascii="Times New Roman" w:hAnsi="Times New Roman" w:cs="Times New Roman"/>
                      <w:b/>
                      <w:bCs w:val="0"/>
                      <w:color w:val="auto"/>
                      <w:sz w:val="21"/>
                      <w:szCs w:val="21"/>
                      <w:lang w:val="en-US" w:eastAsia="zh-CN"/>
                    </w:rPr>
                    <w:t>0.0003982</w:t>
                  </w:r>
                </w:p>
              </w:tc>
              <w:tc>
                <w:tcPr>
                  <w:tcW w:w="1153" w:type="dxa"/>
                  <w:vAlign w:val="center"/>
                </w:tcPr>
                <w:p w14:paraId="064E611C">
                  <w:pPr>
                    <w:spacing w:line="240" w:lineRule="auto"/>
                    <w:jc w:val="center"/>
                    <w:rPr>
                      <w:rFonts w:hint="eastAsia" w:ascii="Times New Roman" w:hAnsi="Times New Roman" w:cs="Times New Roman"/>
                      <w:b/>
                      <w:bCs w:val="0"/>
                      <w:color w:val="auto"/>
                      <w:sz w:val="21"/>
                      <w:szCs w:val="21"/>
                      <w:lang w:val="en-US" w:eastAsia="zh-CN"/>
                    </w:rPr>
                  </w:pPr>
                  <w:r>
                    <w:rPr>
                      <w:rFonts w:hint="eastAsia" w:ascii="Times New Roman" w:hAnsi="Times New Roman" w:cs="Times New Roman"/>
                      <w:b/>
                      <w:bCs w:val="0"/>
                      <w:color w:val="auto"/>
                      <w:sz w:val="21"/>
                      <w:szCs w:val="21"/>
                      <w:lang w:val="en-US" w:eastAsia="zh-CN"/>
                    </w:rPr>
                    <w:t>0.2</w:t>
                  </w:r>
                </w:p>
              </w:tc>
            </w:tr>
            <w:tr w14:paraId="23B2AF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5E277856">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200</w:t>
                  </w:r>
                </w:p>
              </w:tc>
              <w:tc>
                <w:tcPr>
                  <w:tcW w:w="2277" w:type="dxa"/>
                  <w:vAlign w:val="center"/>
                </w:tcPr>
                <w:p w14:paraId="33D9B3DC">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0.004396</w:t>
                  </w:r>
                </w:p>
              </w:tc>
              <w:tc>
                <w:tcPr>
                  <w:tcW w:w="1166" w:type="dxa"/>
                  <w:vAlign w:val="center"/>
                </w:tcPr>
                <w:p w14:paraId="2AEE94A9">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0.73</w:t>
                  </w:r>
                </w:p>
              </w:tc>
              <w:tc>
                <w:tcPr>
                  <w:tcW w:w="2235" w:type="dxa"/>
                  <w:vAlign w:val="center"/>
                </w:tcPr>
                <w:p w14:paraId="0D2AFB4B">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0.0003589</w:t>
                  </w:r>
                </w:p>
              </w:tc>
              <w:tc>
                <w:tcPr>
                  <w:tcW w:w="1153" w:type="dxa"/>
                  <w:vAlign w:val="center"/>
                </w:tcPr>
                <w:p w14:paraId="1C605AE3">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0.18</w:t>
                  </w:r>
                </w:p>
              </w:tc>
            </w:tr>
            <w:tr w14:paraId="6CCE35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57D2D40D">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300</w:t>
                  </w:r>
                </w:p>
              </w:tc>
              <w:tc>
                <w:tcPr>
                  <w:tcW w:w="2277" w:type="dxa"/>
                  <w:vAlign w:val="center"/>
                </w:tcPr>
                <w:p w14:paraId="70969D87">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0.004314</w:t>
                  </w:r>
                </w:p>
              </w:tc>
              <w:tc>
                <w:tcPr>
                  <w:tcW w:w="1166" w:type="dxa"/>
                  <w:vAlign w:val="center"/>
                </w:tcPr>
                <w:p w14:paraId="62870FEF">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0.72</w:t>
                  </w:r>
                </w:p>
              </w:tc>
              <w:tc>
                <w:tcPr>
                  <w:tcW w:w="2235" w:type="dxa"/>
                  <w:vAlign w:val="center"/>
                </w:tcPr>
                <w:p w14:paraId="596381F5">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0.0003521</w:t>
                  </w:r>
                </w:p>
              </w:tc>
              <w:tc>
                <w:tcPr>
                  <w:tcW w:w="1153" w:type="dxa"/>
                  <w:vAlign w:val="center"/>
                </w:tcPr>
                <w:p w14:paraId="5E34618C">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0.18</w:t>
                  </w:r>
                </w:p>
              </w:tc>
            </w:tr>
            <w:tr w14:paraId="7A690B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23C961BD">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400</w:t>
                  </w:r>
                </w:p>
              </w:tc>
              <w:tc>
                <w:tcPr>
                  <w:tcW w:w="2277" w:type="dxa"/>
                  <w:vAlign w:val="center"/>
                </w:tcPr>
                <w:p w14:paraId="116CABDF">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0.004824</w:t>
                  </w:r>
                </w:p>
              </w:tc>
              <w:tc>
                <w:tcPr>
                  <w:tcW w:w="1166" w:type="dxa"/>
                  <w:vAlign w:val="center"/>
                </w:tcPr>
                <w:p w14:paraId="66409775">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0.8</w:t>
                  </w:r>
                </w:p>
              </w:tc>
              <w:tc>
                <w:tcPr>
                  <w:tcW w:w="2235" w:type="dxa"/>
                  <w:vAlign w:val="center"/>
                </w:tcPr>
                <w:p w14:paraId="634992BE">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0.0003938</w:t>
                  </w:r>
                </w:p>
              </w:tc>
              <w:tc>
                <w:tcPr>
                  <w:tcW w:w="1153" w:type="dxa"/>
                  <w:vAlign w:val="center"/>
                </w:tcPr>
                <w:p w14:paraId="2E894E23">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0.2</w:t>
                  </w:r>
                </w:p>
              </w:tc>
            </w:tr>
            <w:tr w14:paraId="644CCF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51AC7868">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500</w:t>
                  </w:r>
                </w:p>
              </w:tc>
              <w:tc>
                <w:tcPr>
                  <w:tcW w:w="2277" w:type="dxa"/>
                  <w:vAlign w:val="center"/>
                </w:tcPr>
                <w:p w14:paraId="01455BFE">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0.004534</w:t>
                  </w:r>
                </w:p>
              </w:tc>
              <w:tc>
                <w:tcPr>
                  <w:tcW w:w="1166" w:type="dxa"/>
                  <w:vAlign w:val="center"/>
                </w:tcPr>
                <w:p w14:paraId="78DA9913">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0.76</w:t>
                  </w:r>
                </w:p>
              </w:tc>
              <w:tc>
                <w:tcPr>
                  <w:tcW w:w="2235" w:type="dxa"/>
                  <w:vAlign w:val="center"/>
                </w:tcPr>
                <w:p w14:paraId="6C078121">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0.0003701</w:t>
                  </w:r>
                </w:p>
              </w:tc>
              <w:tc>
                <w:tcPr>
                  <w:tcW w:w="1153" w:type="dxa"/>
                  <w:vAlign w:val="center"/>
                </w:tcPr>
                <w:p w14:paraId="4599DE2F">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0.19</w:t>
                  </w:r>
                </w:p>
              </w:tc>
            </w:tr>
            <w:tr w14:paraId="52727F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491311D0">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600</w:t>
                  </w:r>
                </w:p>
              </w:tc>
              <w:tc>
                <w:tcPr>
                  <w:tcW w:w="2277" w:type="dxa"/>
                  <w:vAlign w:val="center"/>
                </w:tcPr>
                <w:p w14:paraId="1A85315E">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0.004036</w:t>
                  </w:r>
                </w:p>
              </w:tc>
              <w:tc>
                <w:tcPr>
                  <w:tcW w:w="1166" w:type="dxa"/>
                  <w:vAlign w:val="center"/>
                </w:tcPr>
                <w:p w14:paraId="28698EB7">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0.67</w:t>
                  </w:r>
                </w:p>
              </w:tc>
              <w:tc>
                <w:tcPr>
                  <w:tcW w:w="2235" w:type="dxa"/>
                  <w:vAlign w:val="center"/>
                </w:tcPr>
                <w:p w14:paraId="5A9ACD94">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0.0003294</w:t>
                  </w:r>
                </w:p>
              </w:tc>
              <w:tc>
                <w:tcPr>
                  <w:tcW w:w="1153" w:type="dxa"/>
                  <w:vAlign w:val="center"/>
                </w:tcPr>
                <w:p w14:paraId="5F26C583">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0.16</w:t>
                  </w:r>
                </w:p>
              </w:tc>
            </w:tr>
            <w:tr w14:paraId="4D4F48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51C67EF5">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700</w:t>
                  </w:r>
                </w:p>
              </w:tc>
              <w:tc>
                <w:tcPr>
                  <w:tcW w:w="2277" w:type="dxa"/>
                  <w:vAlign w:val="center"/>
                </w:tcPr>
                <w:p w14:paraId="78242E56">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0.00354</w:t>
                  </w:r>
                </w:p>
              </w:tc>
              <w:tc>
                <w:tcPr>
                  <w:tcW w:w="1166" w:type="dxa"/>
                  <w:vAlign w:val="center"/>
                </w:tcPr>
                <w:p w14:paraId="31527DEC">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0.59</w:t>
                  </w:r>
                </w:p>
              </w:tc>
              <w:tc>
                <w:tcPr>
                  <w:tcW w:w="2235" w:type="dxa"/>
                  <w:vAlign w:val="center"/>
                </w:tcPr>
                <w:p w14:paraId="2034B9C9">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0.000289</w:t>
                  </w:r>
                </w:p>
              </w:tc>
              <w:tc>
                <w:tcPr>
                  <w:tcW w:w="1153" w:type="dxa"/>
                  <w:vAlign w:val="center"/>
                </w:tcPr>
                <w:p w14:paraId="0C20E028">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0.14</w:t>
                  </w:r>
                </w:p>
              </w:tc>
            </w:tr>
            <w:tr w14:paraId="5E1616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790F4E3F">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800</w:t>
                  </w:r>
                </w:p>
              </w:tc>
              <w:tc>
                <w:tcPr>
                  <w:tcW w:w="2277" w:type="dxa"/>
                  <w:vAlign w:val="center"/>
                </w:tcPr>
                <w:p w14:paraId="45CBEADB">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0.003105</w:t>
                  </w:r>
                </w:p>
              </w:tc>
              <w:tc>
                <w:tcPr>
                  <w:tcW w:w="1166" w:type="dxa"/>
                  <w:vAlign w:val="center"/>
                </w:tcPr>
                <w:p w14:paraId="3DB27E5D">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0.52</w:t>
                  </w:r>
                </w:p>
              </w:tc>
              <w:tc>
                <w:tcPr>
                  <w:tcW w:w="2235" w:type="dxa"/>
                  <w:vAlign w:val="center"/>
                </w:tcPr>
                <w:p w14:paraId="31269B65">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0.0002534</w:t>
                  </w:r>
                </w:p>
              </w:tc>
              <w:tc>
                <w:tcPr>
                  <w:tcW w:w="1153" w:type="dxa"/>
                  <w:vAlign w:val="center"/>
                </w:tcPr>
                <w:p w14:paraId="6CCDC173">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0.13</w:t>
                  </w:r>
                </w:p>
              </w:tc>
            </w:tr>
            <w:tr w14:paraId="005F9B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1DEB3F6D">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900</w:t>
                  </w:r>
                </w:p>
              </w:tc>
              <w:tc>
                <w:tcPr>
                  <w:tcW w:w="2277" w:type="dxa"/>
                  <w:vAlign w:val="center"/>
                </w:tcPr>
                <w:p w14:paraId="4F90D91C">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0.002737</w:t>
                  </w:r>
                </w:p>
              </w:tc>
              <w:tc>
                <w:tcPr>
                  <w:tcW w:w="1166" w:type="dxa"/>
                  <w:vAlign w:val="center"/>
                </w:tcPr>
                <w:p w14:paraId="72CCAB68">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0.46</w:t>
                  </w:r>
                </w:p>
              </w:tc>
              <w:tc>
                <w:tcPr>
                  <w:tcW w:w="2235" w:type="dxa"/>
                  <w:vAlign w:val="center"/>
                </w:tcPr>
                <w:p w14:paraId="1A0815A3">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0.0002234</w:t>
                  </w:r>
                </w:p>
              </w:tc>
              <w:tc>
                <w:tcPr>
                  <w:tcW w:w="1153" w:type="dxa"/>
                  <w:vAlign w:val="center"/>
                </w:tcPr>
                <w:p w14:paraId="5B93D056">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0.11</w:t>
                  </w:r>
                </w:p>
              </w:tc>
            </w:tr>
            <w:tr w14:paraId="4B6C6B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02C00EE1">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1000</w:t>
                  </w:r>
                </w:p>
              </w:tc>
              <w:tc>
                <w:tcPr>
                  <w:tcW w:w="2277" w:type="dxa"/>
                  <w:vAlign w:val="center"/>
                </w:tcPr>
                <w:p w14:paraId="16408020">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0.00243</w:t>
                  </w:r>
                </w:p>
              </w:tc>
              <w:tc>
                <w:tcPr>
                  <w:tcW w:w="1166" w:type="dxa"/>
                  <w:vAlign w:val="center"/>
                </w:tcPr>
                <w:p w14:paraId="003154C2">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0.41</w:t>
                  </w:r>
                </w:p>
              </w:tc>
              <w:tc>
                <w:tcPr>
                  <w:tcW w:w="2235" w:type="dxa"/>
                  <w:vAlign w:val="center"/>
                </w:tcPr>
                <w:p w14:paraId="629E2CE3">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0.0001984</w:t>
                  </w:r>
                </w:p>
              </w:tc>
              <w:tc>
                <w:tcPr>
                  <w:tcW w:w="1153" w:type="dxa"/>
                  <w:vAlign w:val="center"/>
                </w:tcPr>
                <w:p w14:paraId="5E75D492">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0.1</w:t>
                  </w:r>
                </w:p>
              </w:tc>
            </w:tr>
            <w:tr w14:paraId="3928A4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6EFC3DA6">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1100</w:t>
                  </w:r>
                </w:p>
              </w:tc>
              <w:tc>
                <w:tcPr>
                  <w:tcW w:w="2277" w:type="dxa"/>
                  <w:vAlign w:val="center"/>
                </w:tcPr>
                <w:p w14:paraId="30A274ED">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0.002174</w:t>
                  </w:r>
                </w:p>
              </w:tc>
              <w:tc>
                <w:tcPr>
                  <w:tcW w:w="1166" w:type="dxa"/>
                  <w:vAlign w:val="center"/>
                </w:tcPr>
                <w:p w14:paraId="66913944">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0.36</w:t>
                  </w:r>
                </w:p>
              </w:tc>
              <w:tc>
                <w:tcPr>
                  <w:tcW w:w="2235" w:type="dxa"/>
                  <w:vAlign w:val="center"/>
                </w:tcPr>
                <w:p w14:paraId="4959A0DE">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0.0001775</w:t>
                  </w:r>
                </w:p>
              </w:tc>
              <w:tc>
                <w:tcPr>
                  <w:tcW w:w="1153" w:type="dxa"/>
                  <w:vAlign w:val="center"/>
                </w:tcPr>
                <w:p w14:paraId="17AFBC54">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0.09</w:t>
                  </w:r>
                </w:p>
              </w:tc>
            </w:tr>
            <w:tr w14:paraId="1E7711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5EED08BC">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1200</w:t>
                  </w:r>
                </w:p>
              </w:tc>
              <w:tc>
                <w:tcPr>
                  <w:tcW w:w="2277" w:type="dxa"/>
                  <w:vAlign w:val="center"/>
                </w:tcPr>
                <w:p w14:paraId="3D2C3DD2">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0.001959</w:t>
                  </w:r>
                </w:p>
              </w:tc>
              <w:tc>
                <w:tcPr>
                  <w:tcW w:w="1166" w:type="dxa"/>
                  <w:vAlign w:val="center"/>
                </w:tcPr>
                <w:p w14:paraId="2A74A789">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0.33</w:t>
                  </w:r>
                </w:p>
              </w:tc>
              <w:tc>
                <w:tcPr>
                  <w:tcW w:w="2235" w:type="dxa"/>
                  <w:vAlign w:val="center"/>
                </w:tcPr>
                <w:p w14:paraId="2A7D7F6F">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0.0001599</w:t>
                  </w:r>
                </w:p>
              </w:tc>
              <w:tc>
                <w:tcPr>
                  <w:tcW w:w="1153" w:type="dxa"/>
                  <w:vAlign w:val="center"/>
                </w:tcPr>
                <w:p w14:paraId="1BCBB3A9">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0.08</w:t>
                  </w:r>
                </w:p>
              </w:tc>
            </w:tr>
            <w:tr w14:paraId="7C0AC9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6904540F">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1300</w:t>
                  </w:r>
                </w:p>
              </w:tc>
              <w:tc>
                <w:tcPr>
                  <w:tcW w:w="2277" w:type="dxa"/>
                  <w:vAlign w:val="center"/>
                </w:tcPr>
                <w:p w14:paraId="5EE79B1A">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0.001777</w:t>
                  </w:r>
                </w:p>
              </w:tc>
              <w:tc>
                <w:tcPr>
                  <w:tcW w:w="1166" w:type="dxa"/>
                  <w:vAlign w:val="center"/>
                </w:tcPr>
                <w:p w14:paraId="42117E06">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0.3</w:t>
                  </w:r>
                </w:p>
              </w:tc>
              <w:tc>
                <w:tcPr>
                  <w:tcW w:w="2235" w:type="dxa"/>
                  <w:vAlign w:val="center"/>
                </w:tcPr>
                <w:p w14:paraId="07E2375E">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0.0001451</w:t>
                  </w:r>
                </w:p>
              </w:tc>
              <w:tc>
                <w:tcPr>
                  <w:tcW w:w="1153" w:type="dxa"/>
                  <w:vAlign w:val="center"/>
                </w:tcPr>
                <w:p w14:paraId="6E9D91E7">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0.07</w:t>
                  </w:r>
                </w:p>
              </w:tc>
            </w:tr>
            <w:tr w14:paraId="3EB7B5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085537C8">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1400</w:t>
                  </w:r>
                </w:p>
              </w:tc>
              <w:tc>
                <w:tcPr>
                  <w:tcW w:w="2277" w:type="dxa"/>
                  <w:vAlign w:val="center"/>
                </w:tcPr>
                <w:p w14:paraId="54ADCA35">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0.001622</w:t>
                  </w:r>
                </w:p>
              </w:tc>
              <w:tc>
                <w:tcPr>
                  <w:tcW w:w="1166" w:type="dxa"/>
                  <w:vAlign w:val="center"/>
                </w:tcPr>
                <w:p w14:paraId="3FEBDB57">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0.27</w:t>
                  </w:r>
                </w:p>
              </w:tc>
              <w:tc>
                <w:tcPr>
                  <w:tcW w:w="2235" w:type="dxa"/>
                  <w:vAlign w:val="center"/>
                </w:tcPr>
                <w:p w14:paraId="6EF7915F">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0.0001324</w:t>
                  </w:r>
                </w:p>
              </w:tc>
              <w:tc>
                <w:tcPr>
                  <w:tcW w:w="1153" w:type="dxa"/>
                  <w:vAlign w:val="center"/>
                </w:tcPr>
                <w:p w14:paraId="7A6B7D4C">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0.07</w:t>
                  </w:r>
                </w:p>
              </w:tc>
            </w:tr>
            <w:tr w14:paraId="439BD8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20F3F309">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1500</w:t>
                  </w:r>
                </w:p>
              </w:tc>
              <w:tc>
                <w:tcPr>
                  <w:tcW w:w="2277" w:type="dxa"/>
                  <w:vAlign w:val="center"/>
                </w:tcPr>
                <w:p w14:paraId="315339D7">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0.001489</w:t>
                  </w:r>
                </w:p>
              </w:tc>
              <w:tc>
                <w:tcPr>
                  <w:tcW w:w="1166" w:type="dxa"/>
                  <w:vAlign w:val="center"/>
                </w:tcPr>
                <w:p w14:paraId="228AC48C">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0.25</w:t>
                  </w:r>
                </w:p>
              </w:tc>
              <w:tc>
                <w:tcPr>
                  <w:tcW w:w="2235" w:type="dxa"/>
                  <w:vAlign w:val="center"/>
                </w:tcPr>
                <w:p w14:paraId="69B6101C">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0.0001216</w:t>
                  </w:r>
                </w:p>
              </w:tc>
              <w:tc>
                <w:tcPr>
                  <w:tcW w:w="1153" w:type="dxa"/>
                  <w:vAlign w:val="center"/>
                </w:tcPr>
                <w:p w14:paraId="19AF6817">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0.06</w:t>
                  </w:r>
                </w:p>
              </w:tc>
            </w:tr>
            <w:tr w14:paraId="3605D7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1B8E441B">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1600</w:t>
                  </w:r>
                </w:p>
              </w:tc>
              <w:tc>
                <w:tcPr>
                  <w:tcW w:w="2277" w:type="dxa"/>
                  <w:vAlign w:val="center"/>
                </w:tcPr>
                <w:p w14:paraId="1362D32A">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0.001374</w:t>
                  </w:r>
                </w:p>
              </w:tc>
              <w:tc>
                <w:tcPr>
                  <w:tcW w:w="1166" w:type="dxa"/>
                  <w:vAlign w:val="center"/>
                </w:tcPr>
                <w:p w14:paraId="28111068">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0.23</w:t>
                  </w:r>
                </w:p>
              </w:tc>
              <w:tc>
                <w:tcPr>
                  <w:tcW w:w="2235" w:type="dxa"/>
                  <w:vAlign w:val="center"/>
                </w:tcPr>
                <w:p w14:paraId="0FDF9B2E">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0.0001122</w:t>
                  </w:r>
                </w:p>
              </w:tc>
              <w:tc>
                <w:tcPr>
                  <w:tcW w:w="1153" w:type="dxa"/>
                  <w:vAlign w:val="center"/>
                </w:tcPr>
                <w:p w14:paraId="1C54B85F">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0.06</w:t>
                  </w:r>
                </w:p>
              </w:tc>
            </w:tr>
            <w:tr w14:paraId="7DBD54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4678E68D">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1700</w:t>
                  </w:r>
                </w:p>
              </w:tc>
              <w:tc>
                <w:tcPr>
                  <w:tcW w:w="2277" w:type="dxa"/>
                  <w:vAlign w:val="center"/>
                </w:tcPr>
                <w:p w14:paraId="1A655D32">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0.001274</w:t>
                  </w:r>
                </w:p>
              </w:tc>
              <w:tc>
                <w:tcPr>
                  <w:tcW w:w="1166" w:type="dxa"/>
                  <w:vAlign w:val="center"/>
                </w:tcPr>
                <w:p w14:paraId="14FE3D5E">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0.21</w:t>
                  </w:r>
                </w:p>
              </w:tc>
              <w:tc>
                <w:tcPr>
                  <w:tcW w:w="2235" w:type="dxa"/>
                  <w:vAlign w:val="center"/>
                </w:tcPr>
                <w:p w14:paraId="1CD28368">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0.000104</w:t>
                  </w:r>
                </w:p>
              </w:tc>
              <w:tc>
                <w:tcPr>
                  <w:tcW w:w="1153" w:type="dxa"/>
                  <w:vAlign w:val="center"/>
                </w:tcPr>
                <w:p w14:paraId="4510D5CC">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0.05</w:t>
                  </w:r>
                </w:p>
              </w:tc>
            </w:tr>
            <w:tr w14:paraId="4E3DDB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0D4C7E47">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1800</w:t>
                  </w:r>
                </w:p>
              </w:tc>
              <w:tc>
                <w:tcPr>
                  <w:tcW w:w="2277" w:type="dxa"/>
                  <w:vAlign w:val="center"/>
                </w:tcPr>
                <w:p w14:paraId="6CDF96E1">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0.001186</w:t>
                  </w:r>
                </w:p>
              </w:tc>
              <w:tc>
                <w:tcPr>
                  <w:tcW w:w="1166" w:type="dxa"/>
                  <w:vAlign w:val="center"/>
                </w:tcPr>
                <w:p w14:paraId="2C3B55C9">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0.2</w:t>
                  </w:r>
                </w:p>
              </w:tc>
              <w:tc>
                <w:tcPr>
                  <w:tcW w:w="2235" w:type="dxa"/>
                  <w:vAlign w:val="center"/>
                </w:tcPr>
                <w:p w14:paraId="46F714C4">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9.68E-05</w:t>
                  </w:r>
                </w:p>
              </w:tc>
              <w:tc>
                <w:tcPr>
                  <w:tcW w:w="1153" w:type="dxa"/>
                  <w:vAlign w:val="center"/>
                </w:tcPr>
                <w:p w14:paraId="01463373">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0.05</w:t>
                  </w:r>
                </w:p>
              </w:tc>
            </w:tr>
            <w:tr w14:paraId="3D77DD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14FA27E2">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1900</w:t>
                  </w:r>
                </w:p>
              </w:tc>
              <w:tc>
                <w:tcPr>
                  <w:tcW w:w="2277" w:type="dxa"/>
                  <w:vAlign w:val="center"/>
                </w:tcPr>
                <w:p w14:paraId="08771B89">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0.001108</w:t>
                  </w:r>
                </w:p>
              </w:tc>
              <w:tc>
                <w:tcPr>
                  <w:tcW w:w="1166" w:type="dxa"/>
                  <w:vAlign w:val="center"/>
                </w:tcPr>
                <w:p w14:paraId="70474266">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0.18</w:t>
                  </w:r>
                </w:p>
              </w:tc>
              <w:tc>
                <w:tcPr>
                  <w:tcW w:w="2235" w:type="dxa"/>
                  <w:vAlign w:val="center"/>
                </w:tcPr>
                <w:p w14:paraId="7DF7A5A2">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9.04E-05</w:t>
                  </w:r>
                </w:p>
              </w:tc>
              <w:tc>
                <w:tcPr>
                  <w:tcW w:w="1153" w:type="dxa"/>
                  <w:vAlign w:val="center"/>
                </w:tcPr>
                <w:p w14:paraId="3E6F9FE3">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0.05</w:t>
                  </w:r>
                </w:p>
              </w:tc>
            </w:tr>
            <w:tr w14:paraId="168C05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48ED5323">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2000</w:t>
                  </w:r>
                </w:p>
              </w:tc>
              <w:tc>
                <w:tcPr>
                  <w:tcW w:w="2277" w:type="dxa"/>
                  <w:vAlign w:val="center"/>
                </w:tcPr>
                <w:p w14:paraId="6CACE738">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0.001039</w:t>
                  </w:r>
                </w:p>
              </w:tc>
              <w:tc>
                <w:tcPr>
                  <w:tcW w:w="1166" w:type="dxa"/>
                  <w:vAlign w:val="center"/>
                </w:tcPr>
                <w:p w14:paraId="1CFF9AD8">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0.17</w:t>
                  </w:r>
                </w:p>
              </w:tc>
              <w:tc>
                <w:tcPr>
                  <w:tcW w:w="2235" w:type="dxa"/>
                  <w:vAlign w:val="center"/>
                </w:tcPr>
                <w:p w14:paraId="36E9FD49">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8.48E-05</w:t>
                  </w:r>
                </w:p>
              </w:tc>
              <w:tc>
                <w:tcPr>
                  <w:tcW w:w="1153" w:type="dxa"/>
                  <w:vAlign w:val="center"/>
                </w:tcPr>
                <w:p w14:paraId="3A1AAC8A">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0.04</w:t>
                  </w:r>
                </w:p>
              </w:tc>
            </w:tr>
            <w:tr w14:paraId="0576B4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4A9420AC">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2100</w:t>
                  </w:r>
                </w:p>
              </w:tc>
              <w:tc>
                <w:tcPr>
                  <w:tcW w:w="2277" w:type="dxa"/>
                  <w:vAlign w:val="center"/>
                </w:tcPr>
                <w:p w14:paraId="3F98F8DA">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0.0009771</w:t>
                  </w:r>
                </w:p>
              </w:tc>
              <w:tc>
                <w:tcPr>
                  <w:tcW w:w="1166" w:type="dxa"/>
                  <w:vAlign w:val="center"/>
                </w:tcPr>
                <w:p w14:paraId="5837FCE4">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0.16</w:t>
                  </w:r>
                </w:p>
              </w:tc>
              <w:tc>
                <w:tcPr>
                  <w:tcW w:w="2235" w:type="dxa"/>
                  <w:vAlign w:val="center"/>
                </w:tcPr>
                <w:p w14:paraId="251D4093">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7.98E-05</w:t>
                  </w:r>
                </w:p>
              </w:tc>
              <w:tc>
                <w:tcPr>
                  <w:tcW w:w="1153" w:type="dxa"/>
                  <w:vAlign w:val="center"/>
                </w:tcPr>
                <w:p w14:paraId="23E1580D">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0.04</w:t>
                  </w:r>
                </w:p>
              </w:tc>
            </w:tr>
            <w:tr w14:paraId="4D965B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14107447">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2200</w:t>
                  </w:r>
                </w:p>
              </w:tc>
              <w:tc>
                <w:tcPr>
                  <w:tcW w:w="2277" w:type="dxa"/>
                  <w:vAlign w:val="center"/>
                </w:tcPr>
                <w:p w14:paraId="2292691F">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0.0009217</w:t>
                  </w:r>
                </w:p>
              </w:tc>
              <w:tc>
                <w:tcPr>
                  <w:tcW w:w="1166" w:type="dxa"/>
                  <w:vAlign w:val="center"/>
                </w:tcPr>
                <w:p w14:paraId="09126059">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0.15</w:t>
                  </w:r>
                </w:p>
              </w:tc>
              <w:tc>
                <w:tcPr>
                  <w:tcW w:w="2235" w:type="dxa"/>
                  <w:vAlign w:val="center"/>
                </w:tcPr>
                <w:p w14:paraId="4153E7DB">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7.52E-05</w:t>
                  </w:r>
                </w:p>
              </w:tc>
              <w:tc>
                <w:tcPr>
                  <w:tcW w:w="1153" w:type="dxa"/>
                  <w:vAlign w:val="center"/>
                </w:tcPr>
                <w:p w14:paraId="2B3B342D">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0.04</w:t>
                  </w:r>
                </w:p>
              </w:tc>
            </w:tr>
            <w:tr w14:paraId="1A8827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7766B645">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2300</w:t>
                  </w:r>
                </w:p>
              </w:tc>
              <w:tc>
                <w:tcPr>
                  <w:tcW w:w="2277" w:type="dxa"/>
                  <w:vAlign w:val="center"/>
                </w:tcPr>
                <w:p w14:paraId="41A5F442">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0.0008719</w:t>
                  </w:r>
                </w:p>
              </w:tc>
              <w:tc>
                <w:tcPr>
                  <w:tcW w:w="1166" w:type="dxa"/>
                  <w:vAlign w:val="center"/>
                </w:tcPr>
                <w:p w14:paraId="2F9BD0A6">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0.15</w:t>
                  </w:r>
                </w:p>
              </w:tc>
              <w:tc>
                <w:tcPr>
                  <w:tcW w:w="2235" w:type="dxa"/>
                  <w:vAlign w:val="center"/>
                </w:tcPr>
                <w:p w14:paraId="774C3226">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7.12E-05</w:t>
                  </w:r>
                </w:p>
              </w:tc>
              <w:tc>
                <w:tcPr>
                  <w:tcW w:w="1153" w:type="dxa"/>
                  <w:vAlign w:val="center"/>
                </w:tcPr>
                <w:p w14:paraId="72D6D8F5">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0.04</w:t>
                  </w:r>
                </w:p>
              </w:tc>
            </w:tr>
            <w:tr w14:paraId="3504E6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08410CEF">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2400</w:t>
                  </w:r>
                </w:p>
              </w:tc>
              <w:tc>
                <w:tcPr>
                  <w:tcW w:w="2277" w:type="dxa"/>
                  <w:vAlign w:val="center"/>
                </w:tcPr>
                <w:p w14:paraId="13370580">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0.0008267</w:t>
                  </w:r>
                </w:p>
              </w:tc>
              <w:tc>
                <w:tcPr>
                  <w:tcW w:w="1166" w:type="dxa"/>
                  <w:vAlign w:val="center"/>
                </w:tcPr>
                <w:p w14:paraId="25D0570C">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0.14</w:t>
                  </w:r>
                </w:p>
              </w:tc>
              <w:tc>
                <w:tcPr>
                  <w:tcW w:w="2235" w:type="dxa"/>
                  <w:vAlign w:val="center"/>
                </w:tcPr>
                <w:p w14:paraId="5D706E18">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6.75E-05</w:t>
                  </w:r>
                </w:p>
              </w:tc>
              <w:tc>
                <w:tcPr>
                  <w:tcW w:w="1153" w:type="dxa"/>
                  <w:vAlign w:val="center"/>
                </w:tcPr>
                <w:p w14:paraId="6447FBE2">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0.03</w:t>
                  </w:r>
                </w:p>
              </w:tc>
            </w:tr>
            <w:tr w14:paraId="0BDF05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jc w:val="center"/>
              </w:trPr>
              <w:tc>
                <w:tcPr>
                  <w:tcW w:w="2380" w:type="dxa"/>
                  <w:vAlign w:val="center"/>
                </w:tcPr>
                <w:p w14:paraId="36C5D9EF">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2500</w:t>
                  </w:r>
                </w:p>
              </w:tc>
              <w:tc>
                <w:tcPr>
                  <w:tcW w:w="2277" w:type="dxa"/>
                  <w:vAlign w:val="center"/>
                </w:tcPr>
                <w:p w14:paraId="6E1714DA">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0.0007857</w:t>
                  </w:r>
                </w:p>
              </w:tc>
              <w:tc>
                <w:tcPr>
                  <w:tcW w:w="1166" w:type="dxa"/>
                  <w:vAlign w:val="center"/>
                </w:tcPr>
                <w:p w14:paraId="31F47F2D">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0.13</w:t>
                  </w:r>
                </w:p>
              </w:tc>
              <w:tc>
                <w:tcPr>
                  <w:tcW w:w="2235" w:type="dxa"/>
                  <w:vAlign w:val="center"/>
                </w:tcPr>
                <w:p w14:paraId="2C795477">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6.41E-05</w:t>
                  </w:r>
                </w:p>
              </w:tc>
              <w:tc>
                <w:tcPr>
                  <w:tcW w:w="1153" w:type="dxa"/>
                  <w:vAlign w:val="center"/>
                </w:tcPr>
                <w:p w14:paraId="49186251">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0.03</w:t>
                  </w:r>
                </w:p>
              </w:tc>
            </w:tr>
            <w:tr w14:paraId="61E420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4" w:hRule="exact"/>
                <w:jc w:val="center"/>
              </w:trPr>
              <w:tc>
                <w:tcPr>
                  <w:tcW w:w="2380" w:type="dxa"/>
                  <w:vAlign w:val="center"/>
                </w:tcPr>
                <w:p w14:paraId="6A23D39D">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下风向最大浓度和占标率</w:t>
                  </w:r>
                </w:p>
              </w:tc>
              <w:tc>
                <w:tcPr>
                  <w:tcW w:w="2277" w:type="dxa"/>
                  <w:vAlign w:val="center"/>
                </w:tcPr>
                <w:p w14:paraId="10F2A83E">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0.004879</w:t>
                  </w:r>
                </w:p>
              </w:tc>
              <w:tc>
                <w:tcPr>
                  <w:tcW w:w="1166" w:type="dxa"/>
                  <w:vAlign w:val="center"/>
                </w:tcPr>
                <w:p w14:paraId="5FF47870">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0.81</w:t>
                  </w:r>
                </w:p>
              </w:tc>
              <w:tc>
                <w:tcPr>
                  <w:tcW w:w="2235" w:type="dxa"/>
                  <w:vAlign w:val="center"/>
                </w:tcPr>
                <w:p w14:paraId="0210E695">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0.0003982</w:t>
                  </w:r>
                </w:p>
              </w:tc>
              <w:tc>
                <w:tcPr>
                  <w:tcW w:w="1153" w:type="dxa"/>
                  <w:vAlign w:val="center"/>
                </w:tcPr>
                <w:p w14:paraId="0A316B3A">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0.2</w:t>
                  </w:r>
                </w:p>
              </w:tc>
            </w:tr>
            <w:tr w14:paraId="04FE08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5" w:hRule="exact"/>
                <w:jc w:val="center"/>
              </w:trPr>
              <w:tc>
                <w:tcPr>
                  <w:tcW w:w="2380" w:type="dxa"/>
                  <w:vAlign w:val="center"/>
                </w:tcPr>
                <w:p w14:paraId="0FC1D8C2">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最大浓度距离</w:t>
                  </w:r>
                </w:p>
                <w:p w14:paraId="046E5155">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（m）</w:t>
                  </w:r>
                </w:p>
              </w:tc>
              <w:tc>
                <w:tcPr>
                  <w:tcW w:w="2277" w:type="dxa"/>
                  <w:vAlign w:val="center"/>
                </w:tcPr>
                <w:p w14:paraId="75889D9C">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104</w:t>
                  </w:r>
                </w:p>
              </w:tc>
              <w:tc>
                <w:tcPr>
                  <w:tcW w:w="1166" w:type="dxa"/>
                  <w:vAlign w:val="center"/>
                </w:tcPr>
                <w:p w14:paraId="1D6B988C">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104</w:t>
                  </w:r>
                </w:p>
              </w:tc>
              <w:tc>
                <w:tcPr>
                  <w:tcW w:w="2235" w:type="dxa"/>
                  <w:vAlign w:val="center"/>
                </w:tcPr>
                <w:p w14:paraId="0B078341">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104</w:t>
                  </w:r>
                </w:p>
              </w:tc>
              <w:tc>
                <w:tcPr>
                  <w:tcW w:w="1153" w:type="dxa"/>
                  <w:tcBorders>
                    <w:right w:val="single" w:color="auto" w:sz="4" w:space="0"/>
                  </w:tcBorders>
                  <w:vAlign w:val="center"/>
                </w:tcPr>
                <w:p w14:paraId="3507D00B">
                  <w:pPr>
                    <w:spacing w:line="240" w:lineRule="auto"/>
                    <w:jc w:val="center"/>
                    <w:rPr>
                      <w:rFonts w:hint="eastAsia" w:ascii="Times New Roman" w:hAnsi="Times New Roman" w:cs="Times New Roman"/>
                      <w:b w:val="0"/>
                      <w:bCs/>
                      <w:color w:val="auto"/>
                      <w:sz w:val="21"/>
                      <w:szCs w:val="21"/>
                      <w:lang w:val="en-US" w:eastAsia="zh-CN"/>
                    </w:rPr>
                  </w:pPr>
                  <w:r>
                    <w:rPr>
                      <w:rFonts w:hint="eastAsia" w:ascii="Times New Roman" w:hAnsi="Times New Roman" w:cs="Times New Roman"/>
                      <w:b w:val="0"/>
                      <w:bCs/>
                      <w:color w:val="auto"/>
                      <w:sz w:val="21"/>
                      <w:szCs w:val="21"/>
                      <w:lang w:val="en-US" w:eastAsia="zh-CN"/>
                    </w:rPr>
                    <w:t>104</w:t>
                  </w:r>
                </w:p>
              </w:tc>
            </w:tr>
          </w:tbl>
          <w:p w14:paraId="5FF6C4C5">
            <w:pPr>
              <w:spacing w:line="360" w:lineRule="auto"/>
              <w:ind w:firstLine="480" w:firstLineChars="20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t>由估算表7-</w:t>
            </w:r>
            <w:r>
              <w:rPr>
                <w:rFonts w:hint="eastAsia" w:cs="Times New Roman"/>
                <w:b w:val="0"/>
                <w:bCs w:val="0"/>
                <w:color w:val="auto"/>
                <w:sz w:val="24"/>
                <w:lang w:val="en-US" w:eastAsia="zh-CN"/>
              </w:rPr>
              <w:t>4</w:t>
            </w:r>
            <w:r>
              <w:rPr>
                <w:rFonts w:hint="default" w:ascii="Times New Roman" w:hAnsi="Times New Roman" w:cs="Times New Roman"/>
                <w:b w:val="0"/>
                <w:bCs w:val="0"/>
                <w:color w:val="auto"/>
                <w:sz w:val="24"/>
                <w:lang w:val="en-US" w:eastAsia="zh-CN"/>
              </w:rPr>
              <w:t>、7-</w:t>
            </w:r>
            <w:r>
              <w:rPr>
                <w:rFonts w:hint="eastAsia" w:cs="Times New Roman"/>
                <w:b w:val="0"/>
                <w:bCs w:val="0"/>
                <w:color w:val="auto"/>
                <w:sz w:val="24"/>
                <w:lang w:val="en-US" w:eastAsia="zh-CN"/>
              </w:rPr>
              <w:t>5</w:t>
            </w:r>
            <w:r>
              <w:rPr>
                <w:rFonts w:hint="default" w:ascii="Times New Roman" w:hAnsi="Times New Roman" w:cs="Times New Roman"/>
                <w:b w:val="0"/>
                <w:bCs w:val="0"/>
                <w:color w:val="auto"/>
                <w:sz w:val="24"/>
                <w:lang w:val="en-US" w:eastAsia="zh-CN"/>
              </w:rPr>
              <w:t>可知，项目所有污染源污染物的最大地面浓度占标率Pmax均小于10%，符合相应的标准限值要求，该项目污染物对大气环境污染的贡献值较小，项目运营过程中产生的大气污染物对区域环境空气质量影响较小。</w:t>
            </w:r>
          </w:p>
          <w:p w14:paraId="467EF7A4">
            <w:pPr>
              <w:pStyle w:val="65"/>
              <w:spacing w:before="121"/>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表7-</w:t>
            </w:r>
            <w:r>
              <w:rPr>
                <w:rFonts w:hint="eastAsia" w:ascii="Times New Roman" w:hAnsi="Times New Roman" w:cs="Times New Roman"/>
                <w:b/>
                <w:bCs/>
                <w:color w:val="auto"/>
                <w:sz w:val="21"/>
                <w:szCs w:val="21"/>
                <w:lang w:val="en-US" w:eastAsia="zh-CN"/>
              </w:rPr>
              <w:t>6</w:t>
            </w:r>
            <w:r>
              <w:rPr>
                <w:rFonts w:hint="default" w:ascii="Times New Roman" w:hAnsi="Times New Roman" w:eastAsia="宋体" w:cs="Times New Roman"/>
                <w:b/>
                <w:bCs/>
                <w:color w:val="auto"/>
                <w:sz w:val="21"/>
                <w:szCs w:val="21"/>
                <w:lang w:val="en-US" w:eastAsia="zh-CN"/>
              </w:rPr>
              <w:t xml:space="preserve"> 无组织排放大气污染物最高小时浓度（mg/m</w:t>
            </w:r>
            <w:r>
              <w:rPr>
                <w:rFonts w:hint="default" w:ascii="Times New Roman" w:hAnsi="Times New Roman" w:eastAsia="宋体" w:cs="Times New Roman"/>
                <w:b/>
                <w:bCs/>
                <w:color w:val="auto"/>
                <w:sz w:val="21"/>
                <w:szCs w:val="21"/>
                <w:vertAlign w:val="superscript"/>
                <w:lang w:val="en-US" w:eastAsia="zh-CN"/>
              </w:rPr>
              <w:t>3</w:t>
            </w:r>
            <w:r>
              <w:rPr>
                <w:rFonts w:hint="default" w:ascii="Times New Roman" w:hAnsi="Times New Roman" w:eastAsia="宋体" w:cs="Times New Roman"/>
                <w:b/>
                <w:bCs/>
                <w:color w:val="auto"/>
                <w:sz w:val="21"/>
                <w:szCs w:val="21"/>
                <w:lang w:val="en-US" w:eastAsia="zh-CN"/>
              </w:rPr>
              <w:t>）</w:t>
            </w:r>
          </w:p>
          <w:tbl>
            <w:tblPr>
              <w:tblStyle w:val="69"/>
              <w:tblW w:w="9968" w:type="dxa"/>
              <w:tblInd w:w="0" w:type="dxa"/>
              <w:tblLayout w:type="fixed"/>
              <w:tblCellMar>
                <w:top w:w="0" w:type="dxa"/>
                <w:left w:w="0" w:type="dxa"/>
                <w:bottom w:w="0" w:type="dxa"/>
                <w:right w:w="0" w:type="dxa"/>
              </w:tblCellMar>
            </w:tblPr>
            <w:tblGrid>
              <w:gridCol w:w="1084"/>
              <w:gridCol w:w="2849"/>
              <w:gridCol w:w="1338"/>
              <w:gridCol w:w="1"/>
              <w:gridCol w:w="1673"/>
              <w:gridCol w:w="1"/>
              <w:gridCol w:w="1519"/>
              <w:gridCol w:w="1503"/>
            </w:tblGrid>
            <w:tr w14:paraId="4071EE5E">
              <w:tblPrEx>
                <w:tblCellMar>
                  <w:top w:w="0" w:type="dxa"/>
                  <w:left w:w="0" w:type="dxa"/>
                  <w:bottom w:w="0" w:type="dxa"/>
                  <w:right w:w="0" w:type="dxa"/>
                </w:tblCellMar>
              </w:tblPrEx>
              <w:trPr>
                <w:trHeight w:val="555" w:hRule="exact"/>
              </w:trPr>
              <w:tc>
                <w:tcPr>
                  <w:tcW w:w="3933" w:type="dxa"/>
                  <w:gridSpan w:val="2"/>
                  <w:tcBorders>
                    <w:top w:val="single" w:color="000000" w:sz="4" w:space="0"/>
                    <w:left w:val="single" w:color="000000" w:sz="4" w:space="0"/>
                    <w:bottom w:val="single" w:color="000000" w:sz="4" w:space="0"/>
                    <w:right w:val="single" w:color="000000" w:sz="4" w:space="0"/>
                    <w:tl2br w:val="single" w:color="auto" w:sz="4" w:space="0"/>
                  </w:tcBorders>
                  <w:vAlign w:val="center"/>
                </w:tcPr>
                <w:p w14:paraId="0679E189">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 xml:space="preserve">                       厂界</w:t>
                  </w:r>
                </w:p>
                <w:p w14:paraId="2BEB9A65">
                  <w:pPr>
                    <w:spacing w:line="240" w:lineRule="auto"/>
                    <w:jc w:val="both"/>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污染物名称</w:t>
                  </w:r>
                </w:p>
              </w:tc>
              <w:tc>
                <w:tcPr>
                  <w:tcW w:w="1339" w:type="dxa"/>
                  <w:gridSpan w:val="2"/>
                  <w:tcBorders>
                    <w:top w:val="single" w:color="000000" w:sz="4" w:space="0"/>
                    <w:left w:val="single" w:color="000000" w:sz="4" w:space="0"/>
                    <w:bottom w:val="single" w:color="000000" w:sz="4" w:space="0"/>
                    <w:right w:val="single" w:color="000000" w:sz="4" w:space="0"/>
                  </w:tcBorders>
                  <w:vAlign w:val="center"/>
                </w:tcPr>
                <w:p w14:paraId="0DA76F74">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北厂界</w:t>
                  </w:r>
                </w:p>
              </w:tc>
              <w:tc>
                <w:tcPr>
                  <w:tcW w:w="1674" w:type="dxa"/>
                  <w:gridSpan w:val="2"/>
                  <w:tcBorders>
                    <w:top w:val="single" w:color="000000" w:sz="4" w:space="0"/>
                    <w:left w:val="single" w:color="000000" w:sz="4" w:space="0"/>
                    <w:bottom w:val="single" w:color="000000" w:sz="4" w:space="0"/>
                    <w:right w:val="single" w:color="000000" w:sz="4" w:space="0"/>
                  </w:tcBorders>
                  <w:vAlign w:val="center"/>
                </w:tcPr>
                <w:p w14:paraId="1219E1F4">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东厂界</w:t>
                  </w:r>
                </w:p>
              </w:tc>
              <w:tc>
                <w:tcPr>
                  <w:tcW w:w="1519" w:type="dxa"/>
                  <w:tcBorders>
                    <w:top w:val="single" w:color="000000" w:sz="4" w:space="0"/>
                    <w:left w:val="single" w:color="000000" w:sz="4" w:space="0"/>
                    <w:bottom w:val="single" w:color="000000" w:sz="4" w:space="0"/>
                    <w:right w:val="single" w:color="000000" w:sz="4" w:space="0"/>
                  </w:tcBorders>
                  <w:vAlign w:val="center"/>
                </w:tcPr>
                <w:p w14:paraId="4BA4D5E3">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南厂界</w:t>
                  </w:r>
                </w:p>
              </w:tc>
              <w:tc>
                <w:tcPr>
                  <w:tcW w:w="1503" w:type="dxa"/>
                  <w:tcBorders>
                    <w:top w:val="single" w:color="000000" w:sz="4" w:space="0"/>
                    <w:left w:val="single" w:color="000000" w:sz="4" w:space="0"/>
                    <w:bottom w:val="single" w:color="000000" w:sz="4" w:space="0"/>
                    <w:right w:val="single" w:color="000000" w:sz="4" w:space="0"/>
                  </w:tcBorders>
                  <w:vAlign w:val="center"/>
                </w:tcPr>
                <w:p w14:paraId="55FF693C">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西厂界</w:t>
                  </w:r>
                </w:p>
              </w:tc>
            </w:tr>
            <w:tr w14:paraId="514C3983">
              <w:tblPrEx>
                <w:tblCellMar>
                  <w:top w:w="0" w:type="dxa"/>
                  <w:left w:w="0" w:type="dxa"/>
                  <w:bottom w:w="0" w:type="dxa"/>
                  <w:right w:w="0" w:type="dxa"/>
                </w:tblCellMar>
              </w:tblPrEx>
              <w:trPr>
                <w:trHeight w:val="322" w:hRule="exact"/>
              </w:trPr>
              <w:tc>
                <w:tcPr>
                  <w:tcW w:w="1084" w:type="dxa"/>
                  <w:vMerge w:val="restart"/>
                  <w:tcBorders>
                    <w:top w:val="single" w:color="000000" w:sz="4" w:space="0"/>
                    <w:left w:val="single" w:color="000000" w:sz="4" w:space="0"/>
                    <w:bottom w:val="single" w:color="000000" w:sz="4" w:space="0"/>
                    <w:right w:val="single" w:color="000000" w:sz="4" w:space="0"/>
                  </w:tcBorders>
                  <w:vAlign w:val="center"/>
                </w:tcPr>
                <w:p w14:paraId="6B6363B7">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PM</w:t>
                  </w:r>
                  <w:r>
                    <w:rPr>
                      <w:rFonts w:hint="default" w:ascii="Times New Roman" w:hAnsi="Times New Roman" w:cs="Times New Roman"/>
                      <w:b w:val="0"/>
                      <w:bCs/>
                      <w:color w:val="auto"/>
                      <w:sz w:val="21"/>
                      <w:szCs w:val="21"/>
                      <w:vertAlign w:val="subscript"/>
                      <w:lang w:val="en-US" w:eastAsia="zh-CN"/>
                    </w:rPr>
                    <w:t>10</w:t>
                  </w:r>
                </w:p>
              </w:tc>
              <w:tc>
                <w:tcPr>
                  <w:tcW w:w="2849" w:type="dxa"/>
                  <w:tcBorders>
                    <w:top w:val="single" w:color="000000" w:sz="4" w:space="0"/>
                    <w:left w:val="single" w:color="000000" w:sz="4" w:space="0"/>
                    <w:bottom w:val="single" w:color="000000" w:sz="4" w:space="0"/>
                    <w:right w:val="single" w:color="000000" w:sz="4" w:space="0"/>
                  </w:tcBorders>
                  <w:vAlign w:val="center"/>
                </w:tcPr>
                <w:p w14:paraId="63838C65">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厂界预测结果（mg/m</w:t>
                  </w:r>
                  <w:r>
                    <w:rPr>
                      <w:rFonts w:hint="default" w:ascii="Times New Roman" w:hAnsi="Times New Roman" w:cs="Times New Roman"/>
                      <w:b w:val="0"/>
                      <w:bCs/>
                      <w:color w:val="auto"/>
                      <w:sz w:val="21"/>
                      <w:szCs w:val="21"/>
                      <w:vertAlign w:val="superscript"/>
                      <w:lang w:val="en-US" w:eastAsia="zh-CN"/>
                    </w:rPr>
                    <w:t>3</w:t>
                  </w:r>
                  <w:r>
                    <w:rPr>
                      <w:rFonts w:hint="default" w:ascii="Times New Roman" w:hAnsi="Times New Roman" w:cs="Times New Roman"/>
                      <w:b w:val="0"/>
                      <w:bCs/>
                      <w:color w:val="auto"/>
                      <w:sz w:val="21"/>
                      <w:szCs w:val="21"/>
                      <w:lang w:val="en-US" w:eastAsia="zh-CN"/>
                    </w:rPr>
                    <w:t>）</w:t>
                  </w:r>
                </w:p>
              </w:tc>
              <w:tc>
                <w:tcPr>
                  <w:tcW w:w="1339" w:type="dxa"/>
                  <w:gridSpan w:val="2"/>
                  <w:tcBorders>
                    <w:top w:val="single" w:color="000000" w:sz="4" w:space="0"/>
                    <w:left w:val="single" w:color="000000" w:sz="4" w:space="0"/>
                    <w:bottom w:val="single" w:color="000000" w:sz="4" w:space="0"/>
                    <w:right w:val="single" w:color="000000" w:sz="4" w:space="0"/>
                  </w:tcBorders>
                  <w:vAlign w:val="center"/>
                </w:tcPr>
                <w:p w14:paraId="3A9CC98C">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0.01799</w:t>
                  </w:r>
                </w:p>
              </w:tc>
              <w:tc>
                <w:tcPr>
                  <w:tcW w:w="1674" w:type="dxa"/>
                  <w:gridSpan w:val="2"/>
                  <w:tcBorders>
                    <w:top w:val="single" w:color="000000" w:sz="4" w:space="0"/>
                    <w:left w:val="single" w:color="000000" w:sz="4" w:space="0"/>
                    <w:bottom w:val="single" w:color="000000" w:sz="4" w:space="0"/>
                    <w:right w:val="single" w:color="000000" w:sz="4" w:space="0"/>
                  </w:tcBorders>
                  <w:vAlign w:val="center"/>
                </w:tcPr>
                <w:p w14:paraId="1BD64F52">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0.07346</w:t>
                  </w:r>
                </w:p>
              </w:tc>
              <w:tc>
                <w:tcPr>
                  <w:tcW w:w="1519" w:type="dxa"/>
                  <w:tcBorders>
                    <w:top w:val="single" w:color="000000" w:sz="4" w:space="0"/>
                    <w:left w:val="single" w:color="000000" w:sz="4" w:space="0"/>
                    <w:bottom w:val="single" w:color="000000" w:sz="4" w:space="0"/>
                    <w:right w:val="single" w:color="000000" w:sz="4" w:space="0"/>
                  </w:tcBorders>
                  <w:vAlign w:val="center"/>
                </w:tcPr>
                <w:p w14:paraId="48F121F8">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0.05507</w:t>
                  </w:r>
                </w:p>
              </w:tc>
              <w:tc>
                <w:tcPr>
                  <w:tcW w:w="1503" w:type="dxa"/>
                  <w:tcBorders>
                    <w:top w:val="single" w:color="000000" w:sz="4" w:space="0"/>
                    <w:left w:val="single" w:color="000000" w:sz="4" w:space="0"/>
                    <w:bottom w:val="single" w:color="000000" w:sz="4" w:space="0"/>
                    <w:right w:val="single" w:color="000000" w:sz="4" w:space="0"/>
                  </w:tcBorders>
                  <w:vAlign w:val="center"/>
                </w:tcPr>
                <w:p w14:paraId="310DD686">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0.04186</w:t>
                  </w:r>
                </w:p>
              </w:tc>
            </w:tr>
            <w:tr w14:paraId="21C10A3C">
              <w:tblPrEx>
                <w:tblCellMar>
                  <w:top w:w="0" w:type="dxa"/>
                  <w:left w:w="0" w:type="dxa"/>
                  <w:bottom w:w="0" w:type="dxa"/>
                  <w:right w:w="0" w:type="dxa"/>
                </w:tblCellMar>
              </w:tblPrEx>
              <w:trPr>
                <w:trHeight w:val="322" w:hRule="exact"/>
              </w:trPr>
              <w:tc>
                <w:tcPr>
                  <w:tcW w:w="1084" w:type="dxa"/>
                  <w:vMerge w:val="continue"/>
                  <w:tcBorders>
                    <w:top w:val="single" w:color="000000" w:sz="4" w:space="0"/>
                    <w:left w:val="single" w:color="000000" w:sz="4" w:space="0"/>
                    <w:bottom w:val="single" w:color="000000" w:sz="4" w:space="0"/>
                    <w:right w:val="single" w:color="000000" w:sz="4" w:space="0"/>
                  </w:tcBorders>
                  <w:vAlign w:val="center"/>
                </w:tcPr>
                <w:p w14:paraId="341677C4">
                  <w:pPr>
                    <w:spacing w:line="240" w:lineRule="auto"/>
                    <w:jc w:val="center"/>
                    <w:rPr>
                      <w:rFonts w:hint="default" w:ascii="Times New Roman" w:hAnsi="Times New Roman" w:cs="Times New Roman"/>
                      <w:b w:val="0"/>
                      <w:bCs/>
                      <w:color w:val="auto"/>
                      <w:sz w:val="21"/>
                      <w:szCs w:val="21"/>
                      <w:lang w:val="en-US" w:eastAsia="zh-CN"/>
                    </w:rPr>
                  </w:pPr>
                </w:p>
              </w:tc>
              <w:tc>
                <w:tcPr>
                  <w:tcW w:w="2849" w:type="dxa"/>
                  <w:tcBorders>
                    <w:top w:val="single" w:color="000000" w:sz="4" w:space="0"/>
                    <w:left w:val="single" w:color="000000" w:sz="4" w:space="0"/>
                    <w:bottom w:val="single" w:color="000000" w:sz="4" w:space="0"/>
                    <w:right w:val="single" w:color="000000" w:sz="4" w:space="0"/>
                  </w:tcBorders>
                  <w:vAlign w:val="center"/>
                </w:tcPr>
                <w:p w14:paraId="5564ADB0">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执行标准（mg/m3）</w:t>
                  </w:r>
                </w:p>
              </w:tc>
              <w:tc>
                <w:tcPr>
                  <w:tcW w:w="6035" w:type="dxa"/>
                  <w:gridSpan w:val="6"/>
                  <w:tcBorders>
                    <w:top w:val="single" w:color="000000" w:sz="4" w:space="0"/>
                    <w:left w:val="single" w:color="000000" w:sz="4" w:space="0"/>
                    <w:bottom w:val="single" w:color="000000" w:sz="4" w:space="0"/>
                    <w:right w:val="single" w:color="000000" w:sz="4" w:space="0"/>
                  </w:tcBorders>
                  <w:vAlign w:val="center"/>
                </w:tcPr>
                <w:p w14:paraId="0B17356B">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0.15</w:t>
                  </w:r>
                </w:p>
              </w:tc>
            </w:tr>
            <w:tr w14:paraId="391E30C4">
              <w:tblPrEx>
                <w:tblCellMar>
                  <w:top w:w="0" w:type="dxa"/>
                  <w:left w:w="0" w:type="dxa"/>
                  <w:bottom w:w="0" w:type="dxa"/>
                  <w:right w:w="0" w:type="dxa"/>
                </w:tblCellMar>
              </w:tblPrEx>
              <w:trPr>
                <w:trHeight w:val="322" w:hRule="exact"/>
              </w:trPr>
              <w:tc>
                <w:tcPr>
                  <w:tcW w:w="1084" w:type="dxa"/>
                  <w:vMerge w:val="continue"/>
                  <w:tcBorders>
                    <w:top w:val="single" w:color="000000" w:sz="4" w:space="0"/>
                    <w:left w:val="single" w:color="000000" w:sz="4" w:space="0"/>
                    <w:bottom w:val="single" w:color="000000" w:sz="4" w:space="0"/>
                    <w:right w:val="single" w:color="000000" w:sz="4" w:space="0"/>
                  </w:tcBorders>
                  <w:vAlign w:val="center"/>
                </w:tcPr>
                <w:p w14:paraId="17BDC237">
                  <w:pPr>
                    <w:spacing w:line="240" w:lineRule="auto"/>
                    <w:jc w:val="center"/>
                    <w:rPr>
                      <w:rFonts w:hint="default" w:ascii="Times New Roman" w:hAnsi="Times New Roman" w:cs="Times New Roman"/>
                      <w:b w:val="0"/>
                      <w:bCs/>
                      <w:color w:val="auto"/>
                      <w:sz w:val="21"/>
                      <w:szCs w:val="21"/>
                      <w:lang w:val="en-US" w:eastAsia="zh-CN"/>
                    </w:rPr>
                  </w:pPr>
                </w:p>
              </w:tc>
              <w:tc>
                <w:tcPr>
                  <w:tcW w:w="2849" w:type="dxa"/>
                  <w:tcBorders>
                    <w:top w:val="single" w:color="000000" w:sz="4" w:space="0"/>
                    <w:left w:val="single" w:color="000000" w:sz="4" w:space="0"/>
                    <w:bottom w:val="single" w:color="000000" w:sz="4" w:space="0"/>
                    <w:right w:val="single" w:color="000000" w:sz="4" w:space="0"/>
                  </w:tcBorders>
                  <w:vAlign w:val="center"/>
                </w:tcPr>
                <w:p w14:paraId="36D65874">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达标分析</w:t>
                  </w:r>
                </w:p>
              </w:tc>
              <w:tc>
                <w:tcPr>
                  <w:tcW w:w="1338" w:type="dxa"/>
                  <w:tcBorders>
                    <w:top w:val="single" w:color="000000" w:sz="4" w:space="0"/>
                    <w:left w:val="single" w:color="000000" w:sz="4" w:space="0"/>
                    <w:bottom w:val="single" w:color="000000" w:sz="4" w:space="0"/>
                    <w:right w:val="single" w:color="000000" w:sz="4" w:space="0"/>
                  </w:tcBorders>
                  <w:vAlign w:val="center"/>
                </w:tcPr>
                <w:p w14:paraId="260C2E54">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达标</w:t>
                  </w:r>
                </w:p>
              </w:tc>
              <w:tc>
                <w:tcPr>
                  <w:tcW w:w="1674" w:type="dxa"/>
                  <w:gridSpan w:val="2"/>
                  <w:tcBorders>
                    <w:top w:val="single" w:color="000000" w:sz="4" w:space="0"/>
                    <w:left w:val="single" w:color="000000" w:sz="4" w:space="0"/>
                    <w:bottom w:val="single" w:color="000000" w:sz="4" w:space="0"/>
                    <w:right w:val="single" w:color="000000" w:sz="4" w:space="0"/>
                  </w:tcBorders>
                  <w:vAlign w:val="center"/>
                </w:tcPr>
                <w:p w14:paraId="63E3A5C1">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达标</w:t>
                  </w:r>
                </w:p>
              </w:tc>
              <w:tc>
                <w:tcPr>
                  <w:tcW w:w="1520" w:type="dxa"/>
                  <w:gridSpan w:val="2"/>
                  <w:tcBorders>
                    <w:top w:val="single" w:color="000000" w:sz="4" w:space="0"/>
                    <w:left w:val="single" w:color="000000" w:sz="4" w:space="0"/>
                    <w:bottom w:val="single" w:color="000000" w:sz="4" w:space="0"/>
                    <w:right w:val="single" w:color="000000" w:sz="4" w:space="0"/>
                  </w:tcBorders>
                  <w:vAlign w:val="center"/>
                </w:tcPr>
                <w:p w14:paraId="4A33A73D">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达标</w:t>
                  </w:r>
                </w:p>
              </w:tc>
              <w:tc>
                <w:tcPr>
                  <w:tcW w:w="1503" w:type="dxa"/>
                  <w:tcBorders>
                    <w:top w:val="single" w:color="000000" w:sz="4" w:space="0"/>
                    <w:left w:val="single" w:color="000000" w:sz="4" w:space="0"/>
                    <w:bottom w:val="single" w:color="000000" w:sz="4" w:space="0"/>
                    <w:right w:val="single" w:color="000000" w:sz="4" w:space="0"/>
                  </w:tcBorders>
                  <w:vAlign w:val="center"/>
                </w:tcPr>
                <w:p w14:paraId="61DD2C81">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达标</w:t>
                  </w:r>
                </w:p>
              </w:tc>
            </w:tr>
            <w:tr w14:paraId="1B4ECBCC">
              <w:tblPrEx>
                <w:tblCellMar>
                  <w:top w:w="0" w:type="dxa"/>
                  <w:left w:w="0" w:type="dxa"/>
                  <w:bottom w:w="0" w:type="dxa"/>
                  <w:right w:w="0" w:type="dxa"/>
                </w:tblCellMar>
              </w:tblPrEx>
              <w:trPr>
                <w:trHeight w:val="322" w:hRule="exact"/>
              </w:trPr>
              <w:tc>
                <w:tcPr>
                  <w:tcW w:w="1084" w:type="dxa"/>
                  <w:vMerge w:val="restart"/>
                  <w:tcBorders>
                    <w:top w:val="single" w:color="000000" w:sz="4" w:space="0"/>
                    <w:left w:val="single" w:color="000000" w:sz="4" w:space="0"/>
                    <w:bottom w:val="single" w:color="000000" w:sz="4" w:space="0"/>
                    <w:right w:val="single" w:color="000000" w:sz="4" w:space="0"/>
                  </w:tcBorders>
                  <w:vAlign w:val="center"/>
                </w:tcPr>
                <w:p w14:paraId="4B617188">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VOCs</w:t>
                  </w:r>
                </w:p>
              </w:tc>
              <w:tc>
                <w:tcPr>
                  <w:tcW w:w="2849" w:type="dxa"/>
                  <w:tcBorders>
                    <w:top w:val="single" w:color="000000" w:sz="4" w:space="0"/>
                    <w:left w:val="single" w:color="000000" w:sz="4" w:space="0"/>
                    <w:bottom w:val="single" w:color="000000" w:sz="4" w:space="0"/>
                    <w:right w:val="single" w:color="000000" w:sz="4" w:space="0"/>
                  </w:tcBorders>
                  <w:vAlign w:val="center"/>
                </w:tcPr>
                <w:p w14:paraId="4E63B699">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厂界预测结果（mg/m</w:t>
                  </w:r>
                  <w:r>
                    <w:rPr>
                      <w:rFonts w:hint="default" w:ascii="Times New Roman" w:hAnsi="Times New Roman" w:cs="Times New Roman"/>
                      <w:b w:val="0"/>
                      <w:bCs/>
                      <w:color w:val="auto"/>
                      <w:sz w:val="21"/>
                      <w:szCs w:val="21"/>
                      <w:vertAlign w:val="superscript"/>
                      <w:lang w:val="en-US" w:eastAsia="zh-CN"/>
                    </w:rPr>
                    <w:t>3</w:t>
                  </w:r>
                  <w:r>
                    <w:rPr>
                      <w:rFonts w:hint="default" w:ascii="Times New Roman" w:hAnsi="Times New Roman" w:cs="Times New Roman"/>
                      <w:b w:val="0"/>
                      <w:bCs/>
                      <w:color w:val="auto"/>
                      <w:sz w:val="21"/>
                      <w:szCs w:val="21"/>
                      <w:lang w:val="en-US" w:eastAsia="zh-CN"/>
                    </w:rPr>
                    <w:t>）</w:t>
                  </w:r>
                </w:p>
              </w:tc>
              <w:tc>
                <w:tcPr>
                  <w:tcW w:w="1338" w:type="dxa"/>
                  <w:tcBorders>
                    <w:top w:val="single" w:color="000000" w:sz="4" w:space="0"/>
                    <w:left w:val="single" w:color="000000" w:sz="4" w:space="0"/>
                    <w:bottom w:val="single" w:color="000000" w:sz="4" w:space="0"/>
                    <w:right w:val="single" w:color="000000" w:sz="4" w:space="0"/>
                  </w:tcBorders>
                  <w:vAlign w:val="center"/>
                </w:tcPr>
                <w:p w14:paraId="0B2D520B">
                  <w:pPr>
                    <w:pStyle w:val="65"/>
                    <w:keepNext w:val="0"/>
                    <w:keepLines w:val="0"/>
                    <w:widowControl/>
                    <w:suppressLineNumbers w:val="0"/>
                    <w:spacing w:before="34" w:beforeAutospacing="0"/>
                    <w:jc w:val="center"/>
                    <w:rPr>
                      <w:rFonts w:hint="default" w:ascii="Times New Roman" w:hAnsi="Times New Roman" w:cs="Times New Roman"/>
                      <w:b w:val="0"/>
                      <w:bCs/>
                      <w:color w:val="auto"/>
                      <w:sz w:val="21"/>
                      <w:szCs w:val="21"/>
                      <w:lang w:val="en-US" w:eastAsia="zh-CN"/>
                    </w:rPr>
                  </w:pPr>
                  <w:r>
                    <w:rPr>
                      <w:rFonts w:hint="eastAsia" w:ascii="宋体" w:hAnsi="宋体" w:eastAsia="宋体" w:cs="宋体"/>
                      <w:color w:val="auto"/>
                      <w:kern w:val="0"/>
                      <w:sz w:val="21"/>
                      <w:szCs w:val="21"/>
                      <w:lang w:eastAsia="en-US"/>
                    </w:rPr>
                    <w:t>0.001061</w:t>
                  </w:r>
                </w:p>
              </w:tc>
              <w:tc>
                <w:tcPr>
                  <w:tcW w:w="1674" w:type="dxa"/>
                  <w:gridSpan w:val="2"/>
                  <w:tcBorders>
                    <w:top w:val="single" w:color="000000" w:sz="4" w:space="0"/>
                    <w:left w:val="single" w:color="000000" w:sz="4" w:space="0"/>
                    <w:bottom w:val="single" w:color="000000" w:sz="4" w:space="0"/>
                    <w:right w:val="single" w:color="000000" w:sz="4" w:space="0"/>
                  </w:tcBorders>
                  <w:vAlign w:val="center"/>
                </w:tcPr>
                <w:p w14:paraId="28E78D11">
                  <w:pPr>
                    <w:pStyle w:val="65"/>
                    <w:keepNext w:val="0"/>
                    <w:keepLines w:val="0"/>
                    <w:widowControl/>
                    <w:suppressLineNumbers w:val="0"/>
                    <w:spacing w:before="34" w:beforeAutospacing="0"/>
                    <w:jc w:val="center"/>
                    <w:rPr>
                      <w:rFonts w:hint="default" w:ascii="Times New Roman" w:hAnsi="Times New Roman" w:cs="Times New Roman"/>
                      <w:b w:val="0"/>
                      <w:bCs/>
                      <w:color w:val="auto"/>
                      <w:sz w:val="21"/>
                      <w:szCs w:val="21"/>
                      <w:lang w:val="en-US" w:eastAsia="zh-CN"/>
                    </w:rPr>
                  </w:pPr>
                  <w:r>
                    <w:rPr>
                      <w:rFonts w:hint="eastAsia" w:ascii="宋体" w:hAnsi="宋体" w:eastAsia="宋体" w:cs="宋体"/>
                      <w:color w:val="auto"/>
                      <w:kern w:val="0"/>
                      <w:sz w:val="21"/>
                      <w:szCs w:val="21"/>
                      <w:lang w:eastAsia="en-US"/>
                    </w:rPr>
                    <w:t>0.004332</w:t>
                  </w:r>
                </w:p>
              </w:tc>
              <w:tc>
                <w:tcPr>
                  <w:tcW w:w="1520" w:type="dxa"/>
                  <w:gridSpan w:val="2"/>
                  <w:tcBorders>
                    <w:top w:val="single" w:color="000000" w:sz="4" w:space="0"/>
                    <w:left w:val="single" w:color="000000" w:sz="4" w:space="0"/>
                    <w:bottom w:val="single" w:color="000000" w:sz="4" w:space="0"/>
                    <w:right w:val="single" w:color="000000" w:sz="4" w:space="0"/>
                  </w:tcBorders>
                  <w:vAlign w:val="center"/>
                </w:tcPr>
                <w:p w14:paraId="455C94DC">
                  <w:pPr>
                    <w:pStyle w:val="65"/>
                    <w:keepNext w:val="0"/>
                    <w:keepLines w:val="0"/>
                    <w:widowControl/>
                    <w:suppressLineNumbers w:val="0"/>
                    <w:spacing w:before="34" w:beforeAutospacing="0"/>
                    <w:ind w:right="231" w:rightChars="0"/>
                    <w:jc w:val="center"/>
                    <w:rPr>
                      <w:rFonts w:hint="default" w:ascii="Times New Roman" w:hAnsi="Times New Roman" w:cs="Times New Roman"/>
                      <w:b w:val="0"/>
                      <w:bCs/>
                      <w:color w:val="auto"/>
                      <w:sz w:val="21"/>
                      <w:szCs w:val="21"/>
                      <w:lang w:val="en-US" w:eastAsia="zh-CN"/>
                    </w:rPr>
                  </w:pPr>
                  <w:r>
                    <w:rPr>
                      <w:rFonts w:hint="eastAsia" w:ascii="宋体" w:hAnsi="宋体" w:eastAsia="宋体" w:cs="宋体"/>
                      <w:color w:val="auto"/>
                      <w:kern w:val="0"/>
                      <w:sz w:val="21"/>
                      <w:szCs w:val="21"/>
                      <w:lang w:eastAsia="en-US"/>
                    </w:rPr>
                    <w:t>0.003248</w:t>
                  </w:r>
                </w:p>
              </w:tc>
              <w:tc>
                <w:tcPr>
                  <w:tcW w:w="1503" w:type="dxa"/>
                  <w:tcBorders>
                    <w:top w:val="single" w:color="000000" w:sz="4" w:space="0"/>
                    <w:left w:val="single" w:color="000000" w:sz="4" w:space="0"/>
                    <w:bottom w:val="single" w:color="000000" w:sz="4" w:space="0"/>
                    <w:right w:val="single" w:color="000000" w:sz="4" w:space="0"/>
                  </w:tcBorders>
                  <w:vAlign w:val="center"/>
                </w:tcPr>
                <w:p w14:paraId="27817930">
                  <w:pPr>
                    <w:pStyle w:val="65"/>
                    <w:keepNext w:val="0"/>
                    <w:keepLines w:val="0"/>
                    <w:widowControl/>
                    <w:suppressLineNumbers w:val="0"/>
                    <w:spacing w:before="34" w:beforeAutospacing="0"/>
                    <w:ind w:right="1" w:rightChars="0"/>
                    <w:jc w:val="center"/>
                    <w:rPr>
                      <w:rFonts w:hint="default" w:ascii="Times New Roman" w:hAnsi="Times New Roman" w:cs="Times New Roman"/>
                      <w:b w:val="0"/>
                      <w:bCs/>
                      <w:color w:val="auto"/>
                      <w:sz w:val="21"/>
                      <w:szCs w:val="21"/>
                      <w:lang w:val="en-US" w:eastAsia="zh-CN"/>
                    </w:rPr>
                  </w:pPr>
                  <w:r>
                    <w:rPr>
                      <w:rFonts w:hint="eastAsia" w:ascii="宋体" w:hAnsi="宋体" w:eastAsia="宋体" w:cs="宋体"/>
                      <w:color w:val="auto"/>
                      <w:kern w:val="0"/>
                      <w:sz w:val="21"/>
                      <w:szCs w:val="21"/>
                      <w:lang w:eastAsia="en-US"/>
                    </w:rPr>
                    <w:t>0.002469</w:t>
                  </w:r>
                </w:p>
              </w:tc>
            </w:tr>
            <w:tr w14:paraId="2AF9A9F1">
              <w:tblPrEx>
                <w:tblCellMar>
                  <w:top w:w="0" w:type="dxa"/>
                  <w:left w:w="0" w:type="dxa"/>
                  <w:bottom w:w="0" w:type="dxa"/>
                  <w:right w:w="0" w:type="dxa"/>
                </w:tblCellMar>
              </w:tblPrEx>
              <w:trPr>
                <w:trHeight w:val="322" w:hRule="exact"/>
              </w:trPr>
              <w:tc>
                <w:tcPr>
                  <w:tcW w:w="1084" w:type="dxa"/>
                  <w:vMerge w:val="continue"/>
                  <w:tcBorders>
                    <w:top w:val="single" w:color="000000" w:sz="4" w:space="0"/>
                    <w:left w:val="single" w:color="000000" w:sz="4" w:space="0"/>
                    <w:bottom w:val="single" w:color="000000" w:sz="4" w:space="0"/>
                    <w:right w:val="single" w:color="000000" w:sz="4" w:space="0"/>
                  </w:tcBorders>
                  <w:vAlign w:val="center"/>
                </w:tcPr>
                <w:p w14:paraId="3BADCFB6">
                  <w:pPr>
                    <w:spacing w:line="240" w:lineRule="auto"/>
                    <w:jc w:val="center"/>
                    <w:rPr>
                      <w:rFonts w:hint="default" w:ascii="Times New Roman" w:hAnsi="Times New Roman" w:cs="Times New Roman"/>
                      <w:b w:val="0"/>
                      <w:bCs/>
                      <w:color w:val="auto"/>
                      <w:sz w:val="21"/>
                      <w:szCs w:val="21"/>
                      <w:lang w:val="en-US" w:eastAsia="zh-CN"/>
                    </w:rPr>
                  </w:pPr>
                </w:p>
              </w:tc>
              <w:tc>
                <w:tcPr>
                  <w:tcW w:w="2849" w:type="dxa"/>
                  <w:tcBorders>
                    <w:top w:val="single" w:color="000000" w:sz="4" w:space="0"/>
                    <w:left w:val="single" w:color="000000" w:sz="4" w:space="0"/>
                    <w:bottom w:val="single" w:color="000000" w:sz="4" w:space="0"/>
                    <w:right w:val="single" w:color="000000" w:sz="4" w:space="0"/>
                  </w:tcBorders>
                  <w:vAlign w:val="center"/>
                </w:tcPr>
                <w:p w14:paraId="2D4C9860">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执行标准（mg/m</w:t>
                  </w:r>
                  <w:r>
                    <w:rPr>
                      <w:rFonts w:hint="default" w:ascii="Times New Roman" w:hAnsi="Times New Roman" w:cs="Times New Roman"/>
                      <w:b w:val="0"/>
                      <w:bCs/>
                      <w:color w:val="auto"/>
                      <w:sz w:val="21"/>
                      <w:szCs w:val="21"/>
                      <w:vertAlign w:val="superscript"/>
                      <w:lang w:val="en-US" w:eastAsia="zh-CN"/>
                    </w:rPr>
                    <w:t>3</w:t>
                  </w:r>
                  <w:r>
                    <w:rPr>
                      <w:rFonts w:hint="default" w:ascii="Times New Roman" w:hAnsi="Times New Roman" w:cs="Times New Roman"/>
                      <w:b w:val="0"/>
                      <w:bCs/>
                      <w:color w:val="auto"/>
                      <w:sz w:val="21"/>
                      <w:szCs w:val="21"/>
                      <w:lang w:val="en-US" w:eastAsia="zh-CN"/>
                    </w:rPr>
                    <w:t>）</w:t>
                  </w:r>
                </w:p>
              </w:tc>
              <w:tc>
                <w:tcPr>
                  <w:tcW w:w="6035" w:type="dxa"/>
                  <w:gridSpan w:val="6"/>
                  <w:tcBorders>
                    <w:top w:val="single" w:color="000000" w:sz="4" w:space="0"/>
                    <w:left w:val="single" w:color="000000" w:sz="4" w:space="0"/>
                    <w:bottom w:val="single" w:color="000000" w:sz="4" w:space="0"/>
                    <w:right w:val="single" w:color="000000" w:sz="4" w:space="0"/>
                  </w:tcBorders>
                  <w:vAlign w:val="center"/>
                </w:tcPr>
                <w:p w14:paraId="2597E21F">
                  <w:pPr>
                    <w:spacing w:line="240" w:lineRule="auto"/>
                    <w:jc w:val="center"/>
                    <w:rPr>
                      <w:rFonts w:hint="default" w:ascii="Times New Roman" w:hAnsi="Times New Roman" w:cs="Times New Roman"/>
                      <w:b w:val="0"/>
                      <w:bCs/>
                      <w:color w:val="auto"/>
                      <w:sz w:val="21"/>
                      <w:szCs w:val="21"/>
                      <w:lang w:val="en-US" w:eastAsia="zh-CN"/>
                    </w:rPr>
                  </w:pPr>
                  <w:r>
                    <w:rPr>
                      <w:rFonts w:hint="eastAsia" w:cs="Times New Roman"/>
                      <w:b w:val="0"/>
                      <w:bCs/>
                      <w:color w:val="auto"/>
                      <w:sz w:val="21"/>
                      <w:szCs w:val="21"/>
                      <w:lang w:val="en-US" w:eastAsia="zh-CN"/>
                    </w:rPr>
                    <w:t>2</w:t>
                  </w:r>
                </w:p>
              </w:tc>
            </w:tr>
            <w:tr w14:paraId="00834582">
              <w:tblPrEx>
                <w:tblCellMar>
                  <w:top w:w="0" w:type="dxa"/>
                  <w:left w:w="0" w:type="dxa"/>
                  <w:bottom w:w="0" w:type="dxa"/>
                  <w:right w:w="0" w:type="dxa"/>
                </w:tblCellMar>
              </w:tblPrEx>
              <w:trPr>
                <w:trHeight w:val="322" w:hRule="exact"/>
              </w:trPr>
              <w:tc>
                <w:tcPr>
                  <w:tcW w:w="1084" w:type="dxa"/>
                  <w:vMerge w:val="continue"/>
                  <w:tcBorders>
                    <w:top w:val="single" w:color="000000" w:sz="4" w:space="0"/>
                    <w:left w:val="single" w:color="000000" w:sz="4" w:space="0"/>
                    <w:bottom w:val="single" w:color="000000" w:sz="4" w:space="0"/>
                    <w:right w:val="single" w:color="000000" w:sz="4" w:space="0"/>
                  </w:tcBorders>
                  <w:vAlign w:val="center"/>
                </w:tcPr>
                <w:p w14:paraId="6B1A598F">
                  <w:pPr>
                    <w:spacing w:line="240" w:lineRule="auto"/>
                    <w:jc w:val="center"/>
                    <w:rPr>
                      <w:rFonts w:hint="default" w:ascii="Times New Roman" w:hAnsi="Times New Roman" w:cs="Times New Roman"/>
                      <w:b w:val="0"/>
                      <w:bCs/>
                      <w:color w:val="auto"/>
                      <w:sz w:val="21"/>
                      <w:szCs w:val="21"/>
                      <w:lang w:val="en-US" w:eastAsia="zh-CN"/>
                    </w:rPr>
                  </w:pPr>
                </w:p>
              </w:tc>
              <w:tc>
                <w:tcPr>
                  <w:tcW w:w="2849" w:type="dxa"/>
                  <w:tcBorders>
                    <w:top w:val="single" w:color="000000" w:sz="4" w:space="0"/>
                    <w:left w:val="single" w:color="000000" w:sz="4" w:space="0"/>
                    <w:bottom w:val="single" w:color="000000" w:sz="4" w:space="0"/>
                    <w:right w:val="single" w:color="000000" w:sz="4" w:space="0"/>
                  </w:tcBorders>
                  <w:vAlign w:val="center"/>
                </w:tcPr>
                <w:p w14:paraId="680D66A0">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达标分析</w:t>
                  </w:r>
                </w:p>
              </w:tc>
              <w:tc>
                <w:tcPr>
                  <w:tcW w:w="1338" w:type="dxa"/>
                  <w:tcBorders>
                    <w:top w:val="single" w:color="000000" w:sz="4" w:space="0"/>
                    <w:left w:val="single" w:color="000000" w:sz="4" w:space="0"/>
                    <w:bottom w:val="single" w:color="000000" w:sz="4" w:space="0"/>
                    <w:right w:val="single" w:color="000000" w:sz="4" w:space="0"/>
                  </w:tcBorders>
                  <w:vAlign w:val="center"/>
                </w:tcPr>
                <w:p w14:paraId="122C9EFC">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达标</w:t>
                  </w:r>
                </w:p>
              </w:tc>
              <w:tc>
                <w:tcPr>
                  <w:tcW w:w="1674" w:type="dxa"/>
                  <w:gridSpan w:val="2"/>
                  <w:tcBorders>
                    <w:top w:val="single" w:color="000000" w:sz="4" w:space="0"/>
                    <w:left w:val="single" w:color="000000" w:sz="4" w:space="0"/>
                    <w:bottom w:val="single" w:color="000000" w:sz="4" w:space="0"/>
                    <w:right w:val="single" w:color="000000" w:sz="4" w:space="0"/>
                  </w:tcBorders>
                  <w:vAlign w:val="center"/>
                </w:tcPr>
                <w:p w14:paraId="11074DDB">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达标</w:t>
                  </w:r>
                </w:p>
              </w:tc>
              <w:tc>
                <w:tcPr>
                  <w:tcW w:w="1520" w:type="dxa"/>
                  <w:gridSpan w:val="2"/>
                  <w:tcBorders>
                    <w:top w:val="single" w:color="000000" w:sz="4" w:space="0"/>
                    <w:left w:val="single" w:color="000000" w:sz="4" w:space="0"/>
                    <w:bottom w:val="single" w:color="000000" w:sz="4" w:space="0"/>
                    <w:right w:val="single" w:color="000000" w:sz="4" w:space="0"/>
                  </w:tcBorders>
                  <w:vAlign w:val="center"/>
                </w:tcPr>
                <w:p w14:paraId="69877AED">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达标</w:t>
                  </w:r>
                </w:p>
              </w:tc>
              <w:tc>
                <w:tcPr>
                  <w:tcW w:w="1503" w:type="dxa"/>
                  <w:tcBorders>
                    <w:top w:val="single" w:color="000000" w:sz="4" w:space="0"/>
                    <w:left w:val="single" w:color="000000" w:sz="4" w:space="0"/>
                    <w:bottom w:val="single" w:color="000000" w:sz="4" w:space="0"/>
                    <w:right w:val="single" w:color="000000" w:sz="4" w:space="0"/>
                  </w:tcBorders>
                  <w:vAlign w:val="center"/>
                </w:tcPr>
                <w:p w14:paraId="32330B8A">
                  <w:pPr>
                    <w:spacing w:line="240" w:lineRule="auto"/>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达标</w:t>
                  </w:r>
                </w:p>
              </w:tc>
            </w:tr>
          </w:tbl>
          <w:p w14:paraId="225C0EF0">
            <w:pPr>
              <w:pStyle w:val="2"/>
              <w:spacing w:line="360" w:lineRule="auto"/>
              <w:ind w:firstLine="480" w:firstLineChars="200"/>
              <w:rPr>
                <w:rFonts w:hint="default"/>
                <w:color w:val="auto"/>
                <w:lang w:val="en-US" w:eastAsia="zh-CN"/>
              </w:rPr>
            </w:pPr>
            <w:r>
              <w:rPr>
                <w:rFonts w:hint="default" w:ascii="Times New Roman" w:hAnsi="Times New Roman" w:eastAsia="宋体" w:cs="Times New Roman"/>
                <w:b w:val="0"/>
                <w:bCs w:val="0"/>
                <w:color w:val="auto"/>
                <w:kern w:val="2"/>
                <w:sz w:val="24"/>
                <w:szCs w:val="22"/>
                <w:lang w:val="en-US" w:eastAsia="zh-CN" w:bidi="ar-SA"/>
              </w:rPr>
              <w:t>上表中可以看出，本项目无组织废气厂界预测结果均满足相应的标准要求，无组织排放废气对环境的影响较小。</w:t>
            </w:r>
          </w:p>
          <w:p w14:paraId="69222183">
            <w:pPr>
              <w:spacing w:line="360" w:lineRule="auto"/>
              <w:ind w:firstLine="480"/>
              <w:rPr>
                <w:rFonts w:hint="default" w:ascii="Times New Roman" w:hAnsi="Times New Roman" w:cs="Times New Roman"/>
                <w:b/>
                <w:bCs/>
                <w:color w:val="auto"/>
                <w:sz w:val="24"/>
                <w:lang w:val="en-US" w:eastAsia="zh-CN"/>
              </w:rPr>
            </w:pPr>
            <w:r>
              <w:rPr>
                <w:rFonts w:hint="eastAsia" w:cs="Times New Roman"/>
                <w:b/>
                <w:bCs/>
                <w:color w:val="auto"/>
                <w:sz w:val="24"/>
                <w:lang w:val="en-US" w:eastAsia="zh-CN"/>
              </w:rPr>
              <w:t>2、</w:t>
            </w:r>
            <w:r>
              <w:rPr>
                <w:rFonts w:hint="default" w:ascii="Times New Roman" w:hAnsi="Times New Roman" w:cs="Times New Roman"/>
                <w:b/>
                <w:bCs/>
                <w:color w:val="auto"/>
                <w:sz w:val="24"/>
                <w:lang w:val="en-US" w:eastAsia="zh-CN"/>
              </w:rPr>
              <w:t>大气环境防护距离</w:t>
            </w:r>
          </w:p>
          <w:p w14:paraId="4B12D6F6">
            <w:pPr>
              <w:spacing w:line="360" w:lineRule="auto"/>
              <w:ind w:firstLine="48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t>按照《环境影响技术评价技术导则—大气环境》（HJ2.2-2008）第 10 节关于大气环境防护距离的确定方法，采用《环境影响评价技术导则—大气环境》（HJ2.2-2008）推荐模式清单中的模式进行预测，选择估算模式 SCREEN3 中的环境防护距离计算模式进行计算。</w:t>
            </w:r>
          </w:p>
          <w:p w14:paraId="77DAB472">
            <w:pPr>
              <w:spacing w:line="360" w:lineRule="auto"/>
              <w:ind w:firstLine="48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t>根据项目无组织排放统计结果计算大气环境防护距离，其结果见表7-</w:t>
            </w:r>
            <w:r>
              <w:rPr>
                <w:rFonts w:hint="eastAsia" w:cs="Times New Roman"/>
                <w:b w:val="0"/>
                <w:bCs w:val="0"/>
                <w:color w:val="auto"/>
                <w:sz w:val="24"/>
                <w:lang w:val="en-US" w:eastAsia="zh-CN"/>
              </w:rPr>
              <w:t>6</w:t>
            </w:r>
            <w:r>
              <w:rPr>
                <w:rFonts w:hint="default" w:ascii="Times New Roman" w:hAnsi="Times New Roman" w:cs="Times New Roman"/>
                <w:b w:val="0"/>
                <w:bCs w:val="0"/>
                <w:color w:val="auto"/>
                <w:sz w:val="24"/>
                <w:lang w:val="en-US" w:eastAsia="zh-CN"/>
              </w:rPr>
              <w:t>。</w:t>
            </w:r>
          </w:p>
          <w:p w14:paraId="01B9FA90">
            <w:pPr>
              <w:spacing w:line="360" w:lineRule="auto"/>
              <w:ind w:firstLine="480"/>
              <w:jc w:val="center"/>
              <w:rPr>
                <w:rFonts w:hint="default" w:ascii="Times New Roman" w:hAnsi="Times New Roman" w:cs="Times New Roman"/>
                <w:b/>
                <w:bCs/>
                <w:color w:val="auto"/>
                <w:sz w:val="21"/>
                <w:szCs w:val="21"/>
                <w:lang w:val="en-US" w:eastAsia="zh-CN"/>
              </w:rPr>
            </w:pPr>
            <w:r>
              <w:rPr>
                <w:rFonts w:hint="default" w:ascii="Times New Roman" w:hAnsi="Times New Roman" w:cs="Times New Roman"/>
                <w:b/>
                <w:bCs/>
                <w:color w:val="auto"/>
                <w:sz w:val="21"/>
                <w:szCs w:val="21"/>
                <w:lang w:val="en-US" w:eastAsia="zh-CN"/>
              </w:rPr>
              <w:t>表7-</w:t>
            </w:r>
            <w:r>
              <w:rPr>
                <w:rFonts w:hint="eastAsia" w:cs="Times New Roman"/>
                <w:b/>
                <w:bCs/>
                <w:color w:val="auto"/>
                <w:sz w:val="21"/>
                <w:szCs w:val="21"/>
                <w:lang w:val="en-US" w:eastAsia="zh-CN"/>
              </w:rPr>
              <w:t>7</w:t>
            </w:r>
            <w:r>
              <w:rPr>
                <w:rFonts w:hint="default" w:ascii="Times New Roman" w:hAnsi="Times New Roman" w:cs="Times New Roman"/>
                <w:b/>
                <w:bCs/>
                <w:color w:val="auto"/>
                <w:sz w:val="21"/>
                <w:szCs w:val="21"/>
                <w:lang w:val="en-US" w:eastAsia="zh-CN"/>
              </w:rPr>
              <w:t xml:space="preserve"> 大气环境防护距离模式计算参数及计算结果</w:t>
            </w:r>
          </w:p>
          <w:tbl>
            <w:tblPr>
              <w:tblStyle w:val="24"/>
              <w:tblW w:w="918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2"/>
              <w:gridCol w:w="1311"/>
              <w:gridCol w:w="1312"/>
              <w:gridCol w:w="1311"/>
              <w:gridCol w:w="1379"/>
              <w:gridCol w:w="1090"/>
              <w:gridCol w:w="1469"/>
            </w:tblGrid>
            <w:tr w14:paraId="0CEF08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312" w:type="dxa"/>
                  <w:vAlign w:val="center"/>
                </w:tcPr>
                <w:p w14:paraId="7180A993">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污染因子</w:t>
                  </w:r>
                </w:p>
              </w:tc>
              <w:tc>
                <w:tcPr>
                  <w:tcW w:w="1311" w:type="dxa"/>
                  <w:vAlign w:val="center"/>
                </w:tcPr>
                <w:p w14:paraId="0ED9A732">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面源有效宽度（m）</w:t>
                  </w:r>
                </w:p>
              </w:tc>
              <w:tc>
                <w:tcPr>
                  <w:tcW w:w="1312" w:type="dxa"/>
                  <w:vAlign w:val="center"/>
                </w:tcPr>
                <w:p w14:paraId="6BA5395E">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面源有效长度（m）</w:t>
                  </w:r>
                </w:p>
              </w:tc>
              <w:tc>
                <w:tcPr>
                  <w:tcW w:w="1311" w:type="dxa"/>
                  <w:vAlign w:val="center"/>
                </w:tcPr>
                <w:p w14:paraId="3F5B6375">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面源有效高度（m）</w:t>
                  </w:r>
                </w:p>
              </w:tc>
              <w:tc>
                <w:tcPr>
                  <w:tcW w:w="1379" w:type="dxa"/>
                  <w:vAlign w:val="center"/>
                </w:tcPr>
                <w:p w14:paraId="5D78A67E">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排放源强</w:t>
                  </w:r>
                  <w:r>
                    <w:rPr>
                      <w:rFonts w:hint="eastAsia" w:cs="Times New Roman"/>
                      <w:bCs/>
                      <w:color w:val="auto"/>
                      <w:sz w:val="21"/>
                      <w:szCs w:val="21"/>
                      <w:lang w:val="en-US" w:eastAsia="zh-CN"/>
                    </w:rPr>
                    <w:t>（g/h）</w:t>
                  </w:r>
                </w:p>
              </w:tc>
              <w:tc>
                <w:tcPr>
                  <w:tcW w:w="1090" w:type="dxa"/>
                  <w:vAlign w:val="center"/>
                </w:tcPr>
                <w:p w14:paraId="351BAFC7">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计算结果</w:t>
                  </w:r>
                </w:p>
              </w:tc>
              <w:tc>
                <w:tcPr>
                  <w:tcW w:w="1469" w:type="dxa"/>
                  <w:vAlign w:val="center"/>
                </w:tcPr>
                <w:p w14:paraId="65F2EE59">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大气防护距离</w:t>
                  </w:r>
                </w:p>
              </w:tc>
            </w:tr>
            <w:tr w14:paraId="72FE85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1312" w:type="dxa"/>
                  <w:vMerge w:val="restart"/>
                  <w:vAlign w:val="center"/>
                </w:tcPr>
                <w:p w14:paraId="147A78E4">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VOC</w:t>
                  </w:r>
                  <w:r>
                    <w:rPr>
                      <w:rFonts w:hint="eastAsia" w:cs="Times New Roman"/>
                      <w:bCs/>
                      <w:color w:val="auto"/>
                      <w:sz w:val="21"/>
                      <w:szCs w:val="21"/>
                      <w:lang w:val="en-US" w:eastAsia="zh-CN"/>
                    </w:rPr>
                    <w:t>s</w:t>
                  </w:r>
                </w:p>
              </w:tc>
              <w:tc>
                <w:tcPr>
                  <w:tcW w:w="1311" w:type="dxa"/>
                  <w:vAlign w:val="center"/>
                </w:tcPr>
                <w:p w14:paraId="658512FC">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72</w:t>
                  </w:r>
                </w:p>
              </w:tc>
              <w:tc>
                <w:tcPr>
                  <w:tcW w:w="1312" w:type="dxa"/>
                  <w:vAlign w:val="center"/>
                </w:tcPr>
                <w:p w14:paraId="42D711A9">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100</w:t>
                  </w:r>
                </w:p>
              </w:tc>
              <w:tc>
                <w:tcPr>
                  <w:tcW w:w="1311" w:type="dxa"/>
                  <w:vAlign w:val="center"/>
                </w:tcPr>
                <w:p w14:paraId="2DD8FCDD">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9</w:t>
                  </w:r>
                </w:p>
              </w:tc>
              <w:tc>
                <w:tcPr>
                  <w:tcW w:w="1379" w:type="dxa"/>
                  <w:vAlign w:val="center"/>
                </w:tcPr>
                <w:p w14:paraId="3E141D6F">
                  <w:pPr>
                    <w:pStyle w:val="28"/>
                    <w:keepNext w:val="0"/>
                    <w:keepLines w:val="0"/>
                    <w:suppressLineNumbers w:val="0"/>
                    <w:spacing w:before="0" w:beforeAutospacing="0" w:after="0" w:afterAutospacing="0" w:line="240" w:lineRule="auto"/>
                    <w:ind w:left="0" w:leftChars="0" w:right="0" w:rightChars="0"/>
                    <w:jc w:val="center"/>
                    <w:rPr>
                      <w:rFonts w:hint="default" w:ascii="Times New Roman" w:hAnsi="Times New Roman" w:cs="Times New Roman"/>
                      <w:bCs/>
                      <w:color w:val="auto"/>
                      <w:sz w:val="21"/>
                      <w:szCs w:val="21"/>
                      <w:lang w:val="en-US" w:eastAsia="zh-CN"/>
                    </w:rPr>
                  </w:pPr>
                  <w:r>
                    <w:rPr>
                      <w:rFonts w:hint="eastAsia" w:hAnsi="宋体" w:cs="宋体"/>
                      <w:b w:val="0"/>
                      <w:bCs/>
                      <w:color w:val="auto"/>
                      <w:w w:val="100"/>
                      <w:kern w:val="2"/>
                      <w:sz w:val="21"/>
                      <w:szCs w:val="21"/>
                      <w:vertAlign w:val="baseline"/>
                      <w:lang w:val="en-US" w:eastAsia="zh-CN"/>
                    </w:rPr>
                    <w:t>1.87</w:t>
                  </w:r>
                </w:p>
              </w:tc>
              <w:tc>
                <w:tcPr>
                  <w:tcW w:w="1090" w:type="dxa"/>
                  <w:vAlign w:val="center"/>
                </w:tcPr>
                <w:p w14:paraId="79D88D2D">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无超标点</w:t>
                  </w:r>
                </w:p>
              </w:tc>
              <w:tc>
                <w:tcPr>
                  <w:tcW w:w="1469" w:type="dxa"/>
                  <w:vAlign w:val="center"/>
                </w:tcPr>
                <w:p w14:paraId="7A036903">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无需设置</w:t>
                  </w:r>
                </w:p>
              </w:tc>
            </w:tr>
            <w:tr w14:paraId="1800F4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1312" w:type="dxa"/>
                  <w:vMerge w:val="continue"/>
                  <w:vAlign w:val="center"/>
                </w:tcPr>
                <w:p w14:paraId="2F112120">
                  <w:pPr>
                    <w:jc w:val="center"/>
                    <w:rPr>
                      <w:rFonts w:hint="default" w:ascii="Times New Roman" w:hAnsi="Times New Roman" w:cs="Times New Roman"/>
                      <w:bCs/>
                      <w:color w:val="auto"/>
                      <w:sz w:val="21"/>
                      <w:szCs w:val="21"/>
                      <w:lang w:val="en-US" w:eastAsia="zh-CN"/>
                    </w:rPr>
                  </w:pPr>
                </w:p>
              </w:tc>
              <w:tc>
                <w:tcPr>
                  <w:tcW w:w="1311" w:type="dxa"/>
                  <w:vAlign w:val="center"/>
                </w:tcPr>
                <w:p w14:paraId="44955C61">
                  <w:pPr>
                    <w:jc w:val="center"/>
                    <w:rPr>
                      <w:rFonts w:hint="eastAsia" w:cs="Times New Roman"/>
                      <w:bCs/>
                      <w:color w:val="auto"/>
                      <w:sz w:val="21"/>
                      <w:szCs w:val="21"/>
                      <w:lang w:val="en-US" w:eastAsia="zh-CN"/>
                    </w:rPr>
                  </w:pPr>
                  <w:r>
                    <w:rPr>
                      <w:rFonts w:hint="eastAsia" w:cs="Times New Roman"/>
                      <w:bCs/>
                      <w:color w:val="auto"/>
                      <w:sz w:val="21"/>
                      <w:szCs w:val="21"/>
                      <w:lang w:val="en-US" w:eastAsia="zh-CN"/>
                    </w:rPr>
                    <w:t>86</w:t>
                  </w:r>
                </w:p>
              </w:tc>
              <w:tc>
                <w:tcPr>
                  <w:tcW w:w="1312" w:type="dxa"/>
                  <w:vAlign w:val="center"/>
                </w:tcPr>
                <w:p w14:paraId="20F0D8FA">
                  <w:pPr>
                    <w:jc w:val="center"/>
                    <w:rPr>
                      <w:rFonts w:hint="eastAsia" w:cs="Times New Roman"/>
                      <w:bCs/>
                      <w:color w:val="auto"/>
                      <w:sz w:val="21"/>
                      <w:szCs w:val="21"/>
                      <w:lang w:val="en-US" w:eastAsia="zh-CN"/>
                    </w:rPr>
                  </w:pPr>
                  <w:r>
                    <w:rPr>
                      <w:rFonts w:hint="eastAsia" w:cs="Times New Roman"/>
                      <w:bCs/>
                      <w:color w:val="auto"/>
                      <w:sz w:val="21"/>
                      <w:szCs w:val="21"/>
                      <w:lang w:val="en-US" w:eastAsia="zh-CN"/>
                    </w:rPr>
                    <w:t>100</w:t>
                  </w:r>
                </w:p>
              </w:tc>
              <w:tc>
                <w:tcPr>
                  <w:tcW w:w="1311" w:type="dxa"/>
                  <w:vAlign w:val="center"/>
                </w:tcPr>
                <w:p w14:paraId="366000B5">
                  <w:pPr>
                    <w:jc w:val="center"/>
                    <w:rPr>
                      <w:rFonts w:hint="eastAsia" w:cs="Times New Roman"/>
                      <w:bCs/>
                      <w:color w:val="auto"/>
                      <w:sz w:val="21"/>
                      <w:szCs w:val="21"/>
                      <w:lang w:val="en-US" w:eastAsia="zh-CN"/>
                    </w:rPr>
                  </w:pPr>
                  <w:r>
                    <w:rPr>
                      <w:rFonts w:hint="eastAsia" w:cs="Times New Roman"/>
                      <w:bCs/>
                      <w:color w:val="auto"/>
                      <w:sz w:val="21"/>
                      <w:szCs w:val="21"/>
                      <w:lang w:val="en-US" w:eastAsia="zh-CN"/>
                    </w:rPr>
                    <w:t>9</w:t>
                  </w:r>
                </w:p>
              </w:tc>
              <w:tc>
                <w:tcPr>
                  <w:tcW w:w="1379" w:type="dxa"/>
                  <w:vAlign w:val="center"/>
                </w:tcPr>
                <w:p w14:paraId="42133610">
                  <w:pPr>
                    <w:pStyle w:val="28"/>
                    <w:keepNext w:val="0"/>
                    <w:keepLines w:val="0"/>
                    <w:suppressLineNumbers w:val="0"/>
                    <w:spacing w:before="0" w:beforeAutospacing="0" w:after="0" w:afterAutospacing="0" w:line="240" w:lineRule="auto"/>
                    <w:ind w:left="0" w:leftChars="0" w:right="0" w:rightChars="0"/>
                    <w:jc w:val="center"/>
                    <w:rPr>
                      <w:rFonts w:hint="default" w:ascii="Times New Roman" w:hAnsi="Times New Roman" w:cs="Times New Roman"/>
                      <w:bCs/>
                      <w:color w:val="auto"/>
                      <w:sz w:val="21"/>
                      <w:szCs w:val="21"/>
                      <w:lang w:val="en-US" w:eastAsia="zh-CN"/>
                    </w:rPr>
                  </w:pPr>
                  <w:r>
                    <w:rPr>
                      <w:rFonts w:hint="eastAsia" w:hAnsi="宋体" w:cs="宋体"/>
                      <w:b w:val="0"/>
                      <w:bCs/>
                      <w:color w:val="auto"/>
                      <w:w w:val="100"/>
                      <w:kern w:val="2"/>
                      <w:sz w:val="21"/>
                      <w:szCs w:val="21"/>
                      <w:vertAlign w:val="baseline"/>
                      <w:lang w:val="en-US" w:eastAsia="zh-CN"/>
                    </w:rPr>
                    <w:t>0.67</w:t>
                  </w:r>
                </w:p>
              </w:tc>
              <w:tc>
                <w:tcPr>
                  <w:tcW w:w="1090" w:type="dxa"/>
                  <w:vAlign w:val="center"/>
                </w:tcPr>
                <w:p w14:paraId="2AEF76F9">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无超标点</w:t>
                  </w:r>
                </w:p>
              </w:tc>
              <w:tc>
                <w:tcPr>
                  <w:tcW w:w="1469" w:type="dxa"/>
                  <w:vAlign w:val="center"/>
                </w:tcPr>
                <w:p w14:paraId="60EBE579">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无需设置</w:t>
                  </w:r>
                </w:p>
              </w:tc>
            </w:tr>
            <w:tr w14:paraId="3FFA4D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1312" w:type="dxa"/>
                  <w:vAlign w:val="center"/>
                </w:tcPr>
                <w:p w14:paraId="67390F8A">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颗粒物</w:t>
                  </w:r>
                </w:p>
              </w:tc>
              <w:tc>
                <w:tcPr>
                  <w:tcW w:w="1311" w:type="dxa"/>
                  <w:vAlign w:val="center"/>
                </w:tcPr>
                <w:p w14:paraId="283AD99E">
                  <w:pPr>
                    <w:jc w:val="center"/>
                    <w:rPr>
                      <w:rFonts w:hint="eastAsia" w:cs="Times New Roman"/>
                      <w:bCs/>
                      <w:color w:val="auto"/>
                      <w:sz w:val="21"/>
                      <w:szCs w:val="21"/>
                      <w:lang w:val="en-US" w:eastAsia="zh-CN"/>
                    </w:rPr>
                  </w:pPr>
                  <w:r>
                    <w:rPr>
                      <w:rFonts w:hint="eastAsia" w:cs="Times New Roman"/>
                      <w:bCs/>
                      <w:color w:val="auto"/>
                      <w:sz w:val="21"/>
                      <w:szCs w:val="21"/>
                      <w:lang w:val="en-US" w:eastAsia="zh-CN"/>
                    </w:rPr>
                    <w:t>86</w:t>
                  </w:r>
                </w:p>
              </w:tc>
              <w:tc>
                <w:tcPr>
                  <w:tcW w:w="1312" w:type="dxa"/>
                  <w:vAlign w:val="center"/>
                </w:tcPr>
                <w:p w14:paraId="3F48DEEE">
                  <w:pPr>
                    <w:jc w:val="center"/>
                    <w:rPr>
                      <w:rFonts w:hint="eastAsia" w:cs="Times New Roman"/>
                      <w:bCs/>
                      <w:color w:val="auto"/>
                      <w:sz w:val="21"/>
                      <w:szCs w:val="21"/>
                      <w:lang w:val="en-US" w:eastAsia="zh-CN"/>
                    </w:rPr>
                  </w:pPr>
                  <w:r>
                    <w:rPr>
                      <w:rFonts w:hint="eastAsia" w:cs="Times New Roman"/>
                      <w:bCs/>
                      <w:color w:val="auto"/>
                      <w:sz w:val="21"/>
                      <w:szCs w:val="21"/>
                      <w:lang w:val="en-US" w:eastAsia="zh-CN"/>
                    </w:rPr>
                    <w:t>100</w:t>
                  </w:r>
                </w:p>
              </w:tc>
              <w:tc>
                <w:tcPr>
                  <w:tcW w:w="1311" w:type="dxa"/>
                  <w:vAlign w:val="center"/>
                </w:tcPr>
                <w:p w14:paraId="047CB0A9">
                  <w:pPr>
                    <w:jc w:val="center"/>
                    <w:rPr>
                      <w:rFonts w:hint="eastAsia" w:cs="Times New Roman"/>
                      <w:bCs/>
                      <w:color w:val="auto"/>
                      <w:sz w:val="21"/>
                      <w:szCs w:val="21"/>
                      <w:lang w:val="en-US" w:eastAsia="zh-CN"/>
                    </w:rPr>
                  </w:pPr>
                  <w:r>
                    <w:rPr>
                      <w:rFonts w:hint="eastAsia" w:cs="Times New Roman"/>
                      <w:bCs/>
                      <w:color w:val="auto"/>
                      <w:sz w:val="21"/>
                      <w:szCs w:val="21"/>
                      <w:lang w:val="en-US" w:eastAsia="zh-CN"/>
                    </w:rPr>
                    <w:t>9</w:t>
                  </w:r>
                </w:p>
              </w:tc>
              <w:tc>
                <w:tcPr>
                  <w:tcW w:w="1379" w:type="dxa"/>
                  <w:vAlign w:val="center"/>
                </w:tcPr>
                <w:p w14:paraId="461CAA35">
                  <w:pPr>
                    <w:pStyle w:val="28"/>
                    <w:keepNext w:val="0"/>
                    <w:keepLines w:val="0"/>
                    <w:suppressLineNumbers w:val="0"/>
                    <w:spacing w:before="0" w:beforeAutospacing="0" w:after="0" w:afterAutospacing="0" w:line="240" w:lineRule="auto"/>
                    <w:ind w:left="0" w:leftChars="0" w:right="0" w:rightChars="0"/>
                    <w:jc w:val="center"/>
                    <w:rPr>
                      <w:rFonts w:hint="default" w:ascii="Times New Roman" w:hAnsi="Times New Roman" w:cs="Times New Roman"/>
                      <w:bCs/>
                      <w:color w:val="auto"/>
                      <w:sz w:val="21"/>
                      <w:szCs w:val="21"/>
                      <w:lang w:val="en-US" w:eastAsia="zh-CN"/>
                    </w:rPr>
                  </w:pPr>
                  <w:r>
                    <w:rPr>
                      <w:rFonts w:hint="eastAsia" w:hAnsi="宋体" w:cs="宋体"/>
                      <w:b w:val="0"/>
                      <w:bCs/>
                      <w:color w:val="auto"/>
                      <w:w w:val="100"/>
                      <w:kern w:val="2"/>
                      <w:sz w:val="21"/>
                      <w:szCs w:val="21"/>
                      <w:vertAlign w:val="baseline"/>
                      <w:lang w:val="en-US" w:eastAsia="zh-CN"/>
                    </w:rPr>
                    <w:t>0.1875</w:t>
                  </w:r>
                </w:p>
              </w:tc>
              <w:tc>
                <w:tcPr>
                  <w:tcW w:w="1090" w:type="dxa"/>
                  <w:vAlign w:val="center"/>
                </w:tcPr>
                <w:p w14:paraId="311752FB">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无超标点</w:t>
                  </w:r>
                </w:p>
              </w:tc>
              <w:tc>
                <w:tcPr>
                  <w:tcW w:w="1469" w:type="dxa"/>
                  <w:vAlign w:val="center"/>
                </w:tcPr>
                <w:p w14:paraId="68617DA8">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无需设置</w:t>
                  </w:r>
                </w:p>
              </w:tc>
            </w:tr>
          </w:tbl>
          <w:p w14:paraId="5BBA5F01">
            <w:pPr>
              <w:spacing w:line="360" w:lineRule="auto"/>
              <w:ind w:firstLine="48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t>估算结果表明，项目废气无组织排放无超标点，项目无需设置大气环境防护距离。</w:t>
            </w:r>
          </w:p>
          <w:p w14:paraId="2A5C7A07">
            <w:pPr>
              <w:spacing w:line="360" w:lineRule="auto"/>
              <w:ind w:firstLine="480"/>
              <w:rPr>
                <w:rFonts w:hint="default" w:ascii="Times New Roman" w:hAnsi="Times New Roman" w:cs="Times New Roman"/>
                <w:b/>
                <w:bCs/>
                <w:color w:val="auto"/>
                <w:sz w:val="24"/>
                <w:lang w:val="en-US" w:eastAsia="zh-CN"/>
              </w:rPr>
            </w:pPr>
            <w:r>
              <w:rPr>
                <w:rFonts w:hint="eastAsia" w:cs="Times New Roman"/>
                <w:b/>
                <w:bCs/>
                <w:color w:val="auto"/>
                <w:sz w:val="24"/>
                <w:lang w:val="en-US" w:eastAsia="zh-CN"/>
              </w:rPr>
              <w:t>3、</w:t>
            </w:r>
            <w:r>
              <w:rPr>
                <w:rFonts w:hint="default" w:ascii="Times New Roman" w:hAnsi="Times New Roman" w:cs="Times New Roman"/>
                <w:b/>
                <w:bCs/>
                <w:color w:val="auto"/>
                <w:sz w:val="24"/>
                <w:lang w:val="en-US" w:eastAsia="zh-CN"/>
              </w:rPr>
              <w:t>卫生防护距离</w:t>
            </w:r>
          </w:p>
          <w:p w14:paraId="0A9E0C0E">
            <w:pPr>
              <w:spacing w:line="360" w:lineRule="auto"/>
              <w:ind w:firstLine="48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t>根据国家《制定地方大气污染物排放标准的技术方法》GB/T13201－91中“有害气体无组织排放控制与工业企业”，凡不通过排气筒或通过15m高度以下排气筒的有害气体排放，均属无组织排放。工业企业应采用合理的生产工艺流程，加强生产管理与设备维护，最大限度地减少有害气体的无组织排放。</w:t>
            </w:r>
          </w:p>
          <w:p w14:paraId="6B5DE339">
            <w:pPr>
              <w:spacing w:line="360" w:lineRule="auto"/>
              <w:ind w:firstLine="48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t>计算公式如下：</w:t>
            </w:r>
          </w:p>
          <w:p w14:paraId="5B2CF3E9">
            <w:pPr>
              <w:spacing w:line="360" w:lineRule="auto"/>
              <w:ind w:firstLine="480"/>
              <w:jc w:val="center"/>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drawing>
                <wp:inline distT="0" distB="0" distL="114300" distR="114300">
                  <wp:extent cx="1819275" cy="428625"/>
                  <wp:effectExtent l="0" t="0" r="0"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0"/>
                          <a:stretch>
                            <a:fillRect/>
                          </a:stretch>
                        </pic:blipFill>
                        <pic:spPr>
                          <a:xfrm>
                            <a:off x="0" y="0"/>
                            <a:ext cx="1819275" cy="428625"/>
                          </a:xfrm>
                          <a:prstGeom prst="rect">
                            <a:avLst/>
                          </a:prstGeom>
                          <a:noFill/>
                          <a:ln w="9525">
                            <a:noFill/>
                          </a:ln>
                        </pic:spPr>
                      </pic:pic>
                    </a:graphicData>
                  </a:graphic>
                </wp:inline>
              </w:drawing>
            </w:r>
          </w:p>
          <w:p w14:paraId="2983F915">
            <w:pPr>
              <w:spacing w:line="360" w:lineRule="auto"/>
              <w:ind w:firstLine="48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t xml:space="preserve">式中：Cm ——标准浓度限值； </w:t>
            </w:r>
          </w:p>
          <w:p w14:paraId="36C3F807">
            <w:pPr>
              <w:spacing w:line="360" w:lineRule="auto"/>
              <w:ind w:firstLine="48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t xml:space="preserve">L——工业企业所需卫生防护距离，m； </w:t>
            </w:r>
          </w:p>
          <w:p w14:paraId="1ED4E0AA">
            <w:pPr>
              <w:spacing w:line="360" w:lineRule="auto"/>
              <w:ind w:firstLine="48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t xml:space="preserve">r——有害气体无组织排放源所在生产单元的等效半径，m。根据该生产单元占地面积S（m2）计算； </w:t>
            </w:r>
          </w:p>
          <w:p w14:paraId="7FF0839B">
            <w:pPr>
              <w:spacing w:line="360" w:lineRule="auto"/>
              <w:ind w:firstLine="48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t xml:space="preserve">A、B、C、D———卫生防护距离计算系数，无因次，根据工业企业所在地区近五年平均风速及工业企业大气污染源构成类别从表查取。 </w:t>
            </w:r>
          </w:p>
          <w:p w14:paraId="4068EB51">
            <w:pPr>
              <w:spacing w:line="360" w:lineRule="auto"/>
              <w:ind w:firstLine="480"/>
              <w:rPr>
                <w:rFonts w:hint="default"/>
                <w:lang w:val="en-US" w:eastAsia="zh-CN"/>
              </w:rPr>
            </w:pPr>
            <w:r>
              <w:rPr>
                <w:rFonts w:hint="default" w:ascii="Times New Roman" w:hAnsi="Times New Roman" w:cs="Times New Roman"/>
                <w:b w:val="0"/>
                <w:bCs w:val="0"/>
                <w:color w:val="auto"/>
                <w:sz w:val="24"/>
                <w:lang w:val="en-US" w:eastAsia="zh-CN"/>
              </w:rPr>
              <w:t>Qc———工业企业有害气体无组织排放量可以达到的控制水平。</w:t>
            </w:r>
          </w:p>
          <w:p w14:paraId="3B65496C">
            <w:pPr>
              <w:spacing w:line="360" w:lineRule="auto"/>
              <w:ind w:firstLine="480"/>
              <w:jc w:val="center"/>
              <w:rPr>
                <w:rFonts w:hint="default" w:ascii="Times New Roman" w:hAnsi="Times New Roman" w:cs="Times New Roman"/>
                <w:b/>
                <w:bCs/>
                <w:color w:val="auto"/>
                <w:sz w:val="21"/>
                <w:szCs w:val="21"/>
                <w:lang w:val="en-US" w:eastAsia="zh-CN"/>
              </w:rPr>
            </w:pPr>
            <w:r>
              <w:rPr>
                <w:rFonts w:hint="default" w:ascii="Times New Roman" w:hAnsi="Times New Roman" w:cs="Times New Roman"/>
                <w:b/>
                <w:bCs/>
                <w:color w:val="auto"/>
                <w:sz w:val="21"/>
                <w:szCs w:val="21"/>
                <w:lang w:val="en-US" w:eastAsia="zh-CN"/>
              </w:rPr>
              <w:t>表7-</w:t>
            </w:r>
            <w:r>
              <w:rPr>
                <w:rFonts w:hint="eastAsia" w:cs="Times New Roman"/>
                <w:b/>
                <w:bCs/>
                <w:color w:val="auto"/>
                <w:sz w:val="21"/>
                <w:szCs w:val="21"/>
                <w:lang w:val="en-US" w:eastAsia="zh-CN"/>
              </w:rPr>
              <w:t>8</w:t>
            </w:r>
            <w:r>
              <w:rPr>
                <w:rFonts w:hint="default" w:ascii="Times New Roman" w:hAnsi="Times New Roman" w:cs="Times New Roman"/>
                <w:b/>
                <w:bCs/>
                <w:color w:val="auto"/>
                <w:sz w:val="21"/>
                <w:szCs w:val="21"/>
                <w:lang w:val="en-US" w:eastAsia="zh-CN"/>
              </w:rPr>
              <w:t xml:space="preserve"> 卫生防护距离计算系数</w:t>
            </w:r>
          </w:p>
          <w:tbl>
            <w:tblPr>
              <w:tblStyle w:val="69"/>
              <w:tblW w:w="902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91"/>
              <w:gridCol w:w="1521"/>
              <w:gridCol w:w="714"/>
              <w:gridCol w:w="714"/>
              <w:gridCol w:w="712"/>
              <w:gridCol w:w="712"/>
              <w:gridCol w:w="715"/>
              <w:gridCol w:w="712"/>
              <w:gridCol w:w="712"/>
              <w:gridCol w:w="712"/>
              <w:gridCol w:w="712"/>
            </w:tblGrid>
            <w:tr w14:paraId="324C6B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2" w:hRule="exact"/>
                <w:jc w:val="center"/>
              </w:trPr>
              <w:tc>
                <w:tcPr>
                  <w:tcW w:w="1091" w:type="dxa"/>
                  <w:vMerge w:val="restart"/>
                </w:tcPr>
                <w:p w14:paraId="5DC80C05">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计算系 数</w:t>
                  </w:r>
                </w:p>
              </w:tc>
              <w:tc>
                <w:tcPr>
                  <w:tcW w:w="1521" w:type="dxa"/>
                  <w:vMerge w:val="restart"/>
                </w:tcPr>
                <w:p w14:paraId="5D5EED22">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工业企业所 在地区近五 年平均风速 m/s</w:t>
                  </w:r>
                </w:p>
              </w:tc>
              <w:tc>
                <w:tcPr>
                  <w:tcW w:w="6415" w:type="dxa"/>
                  <w:gridSpan w:val="9"/>
                </w:tcPr>
                <w:p w14:paraId="49A8B7B1">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卫生防护距离 L，m</w:t>
                  </w:r>
                </w:p>
              </w:tc>
            </w:tr>
            <w:tr w14:paraId="0301A9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3" w:hRule="exact"/>
                <w:jc w:val="center"/>
              </w:trPr>
              <w:tc>
                <w:tcPr>
                  <w:tcW w:w="1091" w:type="dxa"/>
                  <w:vMerge w:val="continue"/>
                </w:tcPr>
                <w:p w14:paraId="06F2A5A3">
                  <w:pPr>
                    <w:jc w:val="center"/>
                    <w:rPr>
                      <w:rFonts w:hint="default" w:ascii="Times New Roman" w:hAnsi="Times New Roman" w:cs="Times New Roman"/>
                      <w:bCs/>
                      <w:color w:val="auto"/>
                      <w:sz w:val="21"/>
                      <w:szCs w:val="21"/>
                      <w:lang w:val="en-US" w:eastAsia="zh-CN"/>
                    </w:rPr>
                  </w:pPr>
                </w:p>
              </w:tc>
              <w:tc>
                <w:tcPr>
                  <w:tcW w:w="1521" w:type="dxa"/>
                  <w:vMerge w:val="continue"/>
                </w:tcPr>
                <w:p w14:paraId="6186844C">
                  <w:pPr>
                    <w:jc w:val="center"/>
                    <w:rPr>
                      <w:rFonts w:hint="default" w:ascii="Times New Roman" w:hAnsi="Times New Roman" w:cs="Times New Roman"/>
                      <w:bCs/>
                      <w:color w:val="auto"/>
                      <w:sz w:val="21"/>
                      <w:szCs w:val="21"/>
                      <w:lang w:val="en-US" w:eastAsia="zh-CN"/>
                    </w:rPr>
                  </w:pPr>
                </w:p>
              </w:tc>
              <w:tc>
                <w:tcPr>
                  <w:tcW w:w="2140" w:type="dxa"/>
                  <w:gridSpan w:val="3"/>
                </w:tcPr>
                <w:p w14:paraId="41BD37F9">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L≤1000</w:t>
                  </w:r>
                </w:p>
              </w:tc>
              <w:tc>
                <w:tcPr>
                  <w:tcW w:w="2139" w:type="dxa"/>
                  <w:gridSpan w:val="3"/>
                </w:tcPr>
                <w:p w14:paraId="0529E516">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1000＜L≤2000</w:t>
                  </w:r>
                </w:p>
              </w:tc>
              <w:tc>
                <w:tcPr>
                  <w:tcW w:w="2136" w:type="dxa"/>
                  <w:gridSpan w:val="3"/>
                </w:tcPr>
                <w:p w14:paraId="32012FD0">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L＞2000</w:t>
                  </w:r>
                </w:p>
              </w:tc>
            </w:tr>
            <w:tr w14:paraId="7A2DBC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2" w:hRule="exact"/>
                <w:jc w:val="center"/>
              </w:trPr>
              <w:tc>
                <w:tcPr>
                  <w:tcW w:w="1091" w:type="dxa"/>
                  <w:vMerge w:val="continue"/>
                </w:tcPr>
                <w:p w14:paraId="77C57328">
                  <w:pPr>
                    <w:jc w:val="center"/>
                    <w:rPr>
                      <w:rFonts w:hint="default" w:ascii="Times New Roman" w:hAnsi="Times New Roman" w:cs="Times New Roman"/>
                      <w:bCs/>
                      <w:color w:val="auto"/>
                      <w:sz w:val="21"/>
                      <w:szCs w:val="21"/>
                      <w:lang w:val="en-US" w:eastAsia="zh-CN"/>
                    </w:rPr>
                  </w:pPr>
                </w:p>
              </w:tc>
              <w:tc>
                <w:tcPr>
                  <w:tcW w:w="1521" w:type="dxa"/>
                  <w:vMerge w:val="continue"/>
                </w:tcPr>
                <w:p w14:paraId="5B92D1F6">
                  <w:pPr>
                    <w:jc w:val="center"/>
                    <w:rPr>
                      <w:rFonts w:hint="default" w:ascii="Times New Roman" w:hAnsi="Times New Roman" w:cs="Times New Roman"/>
                      <w:bCs/>
                      <w:color w:val="auto"/>
                      <w:sz w:val="21"/>
                      <w:szCs w:val="21"/>
                      <w:lang w:val="en-US" w:eastAsia="zh-CN"/>
                    </w:rPr>
                  </w:pPr>
                </w:p>
              </w:tc>
              <w:tc>
                <w:tcPr>
                  <w:tcW w:w="6415" w:type="dxa"/>
                  <w:gridSpan w:val="9"/>
                </w:tcPr>
                <w:p w14:paraId="1B985723">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工业企业大气污染源构成类别</w:t>
                  </w:r>
                </w:p>
              </w:tc>
            </w:tr>
            <w:tr w14:paraId="263CDC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2" w:hRule="exact"/>
                <w:jc w:val="center"/>
              </w:trPr>
              <w:tc>
                <w:tcPr>
                  <w:tcW w:w="1091" w:type="dxa"/>
                  <w:vMerge w:val="continue"/>
                </w:tcPr>
                <w:p w14:paraId="623506C7">
                  <w:pPr>
                    <w:jc w:val="center"/>
                    <w:rPr>
                      <w:rFonts w:hint="default" w:ascii="Times New Roman" w:hAnsi="Times New Roman" w:cs="Times New Roman"/>
                      <w:bCs/>
                      <w:color w:val="auto"/>
                      <w:sz w:val="21"/>
                      <w:szCs w:val="21"/>
                      <w:lang w:val="en-US" w:eastAsia="zh-CN"/>
                    </w:rPr>
                  </w:pPr>
                </w:p>
              </w:tc>
              <w:tc>
                <w:tcPr>
                  <w:tcW w:w="1521" w:type="dxa"/>
                  <w:vMerge w:val="continue"/>
                </w:tcPr>
                <w:p w14:paraId="370A1281">
                  <w:pPr>
                    <w:jc w:val="center"/>
                    <w:rPr>
                      <w:rFonts w:hint="default" w:ascii="Times New Roman" w:hAnsi="Times New Roman" w:cs="Times New Roman"/>
                      <w:bCs/>
                      <w:color w:val="auto"/>
                      <w:sz w:val="21"/>
                      <w:szCs w:val="21"/>
                      <w:lang w:val="en-US" w:eastAsia="zh-CN"/>
                    </w:rPr>
                  </w:pPr>
                </w:p>
              </w:tc>
              <w:tc>
                <w:tcPr>
                  <w:tcW w:w="714" w:type="dxa"/>
                </w:tcPr>
                <w:p w14:paraId="02E3A0BF">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Ⅰ</w:t>
                  </w:r>
                </w:p>
              </w:tc>
              <w:tc>
                <w:tcPr>
                  <w:tcW w:w="714" w:type="dxa"/>
                </w:tcPr>
                <w:p w14:paraId="770614A0">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Ⅱ</w:t>
                  </w:r>
                </w:p>
              </w:tc>
              <w:tc>
                <w:tcPr>
                  <w:tcW w:w="712" w:type="dxa"/>
                </w:tcPr>
                <w:p w14:paraId="54F98C73">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Ⅲ</w:t>
                  </w:r>
                </w:p>
              </w:tc>
              <w:tc>
                <w:tcPr>
                  <w:tcW w:w="712" w:type="dxa"/>
                </w:tcPr>
                <w:p w14:paraId="0FDD9E93">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Ⅰ</w:t>
                  </w:r>
                </w:p>
              </w:tc>
              <w:tc>
                <w:tcPr>
                  <w:tcW w:w="715" w:type="dxa"/>
                </w:tcPr>
                <w:p w14:paraId="74E85384">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Ⅱ</w:t>
                  </w:r>
                </w:p>
              </w:tc>
              <w:tc>
                <w:tcPr>
                  <w:tcW w:w="712" w:type="dxa"/>
                </w:tcPr>
                <w:p w14:paraId="7E2C9A97">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Ⅲ</w:t>
                  </w:r>
                </w:p>
              </w:tc>
              <w:tc>
                <w:tcPr>
                  <w:tcW w:w="712" w:type="dxa"/>
                </w:tcPr>
                <w:p w14:paraId="4D552BC9">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Ⅰ</w:t>
                  </w:r>
                </w:p>
              </w:tc>
              <w:tc>
                <w:tcPr>
                  <w:tcW w:w="712" w:type="dxa"/>
                </w:tcPr>
                <w:p w14:paraId="3831C8A8">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Ⅱ</w:t>
                  </w:r>
                </w:p>
              </w:tc>
              <w:tc>
                <w:tcPr>
                  <w:tcW w:w="712" w:type="dxa"/>
                </w:tcPr>
                <w:p w14:paraId="220AE1DD">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Ⅲ</w:t>
                  </w:r>
                </w:p>
              </w:tc>
            </w:tr>
            <w:tr w14:paraId="16EE63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2" w:hRule="exact"/>
                <w:jc w:val="center"/>
              </w:trPr>
              <w:tc>
                <w:tcPr>
                  <w:tcW w:w="1091" w:type="dxa"/>
                  <w:vMerge w:val="restart"/>
                </w:tcPr>
                <w:p w14:paraId="122EC3C1">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A</w:t>
                  </w:r>
                </w:p>
              </w:tc>
              <w:tc>
                <w:tcPr>
                  <w:tcW w:w="1521" w:type="dxa"/>
                </w:tcPr>
                <w:p w14:paraId="51057C60">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&lt;2</w:t>
                  </w:r>
                </w:p>
              </w:tc>
              <w:tc>
                <w:tcPr>
                  <w:tcW w:w="714" w:type="dxa"/>
                </w:tcPr>
                <w:p w14:paraId="39B69DE6">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400</w:t>
                  </w:r>
                </w:p>
              </w:tc>
              <w:tc>
                <w:tcPr>
                  <w:tcW w:w="714" w:type="dxa"/>
                </w:tcPr>
                <w:p w14:paraId="1FECB11C">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400</w:t>
                  </w:r>
                </w:p>
              </w:tc>
              <w:tc>
                <w:tcPr>
                  <w:tcW w:w="712" w:type="dxa"/>
                </w:tcPr>
                <w:p w14:paraId="729333E8">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400</w:t>
                  </w:r>
                </w:p>
              </w:tc>
              <w:tc>
                <w:tcPr>
                  <w:tcW w:w="712" w:type="dxa"/>
                </w:tcPr>
                <w:p w14:paraId="5331F46A">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400</w:t>
                  </w:r>
                </w:p>
              </w:tc>
              <w:tc>
                <w:tcPr>
                  <w:tcW w:w="715" w:type="dxa"/>
                </w:tcPr>
                <w:p w14:paraId="462274FF">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400</w:t>
                  </w:r>
                </w:p>
              </w:tc>
              <w:tc>
                <w:tcPr>
                  <w:tcW w:w="712" w:type="dxa"/>
                </w:tcPr>
                <w:p w14:paraId="14856308">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400</w:t>
                  </w:r>
                </w:p>
              </w:tc>
              <w:tc>
                <w:tcPr>
                  <w:tcW w:w="712" w:type="dxa"/>
                </w:tcPr>
                <w:p w14:paraId="4B87063F">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80</w:t>
                  </w:r>
                </w:p>
              </w:tc>
              <w:tc>
                <w:tcPr>
                  <w:tcW w:w="712" w:type="dxa"/>
                </w:tcPr>
                <w:p w14:paraId="52C7665B">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80</w:t>
                  </w:r>
                </w:p>
              </w:tc>
              <w:tc>
                <w:tcPr>
                  <w:tcW w:w="712" w:type="dxa"/>
                </w:tcPr>
                <w:p w14:paraId="778DE458">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80</w:t>
                  </w:r>
                </w:p>
              </w:tc>
            </w:tr>
            <w:tr w14:paraId="7F33C8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2" w:hRule="exact"/>
                <w:jc w:val="center"/>
              </w:trPr>
              <w:tc>
                <w:tcPr>
                  <w:tcW w:w="1091" w:type="dxa"/>
                  <w:vMerge w:val="continue"/>
                </w:tcPr>
                <w:p w14:paraId="416143EB">
                  <w:pPr>
                    <w:jc w:val="center"/>
                    <w:rPr>
                      <w:rFonts w:hint="default" w:ascii="Times New Roman" w:hAnsi="Times New Roman" w:cs="Times New Roman"/>
                      <w:bCs/>
                      <w:color w:val="auto"/>
                      <w:sz w:val="21"/>
                      <w:szCs w:val="21"/>
                      <w:lang w:val="en-US" w:eastAsia="zh-CN"/>
                    </w:rPr>
                  </w:pPr>
                </w:p>
              </w:tc>
              <w:tc>
                <w:tcPr>
                  <w:tcW w:w="1521" w:type="dxa"/>
                </w:tcPr>
                <w:p w14:paraId="014486F4">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2～4</w:t>
                  </w:r>
                </w:p>
              </w:tc>
              <w:tc>
                <w:tcPr>
                  <w:tcW w:w="714" w:type="dxa"/>
                </w:tcPr>
                <w:p w14:paraId="2405F697">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700</w:t>
                  </w:r>
                </w:p>
              </w:tc>
              <w:tc>
                <w:tcPr>
                  <w:tcW w:w="714" w:type="dxa"/>
                </w:tcPr>
                <w:p w14:paraId="5ACBC558">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470</w:t>
                  </w:r>
                </w:p>
              </w:tc>
              <w:tc>
                <w:tcPr>
                  <w:tcW w:w="712" w:type="dxa"/>
                </w:tcPr>
                <w:p w14:paraId="0EC40335">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350</w:t>
                  </w:r>
                </w:p>
              </w:tc>
              <w:tc>
                <w:tcPr>
                  <w:tcW w:w="712" w:type="dxa"/>
                </w:tcPr>
                <w:p w14:paraId="2D563F60">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700</w:t>
                  </w:r>
                </w:p>
              </w:tc>
              <w:tc>
                <w:tcPr>
                  <w:tcW w:w="715" w:type="dxa"/>
                </w:tcPr>
                <w:p w14:paraId="7C83DF1E">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470</w:t>
                  </w:r>
                </w:p>
              </w:tc>
              <w:tc>
                <w:tcPr>
                  <w:tcW w:w="712" w:type="dxa"/>
                </w:tcPr>
                <w:p w14:paraId="246B54F6">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350</w:t>
                  </w:r>
                </w:p>
              </w:tc>
              <w:tc>
                <w:tcPr>
                  <w:tcW w:w="712" w:type="dxa"/>
                </w:tcPr>
                <w:p w14:paraId="5CC1E524">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380</w:t>
                  </w:r>
                </w:p>
              </w:tc>
              <w:tc>
                <w:tcPr>
                  <w:tcW w:w="712" w:type="dxa"/>
                </w:tcPr>
                <w:p w14:paraId="5C53D37E">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250</w:t>
                  </w:r>
                </w:p>
              </w:tc>
              <w:tc>
                <w:tcPr>
                  <w:tcW w:w="712" w:type="dxa"/>
                </w:tcPr>
                <w:p w14:paraId="3BA8FEFF">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190</w:t>
                  </w:r>
                </w:p>
              </w:tc>
            </w:tr>
            <w:tr w14:paraId="7E8159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2" w:hRule="exact"/>
                <w:jc w:val="center"/>
              </w:trPr>
              <w:tc>
                <w:tcPr>
                  <w:tcW w:w="1091" w:type="dxa"/>
                  <w:vMerge w:val="continue"/>
                </w:tcPr>
                <w:p w14:paraId="74CB0749">
                  <w:pPr>
                    <w:jc w:val="center"/>
                    <w:rPr>
                      <w:rFonts w:hint="default" w:ascii="Times New Roman" w:hAnsi="Times New Roman" w:cs="Times New Roman"/>
                      <w:bCs/>
                      <w:color w:val="auto"/>
                      <w:sz w:val="21"/>
                      <w:szCs w:val="21"/>
                      <w:lang w:val="en-US" w:eastAsia="zh-CN"/>
                    </w:rPr>
                  </w:pPr>
                </w:p>
              </w:tc>
              <w:tc>
                <w:tcPr>
                  <w:tcW w:w="1521" w:type="dxa"/>
                </w:tcPr>
                <w:p w14:paraId="2F82B19F">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&gt;4</w:t>
                  </w:r>
                </w:p>
              </w:tc>
              <w:tc>
                <w:tcPr>
                  <w:tcW w:w="714" w:type="dxa"/>
                </w:tcPr>
                <w:p w14:paraId="296A1124">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530</w:t>
                  </w:r>
                </w:p>
              </w:tc>
              <w:tc>
                <w:tcPr>
                  <w:tcW w:w="714" w:type="dxa"/>
                </w:tcPr>
                <w:p w14:paraId="19A3AEBA">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350</w:t>
                  </w:r>
                </w:p>
              </w:tc>
              <w:tc>
                <w:tcPr>
                  <w:tcW w:w="712" w:type="dxa"/>
                </w:tcPr>
                <w:p w14:paraId="46F59022">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260</w:t>
                  </w:r>
                </w:p>
              </w:tc>
              <w:tc>
                <w:tcPr>
                  <w:tcW w:w="712" w:type="dxa"/>
                </w:tcPr>
                <w:p w14:paraId="3FFC4863">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530</w:t>
                  </w:r>
                </w:p>
              </w:tc>
              <w:tc>
                <w:tcPr>
                  <w:tcW w:w="715" w:type="dxa"/>
                </w:tcPr>
                <w:p w14:paraId="37F18E1C">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350</w:t>
                  </w:r>
                </w:p>
              </w:tc>
              <w:tc>
                <w:tcPr>
                  <w:tcW w:w="712" w:type="dxa"/>
                </w:tcPr>
                <w:p w14:paraId="7E426FBD">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260</w:t>
                  </w:r>
                </w:p>
              </w:tc>
              <w:tc>
                <w:tcPr>
                  <w:tcW w:w="712" w:type="dxa"/>
                </w:tcPr>
                <w:p w14:paraId="1C17B351">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290</w:t>
                  </w:r>
                </w:p>
              </w:tc>
              <w:tc>
                <w:tcPr>
                  <w:tcW w:w="712" w:type="dxa"/>
                </w:tcPr>
                <w:p w14:paraId="69B7FF28">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190</w:t>
                  </w:r>
                </w:p>
              </w:tc>
              <w:tc>
                <w:tcPr>
                  <w:tcW w:w="712" w:type="dxa"/>
                </w:tcPr>
                <w:p w14:paraId="58BC0202">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110</w:t>
                  </w:r>
                </w:p>
              </w:tc>
            </w:tr>
            <w:tr w14:paraId="43A380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1" w:hRule="exact"/>
                <w:jc w:val="center"/>
              </w:trPr>
              <w:tc>
                <w:tcPr>
                  <w:tcW w:w="1091" w:type="dxa"/>
                  <w:vMerge w:val="restart"/>
                </w:tcPr>
                <w:p w14:paraId="1E8CEF5D">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B</w:t>
                  </w:r>
                </w:p>
              </w:tc>
              <w:tc>
                <w:tcPr>
                  <w:tcW w:w="1521" w:type="dxa"/>
                </w:tcPr>
                <w:p w14:paraId="396CC72D">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&lt;2</w:t>
                  </w:r>
                </w:p>
              </w:tc>
              <w:tc>
                <w:tcPr>
                  <w:tcW w:w="2140" w:type="dxa"/>
                  <w:gridSpan w:val="3"/>
                </w:tcPr>
                <w:p w14:paraId="34B3C421">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0.01</w:t>
                  </w:r>
                </w:p>
              </w:tc>
              <w:tc>
                <w:tcPr>
                  <w:tcW w:w="2139" w:type="dxa"/>
                  <w:gridSpan w:val="3"/>
                </w:tcPr>
                <w:p w14:paraId="2A4F3063">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0.013</w:t>
                  </w:r>
                </w:p>
              </w:tc>
              <w:tc>
                <w:tcPr>
                  <w:tcW w:w="2136" w:type="dxa"/>
                  <w:gridSpan w:val="3"/>
                </w:tcPr>
                <w:p w14:paraId="5D934FEF">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0.013</w:t>
                  </w:r>
                </w:p>
              </w:tc>
            </w:tr>
            <w:tr w14:paraId="129F0A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2" w:hRule="exact"/>
                <w:jc w:val="center"/>
              </w:trPr>
              <w:tc>
                <w:tcPr>
                  <w:tcW w:w="1091" w:type="dxa"/>
                  <w:vMerge w:val="continue"/>
                </w:tcPr>
                <w:p w14:paraId="0024907D">
                  <w:pPr>
                    <w:jc w:val="center"/>
                    <w:rPr>
                      <w:rFonts w:hint="default" w:ascii="Times New Roman" w:hAnsi="Times New Roman" w:cs="Times New Roman"/>
                      <w:bCs/>
                      <w:color w:val="auto"/>
                      <w:sz w:val="21"/>
                      <w:szCs w:val="21"/>
                      <w:lang w:val="en-US" w:eastAsia="zh-CN"/>
                    </w:rPr>
                  </w:pPr>
                </w:p>
              </w:tc>
              <w:tc>
                <w:tcPr>
                  <w:tcW w:w="1521" w:type="dxa"/>
                </w:tcPr>
                <w:p w14:paraId="36BDEC8A">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&gt;2</w:t>
                  </w:r>
                </w:p>
              </w:tc>
              <w:tc>
                <w:tcPr>
                  <w:tcW w:w="2140" w:type="dxa"/>
                  <w:gridSpan w:val="3"/>
                </w:tcPr>
                <w:p w14:paraId="647A4086">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0.02</w:t>
                  </w:r>
                </w:p>
              </w:tc>
              <w:tc>
                <w:tcPr>
                  <w:tcW w:w="2139" w:type="dxa"/>
                  <w:gridSpan w:val="3"/>
                </w:tcPr>
                <w:p w14:paraId="4B297622">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0.035</w:t>
                  </w:r>
                </w:p>
              </w:tc>
              <w:tc>
                <w:tcPr>
                  <w:tcW w:w="2136" w:type="dxa"/>
                  <w:gridSpan w:val="3"/>
                </w:tcPr>
                <w:p w14:paraId="43D32F49">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0.035</w:t>
                  </w:r>
                </w:p>
              </w:tc>
            </w:tr>
            <w:tr w14:paraId="6D706D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1" w:hRule="exact"/>
                <w:jc w:val="center"/>
              </w:trPr>
              <w:tc>
                <w:tcPr>
                  <w:tcW w:w="1091" w:type="dxa"/>
                  <w:vMerge w:val="restart"/>
                </w:tcPr>
                <w:p w14:paraId="03841913">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C</w:t>
                  </w:r>
                </w:p>
              </w:tc>
              <w:tc>
                <w:tcPr>
                  <w:tcW w:w="1521" w:type="dxa"/>
                </w:tcPr>
                <w:p w14:paraId="15468A09">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&lt;2</w:t>
                  </w:r>
                </w:p>
              </w:tc>
              <w:tc>
                <w:tcPr>
                  <w:tcW w:w="2140" w:type="dxa"/>
                  <w:gridSpan w:val="3"/>
                </w:tcPr>
                <w:p w14:paraId="3B3DCF57">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1.83</w:t>
                  </w:r>
                </w:p>
              </w:tc>
              <w:tc>
                <w:tcPr>
                  <w:tcW w:w="2139" w:type="dxa"/>
                  <w:gridSpan w:val="3"/>
                </w:tcPr>
                <w:p w14:paraId="046C4B0F">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1.76</w:t>
                  </w:r>
                </w:p>
              </w:tc>
              <w:tc>
                <w:tcPr>
                  <w:tcW w:w="2136" w:type="dxa"/>
                  <w:gridSpan w:val="3"/>
                </w:tcPr>
                <w:p w14:paraId="68E5D1BC">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1.76</w:t>
                  </w:r>
                </w:p>
              </w:tc>
            </w:tr>
            <w:tr w14:paraId="63B38F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1" w:hRule="exact"/>
                <w:jc w:val="center"/>
              </w:trPr>
              <w:tc>
                <w:tcPr>
                  <w:tcW w:w="1091" w:type="dxa"/>
                  <w:vMerge w:val="continue"/>
                </w:tcPr>
                <w:p w14:paraId="559A19B2">
                  <w:pPr>
                    <w:jc w:val="center"/>
                    <w:rPr>
                      <w:rFonts w:hint="default" w:ascii="Times New Roman" w:hAnsi="Times New Roman" w:cs="Times New Roman"/>
                      <w:bCs/>
                      <w:color w:val="auto"/>
                      <w:sz w:val="21"/>
                      <w:szCs w:val="21"/>
                      <w:lang w:val="en-US" w:eastAsia="zh-CN"/>
                    </w:rPr>
                  </w:pPr>
                </w:p>
              </w:tc>
              <w:tc>
                <w:tcPr>
                  <w:tcW w:w="1521" w:type="dxa"/>
                </w:tcPr>
                <w:p w14:paraId="46415388">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&gt;2</w:t>
                  </w:r>
                </w:p>
              </w:tc>
              <w:tc>
                <w:tcPr>
                  <w:tcW w:w="2140" w:type="dxa"/>
                  <w:gridSpan w:val="3"/>
                </w:tcPr>
                <w:p w14:paraId="7D5F1284">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1.83</w:t>
                  </w:r>
                </w:p>
              </w:tc>
              <w:tc>
                <w:tcPr>
                  <w:tcW w:w="2139" w:type="dxa"/>
                  <w:gridSpan w:val="3"/>
                </w:tcPr>
                <w:p w14:paraId="17EBED83">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1.74</w:t>
                  </w:r>
                </w:p>
              </w:tc>
              <w:tc>
                <w:tcPr>
                  <w:tcW w:w="2136" w:type="dxa"/>
                  <w:gridSpan w:val="3"/>
                </w:tcPr>
                <w:p w14:paraId="76E82044">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1.74</w:t>
                  </w:r>
                </w:p>
              </w:tc>
            </w:tr>
            <w:tr w14:paraId="7CB14D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2" w:hRule="exact"/>
                <w:jc w:val="center"/>
              </w:trPr>
              <w:tc>
                <w:tcPr>
                  <w:tcW w:w="1091" w:type="dxa"/>
                  <w:vMerge w:val="restart"/>
                </w:tcPr>
                <w:p w14:paraId="4AC7E681">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D</w:t>
                  </w:r>
                </w:p>
              </w:tc>
              <w:tc>
                <w:tcPr>
                  <w:tcW w:w="1521" w:type="dxa"/>
                </w:tcPr>
                <w:p w14:paraId="1F30F101">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&lt;2</w:t>
                  </w:r>
                </w:p>
              </w:tc>
              <w:tc>
                <w:tcPr>
                  <w:tcW w:w="2140" w:type="dxa"/>
                  <w:gridSpan w:val="3"/>
                </w:tcPr>
                <w:p w14:paraId="0C89C617">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0.75</w:t>
                  </w:r>
                </w:p>
              </w:tc>
              <w:tc>
                <w:tcPr>
                  <w:tcW w:w="2139" w:type="dxa"/>
                  <w:gridSpan w:val="3"/>
                </w:tcPr>
                <w:p w14:paraId="57A7877D">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0.75</w:t>
                  </w:r>
                </w:p>
              </w:tc>
              <w:tc>
                <w:tcPr>
                  <w:tcW w:w="2136" w:type="dxa"/>
                  <w:gridSpan w:val="3"/>
                </w:tcPr>
                <w:p w14:paraId="3B9F2358">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0.54</w:t>
                  </w:r>
                </w:p>
              </w:tc>
            </w:tr>
            <w:tr w14:paraId="7AED7D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1" w:hRule="exact"/>
                <w:jc w:val="center"/>
              </w:trPr>
              <w:tc>
                <w:tcPr>
                  <w:tcW w:w="1091" w:type="dxa"/>
                  <w:vMerge w:val="continue"/>
                </w:tcPr>
                <w:p w14:paraId="4231E0E8">
                  <w:pPr>
                    <w:jc w:val="center"/>
                    <w:rPr>
                      <w:rFonts w:hint="default" w:ascii="Times New Roman" w:hAnsi="Times New Roman" w:cs="Times New Roman"/>
                      <w:bCs/>
                      <w:color w:val="auto"/>
                      <w:sz w:val="21"/>
                      <w:szCs w:val="21"/>
                      <w:lang w:val="en-US" w:eastAsia="zh-CN"/>
                    </w:rPr>
                  </w:pPr>
                </w:p>
              </w:tc>
              <w:tc>
                <w:tcPr>
                  <w:tcW w:w="1521" w:type="dxa"/>
                </w:tcPr>
                <w:p w14:paraId="19170027">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&gt;2</w:t>
                  </w:r>
                </w:p>
              </w:tc>
              <w:tc>
                <w:tcPr>
                  <w:tcW w:w="2140" w:type="dxa"/>
                  <w:gridSpan w:val="3"/>
                </w:tcPr>
                <w:p w14:paraId="55D7060A">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0.81</w:t>
                  </w:r>
                </w:p>
              </w:tc>
              <w:tc>
                <w:tcPr>
                  <w:tcW w:w="2139" w:type="dxa"/>
                  <w:gridSpan w:val="3"/>
                </w:tcPr>
                <w:p w14:paraId="097FD06F">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0.81</w:t>
                  </w:r>
                </w:p>
              </w:tc>
              <w:tc>
                <w:tcPr>
                  <w:tcW w:w="2136" w:type="dxa"/>
                  <w:gridSpan w:val="3"/>
                </w:tcPr>
                <w:p w14:paraId="58D5AAFD">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0.73</w:t>
                  </w:r>
                </w:p>
              </w:tc>
            </w:tr>
          </w:tbl>
          <w:p w14:paraId="4D36EB15">
            <w:pPr>
              <w:pStyle w:val="28"/>
              <w:rPr>
                <w:rFonts w:hint="default"/>
                <w:lang w:val="en-US" w:eastAsia="zh-CN"/>
              </w:rPr>
            </w:pPr>
          </w:p>
          <w:p w14:paraId="5C9AADC4">
            <w:pPr>
              <w:spacing w:line="360" w:lineRule="auto"/>
              <w:ind w:firstLine="480"/>
              <w:jc w:val="center"/>
              <w:rPr>
                <w:rFonts w:hint="default" w:ascii="Times New Roman" w:hAnsi="Times New Roman" w:cs="Times New Roman"/>
                <w:b/>
                <w:bCs/>
                <w:color w:val="auto"/>
                <w:sz w:val="21"/>
                <w:szCs w:val="21"/>
                <w:lang w:val="en-US" w:eastAsia="zh-CN"/>
              </w:rPr>
            </w:pPr>
            <w:r>
              <w:rPr>
                <w:rFonts w:hint="default" w:ascii="Times New Roman" w:hAnsi="Times New Roman" w:cs="Times New Roman"/>
                <w:b/>
                <w:bCs/>
                <w:color w:val="auto"/>
                <w:sz w:val="21"/>
                <w:szCs w:val="21"/>
                <w:lang w:val="en-US" w:eastAsia="zh-CN"/>
              </w:rPr>
              <w:t>表7-</w:t>
            </w:r>
            <w:r>
              <w:rPr>
                <w:rFonts w:hint="eastAsia" w:cs="Times New Roman"/>
                <w:b/>
                <w:bCs/>
                <w:color w:val="auto"/>
                <w:sz w:val="21"/>
                <w:szCs w:val="21"/>
                <w:lang w:val="en-US" w:eastAsia="zh-CN"/>
              </w:rPr>
              <w:t>9</w:t>
            </w:r>
            <w:r>
              <w:rPr>
                <w:rFonts w:hint="default" w:ascii="Times New Roman" w:hAnsi="Times New Roman" w:cs="Times New Roman"/>
                <w:b/>
                <w:bCs/>
                <w:color w:val="auto"/>
                <w:sz w:val="21"/>
                <w:szCs w:val="21"/>
                <w:lang w:val="en-US" w:eastAsia="zh-CN"/>
              </w:rPr>
              <w:t xml:space="preserve">   卫生防护距离情况</w:t>
            </w:r>
          </w:p>
          <w:tbl>
            <w:tblPr>
              <w:tblStyle w:val="69"/>
              <w:tblW w:w="996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55"/>
              <w:gridCol w:w="1157"/>
              <w:gridCol w:w="778"/>
              <w:gridCol w:w="973"/>
              <w:gridCol w:w="970"/>
              <w:gridCol w:w="1237"/>
              <w:gridCol w:w="1131"/>
              <w:gridCol w:w="1397"/>
              <w:gridCol w:w="970"/>
            </w:tblGrid>
            <w:tr w14:paraId="049D8E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94" w:hRule="exact"/>
                <w:jc w:val="center"/>
              </w:trPr>
              <w:tc>
                <w:tcPr>
                  <w:tcW w:w="1355" w:type="dxa"/>
                  <w:vMerge w:val="restart"/>
                  <w:vAlign w:val="center"/>
                </w:tcPr>
                <w:p w14:paraId="571463AA">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无组织排放源</w:t>
                  </w:r>
                </w:p>
              </w:tc>
              <w:tc>
                <w:tcPr>
                  <w:tcW w:w="1157" w:type="dxa"/>
                  <w:vMerge w:val="restart"/>
                  <w:vAlign w:val="center"/>
                </w:tcPr>
                <w:p w14:paraId="5F275499">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污染物</w:t>
                  </w:r>
                </w:p>
              </w:tc>
              <w:tc>
                <w:tcPr>
                  <w:tcW w:w="778" w:type="dxa"/>
                  <w:vMerge w:val="restart"/>
                  <w:vAlign w:val="center"/>
                </w:tcPr>
                <w:p w14:paraId="7D7FC09B">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面源高度 m</w:t>
                  </w:r>
                </w:p>
              </w:tc>
              <w:tc>
                <w:tcPr>
                  <w:tcW w:w="1943" w:type="dxa"/>
                  <w:gridSpan w:val="2"/>
                  <w:vAlign w:val="center"/>
                </w:tcPr>
                <w:p w14:paraId="0DCB7B9A">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排放源面积 m2</w:t>
                  </w:r>
                </w:p>
              </w:tc>
              <w:tc>
                <w:tcPr>
                  <w:tcW w:w="1237" w:type="dxa"/>
                  <w:vMerge w:val="restart"/>
                  <w:vAlign w:val="center"/>
                </w:tcPr>
                <w:p w14:paraId="7C82E4AE">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排放量</w:t>
                  </w:r>
                </w:p>
                <w:p w14:paraId="40ABBFDE">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（g/h）</w:t>
                  </w:r>
                </w:p>
              </w:tc>
              <w:tc>
                <w:tcPr>
                  <w:tcW w:w="1131" w:type="dxa"/>
                  <w:vMerge w:val="restart"/>
                  <w:vAlign w:val="center"/>
                </w:tcPr>
                <w:p w14:paraId="018C6C79">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标准值</w:t>
                  </w:r>
                </w:p>
                <w:p w14:paraId="6F1E1570">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（mg/m</w:t>
                  </w:r>
                  <w:r>
                    <w:rPr>
                      <w:rFonts w:hint="default" w:ascii="Times New Roman" w:hAnsi="Times New Roman" w:cs="Times New Roman"/>
                      <w:bCs/>
                      <w:color w:val="auto"/>
                      <w:sz w:val="21"/>
                      <w:szCs w:val="21"/>
                      <w:vertAlign w:val="superscript"/>
                      <w:lang w:val="en-US" w:eastAsia="zh-CN"/>
                    </w:rPr>
                    <w:t>3</w:t>
                  </w:r>
                  <w:r>
                    <w:rPr>
                      <w:rFonts w:hint="default" w:ascii="Times New Roman" w:hAnsi="Times New Roman" w:cs="Times New Roman"/>
                      <w:bCs/>
                      <w:color w:val="auto"/>
                      <w:sz w:val="21"/>
                      <w:szCs w:val="21"/>
                      <w:lang w:val="en-US" w:eastAsia="zh-CN"/>
                    </w:rPr>
                    <w:t>）</w:t>
                  </w:r>
                </w:p>
              </w:tc>
              <w:tc>
                <w:tcPr>
                  <w:tcW w:w="1397" w:type="dxa"/>
                  <w:vMerge w:val="restart"/>
                  <w:vAlign w:val="center"/>
                </w:tcPr>
                <w:p w14:paraId="6AE23E80">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计算结果</w:t>
                  </w:r>
                </w:p>
                <w:p w14:paraId="21A551C8">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（m）</w:t>
                  </w:r>
                </w:p>
              </w:tc>
              <w:tc>
                <w:tcPr>
                  <w:tcW w:w="970" w:type="dxa"/>
                  <w:vMerge w:val="restart"/>
                  <w:vAlign w:val="center"/>
                </w:tcPr>
                <w:p w14:paraId="74550D12">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卫生防护 距离</w:t>
                  </w:r>
                </w:p>
                <w:p w14:paraId="3489CFBE">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（m）</w:t>
                  </w:r>
                </w:p>
              </w:tc>
            </w:tr>
            <w:tr w14:paraId="271BD8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exact"/>
                <w:jc w:val="center"/>
              </w:trPr>
              <w:tc>
                <w:tcPr>
                  <w:tcW w:w="1355" w:type="dxa"/>
                  <w:vMerge w:val="continue"/>
                  <w:vAlign w:val="center"/>
                </w:tcPr>
                <w:p w14:paraId="6E5CD574">
                  <w:pPr>
                    <w:jc w:val="center"/>
                    <w:rPr>
                      <w:rFonts w:hint="default" w:ascii="Times New Roman" w:hAnsi="Times New Roman" w:cs="Times New Roman"/>
                      <w:bCs/>
                      <w:color w:val="auto"/>
                      <w:sz w:val="21"/>
                      <w:szCs w:val="21"/>
                      <w:lang w:val="en-US" w:eastAsia="zh-CN"/>
                    </w:rPr>
                  </w:pPr>
                </w:p>
              </w:tc>
              <w:tc>
                <w:tcPr>
                  <w:tcW w:w="1157" w:type="dxa"/>
                  <w:vMerge w:val="continue"/>
                  <w:vAlign w:val="center"/>
                </w:tcPr>
                <w:p w14:paraId="6018EA34">
                  <w:pPr>
                    <w:jc w:val="center"/>
                    <w:rPr>
                      <w:rFonts w:hint="default" w:ascii="Times New Roman" w:hAnsi="Times New Roman" w:cs="Times New Roman"/>
                      <w:bCs/>
                      <w:color w:val="auto"/>
                      <w:sz w:val="21"/>
                      <w:szCs w:val="21"/>
                      <w:lang w:val="en-US" w:eastAsia="zh-CN"/>
                    </w:rPr>
                  </w:pPr>
                </w:p>
              </w:tc>
              <w:tc>
                <w:tcPr>
                  <w:tcW w:w="778" w:type="dxa"/>
                  <w:vMerge w:val="continue"/>
                  <w:vAlign w:val="center"/>
                </w:tcPr>
                <w:p w14:paraId="59631AA4">
                  <w:pPr>
                    <w:jc w:val="center"/>
                    <w:rPr>
                      <w:rFonts w:hint="default" w:ascii="Times New Roman" w:hAnsi="Times New Roman" w:cs="Times New Roman"/>
                      <w:bCs/>
                      <w:color w:val="auto"/>
                      <w:sz w:val="21"/>
                      <w:szCs w:val="21"/>
                      <w:lang w:val="en-US" w:eastAsia="zh-CN"/>
                    </w:rPr>
                  </w:pPr>
                </w:p>
              </w:tc>
              <w:tc>
                <w:tcPr>
                  <w:tcW w:w="973" w:type="dxa"/>
                  <w:vAlign w:val="center"/>
                </w:tcPr>
                <w:p w14:paraId="6161CCAB">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长度</w:t>
                  </w:r>
                </w:p>
                <w:p w14:paraId="5D6DF360">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（m）</w:t>
                  </w:r>
                </w:p>
              </w:tc>
              <w:tc>
                <w:tcPr>
                  <w:tcW w:w="970" w:type="dxa"/>
                  <w:vAlign w:val="center"/>
                </w:tcPr>
                <w:p w14:paraId="25A53238">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宽度</w:t>
                  </w:r>
                </w:p>
                <w:p w14:paraId="12E6C589">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（m）</w:t>
                  </w:r>
                </w:p>
              </w:tc>
              <w:tc>
                <w:tcPr>
                  <w:tcW w:w="1237" w:type="dxa"/>
                  <w:vMerge w:val="continue"/>
                  <w:vAlign w:val="center"/>
                </w:tcPr>
                <w:p w14:paraId="087FE40E">
                  <w:pPr>
                    <w:jc w:val="center"/>
                    <w:rPr>
                      <w:rFonts w:hint="default" w:ascii="Times New Roman" w:hAnsi="Times New Roman" w:cs="Times New Roman"/>
                      <w:bCs/>
                      <w:color w:val="auto"/>
                      <w:sz w:val="21"/>
                      <w:szCs w:val="21"/>
                      <w:lang w:val="en-US" w:eastAsia="zh-CN"/>
                    </w:rPr>
                  </w:pPr>
                </w:p>
              </w:tc>
              <w:tc>
                <w:tcPr>
                  <w:tcW w:w="1131" w:type="dxa"/>
                  <w:vMerge w:val="continue"/>
                  <w:vAlign w:val="center"/>
                </w:tcPr>
                <w:p w14:paraId="0DA1B94E">
                  <w:pPr>
                    <w:jc w:val="center"/>
                    <w:rPr>
                      <w:rFonts w:hint="default" w:ascii="Times New Roman" w:hAnsi="Times New Roman" w:cs="Times New Roman"/>
                      <w:bCs/>
                      <w:color w:val="auto"/>
                      <w:sz w:val="21"/>
                      <w:szCs w:val="21"/>
                      <w:lang w:val="en-US" w:eastAsia="zh-CN"/>
                    </w:rPr>
                  </w:pPr>
                </w:p>
              </w:tc>
              <w:tc>
                <w:tcPr>
                  <w:tcW w:w="1397" w:type="dxa"/>
                  <w:vMerge w:val="continue"/>
                  <w:vAlign w:val="center"/>
                </w:tcPr>
                <w:p w14:paraId="3FEB1891">
                  <w:pPr>
                    <w:jc w:val="center"/>
                    <w:rPr>
                      <w:rFonts w:hint="default" w:ascii="Times New Roman" w:hAnsi="Times New Roman" w:cs="Times New Roman"/>
                      <w:bCs/>
                      <w:color w:val="auto"/>
                      <w:sz w:val="21"/>
                      <w:szCs w:val="21"/>
                      <w:lang w:val="en-US" w:eastAsia="zh-CN"/>
                    </w:rPr>
                  </w:pPr>
                </w:p>
              </w:tc>
              <w:tc>
                <w:tcPr>
                  <w:tcW w:w="970" w:type="dxa"/>
                  <w:vMerge w:val="continue"/>
                  <w:vAlign w:val="center"/>
                </w:tcPr>
                <w:p w14:paraId="2CAE6454">
                  <w:pPr>
                    <w:jc w:val="center"/>
                    <w:rPr>
                      <w:rFonts w:hint="default" w:ascii="Times New Roman" w:hAnsi="Times New Roman" w:cs="Times New Roman"/>
                      <w:bCs/>
                      <w:color w:val="auto"/>
                      <w:sz w:val="21"/>
                      <w:szCs w:val="21"/>
                      <w:lang w:val="en-US" w:eastAsia="zh-CN"/>
                    </w:rPr>
                  </w:pPr>
                </w:p>
              </w:tc>
            </w:tr>
            <w:tr w14:paraId="105AAE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exact"/>
                <w:jc w:val="center"/>
              </w:trPr>
              <w:tc>
                <w:tcPr>
                  <w:tcW w:w="1355" w:type="dxa"/>
                  <w:vAlign w:val="center"/>
                </w:tcPr>
                <w:p w14:paraId="11C876A6">
                  <w:pPr>
                    <w:jc w:val="center"/>
                    <w:rPr>
                      <w:rFonts w:hint="default" w:ascii="Times New Roman" w:hAnsi="Times New Roman" w:cs="Times New Roman"/>
                      <w:bCs/>
                      <w:color w:val="auto"/>
                      <w:sz w:val="21"/>
                      <w:szCs w:val="21"/>
                      <w:lang w:val="en-US" w:eastAsia="zh-CN"/>
                    </w:rPr>
                  </w:pPr>
                  <w:r>
                    <w:rPr>
                      <w:rFonts w:hint="eastAsia" w:ascii="Times New Roman" w:hAnsi="Times New Roman" w:cs="Times New Roman"/>
                      <w:bCs/>
                      <w:color w:val="auto"/>
                      <w:sz w:val="21"/>
                      <w:szCs w:val="21"/>
                      <w:lang w:val="en-US" w:eastAsia="zh-CN"/>
                    </w:rPr>
                    <w:t>2#</w:t>
                  </w:r>
                  <w:r>
                    <w:rPr>
                      <w:rFonts w:hint="default" w:ascii="Times New Roman" w:hAnsi="Times New Roman" w:cs="Times New Roman"/>
                      <w:bCs/>
                      <w:color w:val="auto"/>
                      <w:sz w:val="21"/>
                      <w:szCs w:val="21"/>
                      <w:lang w:val="en-US" w:eastAsia="zh-CN"/>
                    </w:rPr>
                    <w:t>生产车间</w:t>
                  </w:r>
                </w:p>
              </w:tc>
              <w:tc>
                <w:tcPr>
                  <w:tcW w:w="1157" w:type="dxa"/>
                  <w:vAlign w:val="center"/>
                </w:tcPr>
                <w:p w14:paraId="5189AF5A">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颗粒物</w:t>
                  </w:r>
                </w:p>
              </w:tc>
              <w:tc>
                <w:tcPr>
                  <w:tcW w:w="778" w:type="dxa"/>
                  <w:vAlign w:val="center"/>
                </w:tcPr>
                <w:p w14:paraId="7007B7E2">
                  <w:pPr>
                    <w:jc w:val="center"/>
                    <w:rPr>
                      <w:rFonts w:hint="default" w:ascii="Times New Roman" w:hAnsi="Times New Roman" w:cs="Times New Roman"/>
                      <w:bCs/>
                      <w:color w:val="auto"/>
                      <w:sz w:val="21"/>
                      <w:szCs w:val="21"/>
                      <w:lang w:val="en-US" w:eastAsia="zh-CN"/>
                    </w:rPr>
                  </w:pPr>
                  <w:r>
                    <w:rPr>
                      <w:rFonts w:hint="eastAsia" w:ascii="Times New Roman" w:hAnsi="Times New Roman" w:cs="Times New Roman"/>
                      <w:bCs/>
                      <w:color w:val="auto"/>
                      <w:sz w:val="21"/>
                      <w:szCs w:val="21"/>
                      <w:lang w:val="en-US" w:eastAsia="zh-CN"/>
                    </w:rPr>
                    <w:t>9</w:t>
                  </w:r>
                </w:p>
              </w:tc>
              <w:tc>
                <w:tcPr>
                  <w:tcW w:w="973" w:type="dxa"/>
                  <w:vAlign w:val="center"/>
                </w:tcPr>
                <w:p w14:paraId="5B70A797">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100</w:t>
                  </w:r>
                </w:p>
              </w:tc>
              <w:tc>
                <w:tcPr>
                  <w:tcW w:w="970" w:type="dxa"/>
                  <w:vAlign w:val="center"/>
                </w:tcPr>
                <w:p w14:paraId="5D9043C6">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86</w:t>
                  </w:r>
                </w:p>
              </w:tc>
              <w:tc>
                <w:tcPr>
                  <w:tcW w:w="1237" w:type="dxa"/>
                  <w:vAlign w:val="center"/>
                </w:tcPr>
                <w:p w14:paraId="322E0C83">
                  <w:pPr>
                    <w:pStyle w:val="28"/>
                    <w:keepNext w:val="0"/>
                    <w:keepLines w:val="0"/>
                    <w:suppressLineNumbers w:val="0"/>
                    <w:spacing w:before="0" w:beforeAutospacing="0" w:after="0" w:afterAutospacing="0" w:line="240" w:lineRule="auto"/>
                    <w:ind w:left="0" w:leftChars="0" w:right="0" w:rightChars="0"/>
                    <w:jc w:val="center"/>
                    <w:rPr>
                      <w:rFonts w:hint="default" w:ascii="Times New Roman" w:hAnsi="Times New Roman" w:cs="Times New Roman"/>
                      <w:bCs/>
                      <w:color w:val="auto"/>
                      <w:sz w:val="21"/>
                      <w:szCs w:val="21"/>
                      <w:lang w:val="en-US" w:eastAsia="zh-CN"/>
                    </w:rPr>
                  </w:pPr>
                  <w:r>
                    <w:rPr>
                      <w:rFonts w:hint="eastAsia" w:hAnsi="宋体" w:cs="宋体"/>
                      <w:b w:val="0"/>
                      <w:bCs/>
                      <w:color w:val="auto"/>
                      <w:w w:val="100"/>
                      <w:kern w:val="2"/>
                      <w:sz w:val="21"/>
                      <w:szCs w:val="21"/>
                      <w:vertAlign w:val="baseline"/>
                      <w:lang w:val="en-US" w:eastAsia="zh-CN"/>
                    </w:rPr>
                    <w:t>0.1875</w:t>
                  </w:r>
                </w:p>
              </w:tc>
              <w:tc>
                <w:tcPr>
                  <w:tcW w:w="1131" w:type="dxa"/>
                  <w:vAlign w:val="center"/>
                </w:tcPr>
                <w:p w14:paraId="223E8B08">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1</w:t>
                  </w:r>
                </w:p>
              </w:tc>
              <w:tc>
                <w:tcPr>
                  <w:tcW w:w="1397" w:type="dxa"/>
                  <w:vAlign w:val="center"/>
                </w:tcPr>
                <w:p w14:paraId="2EF849AE">
                  <w:pPr>
                    <w:jc w:val="center"/>
                    <w:rPr>
                      <w:rFonts w:hint="default" w:ascii="Times New Roman" w:hAnsi="Times New Roman" w:cs="Times New Roman"/>
                      <w:bCs/>
                      <w:color w:val="auto"/>
                      <w:sz w:val="21"/>
                      <w:szCs w:val="21"/>
                      <w:lang w:val="en-US" w:eastAsia="zh-CN"/>
                    </w:rPr>
                  </w:pPr>
                  <w:r>
                    <w:rPr>
                      <w:rFonts w:hint="eastAsia" w:ascii="Times New Roman" w:hAnsi="Times New Roman" w:cs="Times New Roman"/>
                      <w:bCs/>
                      <w:color w:val="auto"/>
                      <w:sz w:val="21"/>
                      <w:szCs w:val="21"/>
                      <w:lang w:val="en-US" w:eastAsia="zh-CN"/>
                    </w:rPr>
                    <w:t>0.00</w:t>
                  </w:r>
                  <w:r>
                    <w:rPr>
                      <w:rFonts w:hint="eastAsia" w:cs="Times New Roman"/>
                      <w:bCs/>
                      <w:color w:val="auto"/>
                      <w:sz w:val="21"/>
                      <w:szCs w:val="21"/>
                      <w:lang w:val="en-US" w:eastAsia="zh-CN"/>
                    </w:rPr>
                    <w:t>5</w:t>
                  </w:r>
                </w:p>
              </w:tc>
              <w:tc>
                <w:tcPr>
                  <w:tcW w:w="970" w:type="dxa"/>
                  <w:vAlign w:val="center"/>
                </w:tcPr>
                <w:p w14:paraId="0B1311F3">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50</w:t>
                  </w:r>
                </w:p>
              </w:tc>
            </w:tr>
            <w:tr w14:paraId="719DF7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1" w:hRule="exact"/>
                <w:jc w:val="center"/>
              </w:trPr>
              <w:tc>
                <w:tcPr>
                  <w:tcW w:w="1355" w:type="dxa"/>
                  <w:vAlign w:val="center"/>
                </w:tcPr>
                <w:p w14:paraId="63C74569">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2#生产车间</w:t>
                  </w:r>
                </w:p>
              </w:tc>
              <w:tc>
                <w:tcPr>
                  <w:tcW w:w="1157" w:type="dxa"/>
                  <w:vMerge w:val="restart"/>
                  <w:vAlign w:val="center"/>
                </w:tcPr>
                <w:p w14:paraId="3E7B11E4">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VOCs</w:t>
                  </w:r>
                </w:p>
              </w:tc>
              <w:tc>
                <w:tcPr>
                  <w:tcW w:w="778" w:type="dxa"/>
                  <w:vAlign w:val="center"/>
                </w:tcPr>
                <w:p w14:paraId="146F0BAF">
                  <w:pPr>
                    <w:jc w:val="center"/>
                    <w:rPr>
                      <w:rFonts w:hint="default" w:ascii="Times New Roman" w:hAnsi="Times New Roman" w:cs="Times New Roman"/>
                      <w:bCs/>
                      <w:color w:val="auto"/>
                      <w:sz w:val="21"/>
                      <w:szCs w:val="21"/>
                      <w:lang w:val="en-US" w:eastAsia="zh-CN"/>
                    </w:rPr>
                  </w:pPr>
                  <w:r>
                    <w:rPr>
                      <w:rFonts w:hint="eastAsia" w:ascii="Times New Roman" w:hAnsi="Times New Roman" w:cs="Times New Roman"/>
                      <w:bCs/>
                      <w:color w:val="auto"/>
                      <w:sz w:val="21"/>
                      <w:szCs w:val="21"/>
                      <w:lang w:val="en-US" w:eastAsia="zh-CN"/>
                    </w:rPr>
                    <w:t>9</w:t>
                  </w:r>
                </w:p>
              </w:tc>
              <w:tc>
                <w:tcPr>
                  <w:tcW w:w="973" w:type="dxa"/>
                  <w:vAlign w:val="center"/>
                </w:tcPr>
                <w:p w14:paraId="4B30FABD">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100</w:t>
                  </w:r>
                </w:p>
              </w:tc>
              <w:tc>
                <w:tcPr>
                  <w:tcW w:w="970" w:type="dxa"/>
                  <w:vAlign w:val="center"/>
                </w:tcPr>
                <w:p w14:paraId="0FBA5C7B">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86</w:t>
                  </w:r>
                </w:p>
              </w:tc>
              <w:tc>
                <w:tcPr>
                  <w:tcW w:w="1237" w:type="dxa"/>
                  <w:vAlign w:val="center"/>
                </w:tcPr>
                <w:p w14:paraId="5687B48A">
                  <w:pPr>
                    <w:pStyle w:val="28"/>
                    <w:keepNext w:val="0"/>
                    <w:keepLines w:val="0"/>
                    <w:suppressLineNumbers w:val="0"/>
                    <w:spacing w:before="0" w:beforeAutospacing="0" w:after="0" w:afterAutospacing="0" w:line="240" w:lineRule="auto"/>
                    <w:ind w:left="0" w:leftChars="0" w:right="0" w:rightChars="0"/>
                    <w:jc w:val="center"/>
                    <w:rPr>
                      <w:rFonts w:hint="default" w:ascii="Times New Roman" w:hAnsi="Times New Roman" w:cs="Times New Roman"/>
                      <w:bCs/>
                      <w:color w:val="auto"/>
                      <w:sz w:val="21"/>
                      <w:szCs w:val="21"/>
                      <w:lang w:val="en-US" w:eastAsia="zh-CN"/>
                    </w:rPr>
                  </w:pPr>
                  <w:r>
                    <w:rPr>
                      <w:rFonts w:hint="eastAsia" w:hAnsi="宋体" w:cs="宋体"/>
                      <w:b w:val="0"/>
                      <w:bCs/>
                      <w:color w:val="auto"/>
                      <w:w w:val="100"/>
                      <w:kern w:val="2"/>
                      <w:sz w:val="21"/>
                      <w:szCs w:val="21"/>
                      <w:vertAlign w:val="baseline"/>
                      <w:lang w:val="en-US" w:eastAsia="zh-CN"/>
                    </w:rPr>
                    <w:t>0.67</w:t>
                  </w:r>
                </w:p>
              </w:tc>
              <w:tc>
                <w:tcPr>
                  <w:tcW w:w="1131" w:type="dxa"/>
                  <w:vAlign w:val="center"/>
                </w:tcPr>
                <w:p w14:paraId="54018F10">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2</w:t>
                  </w:r>
                </w:p>
              </w:tc>
              <w:tc>
                <w:tcPr>
                  <w:tcW w:w="1397" w:type="dxa"/>
                  <w:vAlign w:val="center"/>
                </w:tcPr>
                <w:p w14:paraId="1372A45D">
                  <w:pPr>
                    <w:jc w:val="center"/>
                    <w:rPr>
                      <w:rFonts w:hint="default" w:ascii="Times New Roman" w:hAnsi="Times New Roman" w:cs="Times New Roman"/>
                      <w:bCs/>
                      <w:color w:val="auto"/>
                      <w:sz w:val="21"/>
                      <w:szCs w:val="21"/>
                      <w:lang w:val="en-US" w:eastAsia="zh-CN"/>
                    </w:rPr>
                  </w:pPr>
                  <w:r>
                    <w:rPr>
                      <w:rFonts w:hint="eastAsia" w:ascii="Times New Roman" w:hAnsi="Times New Roman" w:cs="Times New Roman"/>
                      <w:bCs/>
                      <w:color w:val="auto"/>
                      <w:sz w:val="21"/>
                      <w:szCs w:val="21"/>
                      <w:lang w:val="en-US" w:eastAsia="zh-CN"/>
                    </w:rPr>
                    <w:t>0.</w:t>
                  </w:r>
                  <w:r>
                    <w:rPr>
                      <w:rFonts w:hint="eastAsia" w:cs="Times New Roman"/>
                      <w:bCs/>
                      <w:color w:val="auto"/>
                      <w:sz w:val="21"/>
                      <w:szCs w:val="21"/>
                      <w:lang w:val="en-US" w:eastAsia="zh-CN"/>
                    </w:rPr>
                    <w:t>47</w:t>
                  </w:r>
                  <w:r>
                    <w:rPr>
                      <w:rFonts w:hint="eastAsia" w:ascii="Times New Roman" w:hAnsi="Times New Roman" w:cs="Times New Roman"/>
                      <w:bCs/>
                      <w:color w:val="auto"/>
                      <w:sz w:val="21"/>
                      <w:szCs w:val="21"/>
                      <w:lang w:val="en-US" w:eastAsia="zh-CN"/>
                    </w:rPr>
                    <w:t>5</w:t>
                  </w:r>
                </w:p>
              </w:tc>
              <w:tc>
                <w:tcPr>
                  <w:tcW w:w="970" w:type="dxa"/>
                  <w:vAlign w:val="center"/>
                </w:tcPr>
                <w:p w14:paraId="2A3CDEE8">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50</w:t>
                  </w:r>
                </w:p>
              </w:tc>
            </w:tr>
            <w:tr w14:paraId="762529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2" w:hRule="exact"/>
                <w:jc w:val="center"/>
              </w:trPr>
              <w:tc>
                <w:tcPr>
                  <w:tcW w:w="1355" w:type="dxa"/>
                  <w:vAlign w:val="center"/>
                </w:tcPr>
                <w:p w14:paraId="667604F4">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1#生产车间</w:t>
                  </w:r>
                </w:p>
              </w:tc>
              <w:tc>
                <w:tcPr>
                  <w:tcW w:w="1157" w:type="dxa"/>
                  <w:vMerge w:val="continue"/>
                  <w:vAlign w:val="center"/>
                </w:tcPr>
                <w:p w14:paraId="31BD54D8">
                  <w:pPr>
                    <w:jc w:val="center"/>
                    <w:rPr>
                      <w:rFonts w:hint="default" w:ascii="Times New Roman" w:hAnsi="Times New Roman" w:cs="Times New Roman"/>
                      <w:bCs/>
                      <w:color w:val="auto"/>
                      <w:sz w:val="21"/>
                      <w:szCs w:val="21"/>
                      <w:lang w:val="en-US" w:eastAsia="zh-CN"/>
                    </w:rPr>
                  </w:pPr>
                </w:p>
              </w:tc>
              <w:tc>
                <w:tcPr>
                  <w:tcW w:w="778" w:type="dxa"/>
                  <w:vAlign w:val="center"/>
                </w:tcPr>
                <w:p w14:paraId="49AF69A3">
                  <w:pPr>
                    <w:jc w:val="center"/>
                    <w:rPr>
                      <w:rFonts w:hint="default" w:ascii="Times New Roman" w:hAnsi="Times New Roman" w:cs="Times New Roman"/>
                      <w:bCs/>
                      <w:color w:val="auto"/>
                      <w:sz w:val="21"/>
                      <w:szCs w:val="21"/>
                      <w:lang w:val="en-US" w:eastAsia="zh-CN"/>
                    </w:rPr>
                  </w:pPr>
                  <w:r>
                    <w:rPr>
                      <w:rFonts w:hint="eastAsia" w:ascii="Times New Roman" w:hAnsi="Times New Roman" w:cs="Times New Roman"/>
                      <w:bCs/>
                      <w:color w:val="auto"/>
                      <w:sz w:val="21"/>
                      <w:szCs w:val="21"/>
                      <w:lang w:val="en-US" w:eastAsia="zh-CN"/>
                    </w:rPr>
                    <w:t>9</w:t>
                  </w:r>
                </w:p>
              </w:tc>
              <w:tc>
                <w:tcPr>
                  <w:tcW w:w="973" w:type="dxa"/>
                  <w:vAlign w:val="center"/>
                </w:tcPr>
                <w:p w14:paraId="0F62E4DF">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100</w:t>
                  </w:r>
                </w:p>
              </w:tc>
              <w:tc>
                <w:tcPr>
                  <w:tcW w:w="970" w:type="dxa"/>
                  <w:vAlign w:val="center"/>
                </w:tcPr>
                <w:p w14:paraId="2996774A">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72</w:t>
                  </w:r>
                </w:p>
              </w:tc>
              <w:tc>
                <w:tcPr>
                  <w:tcW w:w="1237" w:type="dxa"/>
                  <w:vAlign w:val="center"/>
                </w:tcPr>
                <w:p w14:paraId="2CEA9FB2">
                  <w:pPr>
                    <w:pStyle w:val="28"/>
                    <w:keepNext w:val="0"/>
                    <w:keepLines w:val="0"/>
                    <w:suppressLineNumbers w:val="0"/>
                    <w:spacing w:before="0" w:beforeAutospacing="0" w:after="0" w:afterAutospacing="0" w:line="240" w:lineRule="auto"/>
                    <w:ind w:left="0" w:leftChars="0" w:right="0" w:rightChars="0"/>
                    <w:jc w:val="center"/>
                    <w:rPr>
                      <w:rFonts w:hint="default" w:ascii="Times New Roman" w:hAnsi="Times New Roman" w:cs="Times New Roman"/>
                      <w:bCs/>
                      <w:color w:val="auto"/>
                      <w:sz w:val="21"/>
                      <w:szCs w:val="21"/>
                      <w:lang w:val="en-US" w:eastAsia="zh-CN"/>
                    </w:rPr>
                  </w:pPr>
                  <w:r>
                    <w:rPr>
                      <w:rFonts w:hint="eastAsia" w:hAnsi="宋体" w:cs="宋体"/>
                      <w:b w:val="0"/>
                      <w:bCs/>
                      <w:color w:val="auto"/>
                      <w:w w:val="100"/>
                      <w:kern w:val="2"/>
                      <w:sz w:val="21"/>
                      <w:szCs w:val="21"/>
                      <w:vertAlign w:val="baseline"/>
                      <w:lang w:val="en-US" w:eastAsia="zh-CN"/>
                    </w:rPr>
                    <w:t>1.87</w:t>
                  </w:r>
                </w:p>
              </w:tc>
              <w:tc>
                <w:tcPr>
                  <w:tcW w:w="1131" w:type="dxa"/>
                  <w:vAlign w:val="center"/>
                </w:tcPr>
                <w:p w14:paraId="7FBAF15B">
                  <w:pPr>
                    <w:jc w:val="center"/>
                    <w:rPr>
                      <w:rFonts w:hint="default" w:ascii="Times New Roman" w:hAnsi="Times New Roman" w:cs="Times New Roman"/>
                      <w:bCs/>
                      <w:color w:val="auto"/>
                      <w:sz w:val="21"/>
                      <w:szCs w:val="21"/>
                      <w:lang w:val="en-US" w:eastAsia="zh-CN"/>
                    </w:rPr>
                  </w:pPr>
                  <w:r>
                    <w:rPr>
                      <w:rFonts w:hint="eastAsia" w:cs="Times New Roman"/>
                      <w:bCs/>
                      <w:color w:val="auto"/>
                      <w:sz w:val="21"/>
                      <w:szCs w:val="21"/>
                      <w:lang w:val="en-US" w:eastAsia="zh-CN"/>
                    </w:rPr>
                    <w:t>2</w:t>
                  </w:r>
                </w:p>
              </w:tc>
              <w:tc>
                <w:tcPr>
                  <w:tcW w:w="1397" w:type="dxa"/>
                  <w:vAlign w:val="center"/>
                </w:tcPr>
                <w:p w14:paraId="4458C71B">
                  <w:pPr>
                    <w:jc w:val="center"/>
                    <w:rPr>
                      <w:rFonts w:hint="default" w:ascii="Times New Roman" w:hAnsi="Times New Roman" w:cs="Times New Roman"/>
                      <w:bCs/>
                      <w:color w:val="auto"/>
                      <w:sz w:val="21"/>
                      <w:szCs w:val="21"/>
                      <w:lang w:val="en-US" w:eastAsia="zh-CN"/>
                    </w:rPr>
                  </w:pPr>
                  <w:r>
                    <w:rPr>
                      <w:rFonts w:hint="eastAsia" w:ascii="Times New Roman" w:hAnsi="Times New Roman" w:cs="Times New Roman"/>
                      <w:bCs/>
                      <w:color w:val="auto"/>
                      <w:sz w:val="21"/>
                      <w:szCs w:val="21"/>
                      <w:lang w:val="en-US" w:eastAsia="zh-CN"/>
                    </w:rPr>
                    <w:t>0.</w:t>
                  </w:r>
                  <w:r>
                    <w:rPr>
                      <w:rFonts w:hint="eastAsia" w:cs="Times New Roman"/>
                      <w:bCs/>
                      <w:color w:val="auto"/>
                      <w:sz w:val="21"/>
                      <w:szCs w:val="21"/>
                      <w:lang w:val="en-US" w:eastAsia="zh-CN"/>
                    </w:rPr>
                    <w:t>8</w:t>
                  </w:r>
                  <w:r>
                    <w:rPr>
                      <w:rFonts w:hint="eastAsia" w:ascii="Times New Roman" w:hAnsi="Times New Roman" w:cs="Times New Roman"/>
                      <w:bCs/>
                      <w:color w:val="auto"/>
                      <w:sz w:val="21"/>
                      <w:szCs w:val="21"/>
                      <w:lang w:val="en-US" w:eastAsia="zh-CN"/>
                    </w:rPr>
                    <w:t>76</w:t>
                  </w:r>
                </w:p>
              </w:tc>
              <w:tc>
                <w:tcPr>
                  <w:tcW w:w="970" w:type="dxa"/>
                  <w:vAlign w:val="center"/>
                </w:tcPr>
                <w:p w14:paraId="2F46E7B0">
                  <w:pPr>
                    <w:jc w:val="center"/>
                    <w:rPr>
                      <w:rFonts w:hint="default" w:ascii="Times New Roman" w:hAnsi="Times New Roman" w:cs="Times New Roman"/>
                      <w:bCs/>
                      <w:color w:val="auto"/>
                      <w:sz w:val="21"/>
                      <w:szCs w:val="21"/>
                      <w:lang w:val="en-US" w:eastAsia="zh-CN"/>
                    </w:rPr>
                  </w:pPr>
                  <w:r>
                    <w:rPr>
                      <w:rFonts w:hint="default" w:ascii="Times New Roman" w:hAnsi="Times New Roman" w:cs="Times New Roman"/>
                      <w:bCs/>
                      <w:color w:val="auto"/>
                      <w:sz w:val="21"/>
                      <w:szCs w:val="21"/>
                      <w:lang w:val="en-US" w:eastAsia="zh-CN"/>
                    </w:rPr>
                    <w:t>50</w:t>
                  </w:r>
                </w:p>
              </w:tc>
            </w:tr>
          </w:tbl>
          <w:p w14:paraId="69BD66D5">
            <w:pPr>
              <w:spacing w:line="360" w:lineRule="auto"/>
              <w:ind w:firstLine="480" w:firstLineChars="20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t>从上表数据分析可知，本项目无组织排放源的卫生防护距离不足50m，根据《制定地方大气污染物排放标准的技术方法》（GB/T13201-91）中的规定，当卫生防护距离在50m以内时，级差为50m；如果有两种污染物，单独计算并确定的卫生防护距离相同，则提一级。项目车间有两种污染物，每种无组织排放污染源的卫生防护距离不足50m，则根据上述规定项目卫生防护距离应为生产车间周边100m范围，故本项目以生产车间为边界划定100m的卫生防护距离。</w:t>
            </w:r>
          </w:p>
          <w:p w14:paraId="7247AD95">
            <w:pPr>
              <w:spacing w:line="360" w:lineRule="auto"/>
              <w:ind w:firstLine="480" w:firstLineChars="200"/>
              <w:rPr>
                <w:rFonts w:hint="default" w:ascii="Times New Roman" w:hAnsi="Times New Roman" w:cs="Times New Roman"/>
                <w:b w:val="0"/>
                <w:bCs w:val="0"/>
                <w:color w:val="auto"/>
                <w:sz w:val="24"/>
                <w:lang w:val="en-US" w:eastAsia="zh-CN"/>
              </w:rPr>
            </w:pPr>
            <w:r>
              <w:rPr>
                <w:rFonts w:hint="default" w:ascii="Times New Roman" w:hAnsi="Times New Roman" w:cs="Times New Roman"/>
                <w:b w:val="0"/>
                <w:bCs w:val="0"/>
                <w:color w:val="auto"/>
                <w:sz w:val="24"/>
                <w:lang w:val="en-US" w:eastAsia="zh-CN"/>
              </w:rPr>
              <w:t>根据现场踏勘情况及总平面布置图可知，项目处于遂宁市</w:t>
            </w:r>
            <w:r>
              <w:rPr>
                <w:rFonts w:hint="eastAsia" w:cs="Times New Roman"/>
                <w:b w:val="0"/>
                <w:bCs w:val="0"/>
                <w:color w:val="auto"/>
                <w:sz w:val="24"/>
                <w:lang w:val="en-US" w:eastAsia="zh-CN"/>
              </w:rPr>
              <w:t>安居区</w:t>
            </w:r>
            <w:r>
              <w:rPr>
                <w:rFonts w:hint="default" w:ascii="Times New Roman" w:hAnsi="Times New Roman" w:cs="Times New Roman"/>
                <w:b w:val="0"/>
                <w:bCs w:val="0"/>
                <w:color w:val="auto"/>
                <w:sz w:val="24"/>
                <w:lang w:val="en-US" w:eastAsia="zh-CN"/>
              </w:rPr>
              <w:t>区</w:t>
            </w:r>
            <w:r>
              <w:rPr>
                <w:rFonts w:hint="eastAsia" w:cs="Times New Roman"/>
                <w:b w:val="0"/>
                <w:bCs w:val="0"/>
                <w:color w:val="auto"/>
                <w:sz w:val="24"/>
                <w:lang w:val="en-US" w:eastAsia="zh-CN"/>
              </w:rPr>
              <w:t>汽摩产业园</w:t>
            </w:r>
            <w:r>
              <w:rPr>
                <w:rFonts w:hint="default" w:ascii="Times New Roman" w:hAnsi="Times New Roman" w:cs="Times New Roman"/>
                <w:b w:val="0"/>
                <w:bCs w:val="0"/>
                <w:color w:val="auto"/>
                <w:sz w:val="24"/>
                <w:lang w:val="en-US" w:eastAsia="zh-CN"/>
              </w:rPr>
              <w:t>内，周围</w:t>
            </w:r>
            <w:r>
              <w:rPr>
                <w:rFonts w:hint="eastAsia" w:cs="Times New Roman"/>
                <w:b w:val="0"/>
                <w:bCs w:val="0"/>
                <w:color w:val="auto"/>
                <w:sz w:val="24"/>
                <w:lang w:val="en-US" w:eastAsia="zh-CN"/>
              </w:rPr>
              <w:t>10</w:t>
            </w:r>
            <w:r>
              <w:rPr>
                <w:rFonts w:hint="default" w:ascii="Times New Roman" w:hAnsi="Times New Roman" w:cs="Times New Roman"/>
                <w:b w:val="0"/>
                <w:bCs w:val="0"/>
                <w:color w:val="auto"/>
                <w:sz w:val="24"/>
                <w:lang w:val="en-US" w:eastAsia="zh-CN"/>
              </w:rPr>
              <w:t>0m范围内不涉及居民住宅、学校、医院等环境敏感点及食品、医药等对环境要求较高的生产企业，外环境满足本项目卫生防护距离要求。同时，本环评要求：本项目卫生防护距离之内不得引入食品业等对区域大气环境质量要求较高的行业。</w:t>
            </w:r>
          </w:p>
          <w:p w14:paraId="6D6937CB">
            <w:pPr>
              <w:spacing w:line="360" w:lineRule="auto"/>
              <w:ind w:firstLine="480"/>
              <w:rPr>
                <w:rFonts w:hint="default" w:ascii="Times New Roman" w:hAnsi="Times New Roman" w:eastAsia="黑体" w:cs="Times New Roman"/>
                <w:color w:val="auto"/>
                <w:sz w:val="24"/>
                <w:szCs w:val="24"/>
              </w:rPr>
            </w:pPr>
            <w:r>
              <w:rPr>
                <w:rFonts w:hint="default" w:ascii="Times New Roman" w:hAnsi="Times New Roman" w:cs="Times New Roman"/>
                <w:b w:val="0"/>
                <w:bCs w:val="0"/>
                <w:color w:val="auto"/>
                <w:sz w:val="24"/>
                <w:lang w:val="en-US" w:eastAsia="zh-CN"/>
              </w:rPr>
              <w:t>综上所述，项目营运期间产生的废气污染物产生量很小，加之区域大气扩散条件良好，不会对区域大气环境质量造成明显影响。</w:t>
            </w:r>
          </w:p>
          <w:p w14:paraId="30DA1FB2">
            <w:pPr>
              <w:spacing w:line="360" w:lineRule="auto"/>
              <w:rPr>
                <w:rFonts w:hint="default" w:ascii="Times New Roman" w:hAnsi="Times New Roman" w:cs="Times New Roman"/>
                <w:b/>
                <w:bCs/>
                <w:color w:val="auto"/>
                <w:sz w:val="24"/>
              </w:rPr>
            </w:pPr>
            <w:r>
              <w:rPr>
                <w:rFonts w:hint="eastAsia" w:cs="Times New Roman"/>
                <w:b/>
                <w:color w:val="auto"/>
                <w:kern w:val="28"/>
                <w:sz w:val="24"/>
                <w:lang w:val="en-US" w:eastAsia="zh-CN"/>
              </w:rPr>
              <w:t>（二）</w:t>
            </w:r>
            <w:r>
              <w:rPr>
                <w:rFonts w:hint="default" w:ascii="Times New Roman" w:hAnsi="Times New Roman" w:cs="Times New Roman"/>
                <w:b/>
                <w:color w:val="auto"/>
                <w:kern w:val="28"/>
                <w:sz w:val="24"/>
                <w:lang w:eastAsia="zh-CN"/>
              </w:rPr>
              <w:t>地表水</w:t>
            </w:r>
            <w:r>
              <w:rPr>
                <w:rFonts w:hint="default" w:ascii="Times New Roman" w:hAnsi="Times New Roman" w:cs="Times New Roman"/>
                <w:b/>
                <w:bCs/>
                <w:color w:val="auto"/>
                <w:sz w:val="24"/>
              </w:rPr>
              <w:t>环境影响分析</w:t>
            </w:r>
          </w:p>
          <w:p w14:paraId="33E7B549">
            <w:pPr>
              <w:pStyle w:val="28"/>
              <w:numPr>
                <w:ilvl w:val="0"/>
                <w:numId w:val="0"/>
              </w:numPr>
              <w:spacing w:line="360" w:lineRule="auto"/>
              <w:ind w:firstLine="482" w:firstLineChars="200"/>
              <w:rPr>
                <w:rFonts w:hint="eastAsia" w:ascii="Times New Roman" w:hAnsi="Times New Roman" w:eastAsia="宋体" w:cs="Times New Roman"/>
                <w:b/>
                <w:bCs/>
                <w:color w:val="auto"/>
                <w:sz w:val="24"/>
                <w:szCs w:val="24"/>
                <w:lang w:val="en-US" w:eastAsia="zh-CN"/>
              </w:rPr>
            </w:pPr>
            <w:r>
              <w:rPr>
                <w:rFonts w:hint="eastAsia" w:ascii="Times New Roman" w:cs="Times New Roman"/>
                <w:b/>
                <w:bCs/>
                <w:color w:val="auto"/>
                <w:sz w:val="24"/>
                <w:szCs w:val="24"/>
                <w:lang w:val="en-US" w:eastAsia="zh-CN"/>
              </w:rPr>
              <w:t>1、废水排放途径</w:t>
            </w:r>
          </w:p>
          <w:p w14:paraId="12F22492">
            <w:pPr>
              <w:pStyle w:val="28"/>
              <w:numPr>
                <w:ilvl w:val="0"/>
                <w:numId w:val="0"/>
              </w:num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本项目的外排废水主要是生活污水</w:t>
            </w:r>
            <w:r>
              <w:rPr>
                <w:rFonts w:hint="eastAsia" w:ascii="Times New Roman" w:cs="Times New Roman"/>
                <w:color w:val="auto"/>
                <w:sz w:val="24"/>
                <w:szCs w:val="24"/>
                <w:lang w:val="en-US" w:eastAsia="zh-CN"/>
              </w:rPr>
              <w:t>和食堂废水</w:t>
            </w:r>
            <w:r>
              <w:rPr>
                <w:rFonts w:hint="default" w:ascii="Times New Roman" w:hAnsi="Times New Roman" w:cs="Times New Roman"/>
                <w:color w:val="auto"/>
                <w:sz w:val="24"/>
                <w:szCs w:val="24"/>
              </w:rPr>
              <w:t>（无生产性废水）。</w:t>
            </w:r>
          </w:p>
          <w:p w14:paraId="09E0BCAF">
            <w:pPr>
              <w:pStyle w:val="28"/>
              <w:numPr>
                <w:ilvl w:val="0"/>
                <w:numId w:val="0"/>
              </w:numPr>
              <w:spacing w:line="360" w:lineRule="auto"/>
              <w:ind w:firstLine="480" w:firstLineChars="200"/>
              <w:rPr>
                <w:rFonts w:hint="default" w:ascii="Times New Roman" w:hAnsi="Times New Roman" w:cs="Times New Roman"/>
                <w:color w:val="auto"/>
                <w:sz w:val="24"/>
                <w:szCs w:val="24"/>
                <w:lang w:val="en-US" w:eastAsia="zh-CN"/>
              </w:rPr>
            </w:pPr>
            <w:r>
              <w:rPr>
                <w:rFonts w:hint="eastAsia" w:ascii="Times New Roman" w:cs="Times New Roman"/>
                <w:color w:val="auto"/>
                <w:sz w:val="24"/>
                <w:szCs w:val="24"/>
                <w:lang w:val="en-US" w:eastAsia="zh-CN"/>
              </w:rPr>
              <w:t>生活污水</w:t>
            </w:r>
            <w:r>
              <w:rPr>
                <w:rFonts w:hint="default" w:ascii="Times New Roman" w:hAnsi="Times New Roman" w:cs="Times New Roman"/>
                <w:color w:val="auto"/>
                <w:sz w:val="24"/>
                <w:szCs w:val="24"/>
                <w:lang w:val="en-US" w:eastAsia="zh-CN"/>
              </w:rPr>
              <w:t>经预处理池处理达到《污水综合排放标准》（GB8978-1996）三级标准后排入园区污水管网。</w:t>
            </w:r>
          </w:p>
          <w:p w14:paraId="53545C18">
            <w:pPr>
              <w:pStyle w:val="28"/>
              <w:numPr>
                <w:ilvl w:val="0"/>
                <w:numId w:val="0"/>
              </w:num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食堂废水经隔油处理后再进入预处理池处理达到《污水综合排放标准》（GB8978-1996）三级标准后排入园区污水管网。</w:t>
            </w:r>
          </w:p>
          <w:p w14:paraId="787EDCB7">
            <w:pPr>
              <w:pStyle w:val="28"/>
              <w:numPr>
                <w:ilvl w:val="0"/>
                <w:numId w:val="0"/>
              </w:numPr>
              <w:spacing w:line="360" w:lineRule="auto"/>
              <w:ind w:firstLine="480" w:firstLineChars="200"/>
              <w:rPr>
                <w:rFonts w:hint="eastAsia" w:ascii="Times New Roman" w:hAnsi="Times New Roman" w:eastAsia="宋体" w:cs="Times New Roman"/>
                <w:color w:val="auto"/>
                <w:sz w:val="24"/>
                <w:szCs w:val="24"/>
                <w:lang w:val="en-US" w:eastAsia="zh-CN"/>
              </w:rPr>
            </w:pPr>
            <w:r>
              <w:rPr>
                <w:rFonts w:hint="eastAsia" w:ascii="Times New Roman" w:cs="Times New Roman"/>
                <w:color w:val="auto"/>
                <w:sz w:val="24"/>
                <w:szCs w:val="24"/>
                <w:lang w:val="en-US" w:eastAsia="zh-CN"/>
              </w:rPr>
              <w:t>本项目外排废水经厂区总排口进入园区市政污水管网，纳入龙眼井污水处理厂处理达《城镇污水处理厂污染物排放标准》（GB18918-2002）一级A标准后排至琼江。</w:t>
            </w:r>
          </w:p>
          <w:p w14:paraId="28A17936">
            <w:pPr>
              <w:pStyle w:val="28"/>
              <w:numPr>
                <w:ilvl w:val="0"/>
                <w:numId w:val="0"/>
              </w:numPr>
              <w:spacing w:line="360" w:lineRule="auto"/>
              <w:ind w:left="480" w:leftChars="0"/>
              <w:rPr>
                <w:rFonts w:hint="eastAsia" w:ascii="Times New Roman" w:cs="Times New Roman"/>
                <w:b/>
                <w:bCs/>
                <w:color w:val="auto"/>
                <w:sz w:val="24"/>
                <w:szCs w:val="24"/>
                <w:lang w:val="en-US" w:eastAsia="zh-CN"/>
              </w:rPr>
            </w:pPr>
            <w:r>
              <w:rPr>
                <w:rFonts w:hint="eastAsia" w:ascii="Times New Roman" w:cs="Times New Roman"/>
                <w:b/>
                <w:bCs/>
                <w:color w:val="auto"/>
                <w:sz w:val="24"/>
                <w:szCs w:val="24"/>
                <w:lang w:val="en-US" w:eastAsia="zh-CN"/>
              </w:rPr>
              <w:t>2、废水达标排放及纳管可行性分析</w:t>
            </w:r>
          </w:p>
          <w:p w14:paraId="79C7A371">
            <w:pPr>
              <w:pStyle w:val="28"/>
              <w:numPr>
                <w:ilvl w:val="0"/>
                <w:numId w:val="0"/>
              </w:numPr>
              <w:spacing w:line="360" w:lineRule="auto"/>
              <w:ind w:firstLine="480"/>
              <w:rPr>
                <w:rFonts w:hint="eastAsia" w:ascii="Times New Roman" w:cs="Times New Roman"/>
                <w:color w:val="auto"/>
                <w:sz w:val="24"/>
                <w:szCs w:val="24"/>
                <w:lang w:val="en-US" w:eastAsia="zh-CN"/>
              </w:rPr>
            </w:pPr>
            <w:r>
              <w:rPr>
                <w:rFonts w:hint="eastAsia" w:ascii="Times New Roman" w:cs="Times New Roman"/>
                <w:color w:val="auto"/>
                <w:sz w:val="24"/>
                <w:szCs w:val="24"/>
                <w:lang w:val="en-US" w:eastAsia="zh-CN"/>
              </w:rPr>
              <w:t>（1）废水达标排放分析</w:t>
            </w:r>
          </w:p>
          <w:p w14:paraId="427C3902">
            <w:pPr>
              <w:pStyle w:val="28"/>
              <w:numPr>
                <w:ilvl w:val="0"/>
                <w:numId w:val="0"/>
              </w:numPr>
              <w:spacing w:line="360" w:lineRule="auto"/>
              <w:ind w:firstLine="480"/>
              <w:rPr>
                <w:rFonts w:hint="eastAsia" w:ascii="Times New Roman" w:cs="Times New Roman"/>
                <w:color w:val="auto"/>
                <w:sz w:val="24"/>
                <w:szCs w:val="24"/>
                <w:lang w:val="en-US" w:eastAsia="zh-CN"/>
              </w:rPr>
            </w:pPr>
            <w:r>
              <w:rPr>
                <w:rFonts w:hint="eastAsia" w:ascii="Times New Roman" w:cs="Times New Roman"/>
                <w:color w:val="auto"/>
                <w:sz w:val="24"/>
                <w:szCs w:val="24"/>
                <w:lang w:val="en-US" w:eastAsia="zh-CN"/>
              </w:rPr>
              <w:t>本项目废水总排口污染物排放浓度及龙眼井污水处理长进水指标对比见下表。</w:t>
            </w:r>
          </w:p>
          <w:p w14:paraId="2F8EFA2C">
            <w:pPr>
              <w:pStyle w:val="28"/>
              <w:numPr>
                <w:ilvl w:val="0"/>
                <w:numId w:val="0"/>
              </w:numPr>
              <w:spacing w:line="360" w:lineRule="auto"/>
              <w:jc w:val="center"/>
              <w:rPr>
                <w:rFonts w:hint="eastAsia" w:ascii="Times New Roman" w:cs="Times New Roman"/>
                <w:b/>
                <w:bCs/>
                <w:color w:val="auto"/>
                <w:sz w:val="21"/>
                <w:szCs w:val="21"/>
                <w:lang w:val="en-US" w:eastAsia="zh-CN"/>
              </w:rPr>
            </w:pPr>
            <w:r>
              <w:rPr>
                <w:rFonts w:hint="eastAsia" w:ascii="Times New Roman" w:cs="Times New Roman"/>
                <w:b/>
                <w:bCs/>
                <w:color w:val="auto"/>
                <w:sz w:val="21"/>
                <w:szCs w:val="21"/>
                <w:lang w:val="en-US" w:eastAsia="zh-CN"/>
              </w:rPr>
              <w:t>表7-10 龙眼井污水处理厂进水指标与本项目污水排放浓度对比情况表</w:t>
            </w:r>
          </w:p>
          <w:tbl>
            <w:tblPr>
              <w:tblStyle w:val="23"/>
              <w:tblW w:w="9976" w:type="dxa"/>
              <w:tblInd w:w="-15" w:type="dxa"/>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2577"/>
              <w:gridCol w:w="1539"/>
              <w:gridCol w:w="1540"/>
              <w:gridCol w:w="1382"/>
              <w:gridCol w:w="1540"/>
              <w:gridCol w:w="1398"/>
            </w:tblGrid>
            <w:tr w14:paraId="19F4676D">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56" w:hRule="atLeast"/>
              </w:trPr>
              <w:tc>
                <w:tcPr>
                  <w:tcW w:w="2577" w:type="dxa"/>
                  <w:tcBorders>
                    <w:tl2br w:val="single" w:color="000000" w:sz="12" w:space="0"/>
                  </w:tcBorders>
                  <w:shd w:val="clear" w:color="auto" w:fill="auto"/>
                </w:tcPr>
                <w:p w14:paraId="0BBF1AD3">
                  <w:pPr>
                    <w:pStyle w:val="65"/>
                    <w:spacing w:before="156"/>
                    <w:ind w:right="287"/>
                    <w:jc w:val="right"/>
                    <w:rPr>
                      <w:b/>
                      <w:color w:val="auto"/>
                      <w:sz w:val="21"/>
                    </w:rPr>
                  </w:pPr>
                  <w:r>
                    <w:rPr>
                      <w:b/>
                      <w:color w:val="auto"/>
                      <w:w w:val="95"/>
                      <w:sz w:val="21"/>
                    </w:rPr>
                    <w:t>指标</w:t>
                  </w:r>
                </w:p>
                <w:p w14:paraId="5C026729">
                  <w:pPr>
                    <w:pStyle w:val="65"/>
                    <w:spacing w:before="159" w:line="252" w:lineRule="exact"/>
                    <w:ind w:left="530"/>
                    <w:jc w:val="left"/>
                    <w:rPr>
                      <w:b/>
                      <w:color w:val="auto"/>
                      <w:sz w:val="21"/>
                    </w:rPr>
                  </w:pPr>
                  <w:r>
                    <w:rPr>
                      <w:b/>
                      <w:color w:val="auto"/>
                      <w:sz w:val="21"/>
                    </w:rPr>
                    <w:t>项目</w:t>
                  </w:r>
                </w:p>
              </w:tc>
              <w:tc>
                <w:tcPr>
                  <w:tcW w:w="1539" w:type="dxa"/>
                  <w:shd w:val="clear" w:color="auto" w:fill="auto"/>
                </w:tcPr>
                <w:p w14:paraId="45816968">
                  <w:pPr>
                    <w:pStyle w:val="65"/>
                    <w:spacing w:before="12"/>
                    <w:jc w:val="left"/>
                    <w:rPr>
                      <w:rFonts w:ascii="黑体"/>
                      <w:color w:val="auto"/>
                      <w:sz w:val="23"/>
                    </w:rPr>
                  </w:pPr>
                </w:p>
                <w:p w14:paraId="486DBA08">
                  <w:pPr>
                    <w:pStyle w:val="65"/>
                    <w:ind w:left="143" w:right="143"/>
                    <w:rPr>
                      <w:rFonts w:ascii="Times New Roman"/>
                      <w:b/>
                      <w:color w:val="auto"/>
                      <w:sz w:val="21"/>
                    </w:rPr>
                  </w:pPr>
                  <w:r>
                    <w:rPr>
                      <w:rFonts w:ascii="Times New Roman"/>
                      <w:b/>
                      <w:color w:val="auto"/>
                      <w:sz w:val="21"/>
                    </w:rPr>
                    <w:t>COD(mg/L)</w:t>
                  </w:r>
                </w:p>
              </w:tc>
              <w:tc>
                <w:tcPr>
                  <w:tcW w:w="1540" w:type="dxa"/>
                  <w:shd w:val="clear" w:color="auto" w:fill="auto"/>
                </w:tcPr>
                <w:p w14:paraId="08EE7E0D">
                  <w:pPr>
                    <w:pStyle w:val="65"/>
                    <w:spacing w:before="12"/>
                    <w:jc w:val="left"/>
                    <w:rPr>
                      <w:rFonts w:ascii="黑体"/>
                      <w:color w:val="auto"/>
                      <w:sz w:val="23"/>
                    </w:rPr>
                  </w:pPr>
                </w:p>
                <w:p w14:paraId="2486D11E">
                  <w:pPr>
                    <w:pStyle w:val="65"/>
                    <w:ind w:left="116" w:right="114"/>
                    <w:rPr>
                      <w:rFonts w:ascii="Times New Roman"/>
                      <w:b/>
                      <w:color w:val="auto"/>
                      <w:sz w:val="21"/>
                    </w:rPr>
                  </w:pPr>
                  <w:r>
                    <w:rPr>
                      <w:rFonts w:ascii="Times New Roman"/>
                      <w:b/>
                      <w:color w:val="auto"/>
                      <w:sz w:val="21"/>
                    </w:rPr>
                    <w:t>BOD</w:t>
                  </w:r>
                  <w:r>
                    <w:rPr>
                      <w:rFonts w:ascii="Times New Roman"/>
                      <w:b/>
                      <w:color w:val="auto"/>
                      <w:sz w:val="21"/>
                      <w:vertAlign w:val="subscript"/>
                    </w:rPr>
                    <w:t>5</w:t>
                  </w:r>
                  <w:r>
                    <w:rPr>
                      <w:rFonts w:ascii="Times New Roman"/>
                      <w:b/>
                      <w:color w:val="auto"/>
                      <w:sz w:val="21"/>
                      <w:vertAlign w:val="baseline"/>
                    </w:rPr>
                    <w:t>(mg/L)</w:t>
                  </w:r>
                </w:p>
              </w:tc>
              <w:tc>
                <w:tcPr>
                  <w:tcW w:w="1382" w:type="dxa"/>
                  <w:shd w:val="clear" w:color="auto" w:fill="auto"/>
                </w:tcPr>
                <w:p w14:paraId="0142DD07">
                  <w:pPr>
                    <w:pStyle w:val="65"/>
                    <w:spacing w:before="12"/>
                    <w:jc w:val="left"/>
                    <w:rPr>
                      <w:rFonts w:ascii="黑体"/>
                      <w:color w:val="auto"/>
                      <w:sz w:val="23"/>
                    </w:rPr>
                  </w:pPr>
                </w:p>
                <w:p w14:paraId="4B8C600F">
                  <w:pPr>
                    <w:pStyle w:val="65"/>
                    <w:ind w:left="187" w:right="187"/>
                    <w:rPr>
                      <w:rFonts w:ascii="Times New Roman"/>
                      <w:b/>
                      <w:color w:val="auto"/>
                      <w:sz w:val="21"/>
                    </w:rPr>
                  </w:pPr>
                  <w:r>
                    <w:rPr>
                      <w:rFonts w:ascii="Times New Roman"/>
                      <w:b/>
                      <w:color w:val="auto"/>
                      <w:sz w:val="21"/>
                    </w:rPr>
                    <w:t>SS(mg/L)</w:t>
                  </w:r>
                </w:p>
              </w:tc>
              <w:tc>
                <w:tcPr>
                  <w:tcW w:w="1540" w:type="dxa"/>
                  <w:shd w:val="clear" w:color="auto" w:fill="auto"/>
                </w:tcPr>
                <w:p w14:paraId="3EBE033E">
                  <w:pPr>
                    <w:pStyle w:val="65"/>
                    <w:spacing w:before="9"/>
                    <w:jc w:val="left"/>
                    <w:rPr>
                      <w:rFonts w:ascii="黑体"/>
                      <w:color w:val="auto"/>
                      <w:sz w:val="22"/>
                    </w:rPr>
                  </w:pPr>
                </w:p>
                <w:p w14:paraId="0B5EF41E">
                  <w:pPr>
                    <w:pStyle w:val="65"/>
                    <w:ind w:left="167" w:right="167"/>
                    <w:rPr>
                      <w:rFonts w:ascii="Times New Roman" w:eastAsia="Times New Roman"/>
                      <w:b/>
                      <w:color w:val="auto"/>
                      <w:sz w:val="21"/>
                    </w:rPr>
                  </w:pPr>
                  <w:r>
                    <w:rPr>
                      <w:b/>
                      <w:color w:val="auto"/>
                      <w:sz w:val="21"/>
                    </w:rPr>
                    <w:t>氨氮</w:t>
                  </w:r>
                  <w:r>
                    <w:rPr>
                      <w:rFonts w:ascii="Times New Roman" w:eastAsia="Times New Roman"/>
                      <w:b/>
                      <w:color w:val="auto"/>
                      <w:sz w:val="21"/>
                    </w:rPr>
                    <w:t>(mg/L)</w:t>
                  </w:r>
                </w:p>
              </w:tc>
              <w:tc>
                <w:tcPr>
                  <w:tcW w:w="1398" w:type="dxa"/>
                  <w:shd w:val="clear" w:color="auto" w:fill="auto"/>
                  <w:vAlign w:val="top"/>
                </w:tcPr>
                <w:p w14:paraId="2A802BB3">
                  <w:pPr>
                    <w:pStyle w:val="65"/>
                    <w:spacing w:before="171"/>
                    <w:ind w:left="92" w:leftChars="0" w:right="92" w:rightChars="0"/>
                  </w:pPr>
                  <w:r>
                    <w:rPr>
                      <w:rFonts w:hint="eastAsia"/>
                      <w:b/>
                      <w:color w:val="auto"/>
                      <w:sz w:val="21"/>
                      <w:lang w:val="en-US" w:eastAsia="zh-CN"/>
                    </w:rPr>
                    <w:t>动植物油(mg/L)</w:t>
                  </w:r>
                </w:p>
              </w:tc>
            </w:tr>
            <w:tr w14:paraId="4EF8A826">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63" w:hRule="atLeast"/>
              </w:trPr>
              <w:tc>
                <w:tcPr>
                  <w:tcW w:w="2577" w:type="dxa"/>
                </w:tcPr>
                <w:p w14:paraId="6FE772BB">
                  <w:pPr>
                    <w:pStyle w:val="65"/>
                    <w:spacing w:before="157"/>
                    <w:ind w:left="219" w:right="218"/>
                    <w:rPr>
                      <w:sz w:val="21"/>
                    </w:rPr>
                  </w:pPr>
                  <w:r>
                    <w:rPr>
                      <w:sz w:val="21"/>
                    </w:rPr>
                    <w:t>污水厂进水水质要求</w:t>
                  </w:r>
                </w:p>
              </w:tc>
              <w:tc>
                <w:tcPr>
                  <w:tcW w:w="1539" w:type="dxa"/>
                </w:tcPr>
                <w:p w14:paraId="19A318A9">
                  <w:pPr>
                    <w:pStyle w:val="65"/>
                    <w:spacing w:before="160"/>
                    <w:ind w:left="142" w:right="143"/>
                    <w:rPr>
                      <w:rFonts w:ascii="Times New Roman"/>
                      <w:sz w:val="21"/>
                    </w:rPr>
                  </w:pPr>
                  <w:r>
                    <w:rPr>
                      <w:rFonts w:ascii="Times New Roman"/>
                      <w:sz w:val="21"/>
                    </w:rPr>
                    <w:t>500</w:t>
                  </w:r>
                </w:p>
              </w:tc>
              <w:tc>
                <w:tcPr>
                  <w:tcW w:w="1540" w:type="dxa"/>
                </w:tcPr>
                <w:p w14:paraId="1D336D79">
                  <w:pPr>
                    <w:pStyle w:val="65"/>
                    <w:spacing w:before="160"/>
                    <w:ind w:left="114" w:right="114"/>
                    <w:rPr>
                      <w:rFonts w:ascii="Times New Roman"/>
                      <w:sz w:val="21"/>
                    </w:rPr>
                  </w:pPr>
                  <w:r>
                    <w:rPr>
                      <w:rFonts w:ascii="Times New Roman"/>
                      <w:sz w:val="21"/>
                    </w:rPr>
                    <w:t>300</w:t>
                  </w:r>
                </w:p>
              </w:tc>
              <w:tc>
                <w:tcPr>
                  <w:tcW w:w="1382" w:type="dxa"/>
                </w:tcPr>
                <w:p w14:paraId="32E8EA08">
                  <w:pPr>
                    <w:pStyle w:val="65"/>
                    <w:spacing w:before="160"/>
                    <w:ind w:left="187" w:right="186"/>
                    <w:rPr>
                      <w:rFonts w:ascii="Times New Roman"/>
                      <w:sz w:val="21"/>
                    </w:rPr>
                  </w:pPr>
                  <w:r>
                    <w:rPr>
                      <w:rFonts w:ascii="Times New Roman"/>
                      <w:sz w:val="21"/>
                    </w:rPr>
                    <w:t>400</w:t>
                  </w:r>
                </w:p>
              </w:tc>
              <w:tc>
                <w:tcPr>
                  <w:tcW w:w="1540" w:type="dxa"/>
                </w:tcPr>
                <w:p w14:paraId="106D0A4E">
                  <w:pPr>
                    <w:pStyle w:val="65"/>
                    <w:spacing w:before="160"/>
                    <w:ind w:left="167" w:right="167"/>
                    <w:rPr>
                      <w:rFonts w:ascii="Times New Roman"/>
                      <w:sz w:val="21"/>
                    </w:rPr>
                  </w:pPr>
                  <w:r>
                    <w:rPr>
                      <w:rFonts w:ascii="Times New Roman"/>
                      <w:sz w:val="21"/>
                    </w:rPr>
                    <w:t>45</w:t>
                  </w:r>
                </w:p>
              </w:tc>
              <w:tc>
                <w:tcPr>
                  <w:tcW w:w="1398" w:type="dxa"/>
                  <w:vAlign w:val="top"/>
                </w:tcPr>
                <w:p w14:paraId="2DBE6D29">
                  <w:pPr>
                    <w:pStyle w:val="65"/>
                    <w:spacing w:before="140"/>
                    <w:ind w:left="92" w:leftChars="0" w:right="93" w:rightChars="0"/>
                    <w:rPr>
                      <w:rFonts w:hint="eastAsia" w:eastAsia="宋体"/>
                      <w:lang w:val="en-US" w:eastAsia="zh-CN"/>
                    </w:rPr>
                  </w:pPr>
                  <w:r>
                    <w:rPr>
                      <w:rFonts w:hint="eastAsia" w:ascii="Times New Roman"/>
                      <w:sz w:val="22"/>
                      <w:lang w:val="en-US" w:eastAsia="zh-CN"/>
                    </w:rPr>
                    <w:t>100</w:t>
                  </w:r>
                </w:p>
              </w:tc>
            </w:tr>
            <w:tr w14:paraId="772AEA96">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65" w:hRule="atLeast"/>
              </w:trPr>
              <w:tc>
                <w:tcPr>
                  <w:tcW w:w="2577" w:type="dxa"/>
                </w:tcPr>
                <w:p w14:paraId="1FDCE61B">
                  <w:pPr>
                    <w:pStyle w:val="65"/>
                    <w:spacing w:before="158"/>
                    <w:ind w:left="219" w:right="217"/>
                    <w:rPr>
                      <w:sz w:val="21"/>
                    </w:rPr>
                  </w:pPr>
                  <w:r>
                    <w:rPr>
                      <w:rFonts w:hint="eastAsia"/>
                      <w:sz w:val="21"/>
                      <w:lang w:val="en-US" w:eastAsia="zh-CN"/>
                    </w:rPr>
                    <w:t>生活污水</w:t>
                  </w:r>
                  <w:r>
                    <w:rPr>
                      <w:sz w:val="21"/>
                    </w:rPr>
                    <w:t>排放浓度</w:t>
                  </w:r>
                </w:p>
              </w:tc>
              <w:tc>
                <w:tcPr>
                  <w:tcW w:w="1539" w:type="dxa"/>
                </w:tcPr>
                <w:p w14:paraId="52404D49">
                  <w:pPr>
                    <w:pStyle w:val="65"/>
                    <w:spacing w:before="161"/>
                    <w:ind w:left="143" w:right="142"/>
                    <w:rPr>
                      <w:rFonts w:hint="eastAsia" w:ascii="Times New Roman" w:eastAsia="宋体"/>
                      <w:sz w:val="21"/>
                      <w:lang w:val="en-US" w:eastAsia="zh-CN"/>
                    </w:rPr>
                  </w:pPr>
                  <w:r>
                    <w:rPr>
                      <w:rFonts w:hint="eastAsia" w:ascii="Times New Roman"/>
                      <w:sz w:val="21"/>
                      <w:lang w:val="en-US" w:eastAsia="zh-CN"/>
                    </w:rPr>
                    <w:t>250</w:t>
                  </w:r>
                </w:p>
              </w:tc>
              <w:tc>
                <w:tcPr>
                  <w:tcW w:w="1540" w:type="dxa"/>
                </w:tcPr>
                <w:p w14:paraId="6BCBEBE8">
                  <w:pPr>
                    <w:pStyle w:val="65"/>
                    <w:spacing w:before="161"/>
                    <w:ind w:left="116" w:right="114"/>
                    <w:rPr>
                      <w:rFonts w:hint="eastAsia" w:ascii="Times New Roman" w:eastAsia="宋体"/>
                      <w:sz w:val="21"/>
                      <w:lang w:val="en-US" w:eastAsia="zh-CN"/>
                    </w:rPr>
                  </w:pPr>
                  <w:r>
                    <w:rPr>
                      <w:rFonts w:hint="eastAsia" w:ascii="Times New Roman"/>
                      <w:sz w:val="21"/>
                      <w:lang w:val="en-US" w:eastAsia="zh-CN"/>
                    </w:rPr>
                    <w:t>200</w:t>
                  </w:r>
                </w:p>
              </w:tc>
              <w:tc>
                <w:tcPr>
                  <w:tcW w:w="1382" w:type="dxa"/>
                </w:tcPr>
                <w:p w14:paraId="1612A0A5">
                  <w:pPr>
                    <w:pStyle w:val="65"/>
                    <w:spacing w:before="161"/>
                    <w:ind w:left="187" w:right="185"/>
                    <w:rPr>
                      <w:rFonts w:hint="eastAsia" w:ascii="Times New Roman" w:eastAsia="宋体"/>
                      <w:sz w:val="21"/>
                      <w:lang w:val="en-US" w:eastAsia="zh-CN"/>
                    </w:rPr>
                  </w:pPr>
                  <w:r>
                    <w:rPr>
                      <w:rFonts w:hint="eastAsia" w:ascii="Times New Roman"/>
                      <w:sz w:val="21"/>
                      <w:lang w:val="en-US" w:eastAsia="zh-CN"/>
                    </w:rPr>
                    <w:t>220</w:t>
                  </w:r>
                </w:p>
              </w:tc>
              <w:tc>
                <w:tcPr>
                  <w:tcW w:w="1540" w:type="dxa"/>
                </w:tcPr>
                <w:p w14:paraId="49E1EBA6">
                  <w:pPr>
                    <w:pStyle w:val="65"/>
                    <w:spacing w:before="161"/>
                    <w:rPr>
                      <w:rFonts w:hint="eastAsia" w:ascii="Times New Roman" w:eastAsia="宋体"/>
                      <w:sz w:val="21"/>
                      <w:lang w:val="en-US" w:eastAsia="zh-CN"/>
                    </w:rPr>
                  </w:pPr>
                  <w:r>
                    <w:rPr>
                      <w:rFonts w:hint="eastAsia" w:ascii="Times New Roman"/>
                      <w:sz w:val="21"/>
                      <w:lang w:val="en-US" w:eastAsia="zh-CN"/>
                    </w:rPr>
                    <w:t>25</w:t>
                  </w:r>
                </w:p>
              </w:tc>
              <w:tc>
                <w:tcPr>
                  <w:tcW w:w="1398" w:type="dxa"/>
                  <w:vAlign w:val="top"/>
                </w:tcPr>
                <w:p w14:paraId="1975441C">
                  <w:pPr>
                    <w:pStyle w:val="65"/>
                    <w:spacing w:before="141"/>
                    <w:ind w:left="92" w:leftChars="0" w:right="93" w:rightChars="0"/>
                    <w:rPr>
                      <w:rFonts w:hint="eastAsia" w:eastAsia="宋体"/>
                      <w:lang w:val="en-US" w:eastAsia="zh-CN"/>
                    </w:rPr>
                  </w:pPr>
                  <w:r>
                    <w:rPr>
                      <w:rFonts w:hint="eastAsia"/>
                      <w:lang w:val="en-US" w:eastAsia="zh-CN"/>
                    </w:rPr>
                    <w:t>80</w:t>
                  </w:r>
                </w:p>
              </w:tc>
            </w:tr>
            <w:tr w14:paraId="6FE4F044">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65" w:hRule="atLeast"/>
              </w:trPr>
              <w:tc>
                <w:tcPr>
                  <w:tcW w:w="2577" w:type="dxa"/>
                </w:tcPr>
                <w:p w14:paraId="000B9058">
                  <w:pPr>
                    <w:pStyle w:val="65"/>
                    <w:spacing w:before="157"/>
                    <w:ind w:left="219" w:right="217"/>
                    <w:rPr>
                      <w:sz w:val="21"/>
                    </w:rPr>
                  </w:pPr>
                  <w:r>
                    <w:rPr>
                      <w:sz w:val="21"/>
                    </w:rPr>
                    <w:t>达标情况</w:t>
                  </w:r>
                </w:p>
              </w:tc>
              <w:tc>
                <w:tcPr>
                  <w:tcW w:w="1539" w:type="dxa"/>
                </w:tcPr>
                <w:p w14:paraId="3B42587C">
                  <w:pPr>
                    <w:pStyle w:val="65"/>
                    <w:spacing w:before="146"/>
                    <w:ind w:left="143" w:right="143"/>
                    <w:rPr>
                      <w:b/>
                      <w:sz w:val="21"/>
                    </w:rPr>
                  </w:pPr>
                  <w:r>
                    <w:rPr>
                      <w:b/>
                      <w:sz w:val="21"/>
                    </w:rPr>
                    <w:t>达标</w:t>
                  </w:r>
                </w:p>
              </w:tc>
              <w:tc>
                <w:tcPr>
                  <w:tcW w:w="1540" w:type="dxa"/>
                </w:tcPr>
                <w:p w14:paraId="4CF7BB02">
                  <w:pPr>
                    <w:pStyle w:val="65"/>
                    <w:spacing w:before="146"/>
                    <w:ind w:left="116" w:right="114"/>
                    <w:rPr>
                      <w:b/>
                      <w:sz w:val="21"/>
                    </w:rPr>
                  </w:pPr>
                  <w:r>
                    <w:rPr>
                      <w:b/>
                      <w:sz w:val="21"/>
                    </w:rPr>
                    <w:t>达标</w:t>
                  </w:r>
                </w:p>
              </w:tc>
              <w:tc>
                <w:tcPr>
                  <w:tcW w:w="1382" w:type="dxa"/>
                </w:tcPr>
                <w:p w14:paraId="59DECB52">
                  <w:pPr>
                    <w:pStyle w:val="65"/>
                    <w:spacing w:before="146"/>
                    <w:ind w:left="187" w:right="187"/>
                    <w:rPr>
                      <w:b/>
                      <w:sz w:val="21"/>
                    </w:rPr>
                  </w:pPr>
                  <w:r>
                    <w:rPr>
                      <w:b/>
                      <w:sz w:val="21"/>
                    </w:rPr>
                    <w:t>达标</w:t>
                  </w:r>
                </w:p>
              </w:tc>
              <w:tc>
                <w:tcPr>
                  <w:tcW w:w="1540" w:type="dxa"/>
                </w:tcPr>
                <w:p w14:paraId="5333718A">
                  <w:pPr>
                    <w:pStyle w:val="65"/>
                    <w:spacing w:before="146"/>
                    <w:ind w:left="167" w:right="167"/>
                    <w:rPr>
                      <w:b/>
                      <w:sz w:val="21"/>
                    </w:rPr>
                  </w:pPr>
                  <w:r>
                    <w:rPr>
                      <w:b/>
                      <w:sz w:val="21"/>
                    </w:rPr>
                    <w:t>达标</w:t>
                  </w:r>
                </w:p>
              </w:tc>
              <w:tc>
                <w:tcPr>
                  <w:tcW w:w="1398" w:type="dxa"/>
                  <w:vAlign w:val="top"/>
                </w:tcPr>
                <w:p w14:paraId="0DE1CC00">
                  <w:pPr>
                    <w:pStyle w:val="65"/>
                    <w:spacing w:before="146"/>
                    <w:ind w:left="92" w:leftChars="0" w:right="93" w:rightChars="0"/>
                  </w:pPr>
                  <w:r>
                    <w:rPr>
                      <w:b/>
                      <w:sz w:val="21"/>
                    </w:rPr>
                    <w:t>达标</w:t>
                  </w:r>
                </w:p>
              </w:tc>
            </w:tr>
          </w:tbl>
          <w:p w14:paraId="18333DDC">
            <w:pPr>
              <w:pStyle w:val="28"/>
              <w:numPr>
                <w:ilvl w:val="0"/>
                <w:numId w:val="0"/>
              </w:numPr>
              <w:spacing w:line="360" w:lineRule="auto"/>
              <w:rPr>
                <w:rFonts w:hint="eastAsia" w:ascii="Times New Roman" w:cs="Times New Roman"/>
                <w:color w:val="auto"/>
                <w:sz w:val="18"/>
                <w:szCs w:val="18"/>
                <w:lang w:val="en-US" w:eastAsia="zh-CN"/>
              </w:rPr>
            </w:pPr>
            <w:r>
              <w:rPr>
                <w:rFonts w:hint="eastAsia" w:ascii="Times New Roman" w:cs="Times New Roman"/>
                <w:color w:val="auto"/>
                <w:sz w:val="18"/>
                <w:szCs w:val="18"/>
                <w:lang w:val="en-US" w:eastAsia="zh-CN"/>
              </w:rPr>
              <w:t>注：管网接管标准综合执行《污水综合排放标准》（GB 8978-1996）表 4 的三级标准和城南第一污水处理厂纳管水质标准。</w:t>
            </w:r>
          </w:p>
          <w:p w14:paraId="318C8391">
            <w:pPr>
              <w:pStyle w:val="28"/>
              <w:numPr>
                <w:ilvl w:val="0"/>
                <w:numId w:val="0"/>
              </w:numPr>
              <w:spacing w:line="360" w:lineRule="auto"/>
              <w:ind w:firstLine="480" w:firstLineChars="200"/>
              <w:rPr>
                <w:rFonts w:hint="eastAsia" w:ascii="Times New Roman" w:cs="Times New Roman"/>
                <w:color w:val="auto"/>
                <w:sz w:val="24"/>
                <w:szCs w:val="24"/>
                <w:lang w:val="en-US" w:eastAsia="zh-CN"/>
              </w:rPr>
            </w:pPr>
            <w:r>
              <w:rPr>
                <w:rFonts w:hint="eastAsia" w:ascii="Times New Roman" w:cs="Times New Roman"/>
                <w:color w:val="auto"/>
                <w:sz w:val="24"/>
                <w:szCs w:val="24"/>
                <w:lang w:val="en-US" w:eastAsia="zh-CN"/>
              </w:rPr>
              <w:t>由上表可知，本项目生活污水经预处理池处理后，废水总排口的排放浓度可达到龙眼井污水处理厂进水水质的相应要求，可纳入龙眼井污水处理厂进行处理。进入龙眼井污水处理厂处理后的尾水水质将达到《城镇污水处理厂污染物排放标准》GB18918-2002 中一级 A 标准后排入琼江。因此，本项目废水能够做到达标排放。</w:t>
            </w:r>
          </w:p>
          <w:p w14:paraId="1A985CFB">
            <w:pPr>
              <w:pStyle w:val="28"/>
              <w:numPr>
                <w:ilvl w:val="0"/>
                <w:numId w:val="0"/>
              </w:numPr>
              <w:spacing w:line="360" w:lineRule="auto"/>
              <w:ind w:firstLine="480" w:firstLineChars="200"/>
              <w:rPr>
                <w:rFonts w:hint="eastAsia" w:ascii="Times New Roman" w:cs="Times New Roman"/>
                <w:color w:val="auto"/>
                <w:sz w:val="24"/>
                <w:szCs w:val="24"/>
                <w:lang w:val="en-US" w:eastAsia="zh-CN"/>
              </w:rPr>
            </w:pPr>
            <w:r>
              <w:rPr>
                <w:rFonts w:hint="eastAsia" w:ascii="Times New Roman" w:cs="Times New Roman"/>
                <w:color w:val="auto"/>
                <w:sz w:val="24"/>
                <w:szCs w:val="24"/>
                <w:lang w:val="en-US" w:eastAsia="zh-CN"/>
              </w:rPr>
              <w:t>（2）项目废水纳管可行性分析</w:t>
            </w:r>
          </w:p>
          <w:p w14:paraId="46E1E902">
            <w:pPr>
              <w:pStyle w:val="28"/>
              <w:numPr>
                <w:ilvl w:val="0"/>
                <w:numId w:val="0"/>
              </w:numPr>
              <w:spacing w:line="360" w:lineRule="auto"/>
              <w:ind w:firstLine="480" w:firstLineChars="200"/>
              <w:rPr>
                <w:rFonts w:hint="eastAsia" w:ascii="Times New Roman" w:cs="Times New Roman"/>
                <w:color w:val="auto"/>
                <w:sz w:val="24"/>
                <w:szCs w:val="24"/>
                <w:lang w:val="en-US" w:eastAsia="zh-CN"/>
              </w:rPr>
            </w:pPr>
            <w:r>
              <w:rPr>
                <w:rFonts w:hint="eastAsia" w:ascii="Times New Roman" w:cs="Times New Roman"/>
                <w:color w:val="auto"/>
                <w:sz w:val="24"/>
                <w:szCs w:val="24"/>
                <w:lang w:val="en-US" w:eastAsia="zh-CN"/>
              </w:rPr>
              <w:t>本项目所在区域处于龙眼井污水处理厂纳污范围内，本项目生活污水属于龙眼井污水处理厂的接纳范围。据调查，园区内雨、污水管网配套齐全，</w:t>
            </w:r>
            <w:r>
              <w:rPr>
                <w:rFonts w:hint="default" w:ascii="Times New Roman" w:hAnsi="Times New Roman"/>
                <w:color w:val="auto"/>
              </w:rPr>
              <w:t>且与</w:t>
            </w:r>
            <w:r>
              <w:rPr>
                <w:rFonts w:hint="default" w:ascii="Times New Roman" w:hAnsi="Times New Roman" w:cs="Times New Roman"/>
                <w:color w:val="auto"/>
                <w:sz w:val="24"/>
                <w:szCs w:val="24"/>
                <w:lang w:eastAsia="zh-CN"/>
              </w:rPr>
              <w:t>龙眼井</w:t>
            </w:r>
            <w:r>
              <w:rPr>
                <w:rFonts w:hint="default" w:ascii="Times New Roman" w:hAnsi="Times New Roman" w:cs="Times New Roman"/>
                <w:color w:val="auto"/>
                <w:sz w:val="24"/>
                <w:szCs w:val="24"/>
              </w:rPr>
              <w:t>污水处理厂</w:t>
            </w:r>
            <w:r>
              <w:rPr>
                <w:rFonts w:hint="default" w:ascii="Times New Roman" w:hAnsi="Times New Roman"/>
                <w:color w:val="auto"/>
              </w:rPr>
              <w:t>相接</w:t>
            </w:r>
            <w:r>
              <w:rPr>
                <w:rFonts w:hint="eastAsia" w:ascii="Times New Roman"/>
                <w:color w:val="auto"/>
                <w:lang w:eastAsia="zh-CN"/>
              </w:rPr>
              <w:t>，</w:t>
            </w:r>
            <w:r>
              <w:rPr>
                <w:rFonts w:hint="eastAsia" w:ascii="Times New Roman" w:cs="Times New Roman"/>
                <w:color w:val="auto"/>
                <w:sz w:val="24"/>
                <w:szCs w:val="24"/>
                <w:lang w:val="en-US" w:eastAsia="zh-CN"/>
              </w:rPr>
              <w:t>本项目外排废水能够进入园区污水管网，进入龙眼井污水处理厂。</w:t>
            </w:r>
          </w:p>
          <w:p w14:paraId="126994A9">
            <w:pPr>
              <w:pStyle w:val="28"/>
              <w:numPr>
                <w:ilvl w:val="0"/>
                <w:numId w:val="0"/>
              </w:numPr>
              <w:spacing w:line="360" w:lineRule="auto"/>
              <w:ind w:firstLine="480" w:firstLineChars="200"/>
              <w:rPr>
                <w:rFonts w:hint="eastAsia" w:ascii="Times New Roman" w:cs="Times New Roman"/>
                <w:color w:val="auto"/>
                <w:sz w:val="24"/>
                <w:szCs w:val="24"/>
                <w:lang w:val="en-US" w:eastAsia="zh-CN"/>
              </w:rPr>
            </w:pPr>
            <w:r>
              <w:rPr>
                <w:rFonts w:hint="eastAsia" w:ascii="Times New Roman" w:cs="Times New Roman"/>
                <w:color w:val="auto"/>
                <w:sz w:val="24"/>
                <w:szCs w:val="24"/>
                <w:lang w:val="en-US" w:eastAsia="zh-CN"/>
              </w:rPr>
              <w:t>根据以上分析可知，本项目外排废水经厂区内处理后，其水质能够达到龙眼井污水处理厂的进水水质要求。同时，目前项目所在区域的污水管网已建成并投入使用。因此，本项目废水可纳入龙眼井污水处理厂进行处理。</w:t>
            </w:r>
          </w:p>
          <w:p w14:paraId="77D6EA76">
            <w:pPr>
              <w:pStyle w:val="28"/>
              <w:numPr>
                <w:ilvl w:val="0"/>
                <w:numId w:val="0"/>
              </w:numPr>
              <w:spacing w:line="360" w:lineRule="auto"/>
              <w:ind w:firstLine="480" w:firstLineChars="200"/>
              <w:rPr>
                <w:rFonts w:hint="eastAsia" w:ascii="Times New Roman" w:cs="Times New Roman"/>
                <w:color w:val="auto"/>
                <w:sz w:val="24"/>
                <w:szCs w:val="24"/>
                <w:lang w:val="en-US" w:eastAsia="zh-CN"/>
              </w:rPr>
            </w:pPr>
            <w:r>
              <w:rPr>
                <w:rFonts w:hint="eastAsia" w:ascii="Times New Roman" w:cs="Times New Roman"/>
                <w:color w:val="auto"/>
                <w:sz w:val="24"/>
                <w:szCs w:val="24"/>
                <w:lang w:val="en-US" w:eastAsia="zh-CN"/>
              </w:rPr>
              <w:t>综上，本项目建成投产后，其外排废水进入龙眼井污水处理厂进行处理是可行性的。</w:t>
            </w:r>
          </w:p>
          <w:p w14:paraId="5A61C097">
            <w:pPr>
              <w:pStyle w:val="28"/>
              <w:numPr>
                <w:ilvl w:val="0"/>
                <w:numId w:val="0"/>
              </w:numPr>
              <w:spacing w:line="360" w:lineRule="auto"/>
              <w:ind w:left="480" w:leftChars="0"/>
              <w:rPr>
                <w:rFonts w:hint="eastAsia" w:ascii="Times New Roman" w:cs="Times New Roman"/>
                <w:b/>
                <w:bCs/>
                <w:color w:val="auto"/>
                <w:sz w:val="24"/>
                <w:szCs w:val="24"/>
                <w:lang w:val="en-US" w:eastAsia="zh-CN"/>
              </w:rPr>
            </w:pPr>
            <w:r>
              <w:rPr>
                <w:rFonts w:hint="eastAsia" w:ascii="Times New Roman" w:cs="Times New Roman"/>
                <w:b/>
                <w:bCs/>
                <w:color w:val="auto"/>
                <w:sz w:val="24"/>
                <w:szCs w:val="24"/>
                <w:lang w:val="en-US" w:eastAsia="zh-CN"/>
              </w:rPr>
              <w:t>3、对市政污水处理厂正常运行的影响分析</w:t>
            </w:r>
          </w:p>
          <w:p w14:paraId="4ED8256C">
            <w:pPr>
              <w:pStyle w:val="28"/>
              <w:numPr>
                <w:ilvl w:val="0"/>
                <w:numId w:val="0"/>
              </w:numPr>
              <w:spacing w:line="360" w:lineRule="auto"/>
              <w:ind w:firstLine="480" w:firstLineChars="200"/>
              <w:rPr>
                <w:rFonts w:hint="eastAsia" w:ascii="Times New Roman" w:cs="Times New Roman"/>
                <w:color w:val="auto"/>
                <w:sz w:val="24"/>
                <w:szCs w:val="24"/>
                <w:lang w:val="en-US" w:eastAsia="zh-CN"/>
              </w:rPr>
            </w:pPr>
            <w:r>
              <w:rPr>
                <w:rFonts w:hint="eastAsia" w:ascii="Times New Roman" w:cs="Times New Roman"/>
                <w:color w:val="auto"/>
                <w:sz w:val="24"/>
                <w:szCs w:val="24"/>
                <w:lang w:val="en-US" w:eastAsia="zh-CN"/>
              </w:rPr>
              <w:t>为保证龙眼井污水处理厂正常有效地运转，需严格控制污水处理厂接纳的工业、企业所排出的污水水质能达到《污水综合排放标准》（GB8978-1996）三级标准和龙眼井污水处理厂进水水质要求。根据工程分析，本项目排放废水污染物浓度均可达到《污水综合排放标准》（GB8978-1996）三级标准和龙眼井污水处理厂进水水质要求，符合龙眼井污水处理厂纳管水质标准。同时，龙眼井污水处理厂现有富余能力及处理工艺能够满足本项目污水处理要求。</w:t>
            </w:r>
          </w:p>
          <w:p w14:paraId="3CCA52B0">
            <w:pPr>
              <w:pStyle w:val="28"/>
              <w:numPr>
                <w:ilvl w:val="0"/>
                <w:numId w:val="0"/>
              </w:numPr>
              <w:spacing w:line="360" w:lineRule="auto"/>
              <w:ind w:left="480" w:leftChars="0"/>
              <w:rPr>
                <w:rFonts w:hint="eastAsia" w:ascii="Times New Roman" w:cs="Times New Roman"/>
                <w:color w:val="auto"/>
                <w:sz w:val="24"/>
                <w:szCs w:val="24"/>
                <w:lang w:val="en-US" w:eastAsia="zh-CN"/>
              </w:rPr>
            </w:pPr>
            <w:r>
              <w:rPr>
                <w:rFonts w:hint="eastAsia" w:ascii="Times New Roman" w:cs="Times New Roman"/>
                <w:color w:val="auto"/>
                <w:sz w:val="24"/>
                <w:szCs w:val="24"/>
                <w:lang w:val="en-US" w:eastAsia="zh-CN"/>
              </w:rPr>
              <w:t>综上，本项目外排废水进入龙眼井污水处理厂处理，不会对其正常运行产生不利影响。</w:t>
            </w:r>
          </w:p>
          <w:p w14:paraId="00F40267">
            <w:pPr>
              <w:pStyle w:val="28"/>
              <w:numPr>
                <w:ilvl w:val="0"/>
                <w:numId w:val="0"/>
              </w:numPr>
              <w:spacing w:line="360" w:lineRule="auto"/>
              <w:ind w:left="480" w:leftChars="0"/>
              <w:rPr>
                <w:rFonts w:hint="eastAsia" w:ascii="Times New Roman" w:cs="Times New Roman"/>
                <w:b/>
                <w:bCs/>
                <w:color w:val="auto"/>
                <w:sz w:val="24"/>
                <w:szCs w:val="24"/>
                <w:lang w:val="en-US" w:eastAsia="zh-CN"/>
              </w:rPr>
            </w:pPr>
            <w:r>
              <w:rPr>
                <w:rFonts w:hint="eastAsia" w:ascii="Times New Roman" w:cs="Times New Roman"/>
                <w:b/>
                <w:bCs/>
                <w:color w:val="auto"/>
                <w:sz w:val="24"/>
                <w:szCs w:val="24"/>
                <w:lang w:val="en-US" w:eastAsia="zh-CN"/>
              </w:rPr>
              <w:t>4、对地表水的影响分析</w:t>
            </w:r>
          </w:p>
          <w:p w14:paraId="032EDBAD">
            <w:pPr>
              <w:pStyle w:val="28"/>
              <w:numPr>
                <w:ilvl w:val="0"/>
                <w:numId w:val="0"/>
              </w:numPr>
              <w:spacing w:line="360" w:lineRule="auto"/>
              <w:ind w:firstLine="480" w:firstLineChars="200"/>
              <w:rPr>
                <w:rFonts w:hint="eastAsia" w:ascii="Times New Roman" w:cs="Times New Roman"/>
                <w:color w:val="auto"/>
                <w:sz w:val="24"/>
                <w:szCs w:val="24"/>
                <w:lang w:val="en-US" w:eastAsia="zh-CN"/>
              </w:rPr>
            </w:pPr>
            <w:r>
              <w:rPr>
                <w:rFonts w:hint="eastAsia" w:ascii="Times New Roman" w:cs="Times New Roman"/>
                <w:color w:val="auto"/>
                <w:sz w:val="24"/>
                <w:szCs w:val="24"/>
                <w:lang w:val="en-US" w:eastAsia="zh-CN"/>
              </w:rPr>
              <w:t>项目建成后，全厂废水核定排放量为7.08m</w:t>
            </w:r>
            <w:r>
              <w:rPr>
                <w:rFonts w:hint="eastAsia" w:ascii="Times New Roman" w:cs="Times New Roman"/>
                <w:color w:val="auto"/>
                <w:sz w:val="24"/>
                <w:szCs w:val="24"/>
                <w:vertAlign w:val="superscript"/>
                <w:lang w:val="en-US" w:eastAsia="zh-CN"/>
              </w:rPr>
              <w:t>3</w:t>
            </w:r>
            <w:r>
              <w:rPr>
                <w:rFonts w:hint="eastAsia" w:ascii="Times New Roman" w:cs="Times New Roman"/>
                <w:color w:val="auto"/>
                <w:sz w:val="24"/>
                <w:szCs w:val="24"/>
                <w:lang w:val="en-US" w:eastAsia="zh-CN"/>
              </w:rPr>
              <w:t>/d，仅为龙眼井污水处理厂设计处理规模的 0.044%，经龙眼井污水处理厂处理后，其尾水浓度达到《城镇污水处理厂污染物排放标准》（GB18918-2002）一级 A 标准后排入琼江。由此可见，本项目建成后，废水排放不会改变最终受纳水体水质。</w:t>
            </w:r>
          </w:p>
          <w:p w14:paraId="02236F35">
            <w:pPr>
              <w:pStyle w:val="28"/>
              <w:numPr>
                <w:ilvl w:val="0"/>
                <w:numId w:val="0"/>
              </w:numPr>
              <w:spacing w:line="360" w:lineRule="auto"/>
              <w:ind w:firstLine="482" w:firstLineChars="200"/>
              <w:rPr>
                <w:rFonts w:hint="eastAsia" w:ascii="Times New Roman" w:cs="Times New Roman"/>
                <w:color w:val="auto"/>
                <w:sz w:val="24"/>
                <w:szCs w:val="24"/>
                <w:lang w:val="en-US" w:eastAsia="zh-CN"/>
              </w:rPr>
            </w:pPr>
            <w:r>
              <w:rPr>
                <w:rFonts w:hint="eastAsia" w:ascii="Times New Roman" w:cs="Times New Roman"/>
                <w:b/>
                <w:bCs/>
                <w:color w:val="auto"/>
                <w:sz w:val="24"/>
                <w:szCs w:val="24"/>
                <w:lang w:val="en-US" w:eastAsia="zh-CN"/>
              </w:rPr>
              <w:t>因此本项目废水不会对周围地表水环境产生明显影响。</w:t>
            </w:r>
          </w:p>
          <w:p w14:paraId="42523B99">
            <w:pPr>
              <w:pStyle w:val="28"/>
              <w:numPr>
                <w:ilvl w:val="0"/>
                <w:numId w:val="0"/>
              </w:numPr>
              <w:spacing w:line="360" w:lineRule="auto"/>
              <w:rPr>
                <w:rFonts w:hint="default" w:ascii="Times New Roman" w:hAnsi="Times New Roman" w:cs="Times New Roman" w:eastAsiaTheme="minorEastAsia"/>
                <w:b/>
                <w:bCs/>
                <w:color w:val="auto"/>
                <w:sz w:val="24"/>
                <w:szCs w:val="24"/>
                <w:lang w:val="en-US" w:eastAsia="zh-CN"/>
              </w:rPr>
            </w:pPr>
            <w:r>
              <w:rPr>
                <w:rFonts w:hint="eastAsia" w:ascii="Times New Roman" w:cs="Times New Roman" w:eastAsiaTheme="minorEastAsia"/>
                <w:b/>
                <w:bCs/>
                <w:color w:val="auto"/>
                <w:sz w:val="24"/>
                <w:szCs w:val="24"/>
                <w:lang w:val="en-US" w:eastAsia="zh-CN"/>
              </w:rPr>
              <w:t>（三）</w:t>
            </w:r>
            <w:r>
              <w:rPr>
                <w:rFonts w:hint="default" w:ascii="Times New Roman" w:hAnsi="Times New Roman" w:cs="Times New Roman" w:eastAsiaTheme="minorEastAsia"/>
                <w:b/>
                <w:bCs/>
                <w:color w:val="auto"/>
                <w:sz w:val="24"/>
                <w:szCs w:val="24"/>
                <w:lang w:val="en-US" w:eastAsia="zh-CN"/>
              </w:rPr>
              <w:t>声环境影响分析</w:t>
            </w:r>
          </w:p>
          <w:p w14:paraId="6E4283F0">
            <w:pPr>
              <w:pStyle w:val="46"/>
              <w:rPr>
                <w:rFonts w:hint="default" w:ascii="Times New Roman" w:hAnsi="Times New Roman" w:cs="Times New Roman"/>
                <w:color w:val="auto"/>
              </w:rPr>
            </w:pPr>
            <w:r>
              <w:rPr>
                <w:rFonts w:hint="default" w:ascii="Times New Roman" w:hAnsi="Times New Roman" w:cs="Times New Roman"/>
                <w:color w:val="auto"/>
              </w:rPr>
              <w:t>本项目噪声主要是生产设备噪声。主要噪声源为</w:t>
            </w:r>
            <w:r>
              <w:rPr>
                <w:rFonts w:hint="default" w:ascii="Times New Roman" w:hAnsi="Times New Roman" w:cs="Times New Roman"/>
                <w:color w:val="auto"/>
                <w:lang w:eastAsia="zh-CN"/>
              </w:rPr>
              <w:t>破碎机、</w:t>
            </w:r>
            <w:r>
              <w:rPr>
                <w:rFonts w:hint="eastAsia" w:cs="Times New Roman"/>
                <w:color w:val="auto"/>
                <w:lang w:val="en-US" w:eastAsia="zh-CN"/>
              </w:rPr>
              <w:t>空压机</w:t>
            </w:r>
            <w:r>
              <w:rPr>
                <w:rFonts w:hint="default" w:ascii="Times New Roman" w:hAnsi="Times New Roman" w:cs="Times New Roman"/>
                <w:color w:val="auto"/>
                <w:lang w:eastAsia="zh-CN"/>
              </w:rPr>
              <w:t>、</w:t>
            </w:r>
            <w:r>
              <w:rPr>
                <w:rFonts w:hint="eastAsia" w:cs="Times New Roman"/>
                <w:color w:val="auto"/>
                <w:lang w:val="en-US" w:eastAsia="zh-CN"/>
              </w:rPr>
              <w:t>压装机</w:t>
            </w:r>
            <w:r>
              <w:rPr>
                <w:rFonts w:hint="default" w:ascii="Times New Roman" w:hAnsi="Times New Roman" w:cs="Times New Roman"/>
                <w:color w:val="auto"/>
              </w:rPr>
              <w:t>等设备。设备噪声源强在</w:t>
            </w:r>
            <w:r>
              <w:rPr>
                <w:rFonts w:hint="eastAsia" w:cs="Times New Roman"/>
                <w:color w:val="auto"/>
                <w:lang w:val="en-US" w:eastAsia="zh-CN"/>
              </w:rPr>
              <w:t>75</w:t>
            </w:r>
            <w:r>
              <w:rPr>
                <w:rFonts w:hint="default" w:ascii="Times New Roman" w:hAnsi="Times New Roman" w:cs="Times New Roman"/>
                <w:color w:val="auto"/>
              </w:rPr>
              <w:t>~</w:t>
            </w:r>
            <w:r>
              <w:rPr>
                <w:rFonts w:hint="eastAsia" w:cs="Times New Roman"/>
                <w:color w:val="auto"/>
                <w:lang w:val="en-US" w:eastAsia="zh-CN"/>
              </w:rPr>
              <w:t>90</w:t>
            </w:r>
            <w:r>
              <w:rPr>
                <w:rFonts w:hint="default" w:ascii="Times New Roman" w:hAnsi="Times New Roman" w:cs="Times New Roman"/>
                <w:color w:val="auto"/>
              </w:rPr>
              <w:t>（dB）之间。</w:t>
            </w:r>
          </w:p>
          <w:p w14:paraId="181ABAE0">
            <w:pPr>
              <w:pStyle w:val="46"/>
              <w:rPr>
                <w:rFonts w:hint="default" w:ascii="Times New Roman" w:hAnsi="Times New Roman" w:cs="Times New Roman"/>
                <w:color w:val="auto"/>
              </w:rPr>
            </w:pPr>
            <w:r>
              <w:rPr>
                <w:rFonts w:hint="eastAsia" w:cs="Times New Roman"/>
                <w:color w:val="auto"/>
                <w:lang w:val="en-US" w:eastAsia="zh-CN"/>
              </w:rPr>
              <w:t>采取减震措施后</w:t>
            </w:r>
            <w:r>
              <w:rPr>
                <w:rFonts w:hint="default" w:ascii="Times New Roman" w:hAnsi="Times New Roman" w:cs="Times New Roman"/>
                <w:color w:val="auto"/>
              </w:rPr>
              <w:t>主要噪声源的声压级详见表7-1</w:t>
            </w:r>
            <w:r>
              <w:rPr>
                <w:rFonts w:hint="eastAsia" w:ascii="Times New Roman" w:hAnsi="Times New Roman" w:cs="Times New Roman"/>
                <w:color w:val="auto"/>
                <w:lang w:val="en-US" w:eastAsia="zh-CN"/>
              </w:rPr>
              <w:t>1</w:t>
            </w:r>
            <w:r>
              <w:rPr>
                <w:rFonts w:hint="default" w:ascii="Times New Roman" w:hAnsi="Times New Roman" w:cs="Times New Roman"/>
                <w:color w:val="auto"/>
              </w:rPr>
              <w:t>。</w:t>
            </w:r>
          </w:p>
          <w:p w14:paraId="077AED68">
            <w:pPr>
              <w:pStyle w:val="46"/>
              <w:ind w:firstLine="420"/>
              <w:jc w:val="center"/>
              <w:rPr>
                <w:rFonts w:hint="default" w:ascii="Times New Roman" w:hAnsi="Times New Roman" w:eastAsia="黑体" w:cs="Times New Roman"/>
                <w:color w:val="auto"/>
                <w:sz w:val="21"/>
                <w:szCs w:val="21"/>
              </w:rPr>
            </w:pPr>
            <w:r>
              <w:rPr>
                <w:rFonts w:hint="default" w:ascii="Times New Roman" w:hAnsi="Times New Roman" w:eastAsia="黑体" w:cs="Times New Roman"/>
                <w:color w:val="auto"/>
                <w:sz w:val="21"/>
                <w:szCs w:val="21"/>
              </w:rPr>
              <w:t>表7-1</w:t>
            </w:r>
            <w:r>
              <w:rPr>
                <w:rFonts w:hint="eastAsia" w:ascii="Times New Roman" w:hAnsi="Times New Roman" w:eastAsia="黑体" w:cs="Times New Roman"/>
                <w:color w:val="auto"/>
                <w:sz w:val="21"/>
                <w:szCs w:val="21"/>
                <w:lang w:val="en-US" w:eastAsia="zh-CN"/>
              </w:rPr>
              <w:t>1</w:t>
            </w:r>
            <w:r>
              <w:rPr>
                <w:rFonts w:hint="default" w:ascii="Times New Roman" w:hAnsi="Times New Roman" w:eastAsia="黑体" w:cs="Times New Roman"/>
                <w:color w:val="auto"/>
                <w:sz w:val="21"/>
                <w:szCs w:val="21"/>
              </w:rPr>
              <w:t xml:space="preserve">  主要噪声源及防治措施一览表</w:t>
            </w:r>
          </w:p>
          <w:tbl>
            <w:tblPr>
              <w:tblStyle w:val="23"/>
              <w:tblW w:w="9978"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674"/>
              <w:gridCol w:w="1488"/>
              <w:gridCol w:w="880"/>
              <w:gridCol w:w="1430"/>
              <w:gridCol w:w="1591"/>
              <w:gridCol w:w="2043"/>
              <w:gridCol w:w="1872"/>
            </w:tblGrid>
            <w:tr w14:paraId="654BBBA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2162" w:type="dxa"/>
                  <w:gridSpan w:val="2"/>
                  <w:vAlign w:val="center"/>
                </w:tcPr>
                <w:p w14:paraId="1B4CD215">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产噪设备</w:t>
                  </w:r>
                </w:p>
              </w:tc>
              <w:tc>
                <w:tcPr>
                  <w:tcW w:w="880" w:type="dxa"/>
                  <w:vAlign w:val="center"/>
                </w:tcPr>
                <w:p w14:paraId="3A5964EB">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数量</w:t>
                  </w:r>
                </w:p>
              </w:tc>
              <w:tc>
                <w:tcPr>
                  <w:tcW w:w="1430" w:type="dxa"/>
                  <w:vAlign w:val="center"/>
                </w:tcPr>
                <w:p w14:paraId="2F8B57A5">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噪声源强dB(A)</w:t>
                  </w:r>
                </w:p>
              </w:tc>
              <w:tc>
                <w:tcPr>
                  <w:tcW w:w="1591" w:type="dxa"/>
                  <w:vAlign w:val="center"/>
                </w:tcPr>
                <w:p w14:paraId="43684DAF">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叠加值</w:t>
                  </w:r>
                  <w:r>
                    <w:rPr>
                      <w:rFonts w:ascii="Times New Roman" w:hAnsi="Times New Roman" w:cs="Times New Roman"/>
                      <w:color w:val="000000" w:themeColor="text1"/>
                      <w:szCs w:val="21"/>
                      <w14:textFill>
                        <w14:solidFill>
                          <w14:schemeClr w14:val="tx1"/>
                        </w14:solidFill>
                      </w14:textFill>
                    </w:rPr>
                    <w:t>dB(A)</w:t>
                  </w:r>
                </w:p>
              </w:tc>
              <w:tc>
                <w:tcPr>
                  <w:tcW w:w="2043" w:type="dxa"/>
                  <w:vAlign w:val="center"/>
                </w:tcPr>
                <w:p w14:paraId="0E3919CB">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治理措施</w:t>
                  </w:r>
                </w:p>
              </w:tc>
              <w:tc>
                <w:tcPr>
                  <w:tcW w:w="1872" w:type="dxa"/>
                  <w:vAlign w:val="center"/>
                </w:tcPr>
                <w:p w14:paraId="70403FBA">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治理后噪声值</w:t>
                  </w:r>
                </w:p>
                <w:p w14:paraId="3470E3C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dB(A)</w:t>
                  </w:r>
                </w:p>
              </w:tc>
            </w:tr>
            <w:tr w14:paraId="48C47FE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4" w:type="dxa"/>
                  <w:vMerge w:val="restart"/>
                  <w:vAlign w:val="center"/>
                </w:tcPr>
                <w:p w14:paraId="5CC72C94">
                  <w:pPr>
                    <w:jc w:val="center"/>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1</w:t>
                  </w:r>
                  <w:r>
                    <w:rPr>
                      <w:rFonts w:ascii="Times New Roman" w:hAnsi="Times New Roman" w:cs="Times New Roman"/>
                      <w:color w:val="000000" w:themeColor="text1"/>
                      <w:szCs w:val="21"/>
                      <w14:textFill>
                        <w14:solidFill>
                          <w14:schemeClr w14:val="tx1"/>
                        </w14:solidFill>
                      </w14:textFill>
                    </w:rPr>
                    <w:t>#</w:t>
                  </w:r>
                </w:p>
                <w:p w14:paraId="27097787">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生产</w:t>
                  </w:r>
                </w:p>
                <w:p w14:paraId="61AED326">
                  <w:pPr>
                    <w:autoSpaceDE w:val="0"/>
                    <w:autoSpaceDN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厂房</w:t>
                  </w:r>
                </w:p>
              </w:tc>
              <w:tc>
                <w:tcPr>
                  <w:tcW w:w="1488" w:type="dxa"/>
                  <w:vAlign w:val="center"/>
                </w:tcPr>
                <w:p w14:paraId="71F454C3">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cs="Times New Roman"/>
                      <w:color w:val="auto"/>
                      <w:sz w:val="21"/>
                      <w:szCs w:val="21"/>
                    </w:rPr>
                    <w:t>破碎机</w:t>
                  </w:r>
                </w:p>
              </w:tc>
              <w:tc>
                <w:tcPr>
                  <w:tcW w:w="880" w:type="dxa"/>
                  <w:vAlign w:val="center"/>
                </w:tcPr>
                <w:p w14:paraId="7DCB1B27">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cs="Times New Roman"/>
                      <w:color w:val="auto"/>
                      <w:sz w:val="21"/>
                      <w:szCs w:val="21"/>
                    </w:rPr>
                    <w:t>1</w:t>
                  </w:r>
                </w:p>
              </w:tc>
              <w:tc>
                <w:tcPr>
                  <w:tcW w:w="1430" w:type="dxa"/>
                  <w:vAlign w:val="center"/>
                </w:tcPr>
                <w:p w14:paraId="3135895B">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85</w:t>
                  </w:r>
                </w:p>
              </w:tc>
              <w:tc>
                <w:tcPr>
                  <w:tcW w:w="1591" w:type="dxa"/>
                  <w:vAlign w:val="center"/>
                </w:tcPr>
                <w:p w14:paraId="51FC3B42">
                  <w:pPr>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85</w:t>
                  </w:r>
                </w:p>
              </w:tc>
              <w:tc>
                <w:tcPr>
                  <w:tcW w:w="2043" w:type="dxa"/>
                  <w:vMerge w:val="restart"/>
                  <w:vAlign w:val="center"/>
                </w:tcPr>
                <w:p w14:paraId="27890AF3">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基础减振</w:t>
                  </w:r>
                </w:p>
              </w:tc>
              <w:tc>
                <w:tcPr>
                  <w:tcW w:w="1872" w:type="dxa"/>
                  <w:vAlign w:val="center"/>
                </w:tcPr>
                <w:p w14:paraId="5BE06236">
                  <w:pPr>
                    <w:adjustRightInd w:val="0"/>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80</w:t>
                  </w:r>
                </w:p>
              </w:tc>
            </w:tr>
            <w:tr w14:paraId="668C0E9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4" w:type="dxa"/>
                  <w:vMerge w:val="continue"/>
                  <w:vAlign w:val="center"/>
                </w:tcPr>
                <w:p w14:paraId="276F144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488" w:type="dxa"/>
                  <w:vAlign w:val="center"/>
                </w:tcPr>
                <w:p w14:paraId="0353C274">
                  <w:pPr>
                    <w:adjustRightInd w:val="0"/>
                    <w:snapToGrid w:val="0"/>
                    <w:jc w:val="center"/>
                    <w:rPr>
                      <w:rFonts w:ascii="Times New Roman" w:hAnsi="Times New Roman" w:eastAsia="宋体" w:cs="Times New Roman"/>
                      <w:color w:val="000000" w:themeColor="text1"/>
                      <w:spacing w:val="-10"/>
                      <w:szCs w:val="21"/>
                      <w14:textFill>
                        <w14:solidFill>
                          <w14:schemeClr w14:val="tx1"/>
                        </w14:solidFill>
                      </w14:textFill>
                    </w:rPr>
                  </w:pPr>
                  <w:r>
                    <w:rPr>
                      <w:rFonts w:hint="eastAsia" w:cs="Times New Roman"/>
                      <w:color w:val="auto"/>
                      <w:sz w:val="21"/>
                      <w:szCs w:val="21"/>
                      <w:lang w:val="en-US" w:eastAsia="zh-CN"/>
                    </w:rPr>
                    <w:t>空压机</w:t>
                  </w:r>
                </w:p>
              </w:tc>
              <w:tc>
                <w:tcPr>
                  <w:tcW w:w="880" w:type="dxa"/>
                  <w:vAlign w:val="center"/>
                </w:tcPr>
                <w:p w14:paraId="2DDB6047">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1</w:t>
                  </w:r>
                </w:p>
              </w:tc>
              <w:tc>
                <w:tcPr>
                  <w:tcW w:w="1430" w:type="dxa"/>
                  <w:vAlign w:val="center"/>
                </w:tcPr>
                <w:p w14:paraId="5DCAA413">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90</w:t>
                  </w:r>
                </w:p>
              </w:tc>
              <w:tc>
                <w:tcPr>
                  <w:tcW w:w="1591" w:type="dxa"/>
                  <w:vAlign w:val="center"/>
                </w:tcPr>
                <w:p w14:paraId="4D03522C">
                  <w:pPr>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90</w:t>
                  </w:r>
                </w:p>
              </w:tc>
              <w:tc>
                <w:tcPr>
                  <w:tcW w:w="2043" w:type="dxa"/>
                  <w:vMerge w:val="continue"/>
                  <w:vAlign w:val="center"/>
                </w:tcPr>
                <w:p w14:paraId="5BCAB615">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872" w:type="dxa"/>
                  <w:vAlign w:val="center"/>
                </w:tcPr>
                <w:p w14:paraId="2E583A5F">
                  <w:pPr>
                    <w:adjustRightInd w:val="0"/>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85</w:t>
                  </w:r>
                </w:p>
              </w:tc>
            </w:tr>
            <w:tr w14:paraId="1BBB5AA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4" w:type="dxa"/>
                  <w:vMerge w:val="continue"/>
                  <w:vAlign w:val="center"/>
                </w:tcPr>
                <w:p w14:paraId="73BD0E6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488" w:type="dxa"/>
                  <w:vAlign w:val="center"/>
                </w:tcPr>
                <w:p w14:paraId="5C369E0F">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风机</w:t>
                  </w:r>
                </w:p>
              </w:tc>
              <w:tc>
                <w:tcPr>
                  <w:tcW w:w="880" w:type="dxa"/>
                  <w:vAlign w:val="center"/>
                </w:tcPr>
                <w:p w14:paraId="6C438097">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2</w:t>
                  </w:r>
                </w:p>
              </w:tc>
              <w:tc>
                <w:tcPr>
                  <w:tcW w:w="1430" w:type="dxa"/>
                  <w:vAlign w:val="center"/>
                </w:tcPr>
                <w:p w14:paraId="07D24E9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80</w:t>
                  </w:r>
                </w:p>
              </w:tc>
              <w:tc>
                <w:tcPr>
                  <w:tcW w:w="1591" w:type="dxa"/>
                  <w:vAlign w:val="center"/>
                </w:tcPr>
                <w:p w14:paraId="399C71DB">
                  <w:pPr>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83</w:t>
                  </w:r>
                </w:p>
              </w:tc>
              <w:tc>
                <w:tcPr>
                  <w:tcW w:w="2043" w:type="dxa"/>
                  <w:vMerge w:val="continue"/>
                  <w:vAlign w:val="center"/>
                </w:tcPr>
                <w:p w14:paraId="1627C420">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872" w:type="dxa"/>
                  <w:vAlign w:val="center"/>
                </w:tcPr>
                <w:p w14:paraId="7C9A88CD">
                  <w:pPr>
                    <w:adjustRightInd w:val="0"/>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highlight w:val="none"/>
                      <w:lang w:val="en-US" w:eastAsia="zh-CN"/>
                      <w14:textFill>
                        <w14:solidFill>
                          <w14:schemeClr w14:val="tx1"/>
                        </w14:solidFill>
                      </w14:textFill>
                    </w:rPr>
                    <w:t>78</w:t>
                  </w:r>
                </w:p>
              </w:tc>
            </w:tr>
            <w:tr w14:paraId="65C75DB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4" w:type="dxa"/>
                  <w:vMerge w:val="continue"/>
                  <w:vAlign w:val="center"/>
                </w:tcPr>
                <w:p w14:paraId="57B40C3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488" w:type="dxa"/>
                  <w:vAlign w:val="center"/>
                </w:tcPr>
                <w:p w14:paraId="7B80D69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高速带锯机</w:t>
                  </w:r>
                </w:p>
              </w:tc>
              <w:tc>
                <w:tcPr>
                  <w:tcW w:w="880" w:type="dxa"/>
                  <w:vAlign w:val="center"/>
                </w:tcPr>
                <w:p w14:paraId="53D77245">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s="Times New Roman"/>
                      <w:color w:val="auto"/>
                      <w:sz w:val="21"/>
                      <w:szCs w:val="21"/>
                      <w:lang w:val="en-US" w:eastAsia="zh-CN"/>
                    </w:rPr>
                    <w:t>1</w:t>
                  </w:r>
                </w:p>
              </w:tc>
              <w:tc>
                <w:tcPr>
                  <w:tcW w:w="1430" w:type="dxa"/>
                  <w:vAlign w:val="center"/>
                </w:tcPr>
                <w:p w14:paraId="495E796D">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s="Times New Roman"/>
                      <w:color w:val="auto"/>
                      <w:sz w:val="21"/>
                      <w:szCs w:val="21"/>
                      <w:lang w:val="en-US" w:eastAsia="zh-CN"/>
                    </w:rPr>
                    <w:t>85</w:t>
                  </w:r>
                </w:p>
              </w:tc>
              <w:tc>
                <w:tcPr>
                  <w:tcW w:w="1591" w:type="dxa"/>
                  <w:vAlign w:val="center"/>
                </w:tcPr>
                <w:p w14:paraId="636BAABB">
                  <w:pPr>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85</w:t>
                  </w:r>
                </w:p>
              </w:tc>
              <w:tc>
                <w:tcPr>
                  <w:tcW w:w="2043" w:type="dxa"/>
                  <w:vMerge w:val="continue"/>
                  <w:vAlign w:val="center"/>
                </w:tcPr>
                <w:p w14:paraId="74438143">
                  <w:pPr>
                    <w:snapToGrid w:val="0"/>
                    <w:jc w:val="center"/>
                    <w:rPr>
                      <w:rFonts w:ascii="Times New Roman" w:hAnsi="Times New Roman" w:cs="Times New Roman"/>
                      <w:color w:val="000000" w:themeColor="text1"/>
                      <w:szCs w:val="21"/>
                      <w14:textFill>
                        <w14:solidFill>
                          <w14:schemeClr w14:val="tx1"/>
                        </w14:solidFill>
                      </w14:textFill>
                    </w:rPr>
                  </w:pPr>
                </w:p>
              </w:tc>
              <w:tc>
                <w:tcPr>
                  <w:tcW w:w="1872" w:type="dxa"/>
                  <w:vAlign w:val="center"/>
                </w:tcPr>
                <w:p w14:paraId="752D23B4">
                  <w:pPr>
                    <w:adjustRightInd w:val="0"/>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80</w:t>
                  </w:r>
                </w:p>
              </w:tc>
            </w:tr>
            <w:tr w14:paraId="6E7C2A8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4" w:type="dxa"/>
                  <w:vMerge w:val="restart"/>
                  <w:vAlign w:val="center"/>
                </w:tcPr>
                <w:p w14:paraId="260B0AA6">
                  <w:pPr>
                    <w:jc w:val="center"/>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2</w:t>
                  </w:r>
                  <w:r>
                    <w:rPr>
                      <w:rFonts w:ascii="Times New Roman" w:hAnsi="Times New Roman" w:cs="Times New Roman"/>
                      <w:color w:val="000000" w:themeColor="text1"/>
                      <w:szCs w:val="21"/>
                      <w14:textFill>
                        <w14:solidFill>
                          <w14:schemeClr w14:val="tx1"/>
                        </w14:solidFill>
                      </w14:textFill>
                    </w:rPr>
                    <w:t>#</w:t>
                  </w:r>
                </w:p>
                <w:p w14:paraId="553C8C18">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生产</w:t>
                  </w:r>
                </w:p>
                <w:p w14:paraId="0139C38A">
                  <w:pPr>
                    <w:autoSpaceDE w:val="0"/>
                    <w:autoSpaceDN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厂房</w:t>
                  </w:r>
                </w:p>
              </w:tc>
              <w:tc>
                <w:tcPr>
                  <w:tcW w:w="1488" w:type="dxa"/>
                  <w:vAlign w:val="center"/>
                </w:tcPr>
                <w:p w14:paraId="5DCD3C6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auto"/>
                      <w:sz w:val="21"/>
                      <w:szCs w:val="21"/>
                      <w:lang w:val="en-US" w:eastAsia="zh-CN"/>
                    </w:rPr>
                    <w:t>管子涨形机</w:t>
                  </w:r>
                </w:p>
              </w:tc>
              <w:tc>
                <w:tcPr>
                  <w:tcW w:w="880" w:type="dxa"/>
                  <w:vAlign w:val="center"/>
                </w:tcPr>
                <w:p w14:paraId="5795D12F">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1</w:t>
                  </w:r>
                </w:p>
              </w:tc>
              <w:tc>
                <w:tcPr>
                  <w:tcW w:w="1430" w:type="dxa"/>
                  <w:vAlign w:val="center"/>
                </w:tcPr>
                <w:p w14:paraId="25A8D33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80</w:t>
                  </w:r>
                </w:p>
              </w:tc>
              <w:tc>
                <w:tcPr>
                  <w:tcW w:w="1591" w:type="dxa"/>
                  <w:vAlign w:val="center"/>
                </w:tcPr>
                <w:p w14:paraId="02330306">
                  <w:pPr>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80</w:t>
                  </w:r>
                </w:p>
              </w:tc>
              <w:tc>
                <w:tcPr>
                  <w:tcW w:w="2043" w:type="dxa"/>
                  <w:vMerge w:val="continue"/>
                  <w:vAlign w:val="center"/>
                </w:tcPr>
                <w:p w14:paraId="1572A118">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872" w:type="dxa"/>
                  <w:vAlign w:val="center"/>
                </w:tcPr>
                <w:p w14:paraId="2410C281">
                  <w:pPr>
                    <w:adjustRightInd w:val="0"/>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75</w:t>
                  </w:r>
                </w:p>
              </w:tc>
            </w:tr>
            <w:tr w14:paraId="5ED6998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4" w:type="dxa"/>
                  <w:vMerge w:val="continue"/>
                  <w:vAlign w:val="center"/>
                </w:tcPr>
                <w:p w14:paraId="23DB70B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488" w:type="dxa"/>
                  <w:vAlign w:val="center"/>
                </w:tcPr>
                <w:p w14:paraId="7614A7DE">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auto"/>
                      <w:sz w:val="21"/>
                      <w:szCs w:val="21"/>
                      <w:lang w:val="en-US" w:eastAsia="zh-CN"/>
                    </w:rPr>
                    <w:t>外壳涨形机</w:t>
                  </w:r>
                </w:p>
              </w:tc>
              <w:tc>
                <w:tcPr>
                  <w:tcW w:w="880" w:type="dxa"/>
                  <w:vAlign w:val="center"/>
                </w:tcPr>
                <w:p w14:paraId="57518F87">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s="Times New Roman"/>
                      <w:color w:val="auto"/>
                      <w:sz w:val="21"/>
                      <w:szCs w:val="21"/>
                      <w:lang w:val="en-US" w:eastAsia="zh-CN"/>
                    </w:rPr>
                    <w:t>1</w:t>
                  </w:r>
                </w:p>
              </w:tc>
              <w:tc>
                <w:tcPr>
                  <w:tcW w:w="1430" w:type="dxa"/>
                  <w:vAlign w:val="center"/>
                </w:tcPr>
                <w:p w14:paraId="7DBC20CD">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75</w:t>
                  </w:r>
                </w:p>
              </w:tc>
              <w:tc>
                <w:tcPr>
                  <w:tcW w:w="1591" w:type="dxa"/>
                  <w:vAlign w:val="center"/>
                </w:tcPr>
                <w:p w14:paraId="65C4D3DE">
                  <w:pPr>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75</w:t>
                  </w:r>
                </w:p>
              </w:tc>
              <w:tc>
                <w:tcPr>
                  <w:tcW w:w="2043" w:type="dxa"/>
                  <w:vMerge w:val="continue"/>
                  <w:vAlign w:val="center"/>
                </w:tcPr>
                <w:p w14:paraId="0F17A81C">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872" w:type="dxa"/>
                  <w:vAlign w:val="center"/>
                </w:tcPr>
                <w:p w14:paraId="02137F21">
                  <w:pPr>
                    <w:adjustRightInd w:val="0"/>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70</w:t>
                  </w:r>
                </w:p>
              </w:tc>
            </w:tr>
            <w:tr w14:paraId="4724F58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4" w:type="dxa"/>
                  <w:vMerge w:val="continue"/>
                  <w:vAlign w:val="center"/>
                </w:tcPr>
                <w:p w14:paraId="67F51D8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488" w:type="dxa"/>
                  <w:vAlign w:val="center"/>
                </w:tcPr>
                <w:p w14:paraId="1E1C589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auto"/>
                      <w:sz w:val="21"/>
                      <w:szCs w:val="21"/>
                      <w:lang w:val="en-US" w:eastAsia="zh-CN"/>
                    </w:rPr>
                    <w:t>空压机</w:t>
                  </w:r>
                </w:p>
              </w:tc>
              <w:tc>
                <w:tcPr>
                  <w:tcW w:w="880" w:type="dxa"/>
                  <w:vAlign w:val="center"/>
                </w:tcPr>
                <w:p w14:paraId="5D6029F6">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1</w:t>
                  </w:r>
                </w:p>
              </w:tc>
              <w:tc>
                <w:tcPr>
                  <w:tcW w:w="1430" w:type="dxa"/>
                  <w:vAlign w:val="center"/>
                </w:tcPr>
                <w:p w14:paraId="27AB0016">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90</w:t>
                  </w:r>
                </w:p>
              </w:tc>
              <w:tc>
                <w:tcPr>
                  <w:tcW w:w="1591" w:type="dxa"/>
                  <w:vAlign w:val="center"/>
                </w:tcPr>
                <w:p w14:paraId="2871D358">
                  <w:pPr>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90</w:t>
                  </w:r>
                </w:p>
              </w:tc>
              <w:tc>
                <w:tcPr>
                  <w:tcW w:w="2043" w:type="dxa"/>
                  <w:vMerge w:val="continue"/>
                  <w:vAlign w:val="center"/>
                </w:tcPr>
                <w:p w14:paraId="18A910E8">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872" w:type="dxa"/>
                  <w:vAlign w:val="center"/>
                </w:tcPr>
                <w:p w14:paraId="3199FCBE">
                  <w:pPr>
                    <w:adjustRightInd w:val="0"/>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85</w:t>
                  </w:r>
                </w:p>
              </w:tc>
            </w:tr>
            <w:tr w14:paraId="3EE19A5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4" w:type="dxa"/>
                  <w:vMerge w:val="continue"/>
                  <w:vAlign w:val="center"/>
                </w:tcPr>
                <w:p w14:paraId="6A09776E">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488" w:type="dxa"/>
                  <w:vAlign w:val="center"/>
                </w:tcPr>
                <w:p w14:paraId="1A0BE0A1">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auto"/>
                      <w:sz w:val="21"/>
                      <w:szCs w:val="21"/>
                      <w:lang w:val="en-US" w:eastAsia="zh-CN"/>
                    </w:rPr>
                    <w:t>压力机</w:t>
                  </w:r>
                </w:p>
              </w:tc>
              <w:tc>
                <w:tcPr>
                  <w:tcW w:w="880" w:type="dxa"/>
                  <w:vAlign w:val="center"/>
                </w:tcPr>
                <w:p w14:paraId="0ADD0951">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s="Times New Roman"/>
                      <w:color w:val="auto"/>
                      <w:sz w:val="21"/>
                      <w:szCs w:val="21"/>
                      <w:lang w:val="en-US" w:eastAsia="zh-CN"/>
                    </w:rPr>
                    <w:t>2</w:t>
                  </w:r>
                </w:p>
              </w:tc>
              <w:tc>
                <w:tcPr>
                  <w:tcW w:w="1430" w:type="dxa"/>
                  <w:vAlign w:val="center"/>
                </w:tcPr>
                <w:p w14:paraId="6356F742">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s="Times New Roman"/>
                      <w:color w:val="auto"/>
                      <w:sz w:val="21"/>
                      <w:szCs w:val="21"/>
                      <w:lang w:val="en-US" w:eastAsia="zh-CN"/>
                    </w:rPr>
                    <w:t>85</w:t>
                  </w:r>
                </w:p>
              </w:tc>
              <w:tc>
                <w:tcPr>
                  <w:tcW w:w="1591" w:type="dxa"/>
                  <w:vAlign w:val="center"/>
                </w:tcPr>
                <w:p w14:paraId="7F54AC31">
                  <w:pPr>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88</w:t>
                  </w:r>
                </w:p>
              </w:tc>
              <w:tc>
                <w:tcPr>
                  <w:tcW w:w="2043" w:type="dxa"/>
                  <w:vMerge w:val="continue"/>
                  <w:vAlign w:val="center"/>
                </w:tcPr>
                <w:p w14:paraId="2FC9E192">
                  <w:pPr>
                    <w:snapToGrid w:val="0"/>
                    <w:jc w:val="center"/>
                    <w:rPr>
                      <w:rFonts w:ascii="Times New Roman" w:hAnsi="Times New Roman" w:cs="Times New Roman"/>
                      <w:color w:val="000000" w:themeColor="text1"/>
                      <w:szCs w:val="21"/>
                      <w14:textFill>
                        <w14:solidFill>
                          <w14:schemeClr w14:val="tx1"/>
                        </w14:solidFill>
                      </w14:textFill>
                    </w:rPr>
                  </w:pPr>
                </w:p>
              </w:tc>
              <w:tc>
                <w:tcPr>
                  <w:tcW w:w="1872" w:type="dxa"/>
                  <w:vAlign w:val="center"/>
                </w:tcPr>
                <w:p w14:paraId="04378D59">
                  <w:pPr>
                    <w:adjustRightInd w:val="0"/>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83</w:t>
                  </w:r>
                </w:p>
              </w:tc>
            </w:tr>
            <w:tr w14:paraId="5BD5105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4" w:type="dxa"/>
                  <w:vMerge w:val="continue"/>
                  <w:vAlign w:val="center"/>
                </w:tcPr>
                <w:p w14:paraId="464BF5E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488" w:type="dxa"/>
                  <w:vAlign w:val="center"/>
                </w:tcPr>
                <w:p w14:paraId="1D78FD6D">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激光切割机</w:t>
                  </w:r>
                </w:p>
              </w:tc>
              <w:tc>
                <w:tcPr>
                  <w:tcW w:w="880" w:type="dxa"/>
                  <w:vAlign w:val="center"/>
                </w:tcPr>
                <w:p w14:paraId="1D38DE45">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s="Times New Roman"/>
                      <w:color w:val="auto"/>
                      <w:sz w:val="21"/>
                      <w:szCs w:val="21"/>
                      <w:lang w:val="en-US" w:eastAsia="zh-CN"/>
                    </w:rPr>
                    <w:t>1</w:t>
                  </w:r>
                </w:p>
              </w:tc>
              <w:tc>
                <w:tcPr>
                  <w:tcW w:w="1430" w:type="dxa"/>
                  <w:vAlign w:val="center"/>
                </w:tcPr>
                <w:p w14:paraId="4DB032E3">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s="Times New Roman"/>
                      <w:color w:val="auto"/>
                      <w:sz w:val="21"/>
                      <w:szCs w:val="21"/>
                      <w:lang w:val="en-US" w:eastAsia="zh-CN"/>
                    </w:rPr>
                    <w:t>80</w:t>
                  </w:r>
                </w:p>
              </w:tc>
              <w:tc>
                <w:tcPr>
                  <w:tcW w:w="1591" w:type="dxa"/>
                  <w:vAlign w:val="center"/>
                </w:tcPr>
                <w:p w14:paraId="3B94BF81">
                  <w:pPr>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80</w:t>
                  </w:r>
                </w:p>
              </w:tc>
              <w:tc>
                <w:tcPr>
                  <w:tcW w:w="2043" w:type="dxa"/>
                  <w:vMerge w:val="continue"/>
                  <w:vAlign w:val="center"/>
                </w:tcPr>
                <w:p w14:paraId="739E3C76">
                  <w:pPr>
                    <w:snapToGrid w:val="0"/>
                    <w:jc w:val="center"/>
                    <w:rPr>
                      <w:rFonts w:ascii="Times New Roman" w:hAnsi="Times New Roman" w:cs="Times New Roman"/>
                      <w:color w:val="000000" w:themeColor="text1"/>
                      <w:szCs w:val="21"/>
                      <w14:textFill>
                        <w14:solidFill>
                          <w14:schemeClr w14:val="tx1"/>
                        </w14:solidFill>
                      </w14:textFill>
                    </w:rPr>
                  </w:pPr>
                </w:p>
              </w:tc>
              <w:tc>
                <w:tcPr>
                  <w:tcW w:w="1872" w:type="dxa"/>
                  <w:vAlign w:val="center"/>
                </w:tcPr>
                <w:p w14:paraId="38BBD521">
                  <w:pPr>
                    <w:adjustRightInd w:val="0"/>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75</w:t>
                  </w:r>
                </w:p>
              </w:tc>
            </w:tr>
          </w:tbl>
          <w:p w14:paraId="139E3D4F">
            <w:pPr>
              <w:pStyle w:val="2"/>
              <w:rPr>
                <w:rFonts w:hint="default"/>
              </w:rPr>
            </w:pPr>
          </w:p>
          <w:p w14:paraId="63048D8A">
            <w:pPr>
              <w:pStyle w:val="46"/>
              <w:ind w:firstLine="482"/>
              <w:rPr>
                <w:rFonts w:hint="default" w:ascii="Times New Roman" w:hAnsi="Times New Roman" w:cs="Times New Roman"/>
                <w:color w:val="auto"/>
              </w:rPr>
            </w:pPr>
            <w:bookmarkStart w:id="16" w:name="_Toc476081643"/>
            <w:r>
              <w:rPr>
                <w:rFonts w:hint="eastAsia" w:cs="Times New Roman"/>
                <w:b/>
                <w:color w:val="auto"/>
                <w:lang w:val="en-US" w:eastAsia="zh-CN"/>
              </w:rPr>
              <w:t>1</w:t>
            </w:r>
            <w:r>
              <w:rPr>
                <w:rFonts w:hint="eastAsia" w:cs="Times New Roman"/>
                <w:b/>
                <w:color w:val="auto"/>
                <w:lang w:eastAsia="zh-CN"/>
              </w:rPr>
              <w:t>、</w:t>
            </w:r>
            <w:r>
              <w:rPr>
                <w:rFonts w:hint="default" w:ascii="Times New Roman" w:hAnsi="Times New Roman" w:cs="Times New Roman"/>
                <w:b/>
                <w:color w:val="auto"/>
              </w:rPr>
              <w:t>评价方法与预测模式</w:t>
            </w:r>
            <w:bookmarkEnd w:id="16"/>
          </w:p>
          <w:p w14:paraId="63FE6DE5">
            <w:pPr>
              <w:pStyle w:val="46"/>
              <w:rPr>
                <w:rFonts w:hint="default" w:ascii="Times New Roman" w:hAnsi="Times New Roman" w:cs="Times New Roman"/>
                <w:color w:val="auto"/>
              </w:rPr>
            </w:pPr>
            <w:r>
              <w:rPr>
                <w:rFonts w:hint="default" w:ascii="Times New Roman" w:hAnsi="Times New Roman" w:cs="Times New Roman"/>
                <w:color w:val="auto"/>
              </w:rPr>
              <w:t>考虑到对保护环境有利，采用噪声衰减模式和多源叠加模式，具体模式如下：</w:t>
            </w:r>
          </w:p>
          <w:p w14:paraId="7FF36196">
            <w:pPr>
              <w:pStyle w:val="46"/>
              <w:ind w:firstLine="482"/>
              <w:rPr>
                <w:rFonts w:hint="default" w:ascii="Times New Roman" w:hAnsi="Times New Roman" w:cs="Times New Roman"/>
                <w:b/>
                <w:color w:val="auto"/>
              </w:rPr>
            </w:pPr>
            <w:r>
              <w:rPr>
                <w:rFonts w:hint="default" w:ascii="Times New Roman" w:hAnsi="Times New Roman" w:cs="Times New Roman"/>
                <w:b/>
                <w:color w:val="auto"/>
              </w:rPr>
              <w:t>①噪声衰减模式：</w:t>
            </w:r>
          </w:p>
          <w:p w14:paraId="2AC37F97">
            <w:pPr>
              <w:pStyle w:val="46"/>
              <w:jc w:val="center"/>
              <w:rPr>
                <w:rFonts w:hint="default" w:ascii="Times New Roman" w:hAnsi="Times New Roman" w:cs="Times New Roman"/>
                <w:color w:val="auto"/>
              </w:rPr>
            </w:pPr>
            <w:r>
              <w:rPr>
                <w:rFonts w:hint="default" w:ascii="Times New Roman" w:hAnsi="Times New Roman" w:cs="Times New Roman"/>
                <w:color w:val="auto"/>
              </w:rPr>
              <w:t>L</w:t>
            </w:r>
            <w:r>
              <w:rPr>
                <w:rFonts w:hint="default" w:ascii="Times New Roman" w:hAnsi="Times New Roman" w:cs="Times New Roman"/>
                <w:color w:val="auto"/>
                <w:vertAlign w:val="subscript"/>
              </w:rPr>
              <w:t>P</w:t>
            </w:r>
            <w:r>
              <w:rPr>
                <w:rFonts w:hint="default" w:ascii="Times New Roman" w:hAnsi="Times New Roman" w:cs="Times New Roman"/>
                <w:color w:val="auto"/>
                <w:lang w:val="en-GB"/>
              </w:rPr>
              <w:t>＝</w:t>
            </w:r>
            <w:r>
              <w:rPr>
                <w:rFonts w:hint="default" w:ascii="Times New Roman" w:hAnsi="Times New Roman" w:cs="Times New Roman"/>
                <w:color w:val="auto"/>
              </w:rPr>
              <w:t>L</w:t>
            </w:r>
            <w:r>
              <w:rPr>
                <w:rFonts w:hint="default" w:ascii="Times New Roman" w:hAnsi="Times New Roman" w:cs="Times New Roman"/>
                <w:color w:val="auto"/>
                <w:vertAlign w:val="subscript"/>
              </w:rPr>
              <w:t>W</w:t>
            </w:r>
            <w:r>
              <w:rPr>
                <w:rFonts w:hint="default" w:ascii="Times New Roman" w:hAnsi="Times New Roman" w:cs="Times New Roman"/>
                <w:color w:val="auto"/>
              </w:rPr>
              <w:t xml:space="preserve"> </w:t>
            </w:r>
            <w:r>
              <w:rPr>
                <w:rFonts w:hint="default" w:ascii="Times New Roman" w:hAnsi="Times New Roman" w:cs="Times New Roman"/>
                <w:color w:val="auto"/>
                <w:lang w:val="en-GB"/>
              </w:rPr>
              <w:t>－</w:t>
            </w:r>
            <w:r>
              <w:rPr>
                <w:rFonts w:hint="default" w:ascii="Times New Roman" w:hAnsi="Times New Roman" w:cs="Times New Roman"/>
                <w:color w:val="auto"/>
              </w:rPr>
              <w:t xml:space="preserve">20lgr </w:t>
            </w:r>
            <w:r>
              <w:rPr>
                <w:rFonts w:hint="default" w:ascii="Times New Roman" w:hAnsi="Times New Roman" w:cs="Times New Roman"/>
                <w:color w:val="auto"/>
                <w:lang w:val="en-GB"/>
              </w:rPr>
              <w:t>－</w:t>
            </w:r>
            <w:r>
              <w:rPr>
                <w:rFonts w:hint="default" w:ascii="Times New Roman" w:hAnsi="Times New Roman" w:cs="Times New Roman"/>
                <w:color w:val="auto"/>
              </w:rPr>
              <w:t>K</w:t>
            </w:r>
          </w:p>
          <w:p w14:paraId="79FC145A">
            <w:pPr>
              <w:pStyle w:val="46"/>
              <w:rPr>
                <w:rFonts w:hint="default" w:ascii="Times New Roman" w:hAnsi="Times New Roman" w:cs="Times New Roman"/>
                <w:color w:val="auto"/>
              </w:rPr>
            </w:pPr>
            <w:r>
              <w:rPr>
                <w:rFonts w:hint="default" w:ascii="Times New Roman" w:hAnsi="Times New Roman" w:cs="Times New Roman"/>
                <w:color w:val="auto"/>
              </w:rPr>
              <w:tab/>
            </w:r>
            <w:r>
              <w:rPr>
                <w:rFonts w:hint="default" w:ascii="Times New Roman" w:hAnsi="Times New Roman" w:cs="Times New Roman"/>
                <w:color w:val="auto"/>
              </w:rPr>
              <w:t>式中：L</w:t>
            </w:r>
            <w:r>
              <w:rPr>
                <w:rFonts w:hint="default" w:ascii="Times New Roman" w:hAnsi="Times New Roman" w:cs="Times New Roman"/>
                <w:color w:val="auto"/>
                <w:vertAlign w:val="subscript"/>
              </w:rPr>
              <w:t>P</w:t>
            </w:r>
            <w:r>
              <w:rPr>
                <w:rFonts w:hint="default" w:ascii="Times New Roman" w:hAnsi="Times New Roman" w:cs="Times New Roman"/>
                <w:color w:val="auto"/>
              </w:rPr>
              <w:t>……距离声源r米处的声压级；</w:t>
            </w:r>
          </w:p>
          <w:p w14:paraId="51AC2C0D">
            <w:pPr>
              <w:pStyle w:val="46"/>
              <w:ind w:firstLine="720" w:firstLineChars="300"/>
              <w:rPr>
                <w:rFonts w:hint="default" w:ascii="Times New Roman" w:hAnsi="Times New Roman" w:cs="Times New Roman"/>
                <w:color w:val="auto"/>
              </w:rPr>
            </w:pPr>
            <w:r>
              <w:rPr>
                <w:rFonts w:hint="default" w:ascii="Times New Roman" w:hAnsi="Times New Roman" w:cs="Times New Roman"/>
                <w:color w:val="auto"/>
              </w:rPr>
              <w:t xml:space="preserve"> L</w:t>
            </w:r>
            <w:r>
              <w:rPr>
                <w:rFonts w:hint="default" w:ascii="Times New Roman" w:hAnsi="Times New Roman" w:cs="Times New Roman"/>
                <w:color w:val="auto"/>
                <w:vertAlign w:val="subscript"/>
              </w:rPr>
              <w:t>W</w:t>
            </w:r>
            <w:r>
              <w:rPr>
                <w:rFonts w:hint="default" w:ascii="Times New Roman" w:hAnsi="Times New Roman" w:cs="Times New Roman"/>
                <w:color w:val="auto"/>
              </w:rPr>
              <w:t>……声源声功率级；</w:t>
            </w:r>
          </w:p>
          <w:p w14:paraId="126D4211">
            <w:pPr>
              <w:pStyle w:val="46"/>
              <w:rPr>
                <w:rFonts w:hint="default" w:ascii="Times New Roman" w:hAnsi="Times New Roman" w:cs="Times New Roman"/>
                <w:color w:val="auto"/>
              </w:rPr>
            </w:pPr>
            <w:r>
              <w:rPr>
                <w:rFonts w:hint="default" w:ascii="Times New Roman" w:hAnsi="Times New Roman" w:cs="Times New Roman"/>
                <w:color w:val="auto"/>
              </w:rPr>
              <w:tab/>
            </w:r>
            <w:r>
              <w:rPr>
                <w:rFonts w:hint="default" w:ascii="Times New Roman" w:hAnsi="Times New Roman" w:cs="Times New Roman"/>
                <w:color w:val="auto"/>
              </w:rPr>
              <w:t>r……距离声源中心的距离；</w:t>
            </w:r>
          </w:p>
          <w:p w14:paraId="59F6ED30">
            <w:pPr>
              <w:pStyle w:val="46"/>
              <w:ind w:firstLine="720" w:firstLineChars="300"/>
              <w:rPr>
                <w:rFonts w:hint="default" w:ascii="Times New Roman" w:hAnsi="Times New Roman" w:cs="Times New Roman"/>
                <w:color w:val="auto"/>
              </w:rPr>
            </w:pPr>
            <w:r>
              <w:rPr>
                <w:rFonts w:hint="default" w:ascii="Times New Roman" w:hAnsi="Times New Roman" w:cs="Times New Roman"/>
                <w:color w:val="auto"/>
              </w:rPr>
              <w:t xml:space="preserve"> K</w:t>
            </w:r>
            <w:r>
              <w:rPr>
                <w:rFonts w:hint="default" w:ascii="Times New Roman" w:hAnsi="Times New Roman" w:cs="Times New Roman"/>
                <w:color w:val="auto"/>
                <w:lang w:val="en-GB"/>
              </w:rPr>
              <w:t>……</w:t>
            </w:r>
            <w:r>
              <w:rPr>
                <w:rFonts w:hint="default" w:ascii="Times New Roman" w:hAnsi="Times New Roman" w:cs="Times New Roman"/>
                <w:color w:val="auto"/>
              </w:rPr>
              <w:t>修正值。</w:t>
            </w:r>
          </w:p>
          <w:p w14:paraId="46C90DA9">
            <w:pPr>
              <w:pStyle w:val="46"/>
              <w:rPr>
                <w:rFonts w:hint="default" w:ascii="Times New Roman" w:hAnsi="Times New Roman" w:cs="Times New Roman"/>
                <w:color w:val="auto"/>
              </w:rPr>
            </w:pPr>
            <w:r>
              <w:rPr>
                <w:rFonts w:hint="default" w:ascii="Times New Roman" w:hAnsi="Times New Roman" w:cs="Times New Roman"/>
                <w:color w:val="auto"/>
              </w:rPr>
              <w:t>对于同一声源可知r</w:t>
            </w:r>
            <w:r>
              <w:rPr>
                <w:rFonts w:hint="default" w:ascii="Times New Roman" w:hAnsi="Times New Roman" w:cs="Times New Roman"/>
                <w:color w:val="auto"/>
                <w:vertAlign w:val="subscript"/>
              </w:rPr>
              <w:t>1</w:t>
            </w:r>
            <w:r>
              <w:rPr>
                <w:rFonts w:hint="default" w:ascii="Times New Roman" w:hAnsi="Times New Roman" w:cs="Times New Roman"/>
                <w:color w:val="auto"/>
              </w:rPr>
              <w:t>和r</w:t>
            </w:r>
            <w:r>
              <w:rPr>
                <w:rFonts w:hint="default" w:ascii="Times New Roman" w:hAnsi="Times New Roman" w:cs="Times New Roman"/>
                <w:color w:val="auto"/>
                <w:vertAlign w:val="subscript"/>
              </w:rPr>
              <w:t>2</w:t>
            </w:r>
            <w:r>
              <w:rPr>
                <w:rFonts w:hint="default" w:ascii="Times New Roman" w:hAnsi="Times New Roman" w:cs="Times New Roman"/>
                <w:color w:val="auto"/>
              </w:rPr>
              <w:t>处声压级L</w:t>
            </w:r>
            <w:r>
              <w:rPr>
                <w:rFonts w:hint="default" w:ascii="Times New Roman" w:hAnsi="Times New Roman" w:cs="Times New Roman"/>
                <w:color w:val="auto"/>
                <w:vertAlign w:val="subscript"/>
              </w:rPr>
              <w:t>1</w:t>
            </w:r>
            <w:r>
              <w:rPr>
                <w:rFonts w:hint="default" w:ascii="Times New Roman" w:hAnsi="Times New Roman" w:cs="Times New Roman"/>
                <w:color w:val="auto"/>
              </w:rPr>
              <w:t>和L</w:t>
            </w:r>
            <w:r>
              <w:rPr>
                <w:rFonts w:hint="default" w:ascii="Times New Roman" w:hAnsi="Times New Roman" w:cs="Times New Roman"/>
                <w:color w:val="auto"/>
                <w:vertAlign w:val="subscript"/>
              </w:rPr>
              <w:t>2</w:t>
            </w:r>
            <w:r>
              <w:rPr>
                <w:rFonts w:hint="default" w:ascii="Times New Roman" w:hAnsi="Times New Roman" w:cs="Times New Roman"/>
                <w:color w:val="auto"/>
              </w:rPr>
              <w:t>间关系为：</w:t>
            </w:r>
          </w:p>
          <w:p w14:paraId="2282A6D6">
            <w:pPr>
              <w:pStyle w:val="46"/>
              <w:jc w:val="center"/>
              <w:rPr>
                <w:rFonts w:hint="default" w:ascii="Times New Roman" w:hAnsi="Times New Roman" w:cs="Times New Roman"/>
                <w:color w:val="auto"/>
              </w:rPr>
            </w:pPr>
            <w:r>
              <w:rPr>
                <w:rFonts w:hint="default" w:ascii="Times New Roman" w:hAnsi="Times New Roman" w:cs="Times New Roman"/>
                <w:color w:val="auto"/>
              </w:rPr>
              <w:t>L</w:t>
            </w:r>
            <w:r>
              <w:rPr>
                <w:rFonts w:hint="default" w:ascii="Times New Roman" w:hAnsi="Times New Roman" w:cs="Times New Roman"/>
                <w:color w:val="auto"/>
                <w:vertAlign w:val="subscript"/>
              </w:rPr>
              <w:t>2</w:t>
            </w:r>
            <w:r>
              <w:rPr>
                <w:rFonts w:hint="default" w:ascii="Times New Roman" w:hAnsi="Times New Roman" w:cs="Times New Roman"/>
                <w:color w:val="auto"/>
                <w:lang w:val="en-GB"/>
              </w:rPr>
              <w:t>＝</w:t>
            </w:r>
            <w:r>
              <w:rPr>
                <w:rFonts w:hint="default" w:ascii="Times New Roman" w:hAnsi="Times New Roman" w:cs="Times New Roman"/>
                <w:color w:val="auto"/>
              </w:rPr>
              <w:t>L</w:t>
            </w:r>
            <w:r>
              <w:rPr>
                <w:rFonts w:hint="default" w:ascii="Times New Roman" w:hAnsi="Times New Roman" w:cs="Times New Roman"/>
                <w:color w:val="auto"/>
                <w:vertAlign w:val="subscript"/>
              </w:rPr>
              <w:t>1</w:t>
            </w:r>
            <w:r>
              <w:rPr>
                <w:rFonts w:hint="default" w:ascii="Times New Roman" w:hAnsi="Times New Roman" w:cs="Times New Roman"/>
                <w:color w:val="auto"/>
                <w:lang w:val="en-GB"/>
              </w:rPr>
              <w:t>－</w:t>
            </w:r>
            <w:r>
              <w:rPr>
                <w:rFonts w:hint="default" w:ascii="Times New Roman" w:hAnsi="Times New Roman" w:cs="Times New Roman"/>
                <w:color w:val="auto"/>
              </w:rPr>
              <w:t>20lg(r</w:t>
            </w:r>
            <w:r>
              <w:rPr>
                <w:rFonts w:hint="default" w:ascii="Times New Roman" w:hAnsi="Times New Roman" w:cs="Times New Roman"/>
                <w:color w:val="auto"/>
                <w:vertAlign w:val="subscript"/>
              </w:rPr>
              <w:t>2</w:t>
            </w:r>
            <w:r>
              <w:rPr>
                <w:rFonts w:hint="default" w:ascii="Times New Roman" w:hAnsi="Times New Roman" w:cs="Times New Roman"/>
                <w:color w:val="auto"/>
              </w:rPr>
              <w:t>/r</w:t>
            </w:r>
            <w:r>
              <w:rPr>
                <w:rFonts w:hint="default" w:ascii="Times New Roman" w:hAnsi="Times New Roman" w:cs="Times New Roman"/>
                <w:color w:val="auto"/>
                <w:vertAlign w:val="subscript"/>
              </w:rPr>
              <w:t>1</w:t>
            </w:r>
            <w:r>
              <w:rPr>
                <w:rFonts w:hint="default" w:ascii="Times New Roman" w:hAnsi="Times New Roman" w:cs="Times New Roman"/>
                <w:color w:val="auto"/>
              </w:rPr>
              <w:t>)</w:t>
            </w:r>
          </w:p>
          <w:p w14:paraId="7F73ECA4">
            <w:pPr>
              <w:pStyle w:val="46"/>
              <w:ind w:firstLine="482"/>
              <w:rPr>
                <w:rFonts w:hint="default" w:ascii="Times New Roman" w:hAnsi="Times New Roman" w:cs="Times New Roman"/>
                <w:b/>
                <w:color w:val="auto"/>
              </w:rPr>
            </w:pPr>
            <w:r>
              <w:rPr>
                <w:rFonts w:hint="default" w:ascii="Times New Roman" w:hAnsi="Times New Roman" w:cs="Times New Roman"/>
                <w:b/>
                <w:color w:val="auto"/>
              </w:rPr>
              <w:t>②多源叠加模式：</w:t>
            </w:r>
          </w:p>
          <w:p w14:paraId="64CC3CDD">
            <w:pPr>
              <w:pStyle w:val="46"/>
              <w:rPr>
                <w:rFonts w:hint="default" w:ascii="Times New Roman" w:hAnsi="Times New Roman" w:cs="Times New Roman"/>
                <w:color w:val="auto"/>
              </w:rPr>
            </w:pPr>
            <w:r>
              <w:rPr>
                <w:rFonts w:hint="default" w:ascii="Times New Roman" w:hAnsi="Times New Roman" w:cs="Times New Roman"/>
                <w:color w:val="auto"/>
              </w:rPr>
              <w:t>在预测过程中，根据实际情况把各具体复杂的噪声源简化为点声源进行计算，再将其计算结果与本底进行能量叠加，得到该处噪声预测值。</w:t>
            </w:r>
          </w:p>
          <w:p w14:paraId="6214DB70">
            <w:pPr>
              <w:pStyle w:val="46"/>
              <w:rPr>
                <w:rFonts w:hint="default" w:ascii="Times New Roman" w:hAnsi="Times New Roman" w:cs="Times New Roman"/>
                <w:color w:val="auto"/>
              </w:rPr>
            </w:pPr>
            <w:r>
              <w:rPr>
                <w:rFonts w:hint="default" w:ascii="Times New Roman" w:hAnsi="Times New Roman" w:cs="Times New Roman"/>
                <w:color w:val="auto"/>
              </w:rPr>
              <w:t>对于任何一个预测点，其总噪声效应是多个叠加声级(即各声源分别在该点的贡献值L</w:t>
            </w:r>
            <w:r>
              <w:rPr>
                <w:rFonts w:hint="default" w:ascii="Times New Roman" w:hAnsi="Times New Roman" w:cs="Times New Roman"/>
                <w:color w:val="auto"/>
                <w:vertAlign w:val="subscript"/>
              </w:rPr>
              <w:t>2</w:t>
            </w:r>
            <w:r>
              <w:rPr>
                <w:rFonts w:hint="default" w:ascii="Times New Roman" w:hAnsi="Times New Roman" w:cs="Times New Roman"/>
                <w:color w:val="auto"/>
              </w:rPr>
              <w:t>和本底噪声值)的能量总和，其计算式如下：</w:t>
            </w:r>
          </w:p>
          <w:p w14:paraId="05F5E59D">
            <w:pPr>
              <w:pStyle w:val="46"/>
              <w:jc w:val="center"/>
              <w:rPr>
                <w:rFonts w:hint="default" w:ascii="Times New Roman" w:hAnsi="Times New Roman" w:cs="Times New Roman"/>
                <w:color w:val="auto"/>
              </w:rPr>
            </w:pPr>
            <w:r>
              <w:rPr>
                <w:rFonts w:hint="default" w:ascii="Times New Roman" w:hAnsi="Times New Roman" w:cs="Times New Roman"/>
                <w:color w:val="auto"/>
              </w:rPr>
              <w:drawing>
                <wp:inline distT="0" distB="0" distL="114300" distR="114300">
                  <wp:extent cx="1424940" cy="255270"/>
                  <wp:effectExtent l="0" t="0" r="3810" b="11430"/>
                  <wp:docPr id="10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2"/>
                          <pic:cNvPicPr>
                            <a:picLocks noChangeAspect="1"/>
                          </pic:cNvPicPr>
                        </pic:nvPicPr>
                        <pic:blipFill>
                          <a:blip r:embed="rId31"/>
                          <a:stretch>
                            <a:fillRect/>
                          </a:stretch>
                        </pic:blipFill>
                        <pic:spPr>
                          <a:xfrm>
                            <a:off x="0" y="0"/>
                            <a:ext cx="1424940" cy="255270"/>
                          </a:xfrm>
                          <a:prstGeom prst="rect">
                            <a:avLst/>
                          </a:prstGeom>
                          <a:noFill/>
                          <a:ln w="9525">
                            <a:noFill/>
                          </a:ln>
                        </pic:spPr>
                      </pic:pic>
                    </a:graphicData>
                  </a:graphic>
                </wp:inline>
              </w:drawing>
            </w:r>
          </w:p>
          <w:p w14:paraId="421E72C6">
            <w:pPr>
              <w:pStyle w:val="46"/>
              <w:rPr>
                <w:rFonts w:hint="default" w:ascii="Times New Roman" w:hAnsi="Times New Roman" w:cs="Times New Roman"/>
                <w:color w:val="auto"/>
              </w:rPr>
            </w:pPr>
            <w:r>
              <w:rPr>
                <w:rFonts w:hint="default" w:ascii="Times New Roman" w:hAnsi="Times New Roman" w:cs="Times New Roman"/>
                <w:color w:val="auto"/>
              </w:rPr>
              <w:t>式中：L——某点噪声总叠加值，dB(A)；</w:t>
            </w:r>
          </w:p>
          <w:p w14:paraId="4BBA1B8A">
            <w:pPr>
              <w:pStyle w:val="46"/>
              <w:rPr>
                <w:rFonts w:hint="default" w:ascii="Times New Roman" w:hAnsi="Times New Roman" w:cs="Times New Roman"/>
                <w:color w:val="auto"/>
              </w:rPr>
            </w:pPr>
            <w:r>
              <w:rPr>
                <w:rFonts w:hint="default" w:ascii="Times New Roman" w:hAnsi="Times New Roman" w:cs="Times New Roman"/>
                <w:color w:val="auto"/>
              </w:rPr>
              <w:t>Li——第i个声源的噪声值，dB(A)；</w:t>
            </w:r>
          </w:p>
          <w:p w14:paraId="2A12FDF3">
            <w:pPr>
              <w:pStyle w:val="46"/>
              <w:rPr>
                <w:rFonts w:hint="default" w:ascii="Times New Roman" w:hAnsi="Times New Roman" w:cs="Times New Roman"/>
                <w:color w:val="auto"/>
              </w:rPr>
            </w:pPr>
            <w:r>
              <w:rPr>
                <w:rFonts w:hint="default" w:ascii="Times New Roman" w:hAnsi="Times New Roman" w:cs="Times New Roman"/>
                <w:color w:val="auto"/>
              </w:rPr>
              <w:t>n——声源个数。</w:t>
            </w:r>
          </w:p>
          <w:p w14:paraId="38254FB9">
            <w:pPr>
              <w:pStyle w:val="46"/>
              <w:ind w:firstLine="482"/>
              <w:rPr>
                <w:rFonts w:hint="default" w:ascii="Times New Roman" w:hAnsi="Times New Roman" w:cs="Times New Roman"/>
                <w:b/>
                <w:color w:val="auto"/>
              </w:rPr>
            </w:pPr>
            <w:r>
              <w:rPr>
                <w:rFonts w:hint="eastAsia" w:cs="Times New Roman"/>
                <w:b/>
                <w:color w:val="auto"/>
                <w:lang w:val="en-US" w:eastAsia="zh-CN"/>
              </w:rPr>
              <w:t>2</w:t>
            </w:r>
            <w:r>
              <w:rPr>
                <w:rFonts w:hint="default" w:ascii="Times New Roman" w:hAnsi="Times New Roman" w:cs="Times New Roman"/>
                <w:b/>
                <w:color w:val="auto"/>
              </w:rPr>
              <w:t>厂房预测结果</w:t>
            </w:r>
          </w:p>
          <w:p w14:paraId="1245E9CA">
            <w:pPr>
              <w:pStyle w:val="46"/>
              <w:rPr>
                <w:rFonts w:hint="default" w:ascii="Times New Roman" w:hAnsi="Times New Roman" w:cs="Times New Roman"/>
                <w:color w:val="auto"/>
              </w:rPr>
            </w:pPr>
            <w:r>
              <w:rPr>
                <w:rFonts w:hint="default" w:ascii="Times New Roman" w:hAnsi="Times New Roman" w:cs="Times New Roman"/>
                <w:color w:val="auto"/>
                <w:lang w:val="en-US" w:eastAsia="zh-CN"/>
              </w:rPr>
              <w:t>本项目设备均置于车间内，车间墙体以及遮挡物引起的衰减量约为</w:t>
            </w:r>
            <w:r>
              <w:rPr>
                <w:rFonts w:hint="eastAsia" w:cs="Times New Roman"/>
                <w:color w:val="auto"/>
                <w:lang w:val="en-US" w:eastAsia="zh-CN"/>
              </w:rPr>
              <w:t>10</w:t>
            </w:r>
            <w:r>
              <w:rPr>
                <w:rFonts w:hint="default" w:ascii="Times New Roman" w:hAnsi="Times New Roman" w:cs="Times New Roman"/>
                <w:color w:val="auto"/>
                <w:lang w:val="en-US" w:eastAsia="zh-CN"/>
              </w:rPr>
              <w:t>dB，则厂界外设备噪声贡献值叠加为下表所示。</w:t>
            </w:r>
          </w:p>
          <w:p w14:paraId="33C8D17E">
            <w:pPr>
              <w:pStyle w:val="46"/>
              <w:ind w:firstLine="420"/>
              <w:jc w:val="center"/>
              <w:rPr>
                <w:rFonts w:hint="default" w:ascii="Times New Roman" w:hAnsi="Times New Roman" w:eastAsia="黑体" w:cs="Times New Roman"/>
                <w:color w:val="FF0000"/>
                <w:sz w:val="21"/>
                <w:szCs w:val="21"/>
              </w:rPr>
            </w:pPr>
            <w:r>
              <w:rPr>
                <w:rFonts w:hint="default" w:ascii="Times New Roman" w:hAnsi="Times New Roman" w:eastAsia="黑体" w:cs="Times New Roman"/>
                <w:color w:val="auto"/>
                <w:sz w:val="21"/>
                <w:szCs w:val="21"/>
              </w:rPr>
              <w:t>表7-</w:t>
            </w:r>
            <w:r>
              <w:rPr>
                <w:rFonts w:hint="eastAsia" w:eastAsia="黑体" w:cs="Times New Roman"/>
                <w:color w:val="auto"/>
                <w:sz w:val="21"/>
                <w:szCs w:val="21"/>
                <w:lang w:val="en-US" w:eastAsia="zh-CN"/>
              </w:rPr>
              <w:t>12</w:t>
            </w:r>
            <w:r>
              <w:rPr>
                <w:rFonts w:hint="default" w:ascii="Times New Roman" w:hAnsi="Times New Roman" w:eastAsia="黑体" w:cs="Times New Roman"/>
                <w:color w:val="auto"/>
                <w:sz w:val="21"/>
                <w:szCs w:val="21"/>
              </w:rPr>
              <w:t xml:space="preserve">  厂界噪声影响预测结果（单位：dB(A)）</w:t>
            </w:r>
          </w:p>
          <w:tbl>
            <w:tblPr>
              <w:tblStyle w:val="23"/>
              <w:tblW w:w="9978" w:type="dxa"/>
              <w:tblInd w:w="0" w:type="dxa"/>
              <w:tblLayout w:type="fixed"/>
              <w:tblCellMar>
                <w:top w:w="0" w:type="dxa"/>
                <w:left w:w="108" w:type="dxa"/>
                <w:bottom w:w="0" w:type="dxa"/>
                <w:right w:w="108" w:type="dxa"/>
              </w:tblCellMar>
            </w:tblPr>
            <w:tblGrid>
              <w:gridCol w:w="580"/>
              <w:gridCol w:w="1287"/>
              <w:gridCol w:w="862"/>
              <w:gridCol w:w="910"/>
              <w:gridCol w:w="861"/>
              <w:gridCol w:w="916"/>
              <w:gridCol w:w="912"/>
              <w:gridCol w:w="914"/>
              <w:gridCol w:w="917"/>
              <w:gridCol w:w="924"/>
              <w:gridCol w:w="895"/>
            </w:tblGrid>
            <w:tr w14:paraId="54598F0F">
              <w:tblPrEx>
                <w:tblCellMar>
                  <w:top w:w="0" w:type="dxa"/>
                  <w:left w:w="108" w:type="dxa"/>
                  <w:bottom w:w="0" w:type="dxa"/>
                  <w:right w:w="108" w:type="dxa"/>
                </w:tblCellMar>
              </w:tblPrEx>
              <w:trPr>
                <w:trHeight w:val="336" w:hRule="atLeast"/>
              </w:trPr>
              <w:tc>
                <w:tcPr>
                  <w:tcW w:w="580" w:type="dxa"/>
                  <w:vMerge w:val="restart"/>
                  <w:tcBorders>
                    <w:top w:val="single" w:color="auto" w:sz="12" w:space="0"/>
                    <w:bottom w:val="single" w:color="auto" w:sz="6" w:space="0"/>
                    <w:right w:val="single" w:color="auto" w:sz="6" w:space="0"/>
                  </w:tcBorders>
                  <w:vAlign w:val="center"/>
                </w:tcPr>
                <w:p w14:paraId="31FD7290">
                  <w:pPr>
                    <w:jc w:val="center"/>
                    <w:rPr>
                      <w:rFonts w:ascii="Times New Roman" w:hAnsi="Times New Roman" w:eastAsia="宋体" w:cs="Times New Roman"/>
                      <w:b/>
                      <w:bCs/>
                      <w:color w:val="000000" w:themeColor="text1"/>
                      <w:kern w:val="28"/>
                      <w:szCs w:val="21"/>
                      <w14:textFill>
                        <w14:solidFill>
                          <w14:schemeClr w14:val="tx1"/>
                        </w14:solidFill>
                      </w14:textFill>
                    </w:rPr>
                  </w:pPr>
                  <w:r>
                    <w:rPr>
                      <w:rFonts w:ascii="Times New Roman" w:hAnsi="Times New Roman" w:cs="Times New Roman"/>
                      <w:b/>
                      <w:bCs/>
                      <w:color w:val="000000" w:themeColor="text1"/>
                      <w:kern w:val="28"/>
                      <w:szCs w:val="21"/>
                      <w14:textFill>
                        <w14:solidFill>
                          <w14:schemeClr w14:val="tx1"/>
                        </w14:solidFill>
                      </w14:textFill>
                    </w:rPr>
                    <w:t>污染源</w:t>
                  </w:r>
                </w:p>
              </w:tc>
              <w:tc>
                <w:tcPr>
                  <w:tcW w:w="1287" w:type="dxa"/>
                  <w:vMerge w:val="restart"/>
                  <w:tcBorders>
                    <w:top w:val="single" w:color="auto" w:sz="12" w:space="0"/>
                    <w:left w:val="single" w:color="auto" w:sz="6" w:space="0"/>
                    <w:bottom w:val="single" w:color="auto" w:sz="6" w:space="0"/>
                    <w:right w:val="single" w:color="auto" w:sz="6" w:space="0"/>
                  </w:tcBorders>
                  <w:vAlign w:val="center"/>
                </w:tcPr>
                <w:p w14:paraId="3892D988">
                  <w:pPr>
                    <w:jc w:val="center"/>
                    <w:rPr>
                      <w:rFonts w:ascii="Times New Roman" w:hAnsi="Times New Roman" w:eastAsia="宋体" w:cs="Times New Roman"/>
                      <w:b/>
                      <w:bCs/>
                      <w:color w:val="000000" w:themeColor="text1"/>
                      <w:kern w:val="28"/>
                      <w:szCs w:val="21"/>
                      <w14:textFill>
                        <w14:solidFill>
                          <w14:schemeClr w14:val="tx1"/>
                        </w14:solidFill>
                      </w14:textFill>
                    </w:rPr>
                  </w:pPr>
                  <w:r>
                    <w:rPr>
                      <w:rFonts w:ascii="Times New Roman" w:hAnsi="Times New Roman" w:cs="Times New Roman"/>
                      <w:b/>
                      <w:bCs/>
                      <w:color w:val="000000" w:themeColor="text1"/>
                      <w:kern w:val="28"/>
                      <w:szCs w:val="21"/>
                      <w14:textFill>
                        <w14:solidFill>
                          <w14:schemeClr w14:val="tx1"/>
                        </w14:solidFill>
                      </w14:textFill>
                    </w:rPr>
                    <w:t>噪声源</w:t>
                  </w:r>
                </w:p>
              </w:tc>
              <w:tc>
                <w:tcPr>
                  <w:tcW w:w="862" w:type="dxa"/>
                  <w:vMerge w:val="restart"/>
                  <w:tcBorders>
                    <w:top w:val="single" w:color="auto" w:sz="12" w:space="0"/>
                    <w:left w:val="single" w:color="auto" w:sz="6" w:space="0"/>
                    <w:bottom w:val="single" w:color="auto" w:sz="6" w:space="0"/>
                    <w:right w:val="single" w:color="auto" w:sz="6" w:space="0"/>
                  </w:tcBorders>
                  <w:vAlign w:val="center"/>
                </w:tcPr>
                <w:p w14:paraId="11868533">
                  <w:pPr>
                    <w:jc w:val="center"/>
                    <w:rPr>
                      <w:rFonts w:ascii="Times New Roman" w:hAnsi="Times New Roman" w:eastAsia="宋体" w:cs="Times New Roman"/>
                      <w:b/>
                      <w:bCs/>
                      <w:color w:val="000000" w:themeColor="text1"/>
                      <w:kern w:val="28"/>
                      <w:szCs w:val="21"/>
                      <w14:textFill>
                        <w14:solidFill>
                          <w14:schemeClr w14:val="tx1"/>
                        </w14:solidFill>
                      </w14:textFill>
                    </w:rPr>
                  </w:pPr>
                  <w:r>
                    <w:rPr>
                      <w:rFonts w:ascii="Times New Roman" w:hAnsi="Times New Roman" w:cs="Times New Roman"/>
                      <w:b/>
                      <w:bCs/>
                      <w:color w:val="000000" w:themeColor="text1"/>
                      <w:kern w:val="28"/>
                      <w:szCs w:val="21"/>
                      <w14:textFill>
                        <w14:solidFill>
                          <w14:schemeClr w14:val="tx1"/>
                        </w14:solidFill>
                      </w14:textFill>
                    </w:rPr>
                    <w:t>1m处噪声源dB（A）</w:t>
                  </w:r>
                </w:p>
              </w:tc>
              <w:tc>
                <w:tcPr>
                  <w:tcW w:w="1771" w:type="dxa"/>
                  <w:gridSpan w:val="2"/>
                  <w:tcBorders>
                    <w:top w:val="single" w:color="auto" w:sz="12" w:space="0"/>
                    <w:left w:val="single" w:color="auto" w:sz="6" w:space="0"/>
                    <w:bottom w:val="single" w:color="auto" w:sz="6" w:space="0"/>
                    <w:right w:val="single" w:color="auto" w:sz="6" w:space="0"/>
                  </w:tcBorders>
                  <w:vAlign w:val="center"/>
                </w:tcPr>
                <w:p w14:paraId="4C47B502">
                  <w:pPr>
                    <w:jc w:val="center"/>
                    <w:rPr>
                      <w:rFonts w:ascii="Times New Roman" w:hAnsi="Times New Roman" w:eastAsia="宋体" w:cs="Times New Roman"/>
                      <w:b/>
                      <w:bCs/>
                      <w:color w:val="000000" w:themeColor="text1"/>
                      <w:kern w:val="28"/>
                      <w:szCs w:val="21"/>
                      <w14:textFill>
                        <w14:solidFill>
                          <w14:schemeClr w14:val="tx1"/>
                        </w14:solidFill>
                      </w14:textFill>
                    </w:rPr>
                  </w:pPr>
                  <w:r>
                    <w:rPr>
                      <w:rFonts w:ascii="Times New Roman" w:hAnsi="Times New Roman" w:cs="Times New Roman"/>
                      <w:b/>
                      <w:bCs/>
                      <w:color w:val="000000" w:themeColor="text1"/>
                      <w:kern w:val="28"/>
                      <w:szCs w:val="21"/>
                      <w14:textFill>
                        <w14:solidFill>
                          <w14:schemeClr w14:val="tx1"/>
                        </w14:solidFill>
                      </w14:textFill>
                    </w:rPr>
                    <w:t>东厂界</w:t>
                  </w:r>
                </w:p>
              </w:tc>
              <w:tc>
                <w:tcPr>
                  <w:tcW w:w="1828" w:type="dxa"/>
                  <w:gridSpan w:val="2"/>
                  <w:tcBorders>
                    <w:top w:val="single" w:color="auto" w:sz="12" w:space="0"/>
                    <w:left w:val="single" w:color="auto" w:sz="6" w:space="0"/>
                    <w:bottom w:val="single" w:color="auto" w:sz="6" w:space="0"/>
                    <w:right w:val="single" w:color="auto" w:sz="6" w:space="0"/>
                  </w:tcBorders>
                  <w:vAlign w:val="center"/>
                </w:tcPr>
                <w:p w14:paraId="3E7BFAEF">
                  <w:pPr>
                    <w:jc w:val="center"/>
                    <w:rPr>
                      <w:rFonts w:ascii="Times New Roman" w:hAnsi="Times New Roman" w:eastAsia="宋体" w:cs="Times New Roman"/>
                      <w:b/>
                      <w:bCs/>
                      <w:color w:val="000000" w:themeColor="text1"/>
                      <w:kern w:val="28"/>
                      <w:szCs w:val="21"/>
                      <w14:textFill>
                        <w14:solidFill>
                          <w14:schemeClr w14:val="tx1"/>
                        </w14:solidFill>
                      </w14:textFill>
                    </w:rPr>
                  </w:pPr>
                  <w:r>
                    <w:rPr>
                      <w:rFonts w:ascii="Times New Roman" w:hAnsi="Times New Roman" w:cs="Times New Roman"/>
                      <w:b/>
                      <w:bCs/>
                      <w:color w:val="000000" w:themeColor="text1"/>
                      <w:kern w:val="28"/>
                      <w:szCs w:val="21"/>
                      <w14:textFill>
                        <w14:solidFill>
                          <w14:schemeClr w14:val="tx1"/>
                        </w14:solidFill>
                      </w14:textFill>
                    </w:rPr>
                    <w:t>南厂界</w:t>
                  </w:r>
                </w:p>
              </w:tc>
              <w:tc>
                <w:tcPr>
                  <w:tcW w:w="1831" w:type="dxa"/>
                  <w:gridSpan w:val="2"/>
                  <w:tcBorders>
                    <w:top w:val="single" w:color="auto" w:sz="12" w:space="0"/>
                    <w:left w:val="single" w:color="auto" w:sz="6" w:space="0"/>
                    <w:bottom w:val="single" w:color="auto" w:sz="6" w:space="0"/>
                    <w:right w:val="single" w:color="auto" w:sz="6" w:space="0"/>
                  </w:tcBorders>
                  <w:vAlign w:val="center"/>
                </w:tcPr>
                <w:p w14:paraId="033CF2A6">
                  <w:pPr>
                    <w:jc w:val="center"/>
                    <w:rPr>
                      <w:rFonts w:ascii="Times New Roman" w:hAnsi="Times New Roman" w:eastAsia="宋体" w:cs="Times New Roman"/>
                      <w:b/>
                      <w:bCs/>
                      <w:color w:val="000000" w:themeColor="text1"/>
                      <w:kern w:val="28"/>
                      <w:szCs w:val="21"/>
                      <w14:textFill>
                        <w14:solidFill>
                          <w14:schemeClr w14:val="tx1"/>
                        </w14:solidFill>
                      </w14:textFill>
                    </w:rPr>
                  </w:pPr>
                  <w:r>
                    <w:rPr>
                      <w:rFonts w:ascii="Times New Roman" w:hAnsi="Times New Roman" w:cs="Times New Roman"/>
                      <w:b/>
                      <w:bCs/>
                      <w:color w:val="000000" w:themeColor="text1"/>
                      <w:kern w:val="28"/>
                      <w:szCs w:val="21"/>
                      <w14:textFill>
                        <w14:solidFill>
                          <w14:schemeClr w14:val="tx1"/>
                        </w14:solidFill>
                      </w14:textFill>
                    </w:rPr>
                    <w:t>西厂界</w:t>
                  </w:r>
                </w:p>
              </w:tc>
              <w:tc>
                <w:tcPr>
                  <w:tcW w:w="1819" w:type="dxa"/>
                  <w:gridSpan w:val="2"/>
                  <w:tcBorders>
                    <w:top w:val="single" w:color="auto" w:sz="12" w:space="0"/>
                    <w:left w:val="single" w:color="auto" w:sz="6" w:space="0"/>
                    <w:bottom w:val="single" w:color="auto" w:sz="6" w:space="0"/>
                  </w:tcBorders>
                  <w:vAlign w:val="center"/>
                </w:tcPr>
                <w:p w14:paraId="5F3BE954">
                  <w:pPr>
                    <w:jc w:val="center"/>
                    <w:rPr>
                      <w:rFonts w:ascii="Times New Roman" w:hAnsi="Times New Roman" w:eastAsia="宋体" w:cs="Times New Roman"/>
                      <w:b/>
                      <w:bCs/>
                      <w:color w:val="000000" w:themeColor="text1"/>
                      <w:kern w:val="28"/>
                      <w:szCs w:val="21"/>
                      <w14:textFill>
                        <w14:solidFill>
                          <w14:schemeClr w14:val="tx1"/>
                        </w14:solidFill>
                      </w14:textFill>
                    </w:rPr>
                  </w:pPr>
                  <w:r>
                    <w:rPr>
                      <w:rFonts w:ascii="Times New Roman" w:hAnsi="Times New Roman" w:cs="Times New Roman"/>
                      <w:b/>
                      <w:bCs/>
                      <w:color w:val="000000" w:themeColor="text1"/>
                      <w:kern w:val="28"/>
                      <w:szCs w:val="21"/>
                      <w14:textFill>
                        <w14:solidFill>
                          <w14:schemeClr w14:val="tx1"/>
                        </w14:solidFill>
                      </w14:textFill>
                    </w:rPr>
                    <w:t>北厂界</w:t>
                  </w:r>
                </w:p>
              </w:tc>
            </w:tr>
            <w:tr w14:paraId="1ED2CDF6">
              <w:tblPrEx>
                <w:tblCellMar>
                  <w:top w:w="0" w:type="dxa"/>
                  <w:left w:w="108" w:type="dxa"/>
                  <w:bottom w:w="0" w:type="dxa"/>
                  <w:right w:w="108" w:type="dxa"/>
                </w:tblCellMar>
              </w:tblPrEx>
              <w:trPr>
                <w:trHeight w:val="336" w:hRule="atLeast"/>
              </w:trPr>
              <w:tc>
                <w:tcPr>
                  <w:tcW w:w="580" w:type="dxa"/>
                  <w:vMerge w:val="continue"/>
                  <w:tcBorders>
                    <w:top w:val="single" w:color="auto" w:sz="12" w:space="0"/>
                    <w:bottom w:val="single" w:color="auto" w:sz="6" w:space="0"/>
                    <w:right w:val="single" w:color="auto" w:sz="6" w:space="0"/>
                  </w:tcBorders>
                  <w:vAlign w:val="center"/>
                </w:tcPr>
                <w:p w14:paraId="2B67A11B">
                  <w:pPr>
                    <w:widowControl/>
                    <w:jc w:val="left"/>
                    <w:rPr>
                      <w:rFonts w:ascii="Times New Roman" w:hAnsi="Times New Roman" w:eastAsia="宋体" w:cs="Times New Roman"/>
                      <w:b/>
                      <w:bCs/>
                      <w:color w:val="000000" w:themeColor="text1"/>
                      <w:kern w:val="28"/>
                      <w:szCs w:val="21"/>
                      <w14:textFill>
                        <w14:solidFill>
                          <w14:schemeClr w14:val="tx1"/>
                        </w14:solidFill>
                      </w14:textFill>
                    </w:rPr>
                  </w:pPr>
                </w:p>
              </w:tc>
              <w:tc>
                <w:tcPr>
                  <w:tcW w:w="1287" w:type="dxa"/>
                  <w:vMerge w:val="continue"/>
                  <w:tcBorders>
                    <w:top w:val="single" w:color="auto" w:sz="12" w:space="0"/>
                    <w:left w:val="single" w:color="auto" w:sz="6" w:space="0"/>
                    <w:bottom w:val="single" w:color="auto" w:sz="6" w:space="0"/>
                    <w:right w:val="single" w:color="auto" w:sz="6" w:space="0"/>
                  </w:tcBorders>
                  <w:vAlign w:val="center"/>
                </w:tcPr>
                <w:p w14:paraId="7FA7219F">
                  <w:pPr>
                    <w:widowControl/>
                    <w:jc w:val="left"/>
                    <w:rPr>
                      <w:rFonts w:ascii="Times New Roman" w:hAnsi="Times New Roman" w:eastAsia="宋体" w:cs="Times New Roman"/>
                      <w:b/>
                      <w:bCs/>
                      <w:color w:val="000000" w:themeColor="text1"/>
                      <w:kern w:val="28"/>
                      <w:szCs w:val="21"/>
                      <w14:textFill>
                        <w14:solidFill>
                          <w14:schemeClr w14:val="tx1"/>
                        </w14:solidFill>
                      </w14:textFill>
                    </w:rPr>
                  </w:pPr>
                </w:p>
              </w:tc>
              <w:tc>
                <w:tcPr>
                  <w:tcW w:w="862" w:type="dxa"/>
                  <w:vMerge w:val="continue"/>
                  <w:tcBorders>
                    <w:top w:val="single" w:color="auto" w:sz="12" w:space="0"/>
                    <w:left w:val="single" w:color="auto" w:sz="6" w:space="0"/>
                    <w:bottom w:val="single" w:color="auto" w:sz="6" w:space="0"/>
                    <w:right w:val="single" w:color="auto" w:sz="6" w:space="0"/>
                  </w:tcBorders>
                  <w:vAlign w:val="center"/>
                </w:tcPr>
                <w:p w14:paraId="5EA4599D">
                  <w:pPr>
                    <w:widowControl/>
                    <w:jc w:val="left"/>
                    <w:rPr>
                      <w:rFonts w:ascii="Times New Roman" w:hAnsi="Times New Roman" w:eastAsia="宋体" w:cs="Times New Roman"/>
                      <w:b/>
                      <w:bCs/>
                      <w:color w:val="000000" w:themeColor="text1"/>
                      <w:kern w:val="28"/>
                      <w:szCs w:val="21"/>
                      <w14:textFill>
                        <w14:solidFill>
                          <w14:schemeClr w14:val="tx1"/>
                        </w14:solidFill>
                      </w14:textFill>
                    </w:rPr>
                  </w:pPr>
                </w:p>
              </w:tc>
              <w:tc>
                <w:tcPr>
                  <w:tcW w:w="910" w:type="dxa"/>
                  <w:tcBorders>
                    <w:top w:val="single" w:color="auto" w:sz="6" w:space="0"/>
                    <w:left w:val="single" w:color="auto" w:sz="6" w:space="0"/>
                    <w:bottom w:val="single" w:color="auto" w:sz="6" w:space="0"/>
                    <w:right w:val="single" w:color="auto" w:sz="6" w:space="0"/>
                  </w:tcBorders>
                  <w:vAlign w:val="center"/>
                </w:tcPr>
                <w:p w14:paraId="2F7B58EC">
                  <w:pPr>
                    <w:jc w:val="center"/>
                    <w:rPr>
                      <w:rFonts w:ascii="Times New Roman" w:hAnsi="Times New Roman" w:eastAsia="宋体" w:cs="Times New Roman"/>
                      <w:b/>
                      <w:bCs/>
                      <w:color w:val="000000" w:themeColor="text1"/>
                      <w:kern w:val="28"/>
                      <w:szCs w:val="21"/>
                      <w14:textFill>
                        <w14:solidFill>
                          <w14:schemeClr w14:val="tx1"/>
                        </w14:solidFill>
                      </w14:textFill>
                    </w:rPr>
                  </w:pPr>
                  <w:r>
                    <w:rPr>
                      <w:rFonts w:ascii="Times New Roman" w:hAnsi="Times New Roman" w:cs="Times New Roman"/>
                      <w:b/>
                      <w:bCs/>
                      <w:color w:val="000000" w:themeColor="text1"/>
                      <w:kern w:val="28"/>
                      <w:szCs w:val="21"/>
                      <w14:textFill>
                        <w14:solidFill>
                          <w14:schemeClr w14:val="tx1"/>
                        </w14:solidFill>
                      </w14:textFill>
                    </w:rPr>
                    <w:t>距离（m）</w:t>
                  </w:r>
                </w:p>
              </w:tc>
              <w:tc>
                <w:tcPr>
                  <w:tcW w:w="861" w:type="dxa"/>
                  <w:tcBorders>
                    <w:top w:val="single" w:color="auto" w:sz="6" w:space="0"/>
                    <w:left w:val="single" w:color="auto" w:sz="6" w:space="0"/>
                    <w:bottom w:val="single" w:color="auto" w:sz="6" w:space="0"/>
                    <w:right w:val="single" w:color="auto" w:sz="6" w:space="0"/>
                  </w:tcBorders>
                  <w:vAlign w:val="center"/>
                </w:tcPr>
                <w:p w14:paraId="361511DD">
                  <w:pPr>
                    <w:jc w:val="center"/>
                    <w:rPr>
                      <w:rFonts w:ascii="Times New Roman" w:hAnsi="Times New Roman" w:eastAsia="宋体" w:cs="Times New Roman"/>
                      <w:b/>
                      <w:bCs/>
                      <w:color w:val="000000" w:themeColor="text1"/>
                      <w:kern w:val="28"/>
                      <w:szCs w:val="21"/>
                      <w14:textFill>
                        <w14:solidFill>
                          <w14:schemeClr w14:val="tx1"/>
                        </w14:solidFill>
                      </w14:textFill>
                    </w:rPr>
                  </w:pPr>
                  <w:r>
                    <w:rPr>
                      <w:rFonts w:ascii="Times New Roman" w:hAnsi="Times New Roman" w:cs="Times New Roman"/>
                      <w:b/>
                      <w:bCs/>
                      <w:color w:val="000000" w:themeColor="text1"/>
                      <w:kern w:val="28"/>
                      <w:szCs w:val="21"/>
                      <w14:textFill>
                        <w14:solidFill>
                          <w14:schemeClr w14:val="tx1"/>
                        </w14:solidFill>
                      </w14:textFill>
                    </w:rPr>
                    <w:t>贡献值dB（A）</w:t>
                  </w:r>
                </w:p>
              </w:tc>
              <w:tc>
                <w:tcPr>
                  <w:tcW w:w="916" w:type="dxa"/>
                  <w:tcBorders>
                    <w:top w:val="single" w:color="auto" w:sz="6" w:space="0"/>
                    <w:left w:val="single" w:color="auto" w:sz="6" w:space="0"/>
                    <w:bottom w:val="single" w:color="auto" w:sz="6" w:space="0"/>
                    <w:right w:val="single" w:color="auto" w:sz="6" w:space="0"/>
                  </w:tcBorders>
                  <w:vAlign w:val="center"/>
                </w:tcPr>
                <w:p w14:paraId="792E59F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b/>
                      <w:bCs/>
                      <w:color w:val="000000" w:themeColor="text1"/>
                      <w:kern w:val="28"/>
                      <w:szCs w:val="21"/>
                      <w14:textFill>
                        <w14:solidFill>
                          <w14:schemeClr w14:val="tx1"/>
                        </w14:solidFill>
                      </w14:textFill>
                    </w:rPr>
                    <w:t>距离（m）</w:t>
                  </w:r>
                </w:p>
              </w:tc>
              <w:tc>
                <w:tcPr>
                  <w:tcW w:w="912" w:type="dxa"/>
                  <w:tcBorders>
                    <w:top w:val="single" w:color="auto" w:sz="6" w:space="0"/>
                    <w:left w:val="single" w:color="auto" w:sz="6" w:space="0"/>
                    <w:bottom w:val="single" w:color="auto" w:sz="6" w:space="0"/>
                    <w:right w:val="single" w:color="auto" w:sz="6" w:space="0"/>
                  </w:tcBorders>
                  <w:vAlign w:val="center"/>
                </w:tcPr>
                <w:p w14:paraId="572B0D21">
                  <w:pPr>
                    <w:jc w:val="center"/>
                    <w:rPr>
                      <w:rFonts w:ascii="Times New Roman" w:hAnsi="Times New Roman" w:eastAsia="宋体" w:cs="Times New Roman"/>
                      <w:b/>
                      <w:bCs/>
                      <w:color w:val="000000" w:themeColor="text1"/>
                      <w:kern w:val="28"/>
                      <w:szCs w:val="21"/>
                      <w14:textFill>
                        <w14:solidFill>
                          <w14:schemeClr w14:val="tx1"/>
                        </w14:solidFill>
                      </w14:textFill>
                    </w:rPr>
                  </w:pPr>
                  <w:r>
                    <w:rPr>
                      <w:rFonts w:ascii="Times New Roman" w:hAnsi="Times New Roman" w:cs="Times New Roman"/>
                      <w:b/>
                      <w:bCs/>
                      <w:color w:val="000000" w:themeColor="text1"/>
                      <w:kern w:val="28"/>
                      <w:szCs w:val="21"/>
                      <w14:textFill>
                        <w14:solidFill>
                          <w14:schemeClr w14:val="tx1"/>
                        </w14:solidFill>
                      </w14:textFill>
                    </w:rPr>
                    <w:t>贡献值dB（A）</w:t>
                  </w:r>
                </w:p>
              </w:tc>
              <w:tc>
                <w:tcPr>
                  <w:tcW w:w="914" w:type="dxa"/>
                  <w:tcBorders>
                    <w:top w:val="single" w:color="auto" w:sz="6" w:space="0"/>
                    <w:left w:val="single" w:color="auto" w:sz="6" w:space="0"/>
                    <w:bottom w:val="single" w:color="auto" w:sz="6" w:space="0"/>
                    <w:right w:val="single" w:color="auto" w:sz="6" w:space="0"/>
                  </w:tcBorders>
                  <w:vAlign w:val="center"/>
                </w:tcPr>
                <w:p w14:paraId="4CA8882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b/>
                      <w:bCs/>
                      <w:color w:val="000000" w:themeColor="text1"/>
                      <w:kern w:val="28"/>
                      <w:szCs w:val="21"/>
                      <w14:textFill>
                        <w14:solidFill>
                          <w14:schemeClr w14:val="tx1"/>
                        </w14:solidFill>
                      </w14:textFill>
                    </w:rPr>
                    <w:t>距离（m）</w:t>
                  </w:r>
                </w:p>
              </w:tc>
              <w:tc>
                <w:tcPr>
                  <w:tcW w:w="917" w:type="dxa"/>
                  <w:tcBorders>
                    <w:top w:val="single" w:color="auto" w:sz="6" w:space="0"/>
                    <w:left w:val="single" w:color="auto" w:sz="6" w:space="0"/>
                    <w:bottom w:val="single" w:color="auto" w:sz="6" w:space="0"/>
                    <w:right w:val="single" w:color="auto" w:sz="6" w:space="0"/>
                  </w:tcBorders>
                  <w:vAlign w:val="center"/>
                </w:tcPr>
                <w:p w14:paraId="33610265">
                  <w:pPr>
                    <w:jc w:val="center"/>
                    <w:rPr>
                      <w:rFonts w:ascii="Times New Roman" w:hAnsi="Times New Roman" w:eastAsia="宋体" w:cs="Times New Roman"/>
                      <w:b/>
                      <w:bCs/>
                      <w:color w:val="000000" w:themeColor="text1"/>
                      <w:kern w:val="28"/>
                      <w:szCs w:val="21"/>
                      <w14:textFill>
                        <w14:solidFill>
                          <w14:schemeClr w14:val="tx1"/>
                        </w14:solidFill>
                      </w14:textFill>
                    </w:rPr>
                  </w:pPr>
                  <w:r>
                    <w:rPr>
                      <w:rFonts w:ascii="Times New Roman" w:hAnsi="Times New Roman" w:cs="Times New Roman"/>
                      <w:b/>
                      <w:bCs/>
                      <w:color w:val="000000" w:themeColor="text1"/>
                      <w:kern w:val="28"/>
                      <w:szCs w:val="21"/>
                      <w14:textFill>
                        <w14:solidFill>
                          <w14:schemeClr w14:val="tx1"/>
                        </w14:solidFill>
                      </w14:textFill>
                    </w:rPr>
                    <w:t>贡献值dB（A）</w:t>
                  </w:r>
                </w:p>
              </w:tc>
              <w:tc>
                <w:tcPr>
                  <w:tcW w:w="924" w:type="dxa"/>
                  <w:tcBorders>
                    <w:top w:val="single" w:color="auto" w:sz="6" w:space="0"/>
                    <w:left w:val="single" w:color="auto" w:sz="6" w:space="0"/>
                    <w:bottom w:val="single" w:color="auto" w:sz="6" w:space="0"/>
                    <w:right w:val="single" w:color="auto" w:sz="6" w:space="0"/>
                  </w:tcBorders>
                  <w:vAlign w:val="center"/>
                </w:tcPr>
                <w:p w14:paraId="0B69740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b/>
                      <w:bCs/>
                      <w:color w:val="000000" w:themeColor="text1"/>
                      <w:kern w:val="28"/>
                      <w:szCs w:val="21"/>
                      <w14:textFill>
                        <w14:solidFill>
                          <w14:schemeClr w14:val="tx1"/>
                        </w14:solidFill>
                      </w14:textFill>
                    </w:rPr>
                    <w:t>距离（m）</w:t>
                  </w:r>
                </w:p>
              </w:tc>
              <w:tc>
                <w:tcPr>
                  <w:tcW w:w="895" w:type="dxa"/>
                  <w:tcBorders>
                    <w:top w:val="single" w:color="auto" w:sz="6" w:space="0"/>
                    <w:left w:val="single" w:color="auto" w:sz="6" w:space="0"/>
                    <w:bottom w:val="single" w:color="auto" w:sz="6" w:space="0"/>
                  </w:tcBorders>
                  <w:vAlign w:val="center"/>
                </w:tcPr>
                <w:p w14:paraId="15F14687">
                  <w:pPr>
                    <w:jc w:val="center"/>
                    <w:rPr>
                      <w:rFonts w:ascii="Times New Roman" w:hAnsi="Times New Roman" w:eastAsia="宋体" w:cs="Times New Roman"/>
                      <w:b/>
                      <w:bCs/>
                      <w:color w:val="000000" w:themeColor="text1"/>
                      <w:kern w:val="28"/>
                      <w:szCs w:val="21"/>
                      <w14:textFill>
                        <w14:solidFill>
                          <w14:schemeClr w14:val="tx1"/>
                        </w14:solidFill>
                      </w14:textFill>
                    </w:rPr>
                  </w:pPr>
                  <w:r>
                    <w:rPr>
                      <w:rFonts w:ascii="Times New Roman" w:hAnsi="Times New Roman" w:cs="Times New Roman"/>
                      <w:b/>
                      <w:bCs/>
                      <w:color w:val="000000" w:themeColor="text1"/>
                      <w:kern w:val="28"/>
                      <w:szCs w:val="21"/>
                      <w14:textFill>
                        <w14:solidFill>
                          <w14:schemeClr w14:val="tx1"/>
                        </w14:solidFill>
                      </w14:textFill>
                    </w:rPr>
                    <w:t>贡献值dB（A）</w:t>
                  </w:r>
                </w:p>
              </w:tc>
            </w:tr>
            <w:tr w14:paraId="346416A6">
              <w:tblPrEx>
                <w:tblCellMar>
                  <w:top w:w="0" w:type="dxa"/>
                  <w:left w:w="108" w:type="dxa"/>
                  <w:bottom w:w="0" w:type="dxa"/>
                  <w:right w:w="108" w:type="dxa"/>
                </w:tblCellMar>
              </w:tblPrEx>
              <w:trPr>
                <w:trHeight w:val="336" w:hRule="atLeast"/>
              </w:trPr>
              <w:tc>
                <w:tcPr>
                  <w:tcW w:w="580" w:type="dxa"/>
                  <w:vMerge w:val="restart"/>
                  <w:tcBorders>
                    <w:top w:val="single" w:color="auto" w:sz="6" w:space="0"/>
                    <w:right w:val="single" w:color="auto" w:sz="6" w:space="0"/>
                  </w:tcBorders>
                  <w:vAlign w:val="center"/>
                </w:tcPr>
                <w:p w14:paraId="0D18F25E">
                  <w:pPr>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1</w:t>
                  </w:r>
                  <w:r>
                    <w:rPr>
                      <w:rFonts w:ascii="Times New Roman" w:hAnsi="Times New Roman" w:eastAsia="宋体" w:cs="Times New Roman"/>
                      <w:color w:val="000000" w:themeColor="text1"/>
                      <w:szCs w:val="21"/>
                      <w14:textFill>
                        <w14:solidFill>
                          <w14:schemeClr w14:val="tx1"/>
                        </w14:solidFill>
                      </w14:textFill>
                    </w:rPr>
                    <w:t>#厂房</w:t>
                  </w:r>
                </w:p>
              </w:tc>
              <w:tc>
                <w:tcPr>
                  <w:tcW w:w="1287" w:type="dxa"/>
                  <w:tcBorders>
                    <w:top w:val="single" w:color="auto" w:sz="6" w:space="0"/>
                    <w:left w:val="single" w:color="auto" w:sz="6" w:space="0"/>
                    <w:bottom w:val="single" w:color="auto" w:sz="6" w:space="0"/>
                    <w:right w:val="single" w:color="auto" w:sz="6" w:space="0"/>
                  </w:tcBorders>
                  <w:vAlign w:val="center"/>
                </w:tcPr>
                <w:p w14:paraId="0824C28E">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cs="Times New Roman"/>
                      <w:color w:val="auto"/>
                      <w:sz w:val="21"/>
                      <w:szCs w:val="21"/>
                    </w:rPr>
                    <w:t>破碎机</w:t>
                  </w:r>
                </w:p>
              </w:tc>
              <w:tc>
                <w:tcPr>
                  <w:tcW w:w="862" w:type="dxa"/>
                  <w:tcBorders>
                    <w:top w:val="single" w:color="auto" w:sz="6" w:space="0"/>
                    <w:left w:val="single" w:color="auto" w:sz="6" w:space="0"/>
                    <w:bottom w:val="single" w:color="auto" w:sz="6" w:space="0"/>
                    <w:right w:val="single" w:color="auto" w:sz="6" w:space="0"/>
                  </w:tcBorders>
                  <w:vAlign w:val="center"/>
                </w:tcPr>
                <w:p w14:paraId="02595B70">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80</w:t>
                  </w:r>
                </w:p>
              </w:tc>
              <w:tc>
                <w:tcPr>
                  <w:tcW w:w="910" w:type="dxa"/>
                  <w:tcBorders>
                    <w:top w:val="single" w:color="auto" w:sz="6" w:space="0"/>
                    <w:left w:val="single" w:color="auto" w:sz="6" w:space="0"/>
                    <w:bottom w:val="single" w:color="auto" w:sz="6" w:space="0"/>
                    <w:right w:val="single" w:color="auto" w:sz="6" w:space="0"/>
                  </w:tcBorders>
                  <w:vAlign w:val="center"/>
                </w:tcPr>
                <w:p w14:paraId="72DFB3EA">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ascii="Times New Roman" w:hAnsi="Times New Roman" w:cs="Times New Roman"/>
                      <w:color w:val="000000" w:themeColor="text1"/>
                      <w:kern w:val="28"/>
                      <w:szCs w:val="21"/>
                      <w:lang w:val="en-US" w:eastAsia="zh-CN"/>
                      <w14:textFill>
                        <w14:solidFill>
                          <w14:schemeClr w14:val="tx1"/>
                        </w14:solidFill>
                      </w14:textFill>
                    </w:rPr>
                    <w:t>21</w:t>
                  </w:r>
                </w:p>
              </w:tc>
              <w:tc>
                <w:tcPr>
                  <w:tcW w:w="861" w:type="dxa"/>
                  <w:tcBorders>
                    <w:top w:val="single" w:color="auto" w:sz="6" w:space="0"/>
                    <w:left w:val="single" w:color="auto" w:sz="6" w:space="0"/>
                    <w:bottom w:val="single" w:color="auto" w:sz="6" w:space="0"/>
                    <w:right w:val="single" w:color="auto" w:sz="6" w:space="0"/>
                  </w:tcBorders>
                  <w:vAlign w:val="center"/>
                </w:tcPr>
                <w:p w14:paraId="7AE7357E">
                  <w:pPr>
                    <w:widowControl/>
                    <w:jc w:val="center"/>
                    <w:textAlignment w:val="bottom"/>
                    <w:rPr>
                      <w:rFonts w:hint="eastAsia" w:ascii="Times New Roman" w:hAnsi="Times New Roman" w:eastAsia="宋体" w:cs="Times New Roman"/>
                      <w:color w:val="000000" w:themeColor="text1"/>
                      <w:kern w:val="0"/>
                      <w:szCs w:val="21"/>
                      <w:lang w:val="en-US" w:eastAsia="zh-CN"/>
                      <w14:textFill>
                        <w14:solidFill>
                          <w14:schemeClr w14:val="tx1"/>
                        </w14:solidFill>
                      </w14:textFill>
                    </w:rPr>
                  </w:pPr>
                  <w:r>
                    <w:rPr>
                      <w:rFonts w:hint="eastAsia" w:cs="Times New Roman"/>
                      <w:color w:val="000000" w:themeColor="text1"/>
                      <w:kern w:val="0"/>
                      <w:szCs w:val="21"/>
                      <w:lang w:val="en-US" w:eastAsia="zh-CN"/>
                      <w14:textFill>
                        <w14:solidFill>
                          <w14:schemeClr w14:val="tx1"/>
                        </w14:solidFill>
                      </w14:textFill>
                    </w:rPr>
                    <w:t>53.6</w:t>
                  </w:r>
                </w:p>
              </w:tc>
              <w:tc>
                <w:tcPr>
                  <w:tcW w:w="916" w:type="dxa"/>
                  <w:tcBorders>
                    <w:top w:val="single" w:color="auto" w:sz="6" w:space="0"/>
                    <w:left w:val="single" w:color="auto" w:sz="6" w:space="0"/>
                    <w:bottom w:val="single" w:color="auto" w:sz="6" w:space="0"/>
                    <w:right w:val="single" w:color="auto" w:sz="6" w:space="0"/>
                  </w:tcBorders>
                  <w:vAlign w:val="center"/>
                </w:tcPr>
                <w:p w14:paraId="58A56F48">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10</w:t>
                  </w:r>
                </w:p>
              </w:tc>
              <w:tc>
                <w:tcPr>
                  <w:tcW w:w="912" w:type="dxa"/>
                  <w:tcBorders>
                    <w:top w:val="single" w:color="auto" w:sz="6" w:space="0"/>
                    <w:left w:val="single" w:color="auto" w:sz="6" w:space="0"/>
                    <w:bottom w:val="single" w:color="auto" w:sz="6" w:space="0"/>
                    <w:right w:val="single" w:color="auto" w:sz="6" w:space="0"/>
                  </w:tcBorders>
                  <w:vAlign w:val="center"/>
                </w:tcPr>
                <w:p w14:paraId="4860E523">
                  <w:pPr>
                    <w:widowControl/>
                    <w:jc w:val="center"/>
                    <w:textAlignment w:val="bottom"/>
                    <w:rPr>
                      <w:rFonts w:hint="eastAsia" w:ascii="Times New Roman" w:hAnsi="Times New Roman" w:eastAsia="宋体" w:cs="Times New Roman"/>
                      <w:color w:val="000000" w:themeColor="text1"/>
                      <w:kern w:val="0"/>
                      <w:szCs w:val="21"/>
                      <w:lang w:val="en-US" w:eastAsia="zh-CN"/>
                      <w14:textFill>
                        <w14:solidFill>
                          <w14:schemeClr w14:val="tx1"/>
                        </w14:solidFill>
                      </w14:textFill>
                    </w:rPr>
                  </w:pPr>
                  <w:r>
                    <w:rPr>
                      <w:rFonts w:hint="eastAsia" w:cs="Times New Roman"/>
                      <w:color w:val="000000" w:themeColor="text1"/>
                      <w:kern w:val="0"/>
                      <w:szCs w:val="21"/>
                      <w:lang w:val="en-US" w:eastAsia="zh-CN"/>
                      <w14:textFill>
                        <w14:solidFill>
                          <w14:schemeClr w14:val="tx1"/>
                        </w14:solidFill>
                      </w14:textFill>
                    </w:rPr>
                    <w:t>60</w:t>
                  </w:r>
                </w:p>
              </w:tc>
              <w:tc>
                <w:tcPr>
                  <w:tcW w:w="914" w:type="dxa"/>
                  <w:tcBorders>
                    <w:top w:val="single" w:color="auto" w:sz="6" w:space="0"/>
                    <w:left w:val="single" w:color="auto" w:sz="6" w:space="0"/>
                    <w:bottom w:val="single" w:color="auto" w:sz="6" w:space="0"/>
                    <w:right w:val="single" w:color="auto" w:sz="6" w:space="0"/>
                  </w:tcBorders>
                  <w:vAlign w:val="center"/>
                </w:tcPr>
                <w:p w14:paraId="3B284571">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90</w:t>
                  </w:r>
                </w:p>
              </w:tc>
              <w:tc>
                <w:tcPr>
                  <w:tcW w:w="917" w:type="dxa"/>
                  <w:tcBorders>
                    <w:top w:val="single" w:color="auto" w:sz="6" w:space="0"/>
                    <w:left w:val="single" w:color="auto" w:sz="6" w:space="0"/>
                    <w:bottom w:val="single" w:color="auto" w:sz="6" w:space="0"/>
                    <w:right w:val="single" w:color="auto" w:sz="6" w:space="0"/>
                  </w:tcBorders>
                  <w:vAlign w:val="center"/>
                </w:tcPr>
                <w:p w14:paraId="6814AFF7">
                  <w:pPr>
                    <w:widowControl/>
                    <w:jc w:val="center"/>
                    <w:textAlignment w:val="bottom"/>
                    <w:rPr>
                      <w:rFonts w:hint="eastAsia" w:ascii="Times New Roman" w:hAnsi="Times New Roman" w:eastAsia="宋体" w:cs="Times New Roman"/>
                      <w:color w:val="000000" w:themeColor="text1"/>
                      <w:kern w:val="0"/>
                      <w:szCs w:val="21"/>
                      <w:lang w:val="en-US" w:eastAsia="zh-CN"/>
                      <w14:textFill>
                        <w14:solidFill>
                          <w14:schemeClr w14:val="tx1"/>
                        </w14:solidFill>
                      </w14:textFill>
                    </w:rPr>
                  </w:pPr>
                  <w:r>
                    <w:rPr>
                      <w:rFonts w:hint="eastAsia" w:cs="Times New Roman"/>
                      <w:color w:val="000000" w:themeColor="text1"/>
                      <w:kern w:val="0"/>
                      <w:szCs w:val="21"/>
                      <w:lang w:val="en-US" w:eastAsia="zh-CN"/>
                      <w14:textFill>
                        <w14:solidFill>
                          <w14:schemeClr w14:val="tx1"/>
                        </w14:solidFill>
                      </w14:textFill>
                    </w:rPr>
                    <w:t>40.9</w:t>
                  </w:r>
                </w:p>
              </w:tc>
              <w:tc>
                <w:tcPr>
                  <w:tcW w:w="924" w:type="dxa"/>
                  <w:tcBorders>
                    <w:top w:val="single" w:color="auto" w:sz="6" w:space="0"/>
                    <w:left w:val="single" w:color="auto" w:sz="6" w:space="0"/>
                    <w:bottom w:val="single" w:color="auto" w:sz="6" w:space="0"/>
                    <w:right w:val="single" w:color="auto" w:sz="6" w:space="0"/>
                  </w:tcBorders>
                  <w:vAlign w:val="center"/>
                </w:tcPr>
                <w:p w14:paraId="01AFD396">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ascii="Times New Roman" w:hAnsi="Times New Roman" w:cs="Times New Roman"/>
                      <w:color w:val="000000" w:themeColor="text1"/>
                      <w:kern w:val="28"/>
                      <w:szCs w:val="21"/>
                      <w:lang w:val="en-US" w:eastAsia="zh-CN"/>
                      <w14:textFill>
                        <w14:solidFill>
                          <w14:schemeClr w14:val="tx1"/>
                        </w14:solidFill>
                      </w14:textFill>
                    </w:rPr>
                    <w:t>20</w:t>
                  </w:r>
                </w:p>
              </w:tc>
              <w:tc>
                <w:tcPr>
                  <w:tcW w:w="895" w:type="dxa"/>
                  <w:tcBorders>
                    <w:top w:val="single" w:color="auto" w:sz="6" w:space="0"/>
                    <w:left w:val="single" w:color="auto" w:sz="6" w:space="0"/>
                    <w:bottom w:val="single" w:color="auto" w:sz="6" w:space="0"/>
                  </w:tcBorders>
                  <w:vAlign w:val="center"/>
                </w:tcPr>
                <w:p w14:paraId="48BCBA23">
                  <w:pPr>
                    <w:widowControl/>
                    <w:jc w:val="center"/>
                    <w:textAlignment w:val="bottom"/>
                    <w:rPr>
                      <w:rFonts w:hint="eastAsia" w:ascii="Times New Roman" w:hAnsi="Times New Roman" w:eastAsia="宋体" w:cs="Times New Roman"/>
                      <w:color w:val="000000" w:themeColor="text1"/>
                      <w:kern w:val="0"/>
                      <w:szCs w:val="21"/>
                      <w:lang w:val="en-US" w:eastAsia="zh-CN"/>
                      <w14:textFill>
                        <w14:solidFill>
                          <w14:schemeClr w14:val="tx1"/>
                        </w14:solidFill>
                      </w14:textFill>
                    </w:rPr>
                  </w:pPr>
                  <w:r>
                    <w:rPr>
                      <w:rFonts w:hint="eastAsia" w:cs="Times New Roman"/>
                      <w:color w:val="000000" w:themeColor="text1"/>
                      <w:kern w:val="0"/>
                      <w:szCs w:val="21"/>
                      <w:lang w:val="en-US" w:eastAsia="zh-CN"/>
                      <w14:textFill>
                        <w14:solidFill>
                          <w14:schemeClr w14:val="tx1"/>
                        </w14:solidFill>
                      </w14:textFill>
                    </w:rPr>
                    <w:t>54</w:t>
                  </w:r>
                </w:p>
              </w:tc>
            </w:tr>
            <w:tr w14:paraId="3B3FC66A">
              <w:tblPrEx>
                <w:tblCellMar>
                  <w:top w:w="0" w:type="dxa"/>
                  <w:left w:w="108" w:type="dxa"/>
                  <w:bottom w:w="0" w:type="dxa"/>
                  <w:right w:w="108" w:type="dxa"/>
                </w:tblCellMar>
              </w:tblPrEx>
              <w:trPr>
                <w:trHeight w:val="336" w:hRule="atLeast"/>
              </w:trPr>
              <w:tc>
                <w:tcPr>
                  <w:tcW w:w="580" w:type="dxa"/>
                  <w:vMerge w:val="continue"/>
                  <w:tcBorders>
                    <w:right w:val="single" w:color="auto" w:sz="6" w:space="0"/>
                  </w:tcBorders>
                  <w:vAlign w:val="center"/>
                </w:tcPr>
                <w:p w14:paraId="4378780E">
                  <w:pPr>
                    <w:jc w:val="center"/>
                    <w:rPr>
                      <w:rFonts w:ascii="Times New Roman" w:hAnsi="Times New Roman" w:eastAsia="宋体" w:cs="Times New Roman"/>
                      <w:color w:val="000000" w:themeColor="text1"/>
                      <w:szCs w:val="21"/>
                      <w14:textFill>
                        <w14:solidFill>
                          <w14:schemeClr w14:val="tx1"/>
                        </w14:solidFill>
                      </w14:textFill>
                    </w:rPr>
                  </w:pPr>
                </w:p>
              </w:tc>
              <w:tc>
                <w:tcPr>
                  <w:tcW w:w="1287" w:type="dxa"/>
                  <w:tcBorders>
                    <w:top w:val="single" w:color="auto" w:sz="6" w:space="0"/>
                    <w:left w:val="single" w:color="auto" w:sz="6" w:space="0"/>
                    <w:bottom w:val="single" w:color="auto" w:sz="6" w:space="0"/>
                    <w:right w:val="single" w:color="auto" w:sz="6" w:space="0"/>
                  </w:tcBorders>
                  <w:vAlign w:val="center"/>
                </w:tcPr>
                <w:p w14:paraId="6B02F85D">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空压机</w:t>
                  </w:r>
                </w:p>
              </w:tc>
              <w:tc>
                <w:tcPr>
                  <w:tcW w:w="862" w:type="dxa"/>
                  <w:tcBorders>
                    <w:top w:val="single" w:color="auto" w:sz="6" w:space="0"/>
                    <w:left w:val="single" w:color="auto" w:sz="6" w:space="0"/>
                    <w:bottom w:val="single" w:color="auto" w:sz="6" w:space="0"/>
                    <w:right w:val="single" w:color="auto" w:sz="6" w:space="0"/>
                  </w:tcBorders>
                  <w:vAlign w:val="center"/>
                </w:tcPr>
                <w:p w14:paraId="6851FBB1">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85</w:t>
                  </w:r>
                </w:p>
              </w:tc>
              <w:tc>
                <w:tcPr>
                  <w:tcW w:w="910" w:type="dxa"/>
                  <w:tcBorders>
                    <w:top w:val="single" w:color="auto" w:sz="6" w:space="0"/>
                    <w:left w:val="single" w:color="auto" w:sz="6" w:space="0"/>
                    <w:bottom w:val="single" w:color="auto" w:sz="6" w:space="0"/>
                    <w:right w:val="single" w:color="auto" w:sz="6" w:space="0"/>
                  </w:tcBorders>
                  <w:vAlign w:val="center"/>
                </w:tcPr>
                <w:p w14:paraId="385DA294">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hint="eastAsia" w:ascii="Times New Roman" w:hAnsi="Times New Roman" w:eastAsia="宋体" w:cs="Times New Roman"/>
                      <w:color w:val="000000" w:themeColor="text1"/>
                      <w:kern w:val="28"/>
                      <w:szCs w:val="21"/>
                      <w:lang w:val="en-US" w:eastAsia="zh-CN"/>
                      <w14:textFill>
                        <w14:solidFill>
                          <w14:schemeClr w14:val="tx1"/>
                        </w14:solidFill>
                      </w14:textFill>
                    </w:rPr>
                    <w:t>21</w:t>
                  </w:r>
                </w:p>
              </w:tc>
              <w:tc>
                <w:tcPr>
                  <w:tcW w:w="861" w:type="dxa"/>
                  <w:tcBorders>
                    <w:top w:val="single" w:color="auto" w:sz="6" w:space="0"/>
                    <w:left w:val="single" w:color="auto" w:sz="6" w:space="0"/>
                    <w:bottom w:val="single" w:color="auto" w:sz="6" w:space="0"/>
                    <w:right w:val="single" w:color="auto" w:sz="6" w:space="0"/>
                  </w:tcBorders>
                  <w:vAlign w:val="center"/>
                </w:tcPr>
                <w:p w14:paraId="2A0EE29D">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58.6</w:t>
                  </w:r>
                </w:p>
              </w:tc>
              <w:tc>
                <w:tcPr>
                  <w:tcW w:w="916" w:type="dxa"/>
                  <w:tcBorders>
                    <w:top w:val="single" w:color="auto" w:sz="6" w:space="0"/>
                    <w:left w:val="single" w:color="auto" w:sz="6" w:space="0"/>
                    <w:bottom w:val="single" w:color="auto" w:sz="6" w:space="0"/>
                    <w:right w:val="single" w:color="auto" w:sz="6" w:space="0"/>
                  </w:tcBorders>
                  <w:vAlign w:val="center"/>
                </w:tcPr>
                <w:p w14:paraId="1AB05392">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hint="eastAsia" w:ascii="Times New Roman" w:hAnsi="Times New Roman" w:eastAsia="宋体" w:cs="Times New Roman"/>
                      <w:color w:val="000000" w:themeColor="text1"/>
                      <w:kern w:val="28"/>
                      <w:szCs w:val="21"/>
                      <w:lang w:val="en-US" w:eastAsia="zh-CN"/>
                      <w14:textFill>
                        <w14:solidFill>
                          <w14:schemeClr w14:val="tx1"/>
                        </w14:solidFill>
                      </w14:textFill>
                    </w:rPr>
                    <w:t>10</w:t>
                  </w:r>
                </w:p>
              </w:tc>
              <w:tc>
                <w:tcPr>
                  <w:tcW w:w="912" w:type="dxa"/>
                  <w:tcBorders>
                    <w:top w:val="single" w:color="auto" w:sz="6" w:space="0"/>
                    <w:left w:val="single" w:color="auto" w:sz="6" w:space="0"/>
                    <w:bottom w:val="single" w:color="auto" w:sz="6" w:space="0"/>
                    <w:right w:val="single" w:color="auto" w:sz="6" w:space="0"/>
                  </w:tcBorders>
                  <w:vAlign w:val="center"/>
                </w:tcPr>
                <w:p w14:paraId="2EFAE6A3">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65</w:t>
                  </w:r>
                </w:p>
              </w:tc>
              <w:tc>
                <w:tcPr>
                  <w:tcW w:w="914" w:type="dxa"/>
                  <w:tcBorders>
                    <w:top w:val="single" w:color="auto" w:sz="6" w:space="0"/>
                    <w:left w:val="single" w:color="auto" w:sz="6" w:space="0"/>
                    <w:bottom w:val="single" w:color="auto" w:sz="6" w:space="0"/>
                    <w:right w:val="single" w:color="auto" w:sz="6" w:space="0"/>
                  </w:tcBorders>
                  <w:vAlign w:val="center"/>
                </w:tcPr>
                <w:p w14:paraId="1598CD61">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90</w:t>
                  </w:r>
                </w:p>
              </w:tc>
              <w:tc>
                <w:tcPr>
                  <w:tcW w:w="917" w:type="dxa"/>
                  <w:tcBorders>
                    <w:top w:val="single" w:color="auto" w:sz="6" w:space="0"/>
                    <w:left w:val="single" w:color="auto" w:sz="6" w:space="0"/>
                    <w:bottom w:val="single" w:color="auto" w:sz="6" w:space="0"/>
                    <w:right w:val="single" w:color="auto" w:sz="6" w:space="0"/>
                  </w:tcBorders>
                  <w:vAlign w:val="center"/>
                </w:tcPr>
                <w:p w14:paraId="6B065E5A">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45.9</w:t>
                  </w:r>
                </w:p>
              </w:tc>
              <w:tc>
                <w:tcPr>
                  <w:tcW w:w="924" w:type="dxa"/>
                  <w:tcBorders>
                    <w:top w:val="single" w:color="auto" w:sz="6" w:space="0"/>
                    <w:left w:val="single" w:color="auto" w:sz="6" w:space="0"/>
                    <w:bottom w:val="single" w:color="auto" w:sz="6" w:space="0"/>
                    <w:right w:val="single" w:color="auto" w:sz="6" w:space="0"/>
                  </w:tcBorders>
                  <w:vAlign w:val="center"/>
                </w:tcPr>
                <w:p w14:paraId="6B964836">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20</w:t>
                  </w:r>
                </w:p>
              </w:tc>
              <w:tc>
                <w:tcPr>
                  <w:tcW w:w="895" w:type="dxa"/>
                  <w:tcBorders>
                    <w:top w:val="single" w:color="auto" w:sz="6" w:space="0"/>
                    <w:left w:val="single" w:color="auto" w:sz="6" w:space="0"/>
                    <w:bottom w:val="single" w:color="auto" w:sz="6" w:space="0"/>
                  </w:tcBorders>
                  <w:vAlign w:val="center"/>
                </w:tcPr>
                <w:p w14:paraId="396385E9">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59</w:t>
                  </w:r>
                </w:p>
              </w:tc>
            </w:tr>
            <w:tr w14:paraId="796D64A5">
              <w:tblPrEx>
                <w:tblCellMar>
                  <w:top w:w="0" w:type="dxa"/>
                  <w:left w:w="108" w:type="dxa"/>
                  <w:bottom w:w="0" w:type="dxa"/>
                  <w:right w:w="108" w:type="dxa"/>
                </w:tblCellMar>
              </w:tblPrEx>
              <w:trPr>
                <w:trHeight w:val="336" w:hRule="atLeast"/>
              </w:trPr>
              <w:tc>
                <w:tcPr>
                  <w:tcW w:w="580" w:type="dxa"/>
                  <w:vMerge w:val="continue"/>
                  <w:tcBorders>
                    <w:right w:val="single" w:color="auto" w:sz="6" w:space="0"/>
                  </w:tcBorders>
                  <w:vAlign w:val="center"/>
                </w:tcPr>
                <w:p w14:paraId="38D31ACF">
                  <w:pPr>
                    <w:jc w:val="center"/>
                    <w:rPr>
                      <w:rFonts w:ascii="Times New Roman" w:hAnsi="Times New Roman" w:eastAsia="宋体" w:cs="Times New Roman"/>
                      <w:color w:val="000000" w:themeColor="text1"/>
                      <w:szCs w:val="21"/>
                      <w14:textFill>
                        <w14:solidFill>
                          <w14:schemeClr w14:val="tx1"/>
                        </w14:solidFill>
                      </w14:textFill>
                    </w:rPr>
                  </w:pPr>
                </w:p>
              </w:tc>
              <w:tc>
                <w:tcPr>
                  <w:tcW w:w="1287" w:type="dxa"/>
                  <w:tcBorders>
                    <w:top w:val="single" w:color="auto" w:sz="6" w:space="0"/>
                    <w:left w:val="single" w:color="auto" w:sz="6" w:space="0"/>
                    <w:bottom w:val="single" w:color="auto" w:sz="6" w:space="0"/>
                    <w:right w:val="single" w:color="auto" w:sz="6" w:space="0"/>
                  </w:tcBorders>
                  <w:vAlign w:val="center"/>
                </w:tcPr>
                <w:p w14:paraId="794389B3">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风机</w:t>
                  </w:r>
                </w:p>
              </w:tc>
              <w:tc>
                <w:tcPr>
                  <w:tcW w:w="862" w:type="dxa"/>
                  <w:tcBorders>
                    <w:top w:val="single" w:color="auto" w:sz="6" w:space="0"/>
                    <w:left w:val="single" w:color="auto" w:sz="6" w:space="0"/>
                    <w:bottom w:val="single" w:color="auto" w:sz="6" w:space="0"/>
                    <w:right w:val="single" w:color="auto" w:sz="6" w:space="0"/>
                  </w:tcBorders>
                  <w:vAlign w:val="center"/>
                </w:tcPr>
                <w:p w14:paraId="01DA29E4">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highlight w:val="none"/>
                      <w:lang w:val="en-US" w:eastAsia="zh-CN"/>
                      <w14:textFill>
                        <w14:solidFill>
                          <w14:schemeClr w14:val="tx1"/>
                        </w14:solidFill>
                      </w14:textFill>
                    </w:rPr>
                    <w:t>78</w:t>
                  </w:r>
                </w:p>
              </w:tc>
              <w:tc>
                <w:tcPr>
                  <w:tcW w:w="910" w:type="dxa"/>
                  <w:tcBorders>
                    <w:top w:val="single" w:color="auto" w:sz="6" w:space="0"/>
                    <w:left w:val="single" w:color="auto" w:sz="6" w:space="0"/>
                    <w:bottom w:val="single" w:color="auto" w:sz="6" w:space="0"/>
                    <w:right w:val="single" w:color="auto" w:sz="6" w:space="0"/>
                  </w:tcBorders>
                  <w:vAlign w:val="center"/>
                </w:tcPr>
                <w:p w14:paraId="1DB547CF">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hint="eastAsia" w:ascii="Times New Roman" w:hAnsi="Times New Roman" w:eastAsia="宋体" w:cs="Times New Roman"/>
                      <w:color w:val="000000" w:themeColor="text1"/>
                      <w:kern w:val="28"/>
                      <w:szCs w:val="21"/>
                      <w:lang w:val="en-US" w:eastAsia="zh-CN"/>
                      <w14:textFill>
                        <w14:solidFill>
                          <w14:schemeClr w14:val="tx1"/>
                        </w14:solidFill>
                      </w14:textFill>
                    </w:rPr>
                    <w:t>21</w:t>
                  </w:r>
                </w:p>
              </w:tc>
              <w:tc>
                <w:tcPr>
                  <w:tcW w:w="861" w:type="dxa"/>
                  <w:tcBorders>
                    <w:top w:val="single" w:color="auto" w:sz="6" w:space="0"/>
                    <w:left w:val="single" w:color="auto" w:sz="6" w:space="0"/>
                    <w:bottom w:val="single" w:color="auto" w:sz="6" w:space="0"/>
                    <w:right w:val="single" w:color="auto" w:sz="6" w:space="0"/>
                  </w:tcBorders>
                  <w:vAlign w:val="center"/>
                </w:tcPr>
                <w:p w14:paraId="1C1FED4A">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51.6</w:t>
                  </w:r>
                </w:p>
              </w:tc>
              <w:tc>
                <w:tcPr>
                  <w:tcW w:w="916" w:type="dxa"/>
                  <w:tcBorders>
                    <w:top w:val="single" w:color="auto" w:sz="6" w:space="0"/>
                    <w:left w:val="single" w:color="auto" w:sz="6" w:space="0"/>
                    <w:bottom w:val="single" w:color="auto" w:sz="6" w:space="0"/>
                    <w:right w:val="single" w:color="auto" w:sz="6" w:space="0"/>
                  </w:tcBorders>
                  <w:vAlign w:val="center"/>
                </w:tcPr>
                <w:p w14:paraId="2F1DFBC2">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hint="eastAsia" w:ascii="Times New Roman" w:hAnsi="Times New Roman" w:eastAsia="宋体" w:cs="Times New Roman"/>
                      <w:color w:val="000000" w:themeColor="text1"/>
                      <w:kern w:val="28"/>
                      <w:szCs w:val="21"/>
                      <w:lang w:val="en-US" w:eastAsia="zh-CN"/>
                      <w14:textFill>
                        <w14:solidFill>
                          <w14:schemeClr w14:val="tx1"/>
                        </w14:solidFill>
                      </w14:textFill>
                    </w:rPr>
                    <w:t>10</w:t>
                  </w:r>
                </w:p>
              </w:tc>
              <w:tc>
                <w:tcPr>
                  <w:tcW w:w="912" w:type="dxa"/>
                  <w:tcBorders>
                    <w:top w:val="single" w:color="auto" w:sz="6" w:space="0"/>
                    <w:left w:val="single" w:color="auto" w:sz="6" w:space="0"/>
                    <w:bottom w:val="single" w:color="auto" w:sz="6" w:space="0"/>
                    <w:right w:val="single" w:color="auto" w:sz="6" w:space="0"/>
                  </w:tcBorders>
                  <w:vAlign w:val="center"/>
                </w:tcPr>
                <w:p w14:paraId="7C86D77C">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58</w:t>
                  </w:r>
                </w:p>
              </w:tc>
              <w:tc>
                <w:tcPr>
                  <w:tcW w:w="914" w:type="dxa"/>
                  <w:tcBorders>
                    <w:top w:val="single" w:color="auto" w:sz="6" w:space="0"/>
                    <w:left w:val="single" w:color="auto" w:sz="6" w:space="0"/>
                    <w:bottom w:val="single" w:color="auto" w:sz="6" w:space="0"/>
                    <w:right w:val="single" w:color="auto" w:sz="6" w:space="0"/>
                  </w:tcBorders>
                  <w:vAlign w:val="center"/>
                </w:tcPr>
                <w:p w14:paraId="7B57066E">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90</w:t>
                  </w:r>
                </w:p>
              </w:tc>
              <w:tc>
                <w:tcPr>
                  <w:tcW w:w="917" w:type="dxa"/>
                  <w:tcBorders>
                    <w:top w:val="single" w:color="auto" w:sz="6" w:space="0"/>
                    <w:left w:val="single" w:color="auto" w:sz="6" w:space="0"/>
                    <w:bottom w:val="single" w:color="auto" w:sz="6" w:space="0"/>
                    <w:right w:val="single" w:color="auto" w:sz="6" w:space="0"/>
                  </w:tcBorders>
                  <w:vAlign w:val="center"/>
                </w:tcPr>
                <w:p w14:paraId="0317E1E5">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38.9</w:t>
                  </w:r>
                </w:p>
              </w:tc>
              <w:tc>
                <w:tcPr>
                  <w:tcW w:w="924" w:type="dxa"/>
                  <w:tcBorders>
                    <w:top w:val="single" w:color="auto" w:sz="6" w:space="0"/>
                    <w:left w:val="single" w:color="auto" w:sz="6" w:space="0"/>
                    <w:bottom w:val="single" w:color="auto" w:sz="6" w:space="0"/>
                    <w:right w:val="single" w:color="auto" w:sz="6" w:space="0"/>
                  </w:tcBorders>
                  <w:vAlign w:val="center"/>
                </w:tcPr>
                <w:p w14:paraId="34ADEE04">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20</w:t>
                  </w:r>
                </w:p>
              </w:tc>
              <w:tc>
                <w:tcPr>
                  <w:tcW w:w="895" w:type="dxa"/>
                  <w:tcBorders>
                    <w:top w:val="single" w:color="auto" w:sz="6" w:space="0"/>
                    <w:left w:val="single" w:color="auto" w:sz="6" w:space="0"/>
                    <w:bottom w:val="single" w:color="auto" w:sz="6" w:space="0"/>
                  </w:tcBorders>
                  <w:vAlign w:val="center"/>
                </w:tcPr>
                <w:p w14:paraId="690AF200">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52</w:t>
                  </w:r>
                </w:p>
              </w:tc>
            </w:tr>
            <w:tr w14:paraId="418FB205">
              <w:tblPrEx>
                <w:tblCellMar>
                  <w:top w:w="0" w:type="dxa"/>
                  <w:left w:w="108" w:type="dxa"/>
                  <w:bottom w:w="0" w:type="dxa"/>
                  <w:right w:w="108" w:type="dxa"/>
                </w:tblCellMar>
              </w:tblPrEx>
              <w:trPr>
                <w:trHeight w:val="336" w:hRule="atLeast"/>
              </w:trPr>
              <w:tc>
                <w:tcPr>
                  <w:tcW w:w="580" w:type="dxa"/>
                  <w:vMerge w:val="continue"/>
                  <w:tcBorders>
                    <w:right w:val="single" w:color="auto" w:sz="6" w:space="0"/>
                  </w:tcBorders>
                  <w:vAlign w:val="center"/>
                </w:tcPr>
                <w:p w14:paraId="67351AA0">
                  <w:pPr>
                    <w:jc w:val="center"/>
                    <w:rPr>
                      <w:rFonts w:ascii="Times New Roman" w:hAnsi="Times New Roman" w:eastAsia="宋体" w:cs="Times New Roman"/>
                      <w:color w:val="000000" w:themeColor="text1"/>
                      <w:szCs w:val="21"/>
                      <w14:textFill>
                        <w14:solidFill>
                          <w14:schemeClr w14:val="tx1"/>
                        </w14:solidFill>
                      </w14:textFill>
                    </w:rPr>
                  </w:pPr>
                </w:p>
              </w:tc>
              <w:tc>
                <w:tcPr>
                  <w:tcW w:w="1287" w:type="dxa"/>
                  <w:tcBorders>
                    <w:top w:val="single" w:color="auto" w:sz="6" w:space="0"/>
                    <w:left w:val="single" w:color="auto" w:sz="6" w:space="0"/>
                    <w:bottom w:val="single" w:color="auto" w:sz="6" w:space="0"/>
                    <w:right w:val="single" w:color="auto" w:sz="6" w:space="0"/>
                  </w:tcBorders>
                  <w:vAlign w:val="center"/>
                </w:tcPr>
                <w:p w14:paraId="57B52B4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高速带锯机</w:t>
                  </w:r>
                </w:p>
              </w:tc>
              <w:tc>
                <w:tcPr>
                  <w:tcW w:w="862" w:type="dxa"/>
                  <w:tcBorders>
                    <w:top w:val="single" w:color="auto" w:sz="6" w:space="0"/>
                    <w:left w:val="single" w:color="auto" w:sz="6" w:space="0"/>
                    <w:bottom w:val="single" w:color="auto" w:sz="6" w:space="0"/>
                    <w:right w:val="single" w:color="auto" w:sz="6" w:space="0"/>
                  </w:tcBorders>
                  <w:vAlign w:val="center"/>
                </w:tcPr>
                <w:p w14:paraId="05CA7B7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80</w:t>
                  </w:r>
                </w:p>
              </w:tc>
              <w:tc>
                <w:tcPr>
                  <w:tcW w:w="910" w:type="dxa"/>
                  <w:tcBorders>
                    <w:top w:val="single" w:color="auto" w:sz="6" w:space="0"/>
                    <w:left w:val="single" w:color="auto" w:sz="6" w:space="0"/>
                    <w:bottom w:val="single" w:color="auto" w:sz="6" w:space="0"/>
                    <w:right w:val="single" w:color="auto" w:sz="6" w:space="0"/>
                  </w:tcBorders>
                  <w:vAlign w:val="center"/>
                </w:tcPr>
                <w:p w14:paraId="00092F03">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hint="eastAsia" w:ascii="Times New Roman" w:hAnsi="Times New Roman" w:eastAsia="宋体" w:cs="Times New Roman"/>
                      <w:color w:val="000000" w:themeColor="text1"/>
                      <w:kern w:val="28"/>
                      <w:szCs w:val="21"/>
                      <w:lang w:val="en-US" w:eastAsia="zh-CN"/>
                      <w14:textFill>
                        <w14:solidFill>
                          <w14:schemeClr w14:val="tx1"/>
                        </w14:solidFill>
                      </w14:textFill>
                    </w:rPr>
                    <w:t>21</w:t>
                  </w:r>
                </w:p>
              </w:tc>
              <w:tc>
                <w:tcPr>
                  <w:tcW w:w="861" w:type="dxa"/>
                  <w:tcBorders>
                    <w:top w:val="single" w:color="auto" w:sz="6" w:space="0"/>
                    <w:left w:val="single" w:color="auto" w:sz="6" w:space="0"/>
                    <w:bottom w:val="single" w:color="auto" w:sz="6" w:space="0"/>
                    <w:right w:val="single" w:color="auto" w:sz="6" w:space="0"/>
                  </w:tcBorders>
                  <w:vAlign w:val="center"/>
                </w:tcPr>
                <w:p w14:paraId="68E80E59">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53.6</w:t>
                  </w:r>
                </w:p>
              </w:tc>
              <w:tc>
                <w:tcPr>
                  <w:tcW w:w="916" w:type="dxa"/>
                  <w:tcBorders>
                    <w:top w:val="single" w:color="auto" w:sz="6" w:space="0"/>
                    <w:left w:val="single" w:color="auto" w:sz="6" w:space="0"/>
                    <w:bottom w:val="single" w:color="auto" w:sz="6" w:space="0"/>
                    <w:right w:val="single" w:color="auto" w:sz="6" w:space="0"/>
                  </w:tcBorders>
                  <w:vAlign w:val="center"/>
                </w:tcPr>
                <w:p w14:paraId="155954E6">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hint="eastAsia" w:ascii="Times New Roman" w:hAnsi="Times New Roman" w:eastAsia="宋体" w:cs="Times New Roman"/>
                      <w:color w:val="000000" w:themeColor="text1"/>
                      <w:kern w:val="28"/>
                      <w:szCs w:val="21"/>
                      <w:lang w:val="en-US" w:eastAsia="zh-CN"/>
                      <w14:textFill>
                        <w14:solidFill>
                          <w14:schemeClr w14:val="tx1"/>
                        </w14:solidFill>
                      </w14:textFill>
                    </w:rPr>
                    <w:t>10</w:t>
                  </w:r>
                </w:p>
              </w:tc>
              <w:tc>
                <w:tcPr>
                  <w:tcW w:w="912" w:type="dxa"/>
                  <w:tcBorders>
                    <w:top w:val="single" w:color="auto" w:sz="6" w:space="0"/>
                    <w:left w:val="single" w:color="auto" w:sz="6" w:space="0"/>
                    <w:bottom w:val="single" w:color="auto" w:sz="6" w:space="0"/>
                    <w:right w:val="single" w:color="auto" w:sz="6" w:space="0"/>
                  </w:tcBorders>
                  <w:vAlign w:val="center"/>
                </w:tcPr>
                <w:p w14:paraId="2BBFEF73">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60</w:t>
                  </w:r>
                </w:p>
              </w:tc>
              <w:tc>
                <w:tcPr>
                  <w:tcW w:w="914" w:type="dxa"/>
                  <w:tcBorders>
                    <w:top w:val="single" w:color="auto" w:sz="6" w:space="0"/>
                    <w:left w:val="single" w:color="auto" w:sz="6" w:space="0"/>
                    <w:bottom w:val="single" w:color="auto" w:sz="6" w:space="0"/>
                    <w:right w:val="single" w:color="auto" w:sz="6" w:space="0"/>
                  </w:tcBorders>
                  <w:vAlign w:val="center"/>
                </w:tcPr>
                <w:p w14:paraId="5412E07D">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90</w:t>
                  </w:r>
                </w:p>
              </w:tc>
              <w:tc>
                <w:tcPr>
                  <w:tcW w:w="917" w:type="dxa"/>
                  <w:tcBorders>
                    <w:top w:val="single" w:color="auto" w:sz="6" w:space="0"/>
                    <w:left w:val="single" w:color="auto" w:sz="6" w:space="0"/>
                    <w:bottom w:val="single" w:color="auto" w:sz="6" w:space="0"/>
                    <w:right w:val="single" w:color="auto" w:sz="6" w:space="0"/>
                  </w:tcBorders>
                  <w:vAlign w:val="center"/>
                </w:tcPr>
                <w:p w14:paraId="617DA236">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40.6</w:t>
                  </w:r>
                </w:p>
              </w:tc>
              <w:tc>
                <w:tcPr>
                  <w:tcW w:w="924" w:type="dxa"/>
                  <w:tcBorders>
                    <w:top w:val="single" w:color="auto" w:sz="6" w:space="0"/>
                    <w:left w:val="single" w:color="auto" w:sz="6" w:space="0"/>
                    <w:bottom w:val="single" w:color="auto" w:sz="6" w:space="0"/>
                    <w:right w:val="single" w:color="auto" w:sz="6" w:space="0"/>
                  </w:tcBorders>
                  <w:vAlign w:val="center"/>
                </w:tcPr>
                <w:p w14:paraId="47F87539">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20</w:t>
                  </w:r>
                </w:p>
              </w:tc>
              <w:tc>
                <w:tcPr>
                  <w:tcW w:w="895" w:type="dxa"/>
                  <w:tcBorders>
                    <w:top w:val="single" w:color="auto" w:sz="6" w:space="0"/>
                    <w:left w:val="single" w:color="auto" w:sz="6" w:space="0"/>
                    <w:bottom w:val="single" w:color="auto" w:sz="6" w:space="0"/>
                  </w:tcBorders>
                  <w:vAlign w:val="center"/>
                </w:tcPr>
                <w:p w14:paraId="40295F06">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54</w:t>
                  </w:r>
                </w:p>
              </w:tc>
            </w:tr>
            <w:tr w14:paraId="0A877117">
              <w:tblPrEx>
                <w:tblCellMar>
                  <w:top w:w="0" w:type="dxa"/>
                  <w:left w:w="108" w:type="dxa"/>
                  <w:bottom w:w="0" w:type="dxa"/>
                  <w:right w:w="108" w:type="dxa"/>
                </w:tblCellMar>
              </w:tblPrEx>
              <w:trPr>
                <w:trHeight w:val="336" w:hRule="atLeast"/>
              </w:trPr>
              <w:tc>
                <w:tcPr>
                  <w:tcW w:w="1867" w:type="dxa"/>
                  <w:gridSpan w:val="2"/>
                  <w:tcBorders>
                    <w:top w:val="single" w:color="auto" w:sz="6" w:space="0"/>
                    <w:bottom w:val="single" w:color="auto" w:sz="6" w:space="0"/>
                    <w:right w:val="single" w:color="auto" w:sz="6" w:space="0"/>
                  </w:tcBorders>
                  <w:vAlign w:val="center"/>
                </w:tcPr>
                <w:p w14:paraId="203BB86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叠加值</w:t>
                  </w:r>
                </w:p>
              </w:tc>
              <w:tc>
                <w:tcPr>
                  <w:tcW w:w="862" w:type="dxa"/>
                  <w:tcBorders>
                    <w:top w:val="single" w:color="auto" w:sz="6" w:space="0"/>
                    <w:left w:val="single" w:color="auto" w:sz="6" w:space="0"/>
                    <w:bottom w:val="single" w:color="auto" w:sz="6" w:space="0"/>
                    <w:right w:val="single" w:color="auto" w:sz="6" w:space="0"/>
                  </w:tcBorders>
                  <w:vAlign w:val="center"/>
                </w:tcPr>
                <w:p w14:paraId="7AFE9F9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10" w:type="dxa"/>
                  <w:tcBorders>
                    <w:top w:val="single" w:color="auto" w:sz="6" w:space="0"/>
                    <w:left w:val="single" w:color="auto" w:sz="6" w:space="0"/>
                    <w:bottom w:val="single" w:color="auto" w:sz="6" w:space="0"/>
                    <w:right w:val="single" w:color="auto" w:sz="6" w:space="0"/>
                  </w:tcBorders>
                  <w:vAlign w:val="center"/>
                </w:tcPr>
                <w:p w14:paraId="14F7DFB2">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861" w:type="dxa"/>
                  <w:tcBorders>
                    <w:top w:val="single" w:color="auto" w:sz="6" w:space="0"/>
                    <w:left w:val="single" w:color="auto" w:sz="6" w:space="0"/>
                    <w:bottom w:val="single" w:color="auto" w:sz="6" w:space="0"/>
                    <w:right w:val="single" w:color="auto" w:sz="6" w:space="0"/>
                  </w:tcBorders>
                  <w:vAlign w:val="center"/>
                </w:tcPr>
                <w:p w14:paraId="5293E3C5">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61</w:t>
                  </w:r>
                </w:p>
              </w:tc>
              <w:tc>
                <w:tcPr>
                  <w:tcW w:w="916" w:type="dxa"/>
                  <w:tcBorders>
                    <w:top w:val="single" w:color="auto" w:sz="6" w:space="0"/>
                    <w:left w:val="single" w:color="auto" w:sz="6" w:space="0"/>
                    <w:bottom w:val="single" w:color="auto" w:sz="6" w:space="0"/>
                    <w:right w:val="single" w:color="auto" w:sz="6" w:space="0"/>
                  </w:tcBorders>
                  <w:vAlign w:val="center"/>
                </w:tcPr>
                <w:p w14:paraId="3018CDB5">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912" w:type="dxa"/>
                  <w:tcBorders>
                    <w:top w:val="single" w:color="auto" w:sz="6" w:space="0"/>
                    <w:left w:val="single" w:color="auto" w:sz="6" w:space="0"/>
                    <w:bottom w:val="single" w:color="auto" w:sz="6" w:space="0"/>
                    <w:right w:val="single" w:color="auto" w:sz="6" w:space="0"/>
                  </w:tcBorders>
                  <w:vAlign w:val="center"/>
                </w:tcPr>
                <w:p w14:paraId="509AA9C4">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67.6</w:t>
                  </w:r>
                </w:p>
              </w:tc>
              <w:tc>
                <w:tcPr>
                  <w:tcW w:w="914" w:type="dxa"/>
                  <w:tcBorders>
                    <w:top w:val="single" w:color="auto" w:sz="6" w:space="0"/>
                    <w:left w:val="single" w:color="auto" w:sz="6" w:space="0"/>
                    <w:bottom w:val="single" w:color="auto" w:sz="6" w:space="0"/>
                    <w:right w:val="single" w:color="auto" w:sz="6" w:space="0"/>
                  </w:tcBorders>
                  <w:vAlign w:val="center"/>
                </w:tcPr>
                <w:p w14:paraId="19FD1C23">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917" w:type="dxa"/>
                  <w:tcBorders>
                    <w:top w:val="single" w:color="auto" w:sz="6" w:space="0"/>
                    <w:left w:val="single" w:color="auto" w:sz="6" w:space="0"/>
                    <w:bottom w:val="single" w:color="auto" w:sz="6" w:space="0"/>
                    <w:right w:val="single" w:color="auto" w:sz="6" w:space="0"/>
                  </w:tcBorders>
                  <w:vAlign w:val="center"/>
                </w:tcPr>
                <w:p w14:paraId="6A872534">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48.5</w:t>
                  </w:r>
                </w:p>
              </w:tc>
              <w:tc>
                <w:tcPr>
                  <w:tcW w:w="924" w:type="dxa"/>
                  <w:tcBorders>
                    <w:top w:val="single" w:color="auto" w:sz="6" w:space="0"/>
                    <w:left w:val="single" w:color="auto" w:sz="6" w:space="0"/>
                    <w:bottom w:val="single" w:color="auto" w:sz="6" w:space="0"/>
                    <w:right w:val="single" w:color="auto" w:sz="6" w:space="0"/>
                  </w:tcBorders>
                  <w:vAlign w:val="center"/>
                </w:tcPr>
                <w:p w14:paraId="47CBEB92">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895" w:type="dxa"/>
                  <w:tcBorders>
                    <w:top w:val="single" w:color="auto" w:sz="6" w:space="0"/>
                    <w:left w:val="single" w:color="auto" w:sz="6" w:space="0"/>
                    <w:bottom w:val="single" w:color="auto" w:sz="6" w:space="0"/>
                  </w:tcBorders>
                  <w:vAlign w:val="center"/>
                </w:tcPr>
                <w:p w14:paraId="53064F43">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61.6</w:t>
                  </w:r>
                </w:p>
              </w:tc>
            </w:tr>
            <w:tr w14:paraId="764964D3">
              <w:tblPrEx>
                <w:tblCellMar>
                  <w:top w:w="0" w:type="dxa"/>
                  <w:left w:w="108" w:type="dxa"/>
                  <w:bottom w:w="0" w:type="dxa"/>
                  <w:right w:w="108" w:type="dxa"/>
                </w:tblCellMar>
              </w:tblPrEx>
              <w:trPr>
                <w:trHeight w:val="336" w:hRule="atLeast"/>
              </w:trPr>
              <w:tc>
                <w:tcPr>
                  <w:tcW w:w="1867" w:type="dxa"/>
                  <w:gridSpan w:val="2"/>
                  <w:tcBorders>
                    <w:top w:val="single" w:color="auto" w:sz="6" w:space="0"/>
                    <w:bottom w:val="single" w:color="auto" w:sz="6" w:space="0"/>
                    <w:right w:val="single" w:color="auto" w:sz="6" w:space="0"/>
                  </w:tcBorders>
                  <w:vAlign w:val="center"/>
                </w:tcPr>
                <w:p w14:paraId="1BF3AFF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贡献值</w:t>
                  </w:r>
                </w:p>
              </w:tc>
              <w:tc>
                <w:tcPr>
                  <w:tcW w:w="862" w:type="dxa"/>
                  <w:tcBorders>
                    <w:top w:val="single" w:color="auto" w:sz="6" w:space="0"/>
                    <w:left w:val="single" w:color="auto" w:sz="6" w:space="0"/>
                    <w:bottom w:val="single" w:color="auto" w:sz="6" w:space="0"/>
                    <w:right w:val="single" w:color="auto" w:sz="6" w:space="0"/>
                  </w:tcBorders>
                  <w:vAlign w:val="center"/>
                </w:tcPr>
                <w:p w14:paraId="7BF15EB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10" w:type="dxa"/>
                  <w:tcBorders>
                    <w:top w:val="single" w:color="auto" w:sz="6" w:space="0"/>
                    <w:left w:val="single" w:color="auto" w:sz="6" w:space="0"/>
                    <w:bottom w:val="single" w:color="auto" w:sz="6" w:space="0"/>
                    <w:right w:val="single" w:color="auto" w:sz="6" w:space="0"/>
                  </w:tcBorders>
                  <w:vAlign w:val="center"/>
                </w:tcPr>
                <w:p w14:paraId="373638F9">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861" w:type="dxa"/>
                  <w:tcBorders>
                    <w:top w:val="single" w:color="auto" w:sz="6" w:space="0"/>
                    <w:left w:val="single" w:color="auto" w:sz="6" w:space="0"/>
                    <w:bottom w:val="single" w:color="auto" w:sz="6" w:space="0"/>
                    <w:right w:val="single" w:color="auto" w:sz="6" w:space="0"/>
                  </w:tcBorders>
                  <w:vAlign w:val="center"/>
                </w:tcPr>
                <w:p w14:paraId="5CE5A11C">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51</w:t>
                  </w:r>
                </w:p>
              </w:tc>
              <w:tc>
                <w:tcPr>
                  <w:tcW w:w="916" w:type="dxa"/>
                  <w:tcBorders>
                    <w:top w:val="single" w:color="auto" w:sz="6" w:space="0"/>
                    <w:left w:val="single" w:color="auto" w:sz="6" w:space="0"/>
                    <w:bottom w:val="single" w:color="auto" w:sz="6" w:space="0"/>
                    <w:right w:val="single" w:color="auto" w:sz="6" w:space="0"/>
                  </w:tcBorders>
                  <w:vAlign w:val="center"/>
                </w:tcPr>
                <w:p w14:paraId="1DC0E8BA">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912" w:type="dxa"/>
                  <w:tcBorders>
                    <w:top w:val="single" w:color="auto" w:sz="6" w:space="0"/>
                    <w:left w:val="single" w:color="auto" w:sz="6" w:space="0"/>
                    <w:bottom w:val="single" w:color="auto" w:sz="6" w:space="0"/>
                    <w:right w:val="single" w:color="auto" w:sz="6" w:space="0"/>
                  </w:tcBorders>
                  <w:vAlign w:val="center"/>
                </w:tcPr>
                <w:p w14:paraId="0D3E1BBC">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57.6</w:t>
                  </w:r>
                </w:p>
              </w:tc>
              <w:tc>
                <w:tcPr>
                  <w:tcW w:w="914" w:type="dxa"/>
                  <w:tcBorders>
                    <w:top w:val="single" w:color="auto" w:sz="6" w:space="0"/>
                    <w:left w:val="single" w:color="auto" w:sz="6" w:space="0"/>
                    <w:bottom w:val="single" w:color="auto" w:sz="6" w:space="0"/>
                    <w:right w:val="single" w:color="auto" w:sz="6" w:space="0"/>
                  </w:tcBorders>
                  <w:vAlign w:val="center"/>
                </w:tcPr>
                <w:p w14:paraId="2B8C7712">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917" w:type="dxa"/>
                  <w:tcBorders>
                    <w:top w:val="single" w:color="auto" w:sz="6" w:space="0"/>
                    <w:left w:val="single" w:color="auto" w:sz="6" w:space="0"/>
                    <w:bottom w:val="single" w:color="auto" w:sz="6" w:space="0"/>
                    <w:right w:val="single" w:color="auto" w:sz="6" w:space="0"/>
                  </w:tcBorders>
                  <w:vAlign w:val="center"/>
                </w:tcPr>
                <w:p w14:paraId="48421D69">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38.5</w:t>
                  </w:r>
                </w:p>
              </w:tc>
              <w:tc>
                <w:tcPr>
                  <w:tcW w:w="924" w:type="dxa"/>
                  <w:tcBorders>
                    <w:top w:val="single" w:color="auto" w:sz="6" w:space="0"/>
                    <w:left w:val="single" w:color="auto" w:sz="6" w:space="0"/>
                    <w:bottom w:val="single" w:color="auto" w:sz="6" w:space="0"/>
                    <w:right w:val="single" w:color="auto" w:sz="6" w:space="0"/>
                  </w:tcBorders>
                  <w:vAlign w:val="center"/>
                </w:tcPr>
                <w:p w14:paraId="07958581">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895" w:type="dxa"/>
                  <w:tcBorders>
                    <w:top w:val="single" w:color="auto" w:sz="6" w:space="0"/>
                    <w:left w:val="single" w:color="auto" w:sz="6" w:space="0"/>
                    <w:bottom w:val="single" w:color="auto" w:sz="6" w:space="0"/>
                  </w:tcBorders>
                  <w:vAlign w:val="center"/>
                </w:tcPr>
                <w:p w14:paraId="143613AE">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51.6</w:t>
                  </w:r>
                </w:p>
              </w:tc>
            </w:tr>
            <w:tr w14:paraId="40DA9D39">
              <w:tblPrEx>
                <w:tblCellMar>
                  <w:top w:w="0" w:type="dxa"/>
                  <w:left w:w="108" w:type="dxa"/>
                  <w:bottom w:w="0" w:type="dxa"/>
                  <w:right w:w="108" w:type="dxa"/>
                </w:tblCellMar>
              </w:tblPrEx>
              <w:trPr>
                <w:trHeight w:val="336" w:hRule="atLeast"/>
              </w:trPr>
              <w:tc>
                <w:tcPr>
                  <w:tcW w:w="580" w:type="dxa"/>
                  <w:vMerge w:val="restart"/>
                  <w:tcBorders>
                    <w:top w:val="single" w:color="auto" w:sz="6" w:space="0"/>
                    <w:right w:val="single" w:color="auto" w:sz="6" w:space="0"/>
                  </w:tcBorders>
                  <w:vAlign w:val="center"/>
                </w:tcPr>
                <w:p w14:paraId="09DD0D60">
                  <w:pPr>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2</w:t>
                  </w:r>
                  <w:r>
                    <w:rPr>
                      <w:rFonts w:ascii="Times New Roman" w:hAnsi="Times New Roman" w:eastAsia="宋体" w:cs="Times New Roman"/>
                      <w:color w:val="000000" w:themeColor="text1"/>
                      <w:szCs w:val="21"/>
                      <w14:textFill>
                        <w14:solidFill>
                          <w14:schemeClr w14:val="tx1"/>
                        </w14:solidFill>
                      </w14:textFill>
                    </w:rPr>
                    <w:t>#厂房</w:t>
                  </w:r>
                </w:p>
              </w:tc>
              <w:tc>
                <w:tcPr>
                  <w:tcW w:w="1287" w:type="dxa"/>
                  <w:tcBorders>
                    <w:top w:val="single" w:color="auto" w:sz="6" w:space="0"/>
                    <w:left w:val="single" w:color="auto" w:sz="6" w:space="0"/>
                    <w:bottom w:val="single" w:color="auto" w:sz="6" w:space="0"/>
                    <w:right w:val="single" w:color="auto" w:sz="6" w:space="0"/>
                  </w:tcBorders>
                  <w:vAlign w:val="center"/>
                </w:tcPr>
                <w:p w14:paraId="05B0A452">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auto"/>
                      <w:sz w:val="21"/>
                      <w:szCs w:val="21"/>
                      <w:lang w:val="en-US" w:eastAsia="zh-CN"/>
                    </w:rPr>
                    <w:t>管子涨形机</w:t>
                  </w:r>
                </w:p>
              </w:tc>
              <w:tc>
                <w:tcPr>
                  <w:tcW w:w="862" w:type="dxa"/>
                  <w:tcBorders>
                    <w:top w:val="single" w:color="auto" w:sz="6" w:space="0"/>
                    <w:left w:val="single" w:color="auto" w:sz="6" w:space="0"/>
                    <w:bottom w:val="single" w:color="auto" w:sz="6" w:space="0"/>
                    <w:right w:val="single" w:color="auto" w:sz="6" w:space="0"/>
                  </w:tcBorders>
                  <w:vAlign w:val="center"/>
                </w:tcPr>
                <w:p w14:paraId="6C29B49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75</w:t>
                  </w:r>
                </w:p>
              </w:tc>
              <w:tc>
                <w:tcPr>
                  <w:tcW w:w="910" w:type="dxa"/>
                  <w:tcBorders>
                    <w:top w:val="single" w:color="auto" w:sz="6" w:space="0"/>
                    <w:left w:val="single" w:color="auto" w:sz="6" w:space="0"/>
                    <w:bottom w:val="single" w:color="auto" w:sz="6" w:space="0"/>
                    <w:right w:val="single" w:color="auto" w:sz="6" w:space="0"/>
                  </w:tcBorders>
                  <w:vAlign w:val="center"/>
                </w:tcPr>
                <w:p w14:paraId="78EDAF23">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120</w:t>
                  </w:r>
                </w:p>
              </w:tc>
              <w:tc>
                <w:tcPr>
                  <w:tcW w:w="861" w:type="dxa"/>
                  <w:tcBorders>
                    <w:top w:val="single" w:color="auto" w:sz="6" w:space="0"/>
                    <w:left w:val="single" w:color="auto" w:sz="6" w:space="0"/>
                    <w:bottom w:val="single" w:color="auto" w:sz="6" w:space="0"/>
                    <w:right w:val="single" w:color="auto" w:sz="6" w:space="0"/>
                  </w:tcBorders>
                  <w:vAlign w:val="center"/>
                </w:tcPr>
                <w:p w14:paraId="4BD57633">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33.4</w:t>
                  </w:r>
                </w:p>
              </w:tc>
              <w:tc>
                <w:tcPr>
                  <w:tcW w:w="916" w:type="dxa"/>
                  <w:tcBorders>
                    <w:top w:val="single" w:color="auto" w:sz="6" w:space="0"/>
                    <w:left w:val="single" w:color="auto" w:sz="6" w:space="0"/>
                    <w:bottom w:val="single" w:color="auto" w:sz="6" w:space="0"/>
                    <w:right w:val="single" w:color="auto" w:sz="6" w:space="0"/>
                  </w:tcBorders>
                  <w:vAlign w:val="center"/>
                </w:tcPr>
                <w:p w14:paraId="103ECEE9">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10</w:t>
                  </w:r>
                </w:p>
              </w:tc>
              <w:tc>
                <w:tcPr>
                  <w:tcW w:w="912" w:type="dxa"/>
                  <w:tcBorders>
                    <w:top w:val="single" w:color="auto" w:sz="6" w:space="0"/>
                    <w:left w:val="single" w:color="auto" w:sz="6" w:space="0"/>
                    <w:bottom w:val="single" w:color="auto" w:sz="6" w:space="0"/>
                    <w:right w:val="single" w:color="auto" w:sz="6" w:space="0"/>
                  </w:tcBorders>
                  <w:vAlign w:val="center"/>
                </w:tcPr>
                <w:p w14:paraId="188C7144">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55</w:t>
                  </w:r>
                </w:p>
              </w:tc>
              <w:tc>
                <w:tcPr>
                  <w:tcW w:w="914" w:type="dxa"/>
                  <w:tcBorders>
                    <w:top w:val="single" w:color="auto" w:sz="6" w:space="0"/>
                    <w:left w:val="single" w:color="auto" w:sz="6" w:space="0"/>
                    <w:bottom w:val="single" w:color="auto" w:sz="6" w:space="0"/>
                    <w:right w:val="single" w:color="auto" w:sz="6" w:space="0"/>
                  </w:tcBorders>
                  <w:vAlign w:val="center"/>
                </w:tcPr>
                <w:p w14:paraId="31596529">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ascii="Times New Roman" w:hAnsi="Times New Roman" w:cs="Times New Roman"/>
                      <w:color w:val="000000" w:themeColor="text1"/>
                      <w:kern w:val="28"/>
                      <w:szCs w:val="21"/>
                      <w:lang w:val="en-US" w:eastAsia="zh-CN"/>
                      <w14:textFill>
                        <w14:solidFill>
                          <w14:schemeClr w14:val="tx1"/>
                        </w14:solidFill>
                      </w14:textFill>
                    </w:rPr>
                    <w:t>10</w:t>
                  </w:r>
                </w:p>
              </w:tc>
              <w:tc>
                <w:tcPr>
                  <w:tcW w:w="917" w:type="dxa"/>
                  <w:tcBorders>
                    <w:top w:val="single" w:color="auto" w:sz="6" w:space="0"/>
                    <w:left w:val="single" w:color="auto" w:sz="6" w:space="0"/>
                    <w:bottom w:val="single" w:color="auto" w:sz="6" w:space="0"/>
                    <w:right w:val="single" w:color="auto" w:sz="6" w:space="0"/>
                  </w:tcBorders>
                  <w:vAlign w:val="center"/>
                </w:tcPr>
                <w:p w14:paraId="5535DD67">
                  <w:pPr>
                    <w:widowControl/>
                    <w:jc w:val="center"/>
                    <w:textAlignment w:val="bottom"/>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55</w:t>
                  </w:r>
                </w:p>
              </w:tc>
              <w:tc>
                <w:tcPr>
                  <w:tcW w:w="924" w:type="dxa"/>
                  <w:tcBorders>
                    <w:top w:val="single" w:color="auto" w:sz="6" w:space="0"/>
                    <w:left w:val="single" w:color="auto" w:sz="6" w:space="0"/>
                    <w:bottom w:val="single" w:color="auto" w:sz="6" w:space="0"/>
                    <w:right w:val="single" w:color="auto" w:sz="6" w:space="0"/>
                  </w:tcBorders>
                  <w:vAlign w:val="center"/>
                </w:tcPr>
                <w:p w14:paraId="0ADF2E6A">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ascii="Times New Roman" w:hAnsi="Times New Roman" w:cs="Times New Roman"/>
                      <w:color w:val="000000" w:themeColor="text1"/>
                      <w:kern w:val="28"/>
                      <w:szCs w:val="21"/>
                      <w:lang w:val="en-US" w:eastAsia="zh-CN"/>
                      <w14:textFill>
                        <w14:solidFill>
                          <w14:schemeClr w14:val="tx1"/>
                        </w14:solidFill>
                      </w14:textFill>
                    </w:rPr>
                    <w:t>15</w:t>
                  </w:r>
                </w:p>
              </w:tc>
              <w:tc>
                <w:tcPr>
                  <w:tcW w:w="895" w:type="dxa"/>
                  <w:tcBorders>
                    <w:top w:val="single" w:color="auto" w:sz="6" w:space="0"/>
                    <w:left w:val="single" w:color="auto" w:sz="6" w:space="0"/>
                    <w:bottom w:val="single" w:color="auto" w:sz="6" w:space="0"/>
                  </w:tcBorders>
                  <w:vAlign w:val="center"/>
                </w:tcPr>
                <w:p w14:paraId="7A464D41">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51.5</w:t>
                  </w:r>
                </w:p>
              </w:tc>
            </w:tr>
            <w:tr w14:paraId="46209028">
              <w:tblPrEx>
                <w:tblCellMar>
                  <w:top w:w="0" w:type="dxa"/>
                  <w:left w:w="108" w:type="dxa"/>
                  <w:bottom w:w="0" w:type="dxa"/>
                  <w:right w:w="108" w:type="dxa"/>
                </w:tblCellMar>
              </w:tblPrEx>
              <w:trPr>
                <w:trHeight w:val="336" w:hRule="atLeast"/>
              </w:trPr>
              <w:tc>
                <w:tcPr>
                  <w:tcW w:w="580" w:type="dxa"/>
                  <w:vMerge w:val="continue"/>
                  <w:tcBorders>
                    <w:right w:val="single" w:color="auto" w:sz="6" w:space="0"/>
                  </w:tcBorders>
                  <w:vAlign w:val="center"/>
                </w:tcPr>
                <w:p w14:paraId="6207DD93">
                  <w:pPr>
                    <w:jc w:val="center"/>
                    <w:rPr>
                      <w:rFonts w:ascii="Times New Roman" w:hAnsi="Times New Roman" w:eastAsia="宋体" w:cs="Times New Roman"/>
                      <w:color w:val="000000" w:themeColor="text1"/>
                      <w:szCs w:val="21"/>
                      <w14:textFill>
                        <w14:solidFill>
                          <w14:schemeClr w14:val="tx1"/>
                        </w14:solidFill>
                      </w14:textFill>
                    </w:rPr>
                  </w:pPr>
                </w:p>
              </w:tc>
              <w:tc>
                <w:tcPr>
                  <w:tcW w:w="1287" w:type="dxa"/>
                  <w:tcBorders>
                    <w:top w:val="single" w:color="auto" w:sz="6" w:space="0"/>
                    <w:left w:val="single" w:color="auto" w:sz="6" w:space="0"/>
                    <w:bottom w:val="single" w:color="auto" w:sz="6" w:space="0"/>
                    <w:right w:val="single" w:color="auto" w:sz="6" w:space="0"/>
                  </w:tcBorders>
                  <w:vAlign w:val="center"/>
                </w:tcPr>
                <w:p w14:paraId="7F10EA37">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auto"/>
                      <w:sz w:val="21"/>
                      <w:szCs w:val="21"/>
                      <w:lang w:val="en-US" w:eastAsia="zh-CN"/>
                    </w:rPr>
                    <w:t>外壳涨形机</w:t>
                  </w:r>
                </w:p>
              </w:tc>
              <w:tc>
                <w:tcPr>
                  <w:tcW w:w="862" w:type="dxa"/>
                  <w:tcBorders>
                    <w:top w:val="single" w:color="auto" w:sz="6" w:space="0"/>
                    <w:left w:val="single" w:color="auto" w:sz="6" w:space="0"/>
                    <w:bottom w:val="single" w:color="auto" w:sz="6" w:space="0"/>
                    <w:right w:val="single" w:color="auto" w:sz="6" w:space="0"/>
                  </w:tcBorders>
                  <w:vAlign w:val="center"/>
                </w:tcPr>
                <w:p w14:paraId="091B02FA">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70</w:t>
                  </w:r>
                </w:p>
              </w:tc>
              <w:tc>
                <w:tcPr>
                  <w:tcW w:w="910" w:type="dxa"/>
                  <w:tcBorders>
                    <w:top w:val="single" w:color="auto" w:sz="6" w:space="0"/>
                    <w:left w:val="single" w:color="auto" w:sz="6" w:space="0"/>
                    <w:bottom w:val="single" w:color="auto" w:sz="6" w:space="0"/>
                    <w:right w:val="single" w:color="auto" w:sz="6" w:space="0"/>
                  </w:tcBorders>
                  <w:vAlign w:val="center"/>
                </w:tcPr>
                <w:p w14:paraId="38E9FF40">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120</w:t>
                  </w:r>
                </w:p>
              </w:tc>
              <w:tc>
                <w:tcPr>
                  <w:tcW w:w="861" w:type="dxa"/>
                  <w:tcBorders>
                    <w:top w:val="single" w:color="auto" w:sz="6" w:space="0"/>
                    <w:left w:val="single" w:color="auto" w:sz="6" w:space="0"/>
                    <w:bottom w:val="single" w:color="auto" w:sz="6" w:space="0"/>
                    <w:right w:val="single" w:color="auto" w:sz="6" w:space="0"/>
                  </w:tcBorders>
                  <w:vAlign w:val="center"/>
                </w:tcPr>
                <w:p w14:paraId="53006EE9">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28.4</w:t>
                  </w:r>
                </w:p>
              </w:tc>
              <w:tc>
                <w:tcPr>
                  <w:tcW w:w="916" w:type="dxa"/>
                  <w:tcBorders>
                    <w:top w:val="single" w:color="auto" w:sz="6" w:space="0"/>
                    <w:left w:val="single" w:color="auto" w:sz="6" w:space="0"/>
                    <w:bottom w:val="single" w:color="auto" w:sz="6" w:space="0"/>
                    <w:right w:val="single" w:color="auto" w:sz="6" w:space="0"/>
                  </w:tcBorders>
                  <w:vAlign w:val="center"/>
                </w:tcPr>
                <w:p w14:paraId="7DC0B10E">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10</w:t>
                  </w:r>
                </w:p>
              </w:tc>
              <w:tc>
                <w:tcPr>
                  <w:tcW w:w="912" w:type="dxa"/>
                  <w:tcBorders>
                    <w:top w:val="single" w:color="auto" w:sz="6" w:space="0"/>
                    <w:left w:val="single" w:color="auto" w:sz="6" w:space="0"/>
                    <w:bottom w:val="single" w:color="auto" w:sz="6" w:space="0"/>
                    <w:right w:val="single" w:color="auto" w:sz="6" w:space="0"/>
                  </w:tcBorders>
                  <w:vAlign w:val="center"/>
                </w:tcPr>
                <w:p w14:paraId="35E4D8BD">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50</w:t>
                  </w:r>
                </w:p>
              </w:tc>
              <w:tc>
                <w:tcPr>
                  <w:tcW w:w="914" w:type="dxa"/>
                  <w:tcBorders>
                    <w:top w:val="single" w:color="auto" w:sz="6" w:space="0"/>
                    <w:left w:val="single" w:color="auto" w:sz="6" w:space="0"/>
                    <w:bottom w:val="single" w:color="auto" w:sz="6" w:space="0"/>
                    <w:right w:val="single" w:color="auto" w:sz="6" w:space="0"/>
                  </w:tcBorders>
                  <w:vAlign w:val="center"/>
                </w:tcPr>
                <w:p w14:paraId="0864F0AD">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10</w:t>
                  </w:r>
                </w:p>
              </w:tc>
              <w:tc>
                <w:tcPr>
                  <w:tcW w:w="917" w:type="dxa"/>
                  <w:tcBorders>
                    <w:top w:val="single" w:color="auto" w:sz="6" w:space="0"/>
                    <w:left w:val="single" w:color="auto" w:sz="6" w:space="0"/>
                    <w:bottom w:val="single" w:color="auto" w:sz="6" w:space="0"/>
                    <w:right w:val="single" w:color="auto" w:sz="6" w:space="0"/>
                  </w:tcBorders>
                  <w:vAlign w:val="center"/>
                </w:tcPr>
                <w:p w14:paraId="208A354D">
                  <w:pPr>
                    <w:widowControl/>
                    <w:jc w:val="center"/>
                    <w:textAlignment w:val="bottom"/>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50</w:t>
                  </w:r>
                </w:p>
              </w:tc>
              <w:tc>
                <w:tcPr>
                  <w:tcW w:w="924" w:type="dxa"/>
                  <w:tcBorders>
                    <w:top w:val="single" w:color="auto" w:sz="6" w:space="0"/>
                    <w:left w:val="single" w:color="auto" w:sz="6" w:space="0"/>
                    <w:bottom w:val="single" w:color="auto" w:sz="6" w:space="0"/>
                    <w:right w:val="single" w:color="auto" w:sz="6" w:space="0"/>
                  </w:tcBorders>
                  <w:vAlign w:val="center"/>
                </w:tcPr>
                <w:p w14:paraId="7CDC60D9">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15</w:t>
                  </w:r>
                </w:p>
              </w:tc>
              <w:tc>
                <w:tcPr>
                  <w:tcW w:w="895" w:type="dxa"/>
                  <w:tcBorders>
                    <w:top w:val="single" w:color="auto" w:sz="6" w:space="0"/>
                    <w:left w:val="single" w:color="auto" w:sz="6" w:space="0"/>
                    <w:bottom w:val="single" w:color="auto" w:sz="6" w:space="0"/>
                  </w:tcBorders>
                  <w:vAlign w:val="center"/>
                </w:tcPr>
                <w:p w14:paraId="4AF5AFB4">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46.5</w:t>
                  </w:r>
                </w:p>
              </w:tc>
            </w:tr>
            <w:tr w14:paraId="4881B04E">
              <w:tblPrEx>
                <w:tblCellMar>
                  <w:top w:w="0" w:type="dxa"/>
                  <w:left w:w="108" w:type="dxa"/>
                  <w:bottom w:w="0" w:type="dxa"/>
                  <w:right w:w="108" w:type="dxa"/>
                </w:tblCellMar>
              </w:tblPrEx>
              <w:trPr>
                <w:trHeight w:val="336" w:hRule="atLeast"/>
              </w:trPr>
              <w:tc>
                <w:tcPr>
                  <w:tcW w:w="580" w:type="dxa"/>
                  <w:vMerge w:val="continue"/>
                  <w:tcBorders>
                    <w:right w:val="single" w:color="auto" w:sz="6" w:space="0"/>
                  </w:tcBorders>
                  <w:vAlign w:val="center"/>
                </w:tcPr>
                <w:p w14:paraId="1F6367CF">
                  <w:pPr>
                    <w:jc w:val="center"/>
                    <w:rPr>
                      <w:rFonts w:ascii="Times New Roman" w:hAnsi="Times New Roman" w:eastAsia="宋体" w:cs="Times New Roman"/>
                      <w:color w:val="000000" w:themeColor="text1"/>
                      <w:szCs w:val="21"/>
                      <w14:textFill>
                        <w14:solidFill>
                          <w14:schemeClr w14:val="tx1"/>
                        </w14:solidFill>
                      </w14:textFill>
                    </w:rPr>
                  </w:pPr>
                </w:p>
              </w:tc>
              <w:tc>
                <w:tcPr>
                  <w:tcW w:w="1287" w:type="dxa"/>
                  <w:tcBorders>
                    <w:top w:val="single" w:color="auto" w:sz="6" w:space="0"/>
                    <w:left w:val="single" w:color="auto" w:sz="6" w:space="0"/>
                    <w:bottom w:val="single" w:color="auto" w:sz="6" w:space="0"/>
                    <w:right w:val="single" w:color="auto" w:sz="6" w:space="0"/>
                  </w:tcBorders>
                  <w:vAlign w:val="center"/>
                </w:tcPr>
                <w:p w14:paraId="1C4C5F45">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auto"/>
                      <w:sz w:val="21"/>
                      <w:szCs w:val="21"/>
                      <w:lang w:val="en-US" w:eastAsia="zh-CN"/>
                    </w:rPr>
                    <w:t>空压机</w:t>
                  </w:r>
                </w:p>
              </w:tc>
              <w:tc>
                <w:tcPr>
                  <w:tcW w:w="862" w:type="dxa"/>
                  <w:tcBorders>
                    <w:top w:val="single" w:color="auto" w:sz="6" w:space="0"/>
                    <w:left w:val="single" w:color="auto" w:sz="6" w:space="0"/>
                    <w:bottom w:val="single" w:color="auto" w:sz="6" w:space="0"/>
                    <w:right w:val="single" w:color="auto" w:sz="6" w:space="0"/>
                  </w:tcBorders>
                  <w:vAlign w:val="center"/>
                </w:tcPr>
                <w:p w14:paraId="3DE026D1">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85</w:t>
                  </w:r>
                </w:p>
              </w:tc>
              <w:tc>
                <w:tcPr>
                  <w:tcW w:w="910" w:type="dxa"/>
                  <w:tcBorders>
                    <w:top w:val="single" w:color="auto" w:sz="6" w:space="0"/>
                    <w:left w:val="single" w:color="auto" w:sz="6" w:space="0"/>
                    <w:bottom w:val="single" w:color="auto" w:sz="6" w:space="0"/>
                    <w:right w:val="single" w:color="auto" w:sz="6" w:space="0"/>
                  </w:tcBorders>
                  <w:vAlign w:val="center"/>
                </w:tcPr>
                <w:p w14:paraId="1CB2F20C">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120</w:t>
                  </w:r>
                </w:p>
              </w:tc>
              <w:tc>
                <w:tcPr>
                  <w:tcW w:w="861" w:type="dxa"/>
                  <w:tcBorders>
                    <w:top w:val="single" w:color="auto" w:sz="6" w:space="0"/>
                    <w:left w:val="single" w:color="auto" w:sz="6" w:space="0"/>
                    <w:bottom w:val="single" w:color="auto" w:sz="6" w:space="0"/>
                    <w:right w:val="single" w:color="auto" w:sz="6" w:space="0"/>
                  </w:tcBorders>
                  <w:vAlign w:val="center"/>
                </w:tcPr>
                <w:p w14:paraId="1504C977">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43.4</w:t>
                  </w:r>
                </w:p>
              </w:tc>
              <w:tc>
                <w:tcPr>
                  <w:tcW w:w="916" w:type="dxa"/>
                  <w:tcBorders>
                    <w:top w:val="single" w:color="auto" w:sz="6" w:space="0"/>
                    <w:left w:val="single" w:color="auto" w:sz="6" w:space="0"/>
                    <w:bottom w:val="single" w:color="auto" w:sz="6" w:space="0"/>
                    <w:right w:val="single" w:color="auto" w:sz="6" w:space="0"/>
                  </w:tcBorders>
                  <w:vAlign w:val="center"/>
                </w:tcPr>
                <w:p w14:paraId="37430941">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10</w:t>
                  </w:r>
                </w:p>
              </w:tc>
              <w:tc>
                <w:tcPr>
                  <w:tcW w:w="912" w:type="dxa"/>
                  <w:tcBorders>
                    <w:top w:val="single" w:color="auto" w:sz="6" w:space="0"/>
                    <w:left w:val="single" w:color="auto" w:sz="6" w:space="0"/>
                    <w:bottom w:val="single" w:color="auto" w:sz="6" w:space="0"/>
                    <w:right w:val="single" w:color="auto" w:sz="6" w:space="0"/>
                  </w:tcBorders>
                  <w:vAlign w:val="center"/>
                </w:tcPr>
                <w:p w14:paraId="735F100E">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65</w:t>
                  </w:r>
                </w:p>
              </w:tc>
              <w:tc>
                <w:tcPr>
                  <w:tcW w:w="914" w:type="dxa"/>
                  <w:tcBorders>
                    <w:top w:val="single" w:color="auto" w:sz="6" w:space="0"/>
                    <w:left w:val="single" w:color="auto" w:sz="6" w:space="0"/>
                    <w:bottom w:val="single" w:color="auto" w:sz="6" w:space="0"/>
                    <w:right w:val="single" w:color="auto" w:sz="6" w:space="0"/>
                  </w:tcBorders>
                  <w:vAlign w:val="center"/>
                </w:tcPr>
                <w:p w14:paraId="35C8003C">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10</w:t>
                  </w:r>
                </w:p>
              </w:tc>
              <w:tc>
                <w:tcPr>
                  <w:tcW w:w="917" w:type="dxa"/>
                  <w:tcBorders>
                    <w:top w:val="single" w:color="auto" w:sz="6" w:space="0"/>
                    <w:left w:val="single" w:color="auto" w:sz="6" w:space="0"/>
                    <w:bottom w:val="single" w:color="auto" w:sz="6" w:space="0"/>
                    <w:right w:val="single" w:color="auto" w:sz="6" w:space="0"/>
                  </w:tcBorders>
                  <w:vAlign w:val="center"/>
                </w:tcPr>
                <w:p w14:paraId="38A41C81">
                  <w:pPr>
                    <w:widowControl/>
                    <w:jc w:val="center"/>
                    <w:textAlignment w:val="bottom"/>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65</w:t>
                  </w:r>
                </w:p>
              </w:tc>
              <w:tc>
                <w:tcPr>
                  <w:tcW w:w="924" w:type="dxa"/>
                  <w:tcBorders>
                    <w:top w:val="single" w:color="auto" w:sz="6" w:space="0"/>
                    <w:left w:val="single" w:color="auto" w:sz="6" w:space="0"/>
                    <w:bottom w:val="single" w:color="auto" w:sz="6" w:space="0"/>
                    <w:right w:val="single" w:color="auto" w:sz="6" w:space="0"/>
                  </w:tcBorders>
                  <w:vAlign w:val="center"/>
                </w:tcPr>
                <w:p w14:paraId="00D426EA">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15</w:t>
                  </w:r>
                </w:p>
              </w:tc>
              <w:tc>
                <w:tcPr>
                  <w:tcW w:w="895" w:type="dxa"/>
                  <w:tcBorders>
                    <w:top w:val="single" w:color="auto" w:sz="6" w:space="0"/>
                    <w:left w:val="single" w:color="auto" w:sz="6" w:space="0"/>
                    <w:bottom w:val="single" w:color="auto" w:sz="6" w:space="0"/>
                  </w:tcBorders>
                  <w:vAlign w:val="center"/>
                </w:tcPr>
                <w:p w14:paraId="61CCDA88">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61.5</w:t>
                  </w:r>
                </w:p>
              </w:tc>
            </w:tr>
            <w:tr w14:paraId="6D1B3422">
              <w:tblPrEx>
                <w:tblCellMar>
                  <w:top w:w="0" w:type="dxa"/>
                  <w:left w:w="108" w:type="dxa"/>
                  <w:bottom w:w="0" w:type="dxa"/>
                  <w:right w:w="108" w:type="dxa"/>
                </w:tblCellMar>
              </w:tblPrEx>
              <w:trPr>
                <w:trHeight w:val="336" w:hRule="atLeast"/>
              </w:trPr>
              <w:tc>
                <w:tcPr>
                  <w:tcW w:w="580" w:type="dxa"/>
                  <w:vMerge w:val="continue"/>
                  <w:tcBorders>
                    <w:right w:val="single" w:color="auto" w:sz="6" w:space="0"/>
                  </w:tcBorders>
                  <w:vAlign w:val="center"/>
                </w:tcPr>
                <w:p w14:paraId="3B0F92AD">
                  <w:pPr>
                    <w:jc w:val="center"/>
                    <w:rPr>
                      <w:rFonts w:ascii="Times New Roman" w:hAnsi="Times New Roman" w:eastAsia="宋体" w:cs="Times New Roman"/>
                      <w:color w:val="000000" w:themeColor="text1"/>
                      <w:szCs w:val="21"/>
                      <w14:textFill>
                        <w14:solidFill>
                          <w14:schemeClr w14:val="tx1"/>
                        </w14:solidFill>
                      </w14:textFill>
                    </w:rPr>
                  </w:pPr>
                </w:p>
              </w:tc>
              <w:tc>
                <w:tcPr>
                  <w:tcW w:w="1287" w:type="dxa"/>
                  <w:tcBorders>
                    <w:top w:val="single" w:color="auto" w:sz="6" w:space="0"/>
                    <w:left w:val="single" w:color="auto" w:sz="6" w:space="0"/>
                    <w:bottom w:val="single" w:color="auto" w:sz="6" w:space="0"/>
                    <w:right w:val="single" w:color="auto" w:sz="6" w:space="0"/>
                  </w:tcBorders>
                  <w:vAlign w:val="center"/>
                </w:tcPr>
                <w:p w14:paraId="1E0B51A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auto"/>
                      <w:sz w:val="21"/>
                      <w:szCs w:val="21"/>
                      <w:lang w:val="en-US" w:eastAsia="zh-CN"/>
                    </w:rPr>
                    <w:t>压力机</w:t>
                  </w:r>
                </w:p>
              </w:tc>
              <w:tc>
                <w:tcPr>
                  <w:tcW w:w="862" w:type="dxa"/>
                  <w:tcBorders>
                    <w:top w:val="single" w:color="auto" w:sz="6" w:space="0"/>
                    <w:left w:val="single" w:color="auto" w:sz="6" w:space="0"/>
                    <w:bottom w:val="single" w:color="auto" w:sz="6" w:space="0"/>
                    <w:right w:val="single" w:color="auto" w:sz="6" w:space="0"/>
                  </w:tcBorders>
                  <w:vAlign w:val="center"/>
                </w:tcPr>
                <w:p w14:paraId="67AE8A0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83</w:t>
                  </w:r>
                </w:p>
              </w:tc>
              <w:tc>
                <w:tcPr>
                  <w:tcW w:w="910" w:type="dxa"/>
                  <w:tcBorders>
                    <w:top w:val="single" w:color="auto" w:sz="6" w:space="0"/>
                    <w:left w:val="single" w:color="auto" w:sz="6" w:space="0"/>
                    <w:bottom w:val="single" w:color="auto" w:sz="6" w:space="0"/>
                    <w:right w:val="single" w:color="auto" w:sz="6" w:space="0"/>
                  </w:tcBorders>
                  <w:vAlign w:val="center"/>
                </w:tcPr>
                <w:p w14:paraId="26FE1858">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120</w:t>
                  </w:r>
                </w:p>
              </w:tc>
              <w:tc>
                <w:tcPr>
                  <w:tcW w:w="861" w:type="dxa"/>
                  <w:tcBorders>
                    <w:top w:val="single" w:color="auto" w:sz="6" w:space="0"/>
                    <w:left w:val="single" w:color="auto" w:sz="6" w:space="0"/>
                    <w:bottom w:val="single" w:color="auto" w:sz="6" w:space="0"/>
                    <w:right w:val="single" w:color="auto" w:sz="6" w:space="0"/>
                  </w:tcBorders>
                  <w:vAlign w:val="center"/>
                </w:tcPr>
                <w:p w14:paraId="24ECA5BF">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41.4</w:t>
                  </w:r>
                </w:p>
              </w:tc>
              <w:tc>
                <w:tcPr>
                  <w:tcW w:w="916" w:type="dxa"/>
                  <w:tcBorders>
                    <w:top w:val="single" w:color="auto" w:sz="6" w:space="0"/>
                    <w:left w:val="single" w:color="auto" w:sz="6" w:space="0"/>
                    <w:bottom w:val="single" w:color="auto" w:sz="6" w:space="0"/>
                    <w:right w:val="single" w:color="auto" w:sz="6" w:space="0"/>
                  </w:tcBorders>
                  <w:vAlign w:val="center"/>
                </w:tcPr>
                <w:p w14:paraId="3FE55298">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10</w:t>
                  </w:r>
                </w:p>
              </w:tc>
              <w:tc>
                <w:tcPr>
                  <w:tcW w:w="912" w:type="dxa"/>
                  <w:tcBorders>
                    <w:top w:val="single" w:color="auto" w:sz="6" w:space="0"/>
                    <w:left w:val="single" w:color="auto" w:sz="6" w:space="0"/>
                    <w:bottom w:val="single" w:color="auto" w:sz="6" w:space="0"/>
                    <w:right w:val="single" w:color="auto" w:sz="6" w:space="0"/>
                  </w:tcBorders>
                  <w:vAlign w:val="center"/>
                </w:tcPr>
                <w:p w14:paraId="0BF37A4D">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63</w:t>
                  </w:r>
                </w:p>
              </w:tc>
              <w:tc>
                <w:tcPr>
                  <w:tcW w:w="914" w:type="dxa"/>
                  <w:tcBorders>
                    <w:top w:val="single" w:color="auto" w:sz="6" w:space="0"/>
                    <w:left w:val="single" w:color="auto" w:sz="6" w:space="0"/>
                    <w:bottom w:val="single" w:color="auto" w:sz="6" w:space="0"/>
                    <w:right w:val="single" w:color="auto" w:sz="6" w:space="0"/>
                  </w:tcBorders>
                  <w:vAlign w:val="center"/>
                </w:tcPr>
                <w:p w14:paraId="7ED55E69">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10</w:t>
                  </w:r>
                </w:p>
              </w:tc>
              <w:tc>
                <w:tcPr>
                  <w:tcW w:w="917" w:type="dxa"/>
                  <w:tcBorders>
                    <w:top w:val="single" w:color="auto" w:sz="6" w:space="0"/>
                    <w:left w:val="single" w:color="auto" w:sz="6" w:space="0"/>
                    <w:bottom w:val="single" w:color="auto" w:sz="6" w:space="0"/>
                    <w:right w:val="single" w:color="auto" w:sz="6" w:space="0"/>
                  </w:tcBorders>
                  <w:vAlign w:val="center"/>
                </w:tcPr>
                <w:p w14:paraId="29996EC1">
                  <w:pPr>
                    <w:widowControl/>
                    <w:jc w:val="center"/>
                    <w:textAlignment w:val="bottom"/>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63</w:t>
                  </w:r>
                </w:p>
              </w:tc>
              <w:tc>
                <w:tcPr>
                  <w:tcW w:w="924" w:type="dxa"/>
                  <w:tcBorders>
                    <w:top w:val="single" w:color="auto" w:sz="6" w:space="0"/>
                    <w:left w:val="single" w:color="auto" w:sz="6" w:space="0"/>
                    <w:bottom w:val="single" w:color="auto" w:sz="6" w:space="0"/>
                    <w:right w:val="single" w:color="auto" w:sz="6" w:space="0"/>
                  </w:tcBorders>
                  <w:vAlign w:val="center"/>
                </w:tcPr>
                <w:p w14:paraId="217A1102">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15</w:t>
                  </w:r>
                </w:p>
              </w:tc>
              <w:tc>
                <w:tcPr>
                  <w:tcW w:w="895" w:type="dxa"/>
                  <w:tcBorders>
                    <w:top w:val="single" w:color="auto" w:sz="6" w:space="0"/>
                    <w:left w:val="single" w:color="auto" w:sz="6" w:space="0"/>
                    <w:bottom w:val="single" w:color="auto" w:sz="6" w:space="0"/>
                  </w:tcBorders>
                  <w:vAlign w:val="center"/>
                </w:tcPr>
                <w:p w14:paraId="519564B9">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59.5</w:t>
                  </w:r>
                </w:p>
              </w:tc>
            </w:tr>
            <w:tr w14:paraId="261648D9">
              <w:tblPrEx>
                <w:tblCellMar>
                  <w:top w:w="0" w:type="dxa"/>
                  <w:left w:w="108" w:type="dxa"/>
                  <w:bottom w:w="0" w:type="dxa"/>
                  <w:right w:w="108" w:type="dxa"/>
                </w:tblCellMar>
              </w:tblPrEx>
              <w:trPr>
                <w:trHeight w:val="336" w:hRule="atLeast"/>
              </w:trPr>
              <w:tc>
                <w:tcPr>
                  <w:tcW w:w="580" w:type="dxa"/>
                  <w:vMerge w:val="continue"/>
                  <w:tcBorders>
                    <w:bottom w:val="single" w:color="auto" w:sz="6" w:space="0"/>
                    <w:right w:val="single" w:color="auto" w:sz="6" w:space="0"/>
                  </w:tcBorders>
                  <w:vAlign w:val="center"/>
                </w:tcPr>
                <w:p w14:paraId="27E0004E">
                  <w:pPr>
                    <w:jc w:val="center"/>
                    <w:rPr>
                      <w:rFonts w:ascii="Times New Roman" w:hAnsi="Times New Roman" w:eastAsia="宋体" w:cs="Times New Roman"/>
                      <w:color w:val="000000" w:themeColor="text1"/>
                      <w:szCs w:val="21"/>
                      <w14:textFill>
                        <w14:solidFill>
                          <w14:schemeClr w14:val="tx1"/>
                        </w14:solidFill>
                      </w14:textFill>
                    </w:rPr>
                  </w:pPr>
                </w:p>
              </w:tc>
              <w:tc>
                <w:tcPr>
                  <w:tcW w:w="1287" w:type="dxa"/>
                  <w:tcBorders>
                    <w:top w:val="single" w:color="auto" w:sz="6" w:space="0"/>
                    <w:left w:val="single" w:color="auto" w:sz="6" w:space="0"/>
                    <w:bottom w:val="single" w:color="auto" w:sz="6" w:space="0"/>
                    <w:right w:val="single" w:color="auto" w:sz="6" w:space="0"/>
                  </w:tcBorders>
                  <w:vAlign w:val="center"/>
                </w:tcPr>
                <w:p w14:paraId="094FC1BF">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auto"/>
                      <w:sz w:val="21"/>
                      <w:szCs w:val="21"/>
                      <w:lang w:val="en-US" w:eastAsia="zh-CN"/>
                    </w:rPr>
                    <w:t>激光切割机</w:t>
                  </w:r>
                </w:p>
              </w:tc>
              <w:tc>
                <w:tcPr>
                  <w:tcW w:w="862" w:type="dxa"/>
                  <w:tcBorders>
                    <w:top w:val="single" w:color="auto" w:sz="6" w:space="0"/>
                    <w:left w:val="single" w:color="auto" w:sz="6" w:space="0"/>
                    <w:bottom w:val="single" w:color="auto" w:sz="6" w:space="0"/>
                    <w:right w:val="single" w:color="auto" w:sz="6" w:space="0"/>
                  </w:tcBorders>
                  <w:vAlign w:val="center"/>
                </w:tcPr>
                <w:p w14:paraId="3F77ECDD">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75</w:t>
                  </w:r>
                </w:p>
              </w:tc>
              <w:tc>
                <w:tcPr>
                  <w:tcW w:w="910" w:type="dxa"/>
                  <w:tcBorders>
                    <w:top w:val="single" w:color="auto" w:sz="6" w:space="0"/>
                    <w:left w:val="single" w:color="auto" w:sz="6" w:space="0"/>
                    <w:bottom w:val="single" w:color="auto" w:sz="6" w:space="0"/>
                    <w:right w:val="single" w:color="auto" w:sz="6" w:space="0"/>
                  </w:tcBorders>
                  <w:vAlign w:val="center"/>
                </w:tcPr>
                <w:p w14:paraId="3B9718C4">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120</w:t>
                  </w:r>
                </w:p>
              </w:tc>
              <w:tc>
                <w:tcPr>
                  <w:tcW w:w="861" w:type="dxa"/>
                  <w:tcBorders>
                    <w:top w:val="single" w:color="auto" w:sz="6" w:space="0"/>
                    <w:left w:val="single" w:color="auto" w:sz="6" w:space="0"/>
                    <w:bottom w:val="single" w:color="auto" w:sz="6" w:space="0"/>
                    <w:right w:val="single" w:color="auto" w:sz="6" w:space="0"/>
                  </w:tcBorders>
                  <w:vAlign w:val="center"/>
                </w:tcPr>
                <w:p w14:paraId="0A587997">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33.4</w:t>
                  </w:r>
                </w:p>
              </w:tc>
              <w:tc>
                <w:tcPr>
                  <w:tcW w:w="916" w:type="dxa"/>
                  <w:tcBorders>
                    <w:top w:val="single" w:color="auto" w:sz="6" w:space="0"/>
                    <w:left w:val="single" w:color="auto" w:sz="6" w:space="0"/>
                    <w:bottom w:val="single" w:color="auto" w:sz="6" w:space="0"/>
                    <w:right w:val="single" w:color="auto" w:sz="6" w:space="0"/>
                  </w:tcBorders>
                  <w:vAlign w:val="center"/>
                </w:tcPr>
                <w:p w14:paraId="232837C8">
                  <w:pPr>
                    <w:widowControl/>
                    <w:jc w:val="center"/>
                    <w:textAlignment w:val="bottom"/>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10</w:t>
                  </w:r>
                </w:p>
              </w:tc>
              <w:tc>
                <w:tcPr>
                  <w:tcW w:w="912" w:type="dxa"/>
                  <w:tcBorders>
                    <w:top w:val="single" w:color="auto" w:sz="6" w:space="0"/>
                    <w:left w:val="single" w:color="auto" w:sz="6" w:space="0"/>
                    <w:bottom w:val="single" w:color="auto" w:sz="6" w:space="0"/>
                    <w:right w:val="single" w:color="auto" w:sz="6" w:space="0"/>
                  </w:tcBorders>
                  <w:vAlign w:val="center"/>
                </w:tcPr>
                <w:p w14:paraId="6ED61336">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55</w:t>
                  </w:r>
                </w:p>
              </w:tc>
              <w:tc>
                <w:tcPr>
                  <w:tcW w:w="914" w:type="dxa"/>
                  <w:tcBorders>
                    <w:top w:val="single" w:color="auto" w:sz="6" w:space="0"/>
                    <w:left w:val="single" w:color="auto" w:sz="6" w:space="0"/>
                    <w:bottom w:val="single" w:color="auto" w:sz="6" w:space="0"/>
                    <w:right w:val="single" w:color="auto" w:sz="6" w:space="0"/>
                  </w:tcBorders>
                  <w:vAlign w:val="center"/>
                </w:tcPr>
                <w:p w14:paraId="789CBB67">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10</w:t>
                  </w:r>
                </w:p>
              </w:tc>
              <w:tc>
                <w:tcPr>
                  <w:tcW w:w="917" w:type="dxa"/>
                  <w:tcBorders>
                    <w:top w:val="single" w:color="auto" w:sz="6" w:space="0"/>
                    <w:left w:val="single" w:color="auto" w:sz="6" w:space="0"/>
                    <w:bottom w:val="single" w:color="auto" w:sz="6" w:space="0"/>
                    <w:right w:val="single" w:color="auto" w:sz="6" w:space="0"/>
                  </w:tcBorders>
                  <w:vAlign w:val="center"/>
                </w:tcPr>
                <w:p w14:paraId="5822CF5E">
                  <w:pPr>
                    <w:widowControl/>
                    <w:jc w:val="center"/>
                    <w:textAlignment w:val="bottom"/>
                    <w:rPr>
                      <w:rFonts w:ascii="Times New Roman" w:hAnsi="Times New Roman" w:eastAsia="宋体" w:cs="Times New Roman"/>
                      <w:color w:val="000000" w:themeColor="text1"/>
                      <w:szCs w:val="21"/>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55</w:t>
                  </w:r>
                </w:p>
              </w:tc>
              <w:tc>
                <w:tcPr>
                  <w:tcW w:w="924" w:type="dxa"/>
                  <w:tcBorders>
                    <w:top w:val="single" w:color="auto" w:sz="6" w:space="0"/>
                    <w:left w:val="single" w:color="auto" w:sz="6" w:space="0"/>
                    <w:bottom w:val="single" w:color="auto" w:sz="6" w:space="0"/>
                    <w:right w:val="single" w:color="auto" w:sz="6" w:space="0"/>
                  </w:tcBorders>
                  <w:vAlign w:val="center"/>
                </w:tcPr>
                <w:p w14:paraId="639B6F8B">
                  <w:pPr>
                    <w:widowControl/>
                    <w:jc w:val="center"/>
                    <w:textAlignment w:val="bottom"/>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15</w:t>
                  </w:r>
                </w:p>
              </w:tc>
              <w:tc>
                <w:tcPr>
                  <w:tcW w:w="895" w:type="dxa"/>
                  <w:tcBorders>
                    <w:top w:val="single" w:color="auto" w:sz="6" w:space="0"/>
                    <w:left w:val="single" w:color="auto" w:sz="6" w:space="0"/>
                    <w:bottom w:val="single" w:color="auto" w:sz="6" w:space="0"/>
                  </w:tcBorders>
                  <w:vAlign w:val="center"/>
                </w:tcPr>
                <w:p w14:paraId="4BA625DD">
                  <w:pPr>
                    <w:widowControl/>
                    <w:jc w:val="center"/>
                    <w:textAlignment w:val="bottom"/>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51.5</w:t>
                  </w:r>
                </w:p>
              </w:tc>
            </w:tr>
            <w:tr w14:paraId="3370E9AC">
              <w:tblPrEx>
                <w:tblCellMar>
                  <w:top w:w="0" w:type="dxa"/>
                  <w:left w:w="108" w:type="dxa"/>
                  <w:bottom w:w="0" w:type="dxa"/>
                  <w:right w:w="108" w:type="dxa"/>
                </w:tblCellMar>
              </w:tblPrEx>
              <w:trPr>
                <w:trHeight w:val="336" w:hRule="atLeast"/>
              </w:trPr>
              <w:tc>
                <w:tcPr>
                  <w:tcW w:w="1867" w:type="dxa"/>
                  <w:gridSpan w:val="2"/>
                  <w:tcBorders>
                    <w:top w:val="single" w:color="auto" w:sz="6" w:space="0"/>
                    <w:bottom w:val="single" w:color="auto" w:sz="6" w:space="0"/>
                    <w:right w:val="single" w:color="auto" w:sz="6" w:space="0"/>
                  </w:tcBorders>
                  <w:vAlign w:val="center"/>
                </w:tcPr>
                <w:p w14:paraId="15601629">
                  <w:pPr>
                    <w:pStyle w:val="34"/>
                    <w:rPr>
                      <w:color w:val="000000" w:themeColor="text1"/>
                      <w14:textFill>
                        <w14:solidFill>
                          <w14:schemeClr w14:val="tx1"/>
                        </w14:solidFill>
                      </w14:textFill>
                    </w:rPr>
                  </w:pPr>
                  <w:r>
                    <w:rPr>
                      <w:color w:val="000000" w:themeColor="text1"/>
                      <w14:textFill>
                        <w14:solidFill>
                          <w14:schemeClr w14:val="tx1"/>
                        </w14:solidFill>
                      </w14:textFill>
                    </w:rPr>
                    <w:t>叠加值</w:t>
                  </w:r>
                </w:p>
              </w:tc>
              <w:tc>
                <w:tcPr>
                  <w:tcW w:w="862" w:type="dxa"/>
                  <w:tcBorders>
                    <w:top w:val="single" w:color="auto" w:sz="6" w:space="0"/>
                    <w:left w:val="single" w:color="auto" w:sz="6" w:space="0"/>
                    <w:bottom w:val="single" w:color="auto" w:sz="6" w:space="0"/>
                    <w:right w:val="single" w:color="auto" w:sz="6" w:space="0"/>
                  </w:tcBorders>
                  <w:vAlign w:val="center"/>
                </w:tcPr>
                <w:p w14:paraId="7757239C">
                  <w:pPr>
                    <w:jc w:val="center"/>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cs="Times New Roman"/>
                      <w:color w:val="000000" w:themeColor="text1"/>
                      <w:kern w:val="28"/>
                      <w:szCs w:val="21"/>
                      <w14:textFill>
                        <w14:solidFill>
                          <w14:schemeClr w14:val="tx1"/>
                        </w14:solidFill>
                      </w14:textFill>
                    </w:rPr>
                    <w:t>/</w:t>
                  </w:r>
                </w:p>
              </w:tc>
              <w:tc>
                <w:tcPr>
                  <w:tcW w:w="910" w:type="dxa"/>
                  <w:tcBorders>
                    <w:top w:val="single" w:color="auto" w:sz="6" w:space="0"/>
                    <w:left w:val="single" w:color="auto" w:sz="6" w:space="0"/>
                    <w:bottom w:val="single" w:color="auto" w:sz="6" w:space="0"/>
                    <w:right w:val="single" w:color="auto" w:sz="6" w:space="0"/>
                  </w:tcBorders>
                  <w:vAlign w:val="center"/>
                </w:tcPr>
                <w:p w14:paraId="1789584D">
                  <w:pPr>
                    <w:jc w:val="center"/>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cs="Times New Roman"/>
                      <w:color w:val="000000" w:themeColor="text1"/>
                      <w:kern w:val="28"/>
                      <w:szCs w:val="21"/>
                      <w14:textFill>
                        <w14:solidFill>
                          <w14:schemeClr w14:val="tx1"/>
                        </w14:solidFill>
                      </w14:textFill>
                    </w:rPr>
                    <w:t>/</w:t>
                  </w:r>
                </w:p>
              </w:tc>
              <w:tc>
                <w:tcPr>
                  <w:tcW w:w="861" w:type="dxa"/>
                  <w:tcBorders>
                    <w:top w:val="single" w:color="auto" w:sz="6" w:space="0"/>
                    <w:left w:val="single" w:color="auto" w:sz="6" w:space="0"/>
                    <w:bottom w:val="single" w:color="auto" w:sz="6" w:space="0"/>
                    <w:right w:val="single" w:color="auto" w:sz="6" w:space="0"/>
                  </w:tcBorders>
                  <w:vAlign w:val="center"/>
                </w:tcPr>
                <w:p w14:paraId="00797CC7">
                  <w:pPr>
                    <w:jc w:val="center"/>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46</w:t>
                  </w:r>
                </w:p>
              </w:tc>
              <w:tc>
                <w:tcPr>
                  <w:tcW w:w="916" w:type="dxa"/>
                  <w:tcBorders>
                    <w:top w:val="single" w:color="auto" w:sz="6" w:space="0"/>
                    <w:left w:val="single" w:color="auto" w:sz="6" w:space="0"/>
                    <w:bottom w:val="single" w:color="auto" w:sz="6" w:space="0"/>
                    <w:right w:val="single" w:color="auto" w:sz="6" w:space="0"/>
                  </w:tcBorders>
                  <w:vAlign w:val="center"/>
                </w:tcPr>
                <w:p w14:paraId="2BE8CB37">
                  <w:pPr>
                    <w:jc w:val="center"/>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912" w:type="dxa"/>
                  <w:tcBorders>
                    <w:top w:val="single" w:color="auto" w:sz="6" w:space="0"/>
                    <w:left w:val="single" w:color="auto" w:sz="6" w:space="0"/>
                    <w:bottom w:val="single" w:color="auto" w:sz="6" w:space="0"/>
                    <w:right w:val="single" w:color="auto" w:sz="6" w:space="0"/>
                  </w:tcBorders>
                  <w:vAlign w:val="center"/>
                </w:tcPr>
                <w:p w14:paraId="310B0046">
                  <w:pPr>
                    <w:jc w:val="center"/>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67.7</w:t>
                  </w:r>
                </w:p>
              </w:tc>
              <w:tc>
                <w:tcPr>
                  <w:tcW w:w="914" w:type="dxa"/>
                  <w:tcBorders>
                    <w:top w:val="single" w:color="auto" w:sz="6" w:space="0"/>
                    <w:left w:val="single" w:color="auto" w:sz="6" w:space="0"/>
                    <w:bottom w:val="single" w:color="auto" w:sz="6" w:space="0"/>
                    <w:right w:val="single" w:color="auto" w:sz="6" w:space="0"/>
                  </w:tcBorders>
                  <w:vAlign w:val="center"/>
                </w:tcPr>
                <w:p w14:paraId="13E96ED7">
                  <w:pPr>
                    <w:jc w:val="center"/>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917" w:type="dxa"/>
                  <w:tcBorders>
                    <w:top w:val="single" w:color="auto" w:sz="6" w:space="0"/>
                    <w:left w:val="single" w:color="auto" w:sz="6" w:space="0"/>
                    <w:bottom w:val="single" w:color="auto" w:sz="6" w:space="0"/>
                    <w:right w:val="single" w:color="auto" w:sz="6" w:space="0"/>
                  </w:tcBorders>
                  <w:vAlign w:val="center"/>
                </w:tcPr>
                <w:p w14:paraId="1EE22CB5">
                  <w:pPr>
                    <w:jc w:val="center"/>
                    <w:rPr>
                      <w:rFonts w:ascii="Times New Roman" w:hAnsi="Times New Roman" w:eastAsia="宋体" w:cs="Times New Roman"/>
                      <w:color w:val="000000" w:themeColor="text1"/>
                      <w:kern w:val="28"/>
                      <w:szCs w:val="21"/>
                      <w14:textFill>
                        <w14:solidFill>
                          <w14:schemeClr w14:val="tx1"/>
                        </w14:solidFill>
                      </w14:textFill>
                    </w:rPr>
                  </w:pPr>
                  <w:r>
                    <w:rPr>
                      <w:rFonts w:hint="eastAsia" w:ascii="Times New Roman" w:hAnsi="Times New Roman" w:eastAsia="宋体" w:cs="Times New Roman"/>
                      <w:color w:val="000000" w:themeColor="text1"/>
                      <w:kern w:val="28"/>
                      <w:szCs w:val="21"/>
                      <w:lang w:val="en-US" w:eastAsia="zh-CN"/>
                      <w14:textFill>
                        <w14:solidFill>
                          <w14:schemeClr w14:val="tx1"/>
                        </w14:solidFill>
                      </w14:textFill>
                    </w:rPr>
                    <w:t>67.7</w:t>
                  </w:r>
                </w:p>
              </w:tc>
              <w:tc>
                <w:tcPr>
                  <w:tcW w:w="924" w:type="dxa"/>
                  <w:tcBorders>
                    <w:top w:val="single" w:color="auto" w:sz="6" w:space="0"/>
                    <w:left w:val="single" w:color="auto" w:sz="6" w:space="0"/>
                    <w:bottom w:val="single" w:color="auto" w:sz="6" w:space="0"/>
                    <w:right w:val="single" w:color="auto" w:sz="6" w:space="0"/>
                  </w:tcBorders>
                  <w:vAlign w:val="center"/>
                </w:tcPr>
                <w:p w14:paraId="104903E0">
                  <w:pPr>
                    <w:jc w:val="center"/>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895" w:type="dxa"/>
                  <w:tcBorders>
                    <w:top w:val="single" w:color="auto" w:sz="6" w:space="0"/>
                    <w:left w:val="single" w:color="auto" w:sz="6" w:space="0"/>
                    <w:bottom w:val="single" w:color="auto" w:sz="6" w:space="0"/>
                  </w:tcBorders>
                  <w:vAlign w:val="center"/>
                </w:tcPr>
                <w:p w14:paraId="670DEB07">
                  <w:pPr>
                    <w:jc w:val="center"/>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64</w:t>
                  </w:r>
                </w:p>
              </w:tc>
            </w:tr>
            <w:tr w14:paraId="664426A9">
              <w:tblPrEx>
                <w:tblCellMar>
                  <w:top w:w="0" w:type="dxa"/>
                  <w:left w:w="108" w:type="dxa"/>
                  <w:bottom w:w="0" w:type="dxa"/>
                  <w:right w:w="108" w:type="dxa"/>
                </w:tblCellMar>
              </w:tblPrEx>
              <w:trPr>
                <w:trHeight w:val="336" w:hRule="atLeast"/>
              </w:trPr>
              <w:tc>
                <w:tcPr>
                  <w:tcW w:w="1867" w:type="dxa"/>
                  <w:gridSpan w:val="2"/>
                  <w:tcBorders>
                    <w:top w:val="single" w:color="auto" w:sz="6" w:space="0"/>
                    <w:bottom w:val="single" w:color="auto" w:sz="12" w:space="0"/>
                    <w:right w:val="single" w:color="auto" w:sz="6" w:space="0"/>
                  </w:tcBorders>
                  <w:vAlign w:val="center"/>
                </w:tcPr>
                <w:p w14:paraId="2110A094">
                  <w:pPr>
                    <w:pStyle w:val="34"/>
                    <w:rPr>
                      <w:color w:val="000000" w:themeColor="text1"/>
                      <w14:textFill>
                        <w14:solidFill>
                          <w14:schemeClr w14:val="tx1"/>
                        </w14:solidFill>
                      </w14:textFill>
                    </w:rPr>
                  </w:pPr>
                  <w:r>
                    <w:rPr>
                      <w:color w:val="000000" w:themeColor="text1"/>
                      <w14:textFill>
                        <w14:solidFill>
                          <w14:schemeClr w14:val="tx1"/>
                        </w14:solidFill>
                      </w14:textFill>
                    </w:rPr>
                    <w:t>贡献值</w:t>
                  </w:r>
                </w:p>
              </w:tc>
              <w:tc>
                <w:tcPr>
                  <w:tcW w:w="862" w:type="dxa"/>
                  <w:tcBorders>
                    <w:top w:val="single" w:color="auto" w:sz="6" w:space="0"/>
                    <w:left w:val="single" w:color="auto" w:sz="6" w:space="0"/>
                    <w:bottom w:val="single" w:color="auto" w:sz="12" w:space="0"/>
                    <w:right w:val="single" w:color="auto" w:sz="6" w:space="0"/>
                  </w:tcBorders>
                  <w:vAlign w:val="center"/>
                </w:tcPr>
                <w:p w14:paraId="539B38E8">
                  <w:pPr>
                    <w:jc w:val="center"/>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910" w:type="dxa"/>
                  <w:tcBorders>
                    <w:top w:val="single" w:color="auto" w:sz="6" w:space="0"/>
                    <w:left w:val="single" w:color="auto" w:sz="6" w:space="0"/>
                    <w:bottom w:val="single" w:color="auto" w:sz="12" w:space="0"/>
                    <w:right w:val="single" w:color="auto" w:sz="6" w:space="0"/>
                  </w:tcBorders>
                  <w:vAlign w:val="center"/>
                </w:tcPr>
                <w:p w14:paraId="0588DD54">
                  <w:pPr>
                    <w:jc w:val="center"/>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861" w:type="dxa"/>
                  <w:tcBorders>
                    <w:top w:val="single" w:color="auto" w:sz="6" w:space="0"/>
                    <w:left w:val="single" w:color="auto" w:sz="6" w:space="0"/>
                    <w:bottom w:val="single" w:color="auto" w:sz="12" w:space="0"/>
                    <w:right w:val="single" w:color="auto" w:sz="6" w:space="0"/>
                  </w:tcBorders>
                  <w:vAlign w:val="center"/>
                </w:tcPr>
                <w:p w14:paraId="69C13263">
                  <w:pPr>
                    <w:jc w:val="center"/>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36</w:t>
                  </w:r>
                </w:p>
              </w:tc>
              <w:tc>
                <w:tcPr>
                  <w:tcW w:w="916" w:type="dxa"/>
                  <w:tcBorders>
                    <w:top w:val="single" w:color="auto" w:sz="6" w:space="0"/>
                    <w:left w:val="single" w:color="auto" w:sz="6" w:space="0"/>
                    <w:bottom w:val="single" w:color="auto" w:sz="12" w:space="0"/>
                    <w:right w:val="single" w:color="auto" w:sz="6" w:space="0"/>
                  </w:tcBorders>
                  <w:vAlign w:val="center"/>
                </w:tcPr>
                <w:p w14:paraId="0D7F6704">
                  <w:pPr>
                    <w:jc w:val="center"/>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912" w:type="dxa"/>
                  <w:tcBorders>
                    <w:top w:val="single" w:color="auto" w:sz="6" w:space="0"/>
                    <w:left w:val="single" w:color="auto" w:sz="6" w:space="0"/>
                    <w:bottom w:val="single" w:color="auto" w:sz="12" w:space="0"/>
                    <w:right w:val="single" w:color="auto" w:sz="6" w:space="0"/>
                  </w:tcBorders>
                  <w:vAlign w:val="center"/>
                </w:tcPr>
                <w:p w14:paraId="370FE781">
                  <w:pPr>
                    <w:jc w:val="center"/>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57.7</w:t>
                  </w:r>
                </w:p>
              </w:tc>
              <w:tc>
                <w:tcPr>
                  <w:tcW w:w="914" w:type="dxa"/>
                  <w:tcBorders>
                    <w:top w:val="single" w:color="auto" w:sz="6" w:space="0"/>
                    <w:left w:val="single" w:color="auto" w:sz="6" w:space="0"/>
                    <w:bottom w:val="single" w:color="auto" w:sz="12" w:space="0"/>
                    <w:right w:val="single" w:color="auto" w:sz="6" w:space="0"/>
                  </w:tcBorders>
                  <w:vAlign w:val="center"/>
                </w:tcPr>
                <w:p w14:paraId="52F9C545">
                  <w:pPr>
                    <w:jc w:val="center"/>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917" w:type="dxa"/>
                  <w:tcBorders>
                    <w:top w:val="single" w:color="auto" w:sz="6" w:space="0"/>
                    <w:left w:val="single" w:color="auto" w:sz="6" w:space="0"/>
                    <w:bottom w:val="single" w:color="auto" w:sz="12" w:space="0"/>
                    <w:right w:val="single" w:color="auto" w:sz="6" w:space="0"/>
                  </w:tcBorders>
                  <w:vAlign w:val="center"/>
                </w:tcPr>
                <w:p w14:paraId="584874EC">
                  <w:pPr>
                    <w:jc w:val="center"/>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57.7</w:t>
                  </w:r>
                </w:p>
              </w:tc>
              <w:tc>
                <w:tcPr>
                  <w:tcW w:w="924" w:type="dxa"/>
                  <w:tcBorders>
                    <w:top w:val="single" w:color="auto" w:sz="6" w:space="0"/>
                    <w:left w:val="single" w:color="auto" w:sz="6" w:space="0"/>
                    <w:bottom w:val="single" w:color="auto" w:sz="12" w:space="0"/>
                    <w:right w:val="single" w:color="auto" w:sz="6" w:space="0"/>
                  </w:tcBorders>
                  <w:vAlign w:val="center"/>
                </w:tcPr>
                <w:p w14:paraId="441D1B05">
                  <w:pPr>
                    <w:jc w:val="center"/>
                    <w:rPr>
                      <w:rFonts w:ascii="Times New Roman" w:hAnsi="Times New Roman" w:eastAsia="宋体" w:cs="Times New Roman"/>
                      <w:color w:val="000000" w:themeColor="text1"/>
                      <w:kern w:val="28"/>
                      <w:szCs w:val="21"/>
                      <w14:textFill>
                        <w14:solidFill>
                          <w14:schemeClr w14:val="tx1"/>
                        </w14:solidFill>
                      </w14:textFill>
                    </w:rPr>
                  </w:pPr>
                  <w:r>
                    <w:rPr>
                      <w:rFonts w:ascii="Times New Roman" w:hAnsi="Times New Roman" w:eastAsia="宋体" w:cs="Times New Roman"/>
                      <w:color w:val="000000" w:themeColor="text1"/>
                      <w:kern w:val="28"/>
                      <w:szCs w:val="21"/>
                      <w14:textFill>
                        <w14:solidFill>
                          <w14:schemeClr w14:val="tx1"/>
                        </w14:solidFill>
                      </w14:textFill>
                    </w:rPr>
                    <w:t>/</w:t>
                  </w:r>
                </w:p>
              </w:tc>
              <w:tc>
                <w:tcPr>
                  <w:tcW w:w="895" w:type="dxa"/>
                  <w:tcBorders>
                    <w:top w:val="single" w:color="auto" w:sz="6" w:space="0"/>
                    <w:left w:val="single" w:color="auto" w:sz="6" w:space="0"/>
                    <w:bottom w:val="single" w:color="auto" w:sz="12" w:space="0"/>
                  </w:tcBorders>
                  <w:vAlign w:val="center"/>
                </w:tcPr>
                <w:p w14:paraId="62CB39D1">
                  <w:pPr>
                    <w:jc w:val="center"/>
                    <w:rPr>
                      <w:rFonts w:hint="eastAsia" w:ascii="Times New Roman" w:hAnsi="Times New Roman" w:eastAsia="宋体" w:cs="Times New Roman"/>
                      <w:color w:val="000000" w:themeColor="text1"/>
                      <w:kern w:val="28"/>
                      <w:szCs w:val="21"/>
                      <w:lang w:val="en-US" w:eastAsia="zh-CN"/>
                      <w14:textFill>
                        <w14:solidFill>
                          <w14:schemeClr w14:val="tx1"/>
                        </w14:solidFill>
                      </w14:textFill>
                    </w:rPr>
                  </w:pPr>
                  <w:r>
                    <w:rPr>
                      <w:rFonts w:hint="eastAsia" w:cs="Times New Roman"/>
                      <w:color w:val="000000" w:themeColor="text1"/>
                      <w:kern w:val="28"/>
                      <w:szCs w:val="21"/>
                      <w:lang w:val="en-US" w:eastAsia="zh-CN"/>
                      <w14:textFill>
                        <w14:solidFill>
                          <w14:schemeClr w14:val="tx1"/>
                        </w14:solidFill>
                      </w14:textFill>
                    </w:rPr>
                    <w:t>54</w:t>
                  </w:r>
                </w:p>
              </w:tc>
            </w:tr>
          </w:tbl>
          <w:p w14:paraId="70EB1313">
            <w:pPr>
              <w:pStyle w:val="46"/>
              <w:ind w:firstLine="420"/>
              <w:jc w:val="center"/>
              <w:rPr>
                <w:rFonts w:hint="default" w:ascii="Times New Roman" w:hAnsi="Times New Roman" w:cs="Times New Roman"/>
                <w:color w:val="auto"/>
              </w:rPr>
            </w:pPr>
            <w:r>
              <w:rPr>
                <w:rFonts w:hint="default" w:ascii="Times New Roman" w:hAnsi="Times New Roman" w:eastAsia="黑体" w:cs="Times New Roman"/>
                <w:color w:val="auto"/>
                <w:sz w:val="21"/>
                <w:szCs w:val="21"/>
                <w:lang w:val="en-US" w:eastAsia="zh-CN"/>
              </w:rPr>
              <w:t>表7-13    噪声影响预测结果表</w:t>
            </w:r>
          </w:p>
          <w:tbl>
            <w:tblPr>
              <w:tblStyle w:val="23"/>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1182"/>
              <w:gridCol w:w="912"/>
              <w:gridCol w:w="1370"/>
              <w:gridCol w:w="912"/>
              <w:gridCol w:w="761"/>
              <w:gridCol w:w="762"/>
              <w:gridCol w:w="912"/>
              <w:gridCol w:w="914"/>
              <w:gridCol w:w="1218"/>
              <w:gridCol w:w="1025"/>
            </w:tblGrid>
            <w:tr w14:paraId="52AA1D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03" w:hRule="atLeast"/>
              </w:trPr>
              <w:tc>
                <w:tcPr>
                  <w:tcW w:w="1182"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5116E62">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噪声类别</w:t>
                  </w:r>
                </w:p>
              </w:tc>
              <w:tc>
                <w:tcPr>
                  <w:tcW w:w="912" w:type="dxa"/>
                  <w:vMerge w:val="restart"/>
                  <w:tcBorders>
                    <w:top w:val="single" w:color="auto" w:sz="4" w:space="0"/>
                    <w:left w:val="nil"/>
                    <w:bottom w:val="single" w:color="auto" w:sz="4" w:space="0"/>
                    <w:right w:val="single" w:color="auto" w:sz="4" w:space="0"/>
                  </w:tcBorders>
                  <w:shd w:val="clear" w:color="auto" w:fill="auto"/>
                  <w:vAlign w:val="center"/>
                </w:tcPr>
                <w:p w14:paraId="00146441">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编号</w:t>
                  </w:r>
                </w:p>
              </w:tc>
              <w:tc>
                <w:tcPr>
                  <w:tcW w:w="1370" w:type="dxa"/>
                  <w:vMerge w:val="restart"/>
                  <w:tcBorders>
                    <w:top w:val="single" w:color="auto" w:sz="4" w:space="0"/>
                    <w:left w:val="nil"/>
                    <w:bottom w:val="single" w:color="auto" w:sz="4" w:space="0"/>
                    <w:right w:val="single" w:color="auto" w:sz="4" w:space="0"/>
                  </w:tcBorders>
                  <w:shd w:val="clear" w:color="auto" w:fill="auto"/>
                  <w:vAlign w:val="center"/>
                </w:tcPr>
                <w:p w14:paraId="784CE84D">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噪声预测点名称、位置</w:t>
                  </w:r>
                </w:p>
              </w:tc>
              <w:tc>
                <w:tcPr>
                  <w:tcW w:w="912" w:type="dxa"/>
                  <w:vMerge w:val="restart"/>
                  <w:tcBorders>
                    <w:top w:val="single" w:color="auto" w:sz="4" w:space="0"/>
                    <w:left w:val="nil"/>
                    <w:bottom w:val="single" w:color="auto" w:sz="4" w:space="0"/>
                    <w:right w:val="single" w:color="auto" w:sz="4" w:space="0"/>
                  </w:tcBorders>
                  <w:shd w:val="clear" w:color="auto" w:fill="auto"/>
                  <w:vAlign w:val="center"/>
                </w:tcPr>
                <w:p w14:paraId="72D5F8AA">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噪声贡献值</w:t>
                  </w:r>
                </w:p>
              </w:tc>
              <w:tc>
                <w:tcPr>
                  <w:tcW w:w="1523" w:type="dxa"/>
                  <w:gridSpan w:val="2"/>
                  <w:tcBorders>
                    <w:top w:val="single" w:color="auto" w:sz="4" w:space="0"/>
                    <w:left w:val="nil"/>
                    <w:bottom w:val="single" w:color="auto" w:sz="4" w:space="0"/>
                    <w:right w:val="single" w:color="auto" w:sz="4" w:space="0"/>
                  </w:tcBorders>
                  <w:shd w:val="clear" w:color="auto" w:fill="auto"/>
                  <w:vAlign w:val="center"/>
                </w:tcPr>
                <w:p w14:paraId="1C3C0620">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本底值</w:t>
                  </w:r>
                </w:p>
              </w:tc>
              <w:tc>
                <w:tcPr>
                  <w:tcW w:w="1826" w:type="dxa"/>
                  <w:gridSpan w:val="2"/>
                  <w:tcBorders>
                    <w:top w:val="single" w:color="auto" w:sz="4" w:space="0"/>
                    <w:left w:val="nil"/>
                    <w:bottom w:val="single" w:color="auto" w:sz="4" w:space="0"/>
                    <w:right w:val="single" w:color="auto" w:sz="4" w:space="0"/>
                  </w:tcBorders>
                  <w:shd w:val="clear" w:color="auto" w:fill="auto"/>
                  <w:vAlign w:val="center"/>
                </w:tcPr>
                <w:p w14:paraId="5150B7C0">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噪声预测值</w:t>
                  </w:r>
                </w:p>
              </w:tc>
              <w:tc>
                <w:tcPr>
                  <w:tcW w:w="2243" w:type="dxa"/>
                  <w:gridSpan w:val="2"/>
                  <w:tcBorders>
                    <w:top w:val="single" w:color="auto" w:sz="4" w:space="0"/>
                    <w:left w:val="nil"/>
                    <w:bottom w:val="single" w:color="auto" w:sz="4" w:space="0"/>
                    <w:right w:val="single" w:color="auto" w:sz="4" w:space="0"/>
                  </w:tcBorders>
                  <w:shd w:val="clear" w:color="auto" w:fill="auto"/>
                  <w:vAlign w:val="center"/>
                </w:tcPr>
                <w:p w14:paraId="1C8BA783">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评价标准</w:t>
                  </w:r>
                </w:p>
              </w:tc>
            </w:tr>
            <w:tr w14:paraId="720807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118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B4CFA27">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912" w:type="dxa"/>
                  <w:vMerge w:val="continue"/>
                  <w:tcBorders>
                    <w:top w:val="single" w:color="auto" w:sz="4" w:space="0"/>
                    <w:left w:val="nil"/>
                    <w:bottom w:val="single" w:color="auto" w:sz="4" w:space="0"/>
                    <w:right w:val="single" w:color="auto" w:sz="4" w:space="0"/>
                  </w:tcBorders>
                  <w:shd w:val="clear" w:color="auto" w:fill="auto"/>
                  <w:vAlign w:val="center"/>
                </w:tcPr>
                <w:p w14:paraId="05254F46">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370" w:type="dxa"/>
                  <w:vMerge w:val="continue"/>
                  <w:tcBorders>
                    <w:top w:val="single" w:color="auto" w:sz="4" w:space="0"/>
                    <w:left w:val="nil"/>
                    <w:bottom w:val="single" w:color="auto" w:sz="4" w:space="0"/>
                    <w:right w:val="single" w:color="auto" w:sz="4" w:space="0"/>
                  </w:tcBorders>
                  <w:shd w:val="clear" w:color="auto" w:fill="auto"/>
                  <w:vAlign w:val="center"/>
                </w:tcPr>
                <w:p w14:paraId="485A3DBE">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912" w:type="dxa"/>
                  <w:vMerge w:val="continue"/>
                  <w:tcBorders>
                    <w:top w:val="single" w:color="auto" w:sz="4" w:space="0"/>
                    <w:left w:val="nil"/>
                    <w:bottom w:val="single" w:color="auto" w:sz="4" w:space="0"/>
                    <w:right w:val="single" w:color="auto" w:sz="4" w:space="0"/>
                  </w:tcBorders>
                  <w:shd w:val="clear" w:color="auto" w:fill="auto"/>
                  <w:vAlign w:val="center"/>
                </w:tcPr>
                <w:p w14:paraId="4D80B06B">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761" w:type="dxa"/>
                  <w:tcBorders>
                    <w:top w:val="single" w:color="auto" w:sz="4" w:space="0"/>
                    <w:left w:val="nil"/>
                    <w:bottom w:val="single" w:color="auto" w:sz="4" w:space="0"/>
                    <w:right w:val="single" w:color="auto" w:sz="4" w:space="0"/>
                  </w:tcBorders>
                  <w:shd w:val="clear" w:color="auto" w:fill="auto"/>
                  <w:vAlign w:val="center"/>
                </w:tcPr>
                <w:p w14:paraId="2AF0AFCE">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昼间</w:t>
                  </w:r>
                </w:p>
              </w:tc>
              <w:tc>
                <w:tcPr>
                  <w:tcW w:w="762" w:type="dxa"/>
                  <w:tcBorders>
                    <w:top w:val="single" w:color="auto" w:sz="4" w:space="0"/>
                    <w:left w:val="nil"/>
                    <w:bottom w:val="single" w:color="auto" w:sz="4" w:space="0"/>
                    <w:right w:val="single" w:color="auto" w:sz="4" w:space="0"/>
                  </w:tcBorders>
                  <w:shd w:val="clear" w:color="auto" w:fill="auto"/>
                  <w:vAlign w:val="center"/>
                </w:tcPr>
                <w:p w14:paraId="0FB9B643">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夜间</w:t>
                  </w:r>
                </w:p>
              </w:tc>
              <w:tc>
                <w:tcPr>
                  <w:tcW w:w="912" w:type="dxa"/>
                  <w:tcBorders>
                    <w:top w:val="single" w:color="auto" w:sz="4" w:space="0"/>
                    <w:left w:val="nil"/>
                    <w:bottom w:val="single" w:color="auto" w:sz="4" w:space="0"/>
                    <w:right w:val="single" w:color="auto" w:sz="4" w:space="0"/>
                  </w:tcBorders>
                  <w:shd w:val="clear" w:color="auto" w:fill="auto"/>
                  <w:vAlign w:val="center"/>
                </w:tcPr>
                <w:p w14:paraId="04A73A1B">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昼间</w:t>
                  </w:r>
                </w:p>
              </w:tc>
              <w:tc>
                <w:tcPr>
                  <w:tcW w:w="914" w:type="dxa"/>
                  <w:tcBorders>
                    <w:top w:val="single" w:color="auto" w:sz="4" w:space="0"/>
                    <w:left w:val="nil"/>
                    <w:bottom w:val="single" w:color="auto" w:sz="4" w:space="0"/>
                    <w:right w:val="single" w:color="auto" w:sz="4" w:space="0"/>
                  </w:tcBorders>
                  <w:shd w:val="clear" w:color="auto" w:fill="auto"/>
                  <w:vAlign w:val="center"/>
                </w:tcPr>
                <w:p w14:paraId="3FC6216E">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夜间</w:t>
                  </w:r>
                </w:p>
              </w:tc>
              <w:tc>
                <w:tcPr>
                  <w:tcW w:w="1218" w:type="dxa"/>
                  <w:tcBorders>
                    <w:top w:val="single" w:color="auto" w:sz="4" w:space="0"/>
                    <w:left w:val="nil"/>
                    <w:bottom w:val="single" w:color="auto" w:sz="4" w:space="0"/>
                    <w:right w:val="single" w:color="auto" w:sz="4" w:space="0"/>
                  </w:tcBorders>
                  <w:shd w:val="clear" w:color="auto" w:fill="auto"/>
                  <w:vAlign w:val="center"/>
                </w:tcPr>
                <w:p w14:paraId="3F5E0FD2">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昼间</w:t>
                  </w:r>
                </w:p>
              </w:tc>
              <w:tc>
                <w:tcPr>
                  <w:tcW w:w="1025" w:type="dxa"/>
                  <w:tcBorders>
                    <w:top w:val="single" w:color="auto" w:sz="4" w:space="0"/>
                    <w:left w:val="nil"/>
                    <w:bottom w:val="single" w:color="auto" w:sz="4" w:space="0"/>
                    <w:right w:val="single" w:color="auto" w:sz="4" w:space="0"/>
                  </w:tcBorders>
                  <w:shd w:val="clear" w:color="auto" w:fill="auto"/>
                  <w:vAlign w:val="center"/>
                </w:tcPr>
                <w:p w14:paraId="4AECD35C">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夜间</w:t>
                  </w:r>
                </w:p>
              </w:tc>
            </w:tr>
            <w:tr w14:paraId="68156D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vMerge w:val="restart"/>
                  <w:tcBorders>
                    <w:top w:val="nil"/>
                    <w:left w:val="single" w:color="auto" w:sz="4" w:space="0"/>
                    <w:right w:val="single" w:color="auto" w:sz="4" w:space="0"/>
                  </w:tcBorders>
                  <w:shd w:val="clear" w:color="auto" w:fill="auto"/>
                  <w:vAlign w:val="center"/>
                </w:tcPr>
                <w:p w14:paraId="28BBCD90">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厂界噪声</w:t>
                  </w:r>
                </w:p>
              </w:tc>
              <w:tc>
                <w:tcPr>
                  <w:tcW w:w="912" w:type="dxa"/>
                  <w:vMerge w:val="restart"/>
                  <w:tcBorders>
                    <w:top w:val="single" w:color="auto" w:sz="4" w:space="0"/>
                    <w:left w:val="nil"/>
                    <w:right w:val="single" w:color="auto" w:sz="4" w:space="0"/>
                  </w:tcBorders>
                  <w:shd w:val="clear" w:color="auto" w:fill="auto"/>
                  <w:vAlign w:val="center"/>
                </w:tcPr>
                <w:p w14:paraId="5F760140">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p>
                <w:p w14:paraId="25F28368">
                  <w:pPr>
                    <w:pStyle w:val="20"/>
                    <w:keepNext w:val="0"/>
                    <w:keepLines w:val="0"/>
                    <w:widowControl w:val="0"/>
                    <w:suppressLineNumbers w:val="0"/>
                    <w:spacing w:before="0" w:beforeAutospacing="0" w:after="0" w:afterAutospacing="0" w:line="360" w:lineRule="auto"/>
                    <w:ind w:left="0" w:right="0" w:firstLine="0"/>
                    <w:jc w:val="center"/>
                    <w:rPr>
                      <w:rFonts w:hint="eastAsia" w:ascii="Times New Roman" w:hAnsi="Times New Roman" w:eastAsia="宋体" w:cs="Times New Roman"/>
                      <w:kern w:val="2"/>
                      <w:sz w:val="21"/>
                      <w:szCs w:val="21"/>
                      <w:lang w:val="en-US" w:eastAsia="zh-CN"/>
                    </w:rPr>
                  </w:pPr>
                  <w:r>
                    <w:rPr>
                      <w:rFonts w:hint="eastAsia" w:ascii="Times New Roman" w:hAnsi="Times New Roman" w:cs="Times New Roman"/>
                      <w:kern w:val="2"/>
                      <w:sz w:val="21"/>
                      <w:szCs w:val="21"/>
                      <w:lang w:val="en-US" w:eastAsia="zh-CN"/>
                    </w:rPr>
                    <w:t>1#厂房</w:t>
                  </w:r>
                </w:p>
              </w:tc>
              <w:tc>
                <w:tcPr>
                  <w:tcW w:w="1370" w:type="dxa"/>
                  <w:tcBorders>
                    <w:top w:val="single" w:color="auto" w:sz="4" w:space="0"/>
                    <w:left w:val="nil"/>
                    <w:bottom w:val="single" w:color="auto" w:sz="4" w:space="0"/>
                    <w:right w:val="single" w:color="auto" w:sz="4" w:space="0"/>
                  </w:tcBorders>
                  <w:shd w:val="clear" w:color="auto" w:fill="auto"/>
                  <w:vAlign w:val="center"/>
                </w:tcPr>
                <w:p w14:paraId="6083A459">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东侧</w:t>
                  </w:r>
                </w:p>
              </w:tc>
              <w:tc>
                <w:tcPr>
                  <w:tcW w:w="912" w:type="dxa"/>
                  <w:tcBorders>
                    <w:top w:val="single" w:color="auto" w:sz="4" w:space="0"/>
                    <w:left w:val="nil"/>
                    <w:bottom w:val="single" w:color="auto" w:sz="4" w:space="0"/>
                    <w:right w:val="single" w:color="auto" w:sz="4" w:space="0"/>
                  </w:tcBorders>
                  <w:shd w:val="clear" w:color="auto" w:fill="auto"/>
                  <w:vAlign w:val="center"/>
                </w:tcPr>
                <w:p w14:paraId="23C07A11">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51</w:t>
                  </w:r>
                </w:p>
              </w:tc>
              <w:tc>
                <w:tcPr>
                  <w:tcW w:w="761" w:type="dxa"/>
                  <w:tcBorders>
                    <w:top w:val="single" w:color="auto" w:sz="4" w:space="0"/>
                    <w:left w:val="nil"/>
                    <w:bottom w:val="single" w:color="auto" w:sz="4" w:space="0"/>
                    <w:right w:val="single" w:color="auto" w:sz="4" w:space="0"/>
                  </w:tcBorders>
                  <w:shd w:val="clear" w:color="auto" w:fill="auto"/>
                  <w:vAlign w:val="center"/>
                </w:tcPr>
                <w:p w14:paraId="37CA60B1">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54.4</w:t>
                  </w:r>
                </w:p>
              </w:tc>
              <w:tc>
                <w:tcPr>
                  <w:tcW w:w="762" w:type="dxa"/>
                  <w:tcBorders>
                    <w:top w:val="single" w:color="auto" w:sz="4" w:space="0"/>
                    <w:left w:val="nil"/>
                    <w:bottom w:val="single" w:color="auto" w:sz="4" w:space="0"/>
                    <w:right w:val="single" w:color="auto" w:sz="4" w:space="0"/>
                  </w:tcBorders>
                  <w:shd w:val="clear" w:color="auto" w:fill="auto"/>
                  <w:vAlign w:val="center"/>
                </w:tcPr>
                <w:p w14:paraId="715569B2">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eastAsia="宋体" w:cs="Times New Roman"/>
                      <w:kern w:val="2"/>
                      <w:sz w:val="21"/>
                      <w:szCs w:val="21"/>
                      <w:lang w:val="en-US" w:eastAsia="zh-CN" w:bidi="ar"/>
                    </w:rPr>
                    <w:t>43.</w:t>
                  </w:r>
                  <w:r>
                    <w:rPr>
                      <w:rFonts w:hint="eastAsia" w:ascii="Times New Roman" w:hAnsi="Times New Roman" w:cs="Times New Roman"/>
                      <w:kern w:val="2"/>
                      <w:sz w:val="21"/>
                      <w:szCs w:val="21"/>
                      <w:lang w:val="en-US" w:eastAsia="zh-CN" w:bidi="ar"/>
                    </w:rPr>
                    <w:t>6</w:t>
                  </w:r>
                </w:p>
              </w:tc>
              <w:tc>
                <w:tcPr>
                  <w:tcW w:w="912" w:type="dxa"/>
                  <w:tcBorders>
                    <w:top w:val="single" w:color="auto" w:sz="4" w:space="0"/>
                    <w:left w:val="nil"/>
                    <w:bottom w:val="single" w:color="auto" w:sz="4" w:space="0"/>
                    <w:right w:val="single" w:color="auto" w:sz="4" w:space="0"/>
                  </w:tcBorders>
                  <w:shd w:val="clear" w:color="auto" w:fill="auto"/>
                  <w:vAlign w:val="center"/>
                </w:tcPr>
                <w:p w14:paraId="11FD3BA0">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56</w:t>
                  </w:r>
                </w:p>
              </w:tc>
              <w:tc>
                <w:tcPr>
                  <w:tcW w:w="914" w:type="dxa"/>
                  <w:tcBorders>
                    <w:top w:val="single" w:color="auto" w:sz="4" w:space="0"/>
                    <w:left w:val="nil"/>
                    <w:bottom w:val="single" w:color="auto" w:sz="4" w:space="0"/>
                    <w:right w:val="single" w:color="auto" w:sz="4" w:space="0"/>
                  </w:tcBorders>
                  <w:shd w:val="clear" w:color="auto" w:fill="auto"/>
                  <w:vAlign w:val="center"/>
                </w:tcPr>
                <w:p w14:paraId="160AF8B7">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51.7</w:t>
                  </w:r>
                </w:p>
              </w:tc>
              <w:tc>
                <w:tcPr>
                  <w:tcW w:w="1218" w:type="dxa"/>
                  <w:tcBorders>
                    <w:top w:val="single" w:color="auto" w:sz="4" w:space="0"/>
                    <w:left w:val="nil"/>
                    <w:bottom w:val="single" w:color="auto" w:sz="4" w:space="0"/>
                    <w:right w:val="single" w:color="auto" w:sz="4" w:space="0"/>
                  </w:tcBorders>
                  <w:shd w:val="clear" w:color="auto" w:fill="auto"/>
                  <w:vAlign w:val="center"/>
                </w:tcPr>
                <w:p w14:paraId="4DC8A300">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达标</w:t>
                  </w:r>
                </w:p>
              </w:tc>
              <w:tc>
                <w:tcPr>
                  <w:tcW w:w="1025" w:type="dxa"/>
                  <w:tcBorders>
                    <w:top w:val="single" w:color="auto" w:sz="4" w:space="0"/>
                    <w:left w:val="nil"/>
                    <w:bottom w:val="single" w:color="auto" w:sz="4" w:space="0"/>
                    <w:right w:val="single" w:color="auto" w:sz="4" w:space="0"/>
                  </w:tcBorders>
                  <w:shd w:val="clear" w:color="auto" w:fill="auto"/>
                  <w:vAlign w:val="center"/>
                </w:tcPr>
                <w:p w14:paraId="34210365">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达标</w:t>
                  </w:r>
                </w:p>
              </w:tc>
            </w:tr>
            <w:tr w14:paraId="7768D3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vMerge w:val="continue"/>
                  <w:tcBorders>
                    <w:left w:val="single" w:color="auto" w:sz="4" w:space="0"/>
                    <w:right w:val="single" w:color="auto" w:sz="4" w:space="0"/>
                  </w:tcBorders>
                  <w:shd w:val="clear" w:color="auto" w:fill="auto"/>
                  <w:vAlign w:val="center"/>
                </w:tcPr>
                <w:p w14:paraId="585F89BC">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912" w:type="dxa"/>
                  <w:vMerge w:val="continue"/>
                  <w:tcBorders>
                    <w:left w:val="nil"/>
                    <w:right w:val="single" w:color="auto" w:sz="4" w:space="0"/>
                  </w:tcBorders>
                  <w:shd w:val="clear" w:color="auto" w:fill="auto"/>
                  <w:vAlign w:val="center"/>
                </w:tcPr>
                <w:p w14:paraId="73AA244C">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p>
              </w:tc>
              <w:tc>
                <w:tcPr>
                  <w:tcW w:w="1370" w:type="dxa"/>
                  <w:tcBorders>
                    <w:top w:val="single" w:color="auto" w:sz="4" w:space="0"/>
                    <w:left w:val="nil"/>
                    <w:bottom w:val="single" w:color="auto" w:sz="4" w:space="0"/>
                    <w:right w:val="single" w:color="auto" w:sz="4" w:space="0"/>
                  </w:tcBorders>
                  <w:shd w:val="clear" w:color="auto" w:fill="auto"/>
                  <w:vAlign w:val="center"/>
                </w:tcPr>
                <w:p w14:paraId="10811F87">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西侧</w:t>
                  </w:r>
                </w:p>
              </w:tc>
              <w:tc>
                <w:tcPr>
                  <w:tcW w:w="912" w:type="dxa"/>
                  <w:tcBorders>
                    <w:top w:val="single" w:color="auto" w:sz="4" w:space="0"/>
                    <w:left w:val="nil"/>
                    <w:bottom w:val="single" w:color="auto" w:sz="4" w:space="0"/>
                    <w:right w:val="single" w:color="auto" w:sz="4" w:space="0"/>
                  </w:tcBorders>
                  <w:shd w:val="clear" w:color="auto" w:fill="auto"/>
                  <w:vAlign w:val="center"/>
                </w:tcPr>
                <w:p w14:paraId="03FE8CE5">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57.6</w:t>
                  </w:r>
                </w:p>
              </w:tc>
              <w:tc>
                <w:tcPr>
                  <w:tcW w:w="761" w:type="dxa"/>
                  <w:tcBorders>
                    <w:top w:val="single" w:color="auto" w:sz="4" w:space="0"/>
                    <w:left w:val="nil"/>
                    <w:bottom w:val="single" w:color="auto" w:sz="4" w:space="0"/>
                    <w:right w:val="single" w:color="auto" w:sz="4" w:space="0"/>
                  </w:tcBorders>
                  <w:shd w:val="clear" w:color="auto" w:fill="auto"/>
                  <w:vAlign w:val="center"/>
                </w:tcPr>
                <w:p w14:paraId="26498D2C">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49.7</w:t>
                  </w:r>
                </w:p>
              </w:tc>
              <w:tc>
                <w:tcPr>
                  <w:tcW w:w="762" w:type="dxa"/>
                  <w:tcBorders>
                    <w:top w:val="single" w:color="auto" w:sz="4" w:space="0"/>
                    <w:left w:val="nil"/>
                    <w:bottom w:val="single" w:color="auto" w:sz="4" w:space="0"/>
                    <w:right w:val="single" w:color="auto" w:sz="4" w:space="0"/>
                  </w:tcBorders>
                  <w:shd w:val="clear" w:color="auto" w:fill="auto"/>
                  <w:vAlign w:val="center"/>
                </w:tcPr>
                <w:p w14:paraId="5EA27D79">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eastAsia" w:ascii="Times New Roman" w:hAnsi="Times New Roman" w:eastAsia="宋体" w:cs="Times New Roman"/>
                      <w:kern w:val="2"/>
                      <w:sz w:val="21"/>
                      <w:szCs w:val="21"/>
                      <w:lang w:val="en-US" w:eastAsia="zh-CN" w:bidi="ar"/>
                    </w:rPr>
                    <w:t>4</w:t>
                  </w:r>
                  <w:r>
                    <w:rPr>
                      <w:rFonts w:hint="eastAsia" w:ascii="Times New Roman" w:hAnsi="Times New Roman" w:cs="Times New Roman"/>
                      <w:kern w:val="2"/>
                      <w:sz w:val="21"/>
                      <w:szCs w:val="21"/>
                      <w:lang w:val="en-US" w:eastAsia="zh-CN" w:bidi="ar"/>
                    </w:rPr>
                    <w:t>2</w:t>
                  </w:r>
                  <w:r>
                    <w:rPr>
                      <w:rFonts w:hint="eastAsia" w:ascii="Times New Roman" w:hAnsi="Times New Roman" w:eastAsia="宋体" w:cs="Times New Roman"/>
                      <w:kern w:val="2"/>
                      <w:sz w:val="21"/>
                      <w:szCs w:val="21"/>
                      <w:lang w:val="en-US" w:eastAsia="zh-CN" w:bidi="ar"/>
                    </w:rPr>
                    <w:t>.7</w:t>
                  </w:r>
                </w:p>
              </w:tc>
              <w:tc>
                <w:tcPr>
                  <w:tcW w:w="912" w:type="dxa"/>
                  <w:tcBorders>
                    <w:top w:val="single" w:color="auto" w:sz="4" w:space="0"/>
                    <w:left w:val="nil"/>
                    <w:bottom w:val="single" w:color="auto" w:sz="4" w:space="0"/>
                    <w:right w:val="single" w:color="auto" w:sz="4" w:space="0"/>
                  </w:tcBorders>
                  <w:shd w:val="clear" w:color="auto" w:fill="auto"/>
                  <w:vAlign w:val="center"/>
                </w:tcPr>
                <w:p w14:paraId="2C7EEBBA">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58</w:t>
                  </w:r>
                </w:p>
              </w:tc>
              <w:tc>
                <w:tcPr>
                  <w:tcW w:w="914" w:type="dxa"/>
                  <w:tcBorders>
                    <w:top w:val="single" w:color="auto" w:sz="4" w:space="0"/>
                    <w:left w:val="nil"/>
                    <w:bottom w:val="single" w:color="auto" w:sz="4" w:space="0"/>
                    <w:right w:val="single" w:color="auto" w:sz="4" w:space="0"/>
                  </w:tcBorders>
                  <w:shd w:val="clear" w:color="auto" w:fill="auto"/>
                  <w:vAlign w:val="center"/>
                </w:tcPr>
                <w:p w14:paraId="5E18322B">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57.7</w:t>
                  </w:r>
                </w:p>
              </w:tc>
              <w:tc>
                <w:tcPr>
                  <w:tcW w:w="1218" w:type="dxa"/>
                  <w:tcBorders>
                    <w:top w:val="single" w:color="auto" w:sz="4" w:space="0"/>
                    <w:left w:val="nil"/>
                    <w:bottom w:val="single" w:color="auto" w:sz="4" w:space="0"/>
                    <w:right w:val="single" w:color="auto" w:sz="4" w:space="0"/>
                  </w:tcBorders>
                  <w:shd w:val="clear" w:color="auto" w:fill="auto"/>
                  <w:vAlign w:val="center"/>
                </w:tcPr>
                <w:p w14:paraId="3E1A19F2">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达标</w:t>
                  </w:r>
                </w:p>
              </w:tc>
              <w:tc>
                <w:tcPr>
                  <w:tcW w:w="1025" w:type="dxa"/>
                  <w:tcBorders>
                    <w:top w:val="single" w:color="auto" w:sz="4" w:space="0"/>
                    <w:left w:val="nil"/>
                    <w:bottom w:val="single" w:color="auto" w:sz="4" w:space="0"/>
                    <w:right w:val="single" w:color="auto" w:sz="4" w:space="0"/>
                  </w:tcBorders>
                  <w:shd w:val="clear" w:color="auto" w:fill="auto"/>
                  <w:vAlign w:val="center"/>
                </w:tcPr>
                <w:p w14:paraId="787AF9CD">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超标</w:t>
                  </w:r>
                </w:p>
              </w:tc>
            </w:tr>
            <w:tr w14:paraId="30692E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vMerge w:val="continue"/>
                  <w:tcBorders>
                    <w:left w:val="single" w:color="auto" w:sz="4" w:space="0"/>
                    <w:right w:val="single" w:color="auto" w:sz="4" w:space="0"/>
                  </w:tcBorders>
                  <w:shd w:val="clear" w:color="auto" w:fill="auto"/>
                  <w:vAlign w:val="center"/>
                </w:tcPr>
                <w:p w14:paraId="3F1A204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912" w:type="dxa"/>
                  <w:vMerge w:val="continue"/>
                  <w:tcBorders>
                    <w:left w:val="nil"/>
                    <w:right w:val="single" w:color="auto" w:sz="4" w:space="0"/>
                  </w:tcBorders>
                  <w:shd w:val="clear" w:color="auto" w:fill="auto"/>
                  <w:vAlign w:val="center"/>
                </w:tcPr>
                <w:p w14:paraId="2611FAE1">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p>
              </w:tc>
              <w:tc>
                <w:tcPr>
                  <w:tcW w:w="1370" w:type="dxa"/>
                  <w:tcBorders>
                    <w:top w:val="single" w:color="auto" w:sz="4" w:space="0"/>
                    <w:left w:val="nil"/>
                    <w:bottom w:val="single" w:color="auto" w:sz="4" w:space="0"/>
                    <w:right w:val="single" w:color="auto" w:sz="4" w:space="0"/>
                  </w:tcBorders>
                  <w:shd w:val="clear" w:color="auto" w:fill="auto"/>
                  <w:vAlign w:val="center"/>
                </w:tcPr>
                <w:p w14:paraId="13E5E189">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南侧</w:t>
                  </w:r>
                </w:p>
              </w:tc>
              <w:tc>
                <w:tcPr>
                  <w:tcW w:w="912" w:type="dxa"/>
                  <w:tcBorders>
                    <w:top w:val="single" w:color="auto" w:sz="4" w:space="0"/>
                    <w:left w:val="nil"/>
                    <w:bottom w:val="single" w:color="auto" w:sz="4" w:space="0"/>
                    <w:right w:val="single" w:color="auto" w:sz="4" w:space="0"/>
                  </w:tcBorders>
                  <w:shd w:val="clear" w:color="auto" w:fill="auto"/>
                  <w:vAlign w:val="center"/>
                </w:tcPr>
                <w:p w14:paraId="0A4040EB">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38.5</w:t>
                  </w:r>
                </w:p>
              </w:tc>
              <w:tc>
                <w:tcPr>
                  <w:tcW w:w="761" w:type="dxa"/>
                  <w:tcBorders>
                    <w:top w:val="single" w:color="auto" w:sz="4" w:space="0"/>
                    <w:left w:val="nil"/>
                    <w:bottom w:val="single" w:color="auto" w:sz="4" w:space="0"/>
                    <w:right w:val="single" w:color="auto" w:sz="4" w:space="0"/>
                  </w:tcBorders>
                  <w:shd w:val="clear" w:color="auto" w:fill="auto"/>
                  <w:vAlign w:val="center"/>
                </w:tcPr>
                <w:p w14:paraId="21906AF0">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47.4</w:t>
                  </w:r>
                </w:p>
              </w:tc>
              <w:tc>
                <w:tcPr>
                  <w:tcW w:w="762" w:type="dxa"/>
                  <w:tcBorders>
                    <w:top w:val="single" w:color="auto" w:sz="4" w:space="0"/>
                    <w:left w:val="nil"/>
                    <w:bottom w:val="single" w:color="auto" w:sz="4" w:space="0"/>
                    <w:right w:val="single" w:color="auto" w:sz="4" w:space="0"/>
                  </w:tcBorders>
                  <w:shd w:val="clear" w:color="auto" w:fill="auto"/>
                  <w:vAlign w:val="center"/>
                </w:tcPr>
                <w:p w14:paraId="4B225ECB">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42.4</w:t>
                  </w:r>
                </w:p>
              </w:tc>
              <w:tc>
                <w:tcPr>
                  <w:tcW w:w="912" w:type="dxa"/>
                  <w:tcBorders>
                    <w:top w:val="single" w:color="auto" w:sz="4" w:space="0"/>
                    <w:left w:val="nil"/>
                    <w:bottom w:val="single" w:color="auto" w:sz="4" w:space="0"/>
                    <w:right w:val="single" w:color="auto" w:sz="4" w:space="0"/>
                  </w:tcBorders>
                  <w:shd w:val="clear" w:color="auto" w:fill="auto"/>
                  <w:vAlign w:val="center"/>
                </w:tcPr>
                <w:p w14:paraId="668DED57">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47.9</w:t>
                  </w:r>
                </w:p>
              </w:tc>
              <w:tc>
                <w:tcPr>
                  <w:tcW w:w="914" w:type="dxa"/>
                  <w:tcBorders>
                    <w:top w:val="single" w:color="auto" w:sz="4" w:space="0"/>
                    <w:left w:val="nil"/>
                    <w:bottom w:val="single" w:color="auto" w:sz="4" w:space="0"/>
                    <w:right w:val="single" w:color="auto" w:sz="4" w:space="0"/>
                  </w:tcBorders>
                  <w:shd w:val="clear" w:color="auto" w:fill="auto"/>
                  <w:vAlign w:val="center"/>
                </w:tcPr>
                <w:p w14:paraId="27F62E11">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43.9</w:t>
                  </w:r>
                </w:p>
              </w:tc>
              <w:tc>
                <w:tcPr>
                  <w:tcW w:w="1218" w:type="dxa"/>
                  <w:tcBorders>
                    <w:top w:val="single" w:color="auto" w:sz="4" w:space="0"/>
                    <w:left w:val="nil"/>
                    <w:bottom w:val="single" w:color="auto" w:sz="4" w:space="0"/>
                    <w:right w:val="single" w:color="auto" w:sz="4" w:space="0"/>
                  </w:tcBorders>
                  <w:shd w:val="clear" w:color="auto" w:fill="auto"/>
                  <w:vAlign w:val="center"/>
                </w:tcPr>
                <w:p w14:paraId="437B38FE">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达标</w:t>
                  </w:r>
                </w:p>
              </w:tc>
              <w:tc>
                <w:tcPr>
                  <w:tcW w:w="1025" w:type="dxa"/>
                  <w:tcBorders>
                    <w:top w:val="single" w:color="auto" w:sz="4" w:space="0"/>
                    <w:left w:val="nil"/>
                    <w:bottom w:val="single" w:color="auto" w:sz="4" w:space="0"/>
                    <w:right w:val="single" w:color="auto" w:sz="4" w:space="0"/>
                  </w:tcBorders>
                  <w:shd w:val="clear" w:color="auto" w:fill="auto"/>
                  <w:vAlign w:val="center"/>
                </w:tcPr>
                <w:p w14:paraId="2DEAB22E">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达标</w:t>
                  </w:r>
                </w:p>
              </w:tc>
            </w:tr>
            <w:tr w14:paraId="61FB3F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vMerge w:val="continue"/>
                  <w:tcBorders>
                    <w:left w:val="single" w:color="auto" w:sz="4" w:space="0"/>
                    <w:right w:val="single" w:color="auto" w:sz="4" w:space="0"/>
                  </w:tcBorders>
                  <w:shd w:val="clear" w:color="auto" w:fill="auto"/>
                  <w:vAlign w:val="center"/>
                </w:tcPr>
                <w:p w14:paraId="6FABF397">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912" w:type="dxa"/>
                  <w:vMerge w:val="continue"/>
                  <w:tcBorders>
                    <w:left w:val="nil"/>
                    <w:bottom w:val="single" w:color="auto" w:sz="4" w:space="0"/>
                    <w:right w:val="single" w:color="auto" w:sz="4" w:space="0"/>
                  </w:tcBorders>
                  <w:shd w:val="clear" w:color="auto" w:fill="auto"/>
                  <w:vAlign w:val="center"/>
                </w:tcPr>
                <w:p w14:paraId="1BF68638">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p>
              </w:tc>
              <w:tc>
                <w:tcPr>
                  <w:tcW w:w="1370" w:type="dxa"/>
                  <w:tcBorders>
                    <w:top w:val="single" w:color="auto" w:sz="4" w:space="0"/>
                    <w:left w:val="nil"/>
                    <w:bottom w:val="single" w:color="auto" w:sz="4" w:space="0"/>
                    <w:right w:val="single" w:color="auto" w:sz="4" w:space="0"/>
                  </w:tcBorders>
                  <w:shd w:val="clear" w:color="auto" w:fill="auto"/>
                  <w:vAlign w:val="center"/>
                </w:tcPr>
                <w:p w14:paraId="3C5DC42F">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北侧</w:t>
                  </w:r>
                </w:p>
              </w:tc>
              <w:tc>
                <w:tcPr>
                  <w:tcW w:w="912" w:type="dxa"/>
                  <w:tcBorders>
                    <w:top w:val="single" w:color="auto" w:sz="4" w:space="0"/>
                    <w:left w:val="nil"/>
                    <w:bottom w:val="single" w:color="auto" w:sz="4" w:space="0"/>
                    <w:right w:val="single" w:color="auto" w:sz="4" w:space="0"/>
                  </w:tcBorders>
                  <w:shd w:val="clear" w:color="auto" w:fill="auto"/>
                  <w:vAlign w:val="center"/>
                </w:tcPr>
                <w:p w14:paraId="27D90E86">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51.6</w:t>
                  </w:r>
                </w:p>
              </w:tc>
              <w:tc>
                <w:tcPr>
                  <w:tcW w:w="761" w:type="dxa"/>
                  <w:tcBorders>
                    <w:top w:val="single" w:color="auto" w:sz="4" w:space="0"/>
                    <w:left w:val="nil"/>
                    <w:bottom w:val="single" w:color="auto" w:sz="4" w:space="0"/>
                    <w:right w:val="single" w:color="auto" w:sz="4" w:space="0"/>
                  </w:tcBorders>
                  <w:shd w:val="clear" w:color="auto" w:fill="auto"/>
                  <w:vAlign w:val="center"/>
                </w:tcPr>
                <w:p w14:paraId="29368302">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53.4</w:t>
                  </w:r>
                </w:p>
              </w:tc>
              <w:tc>
                <w:tcPr>
                  <w:tcW w:w="762" w:type="dxa"/>
                  <w:tcBorders>
                    <w:top w:val="single" w:color="auto" w:sz="4" w:space="0"/>
                    <w:left w:val="nil"/>
                    <w:bottom w:val="single" w:color="auto" w:sz="4" w:space="0"/>
                    <w:right w:val="single" w:color="auto" w:sz="4" w:space="0"/>
                  </w:tcBorders>
                  <w:shd w:val="clear" w:color="auto" w:fill="auto"/>
                  <w:vAlign w:val="center"/>
                </w:tcPr>
                <w:p w14:paraId="4B6165F1">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44.5</w:t>
                  </w:r>
                </w:p>
              </w:tc>
              <w:tc>
                <w:tcPr>
                  <w:tcW w:w="912" w:type="dxa"/>
                  <w:tcBorders>
                    <w:top w:val="single" w:color="auto" w:sz="4" w:space="0"/>
                    <w:left w:val="nil"/>
                    <w:bottom w:val="single" w:color="auto" w:sz="4" w:space="0"/>
                    <w:right w:val="single" w:color="auto" w:sz="4" w:space="0"/>
                  </w:tcBorders>
                  <w:shd w:val="clear" w:color="auto" w:fill="auto"/>
                  <w:vAlign w:val="center"/>
                </w:tcPr>
                <w:p w14:paraId="011DF554">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55.6</w:t>
                  </w:r>
                </w:p>
              </w:tc>
              <w:tc>
                <w:tcPr>
                  <w:tcW w:w="914" w:type="dxa"/>
                  <w:tcBorders>
                    <w:top w:val="single" w:color="auto" w:sz="4" w:space="0"/>
                    <w:left w:val="nil"/>
                    <w:bottom w:val="single" w:color="auto" w:sz="4" w:space="0"/>
                    <w:right w:val="single" w:color="auto" w:sz="4" w:space="0"/>
                  </w:tcBorders>
                  <w:shd w:val="clear" w:color="auto" w:fill="auto"/>
                  <w:vAlign w:val="center"/>
                </w:tcPr>
                <w:p w14:paraId="4F475BA7">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rPr>
                  </w:pPr>
                  <w:r>
                    <w:rPr>
                      <w:rFonts w:hint="eastAsia" w:ascii="Times New Roman" w:hAnsi="Times New Roman" w:cs="Times New Roman"/>
                      <w:kern w:val="2"/>
                      <w:sz w:val="21"/>
                      <w:szCs w:val="21"/>
                      <w:lang w:val="en-US" w:eastAsia="zh-CN" w:bidi="ar"/>
                    </w:rPr>
                    <w:t>52.4</w:t>
                  </w:r>
                </w:p>
              </w:tc>
              <w:tc>
                <w:tcPr>
                  <w:tcW w:w="1218" w:type="dxa"/>
                  <w:tcBorders>
                    <w:top w:val="single" w:color="auto" w:sz="4" w:space="0"/>
                    <w:left w:val="nil"/>
                    <w:bottom w:val="single" w:color="auto" w:sz="4" w:space="0"/>
                    <w:right w:val="single" w:color="auto" w:sz="4" w:space="0"/>
                  </w:tcBorders>
                  <w:shd w:val="clear" w:color="auto" w:fill="auto"/>
                  <w:vAlign w:val="center"/>
                </w:tcPr>
                <w:p w14:paraId="6A97580E">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达标</w:t>
                  </w:r>
                </w:p>
              </w:tc>
              <w:tc>
                <w:tcPr>
                  <w:tcW w:w="1025" w:type="dxa"/>
                  <w:tcBorders>
                    <w:top w:val="single" w:color="auto" w:sz="4" w:space="0"/>
                    <w:left w:val="nil"/>
                    <w:bottom w:val="single" w:color="auto" w:sz="4" w:space="0"/>
                    <w:right w:val="single" w:color="auto" w:sz="4" w:space="0"/>
                  </w:tcBorders>
                  <w:shd w:val="clear" w:color="auto" w:fill="auto"/>
                  <w:vAlign w:val="center"/>
                </w:tcPr>
                <w:p w14:paraId="0B5B5117">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达标</w:t>
                  </w:r>
                </w:p>
              </w:tc>
            </w:tr>
            <w:tr w14:paraId="3370D1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vMerge w:val="continue"/>
                  <w:tcBorders>
                    <w:left w:val="single" w:color="auto" w:sz="4" w:space="0"/>
                    <w:right w:val="single" w:color="auto" w:sz="4" w:space="0"/>
                  </w:tcBorders>
                  <w:shd w:val="clear" w:color="auto" w:fill="auto"/>
                  <w:vAlign w:val="center"/>
                </w:tcPr>
                <w:p w14:paraId="7BA18454">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912" w:type="dxa"/>
                  <w:vMerge w:val="restart"/>
                  <w:tcBorders>
                    <w:top w:val="single" w:color="auto" w:sz="4" w:space="0"/>
                    <w:left w:val="nil"/>
                    <w:right w:val="single" w:color="auto" w:sz="4" w:space="0"/>
                  </w:tcBorders>
                  <w:shd w:val="clear" w:color="auto" w:fill="auto"/>
                  <w:vAlign w:val="center"/>
                </w:tcPr>
                <w:p w14:paraId="0A7421DD">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2#厂房</w:t>
                  </w:r>
                </w:p>
              </w:tc>
              <w:tc>
                <w:tcPr>
                  <w:tcW w:w="1370" w:type="dxa"/>
                  <w:tcBorders>
                    <w:top w:val="single" w:color="auto" w:sz="4" w:space="0"/>
                    <w:left w:val="nil"/>
                    <w:bottom w:val="single" w:color="auto" w:sz="4" w:space="0"/>
                    <w:right w:val="single" w:color="auto" w:sz="4" w:space="0"/>
                  </w:tcBorders>
                  <w:shd w:val="clear" w:color="auto" w:fill="auto"/>
                  <w:vAlign w:val="center"/>
                </w:tcPr>
                <w:p w14:paraId="59AEE0C1">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kern w:val="2"/>
                      <w:sz w:val="21"/>
                      <w:szCs w:val="21"/>
                      <w:lang w:val="en-US" w:eastAsia="zh-CN" w:bidi="ar"/>
                    </w:rPr>
                  </w:pPr>
                  <w:r>
                    <w:rPr>
                      <w:rFonts w:hint="default" w:ascii="Times New Roman" w:hAnsi="Times New Roman" w:eastAsia="宋体" w:cs="Times New Roman"/>
                      <w:kern w:val="2"/>
                      <w:sz w:val="21"/>
                      <w:szCs w:val="21"/>
                      <w:lang w:val="en-US" w:eastAsia="zh-CN" w:bidi="ar"/>
                    </w:rPr>
                    <w:t>东侧</w:t>
                  </w:r>
                </w:p>
              </w:tc>
              <w:tc>
                <w:tcPr>
                  <w:tcW w:w="912" w:type="dxa"/>
                  <w:tcBorders>
                    <w:top w:val="single" w:color="auto" w:sz="4" w:space="0"/>
                    <w:left w:val="nil"/>
                    <w:bottom w:val="single" w:color="auto" w:sz="4" w:space="0"/>
                    <w:right w:val="single" w:color="auto" w:sz="4" w:space="0"/>
                  </w:tcBorders>
                  <w:shd w:val="clear" w:color="auto" w:fill="auto"/>
                  <w:vAlign w:val="center"/>
                </w:tcPr>
                <w:p w14:paraId="2E453E49">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36</w:t>
                  </w:r>
                </w:p>
              </w:tc>
              <w:tc>
                <w:tcPr>
                  <w:tcW w:w="761" w:type="dxa"/>
                  <w:tcBorders>
                    <w:top w:val="single" w:color="auto" w:sz="4" w:space="0"/>
                    <w:left w:val="nil"/>
                    <w:bottom w:val="single" w:color="auto" w:sz="4" w:space="0"/>
                    <w:right w:val="single" w:color="auto" w:sz="4" w:space="0"/>
                  </w:tcBorders>
                  <w:shd w:val="clear" w:color="auto" w:fill="auto"/>
                  <w:vAlign w:val="center"/>
                </w:tcPr>
                <w:p w14:paraId="42C58B66">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54.4</w:t>
                  </w:r>
                </w:p>
              </w:tc>
              <w:tc>
                <w:tcPr>
                  <w:tcW w:w="762" w:type="dxa"/>
                  <w:tcBorders>
                    <w:top w:val="single" w:color="auto" w:sz="4" w:space="0"/>
                    <w:left w:val="nil"/>
                    <w:bottom w:val="single" w:color="auto" w:sz="4" w:space="0"/>
                    <w:right w:val="single" w:color="auto" w:sz="4" w:space="0"/>
                  </w:tcBorders>
                  <w:shd w:val="clear" w:color="auto" w:fill="auto"/>
                  <w:vAlign w:val="center"/>
                </w:tcPr>
                <w:p w14:paraId="1E8B8DB6">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eastAsia="宋体" w:cs="Times New Roman"/>
                      <w:kern w:val="2"/>
                      <w:sz w:val="21"/>
                      <w:szCs w:val="21"/>
                      <w:lang w:val="en-US" w:eastAsia="zh-CN" w:bidi="ar"/>
                    </w:rPr>
                    <w:t>43.</w:t>
                  </w:r>
                  <w:r>
                    <w:rPr>
                      <w:rFonts w:hint="eastAsia" w:ascii="Times New Roman" w:hAnsi="Times New Roman" w:cs="Times New Roman"/>
                      <w:kern w:val="2"/>
                      <w:sz w:val="21"/>
                      <w:szCs w:val="21"/>
                      <w:lang w:val="en-US" w:eastAsia="zh-CN" w:bidi="ar"/>
                    </w:rPr>
                    <w:t>6</w:t>
                  </w:r>
                </w:p>
              </w:tc>
              <w:tc>
                <w:tcPr>
                  <w:tcW w:w="912" w:type="dxa"/>
                  <w:tcBorders>
                    <w:top w:val="single" w:color="auto" w:sz="4" w:space="0"/>
                    <w:left w:val="nil"/>
                    <w:bottom w:val="single" w:color="auto" w:sz="4" w:space="0"/>
                    <w:right w:val="single" w:color="auto" w:sz="4" w:space="0"/>
                  </w:tcBorders>
                  <w:shd w:val="clear" w:color="auto" w:fill="auto"/>
                  <w:vAlign w:val="center"/>
                </w:tcPr>
                <w:p w14:paraId="5B4A39D1">
                  <w:pPr>
                    <w:pStyle w:val="20"/>
                    <w:keepNext w:val="0"/>
                    <w:keepLines w:val="0"/>
                    <w:widowControl w:val="0"/>
                    <w:suppressLineNumbers w:val="0"/>
                    <w:spacing w:before="0" w:beforeAutospacing="0" w:after="0" w:afterAutospacing="0" w:line="360" w:lineRule="auto"/>
                    <w:ind w:left="0" w:right="0" w:firstLine="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54.5</w:t>
                  </w:r>
                </w:p>
              </w:tc>
              <w:tc>
                <w:tcPr>
                  <w:tcW w:w="914" w:type="dxa"/>
                  <w:tcBorders>
                    <w:top w:val="single" w:color="auto" w:sz="4" w:space="0"/>
                    <w:left w:val="nil"/>
                    <w:bottom w:val="single" w:color="auto" w:sz="4" w:space="0"/>
                    <w:right w:val="single" w:color="auto" w:sz="4" w:space="0"/>
                  </w:tcBorders>
                  <w:shd w:val="clear" w:color="auto" w:fill="auto"/>
                  <w:vAlign w:val="center"/>
                </w:tcPr>
                <w:p w14:paraId="66DB1148">
                  <w:pPr>
                    <w:pStyle w:val="20"/>
                    <w:keepNext w:val="0"/>
                    <w:keepLines w:val="0"/>
                    <w:widowControl w:val="0"/>
                    <w:suppressLineNumbers w:val="0"/>
                    <w:spacing w:before="0" w:beforeAutospacing="0" w:after="0" w:afterAutospacing="0" w:line="360" w:lineRule="auto"/>
                    <w:ind w:left="0" w:right="0" w:firstLine="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44.3</w:t>
                  </w:r>
                </w:p>
              </w:tc>
              <w:tc>
                <w:tcPr>
                  <w:tcW w:w="1218" w:type="dxa"/>
                  <w:tcBorders>
                    <w:top w:val="single" w:color="auto" w:sz="4" w:space="0"/>
                    <w:left w:val="nil"/>
                    <w:bottom w:val="single" w:color="auto" w:sz="4" w:space="0"/>
                    <w:right w:val="single" w:color="auto" w:sz="4" w:space="0"/>
                  </w:tcBorders>
                  <w:shd w:val="clear" w:color="auto" w:fill="auto"/>
                  <w:vAlign w:val="center"/>
                </w:tcPr>
                <w:p w14:paraId="04175DF1">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kern w:val="2"/>
                      <w:sz w:val="21"/>
                      <w:szCs w:val="21"/>
                      <w:lang w:val="en-US" w:eastAsia="zh-CN" w:bidi="ar"/>
                    </w:rPr>
                  </w:pPr>
                  <w:r>
                    <w:rPr>
                      <w:rFonts w:hint="default" w:ascii="Times New Roman" w:hAnsi="Times New Roman" w:eastAsia="宋体" w:cs="Times New Roman"/>
                      <w:kern w:val="2"/>
                      <w:sz w:val="21"/>
                      <w:szCs w:val="21"/>
                      <w:lang w:val="en-US" w:eastAsia="zh-CN" w:bidi="ar"/>
                    </w:rPr>
                    <w:t>达标</w:t>
                  </w:r>
                </w:p>
              </w:tc>
              <w:tc>
                <w:tcPr>
                  <w:tcW w:w="1025" w:type="dxa"/>
                  <w:tcBorders>
                    <w:top w:val="single" w:color="auto" w:sz="4" w:space="0"/>
                    <w:left w:val="nil"/>
                    <w:bottom w:val="single" w:color="auto" w:sz="4" w:space="0"/>
                    <w:right w:val="single" w:color="auto" w:sz="4" w:space="0"/>
                  </w:tcBorders>
                  <w:shd w:val="clear" w:color="auto" w:fill="auto"/>
                  <w:vAlign w:val="center"/>
                </w:tcPr>
                <w:p w14:paraId="15207751">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kern w:val="2"/>
                      <w:sz w:val="21"/>
                      <w:szCs w:val="21"/>
                      <w:lang w:val="en-US" w:eastAsia="zh-CN" w:bidi="ar"/>
                    </w:rPr>
                  </w:pPr>
                  <w:r>
                    <w:rPr>
                      <w:rFonts w:hint="default" w:ascii="Times New Roman" w:hAnsi="Times New Roman" w:eastAsia="宋体" w:cs="Times New Roman"/>
                      <w:kern w:val="2"/>
                      <w:sz w:val="21"/>
                      <w:szCs w:val="21"/>
                      <w:lang w:val="en-US" w:eastAsia="zh-CN" w:bidi="ar"/>
                    </w:rPr>
                    <w:t>达标</w:t>
                  </w:r>
                </w:p>
              </w:tc>
            </w:tr>
            <w:tr w14:paraId="53F4B1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vMerge w:val="continue"/>
                  <w:tcBorders>
                    <w:left w:val="single" w:color="auto" w:sz="4" w:space="0"/>
                    <w:right w:val="single" w:color="auto" w:sz="4" w:space="0"/>
                  </w:tcBorders>
                  <w:shd w:val="clear" w:color="auto" w:fill="auto"/>
                  <w:vAlign w:val="center"/>
                </w:tcPr>
                <w:p w14:paraId="76A793B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912" w:type="dxa"/>
                  <w:vMerge w:val="continue"/>
                  <w:tcBorders>
                    <w:left w:val="nil"/>
                    <w:right w:val="single" w:color="auto" w:sz="4" w:space="0"/>
                  </w:tcBorders>
                  <w:shd w:val="clear" w:color="auto" w:fill="auto"/>
                  <w:vAlign w:val="center"/>
                </w:tcPr>
                <w:p w14:paraId="29F4BA6A">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eastAsia="zh-CN" w:bidi="ar"/>
                    </w:rPr>
                  </w:pPr>
                </w:p>
              </w:tc>
              <w:tc>
                <w:tcPr>
                  <w:tcW w:w="1370" w:type="dxa"/>
                  <w:tcBorders>
                    <w:top w:val="single" w:color="auto" w:sz="4" w:space="0"/>
                    <w:left w:val="nil"/>
                    <w:bottom w:val="single" w:color="auto" w:sz="4" w:space="0"/>
                    <w:right w:val="single" w:color="auto" w:sz="4" w:space="0"/>
                  </w:tcBorders>
                  <w:shd w:val="clear" w:color="auto" w:fill="auto"/>
                  <w:vAlign w:val="center"/>
                </w:tcPr>
                <w:p w14:paraId="38747C5A">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kern w:val="2"/>
                      <w:sz w:val="21"/>
                      <w:szCs w:val="21"/>
                      <w:lang w:val="en-US" w:eastAsia="zh-CN" w:bidi="ar"/>
                    </w:rPr>
                  </w:pPr>
                  <w:r>
                    <w:rPr>
                      <w:rFonts w:hint="default" w:ascii="Times New Roman" w:hAnsi="Times New Roman" w:eastAsia="宋体" w:cs="Times New Roman"/>
                      <w:kern w:val="2"/>
                      <w:sz w:val="21"/>
                      <w:szCs w:val="21"/>
                      <w:lang w:val="en-US" w:eastAsia="zh-CN" w:bidi="ar"/>
                    </w:rPr>
                    <w:t>西侧</w:t>
                  </w:r>
                </w:p>
              </w:tc>
              <w:tc>
                <w:tcPr>
                  <w:tcW w:w="912" w:type="dxa"/>
                  <w:tcBorders>
                    <w:top w:val="single" w:color="auto" w:sz="4" w:space="0"/>
                    <w:left w:val="nil"/>
                    <w:bottom w:val="single" w:color="auto" w:sz="4" w:space="0"/>
                    <w:right w:val="single" w:color="auto" w:sz="4" w:space="0"/>
                  </w:tcBorders>
                  <w:shd w:val="clear" w:color="auto" w:fill="auto"/>
                  <w:vAlign w:val="center"/>
                </w:tcPr>
                <w:p w14:paraId="7361A57A">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57.7</w:t>
                  </w:r>
                </w:p>
              </w:tc>
              <w:tc>
                <w:tcPr>
                  <w:tcW w:w="761" w:type="dxa"/>
                  <w:tcBorders>
                    <w:top w:val="single" w:color="auto" w:sz="4" w:space="0"/>
                    <w:left w:val="nil"/>
                    <w:bottom w:val="single" w:color="auto" w:sz="4" w:space="0"/>
                    <w:right w:val="single" w:color="auto" w:sz="4" w:space="0"/>
                  </w:tcBorders>
                  <w:shd w:val="clear" w:color="auto" w:fill="auto"/>
                  <w:vAlign w:val="center"/>
                </w:tcPr>
                <w:p w14:paraId="7CEEA90F">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49.7</w:t>
                  </w:r>
                </w:p>
              </w:tc>
              <w:tc>
                <w:tcPr>
                  <w:tcW w:w="762" w:type="dxa"/>
                  <w:tcBorders>
                    <w:top w:val="single" w:color="auto" w:sz="4" w:space="0"/>
                    <w:left w:val="nil"/>
                    <w:bottom w:val="single" w:color="auto" w:sz="4" w:space="0"/>
                    <w:right w:val="single" w:color="auto" w:sz="4" w:space="0"/>
                  </w:tcBorders>
                  <w:shd w:val="clear" w:color="auto" w:fill="auto"/>
                  <w:vAlign w:val="center"/>
                </w:tcPr>
                <w:p w14:paraId="646F5297">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eastAsia="宋体" w:cs="Times New Roman"/>
                      <w:kern w:val="2"/>
                      <w:sz w:val="21"/>
                      <w:szCs w:val="21"/>
                      <w:lang w:val="en-US" w:eastAsia="zh-CN" w:bidi="ar"/>
                    </w:rPr>
                    <w:t>4</w:t>
                  </w:r>
                  <w:r>
                    <w:rPr>
                      <w:rFonts w:hint="eastAsia" w:ascii="Times New Roman" w:hAnsi="Times New Roman" w:cs="Times New Roman"/>
                      <w:kern w:val="2"/>
                      <w:sz w:val="21"/>
                      <w:szCs w:val="21"/>
                      <w:lang w:val="en-US" w:eastAsia="zh-CN" w:bidi="ar"/>
                    </w:rPr>
                    <w:t>2</w:t>
                  </w:r>
                  <w:r>
                    <w:rPr>
                      <w:rFonts w:hint="eastAsia" w:ascii="Times New Roman" w:hAnsi="Times New Roman" w:eastAsia="宋体" w:cs="Times New Roman"/>
                      <w:kern w:val="2"/>
                      <w:sz w:val="21"/>
                      <w:szCs w:val="21"/>
                      <w:lang w:val="en-US" w:eastAsia="zh-CN" w:bidi="ar"/>
                    </w:rPr>
                    <w:t>.7</w:t>
                  </w:r>
                </w:p>
              </w:tc>
              <w:tc>
                <w:tcPr>
                  <w:tcW w:w="912" w:type="dxa"/>
                  <w:tcBorders>
                    <w:top w:val="single" w:color="auto" w:sz="4" w:space="0"/>
                    <w:left w:val="nil"/>
                    <w:bottom w:val="single" w:color="auto" w:sz="4" w:space="0"/>
                    <w:right w:val="single" w:color="auto" w:sz="4" w:space="0"/>
                  </w:tcBorders>
                  <w:shd w:val="clear" w:color="auto" w:fill="auto"/>
                  <w:vAlign w:val="center"/>
                </w:tcPr>
                <w:p w14:paraId="7626778B">
                  <w:pPr>
                    <w:pStyle w:val="20"/>
                    <w:keepNext w:val="0"/>
                    <w:keepLines w:val="0"/>
                    <w:widowControl w:val="0"/>
                    <w:suppressLineNumbers w:val="0"/>
                    <w:spacing w:before="0" w:beforeAutospacing="0" w:after="0" w:afterAutospacing="0" w:line="360" w:lineRule="auto"/>
                    <w:ind w:left="0" w:right="0" w:firstLine="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58</w:t>
                  </w:r>
                </w:p>
              </w:tc>
              <w:tc>
                <w:tcPr>
                  <w:tcW w:w="914" w:type="dxa"/>
                  <w:tcBorders>
                    <w:top w:val="single" w:color="auto" w:sz="4" w:space="0"/>
                    <w:left w:val="nil"/>
                    <w:bottom w:val="single" w:color="auto" w:sz="4" w:space="0"/>
                    <w:right w:val="single" w:color="auto" w:sz="4" w:space="0"/>
                  </w:tcBorders>
                  <w:shd w:val="clear" w:color="auto" w:fill="auto"/>
                  <w:vAlign w:val="center"/>
                </w:tcPr>
                <w:p w14:paraId="3D055C29">
                  <w:pPr>
                    <w:pStyle w:val="20"/>
                    <w:keepNext w:val="0"/>
                    <w:keepLines w:val="0"/>
                    <w:widowControl w:val="0"/>
                    <w:suppressLineNumbers w:val="0"/>
                    <w:spacing w:before="0" w:beforeAutospacing="0" w:after="0" w:afterAutospacing="0" w:line="360" w:lineRule="auto"/>
                    <w:ind w:left="0" w:right="0" w:firstLine="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57.7</w:t>
                  </w:r>
                </w:p>
              </w:tc>
              <w:tc>
                <w:tcPr>
                  <w:tcW w:w="1218" w:type="dxa"/>
                  <w:tcBorders>
                    <w:top w:val="single" w:color="auto" w:sz="4" w:space="0"/>
                    <w:left w:val="nil"/>
                    <w:bottom w:val="single" w:color="auto" w:sz="4" w:space="0"/>
                    <w:right w:val="single" w:color="auto" w:sz="4" w:space="0"/>
                  </w:tcBorders>
                  <w:shd w:val="clear" w:color="auto" w:fill="auto"/>
                  <w:vAlign w:val="center"/>
                </w:tcPr>
                <w:p w14:paraId="462B4A7C">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kern w:val="2"/>
                      <w:sz w:val="21"/>
                      <w:szCs w:val="21"/>
                      <w:lang w:val="en-US" w:eastAsia="zh-CN" w:bidi="ar"/>
                    </w:rPr>
                  </w:pPr>
                  <w:r>
                    <w:rPr>
                      <w:rFonts w:hint="default" w:ascii="Times New Roman" w:hAnsi="Times New Roman" w:eastAsia="宋体" w:cs="Times New Roman"/>
                      <w:kern w:val="2"/>
                      <w:sz w:val="21"/>
                      <w:szCs w:val="21"/>
                      <w:lang w:val="en-US" w:eastAsia="zh-CN" w:bidi="ar"/>
                    </w:rPr>
                    <w:t>达标</w:t>
                  </w:r>
                </w:p>
              </w:tc>
              <w:tc>
                <w:tcPr>
                  <w:tcW w:w="1025" w:type="dxa"/>
                  <w:tcBorders>
                    <w:top w:val="single" w:color="auto" w:sz="4" w:space="0"/>
                    <w:left w:val="nil"/>
                    <w:bottom w:val="single" w:color="auto" w:sz="4" w:space="0"/>
                    <w:right w:val="single" w:color="auto" w:sz="4" w:space="0"/>
                  </w:tcBorders>
                  <w:shd w:val="clear" w:color="auto" w:fill="auto"/>
                  <w:vAlign w:val="center"/>
                </w:tcPr>
                <w:p w14:paraId="7A6B3ADC">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kern w:val="2"/>
                      <w:sz w:val="21"/>
                      <w:szCs w:val="21"/>
                      <w:lang w:val="en-US" w:eastAsia="zh-CN" w:bidi="ar"/>
                    </w:rPr>
                  </w:pPr>
                  <w:r>
                    <w:rPr>
                      <w:rFonts w:hint="default" w:ascii="Times New Roman" w:hAnsi="Times New Roman" w:eastAsia="宋体" w:cs="Times New Roman"/>
                      <w:kern w:val="2"/>
                      <w:sz w:val="21"/>
                      <w:szCs w:val="21"/>
                      <w:lang w:val="en-US" w:eastAsia="zh-CN" w:bidi="ar"/>
                    </w:rPr>
                    <w:t>超标</w:t>
                  </w:r>
                </w:p>
              </w:tc>
            </w:tr>
            <w:tr w14:paraId="2F7677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vMerge w:val="continue"/>
                  <w:tcBorders>
                    <w:left w:val="single" w:color="auto" w:sz="4" w:space="0"/>
                    <w:right w:val="single" w:color="auto" w:sz="4" w:space="0"/>
                  </w:tcBorders>
                  <w:shd w:val="clear" w:color="auto" w:fill="auto"/>
                  <w:vAlign w:val="center"/>
                </w:tcPr>
                <w:p w14:paraId="6130710F">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912" w:type="dxa"/>
                  <w:vMerge w:val="continue"/>
                  <w:tcBorders>
                    <w:left w:val="nil"/>
                    <w:right w:val="single" w:color="auto" w:sz="4" w:space="0"/>
                  </w:tcBorders>
                  <w:shd w:val="clear" w:color="auto" w:fill="auto"/>
                  <w:vAlign w:val="center"/>
                </w:tcPr>
                <w:p w14:paraId="43C427C5">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eastAsia="zh-CN" w:bidi="ar"/>
                    </w:rPr>
                  </w:pPr>
                </w:p>
              </w:tc>
              <w:tc>
                <w:tcPr>
                  <w:tcW w:w="1370" w:type="dxa"/>
                  <w:tcBorders>
                    <w:top w:val="single" w:color="auto" w:sz="4" w:space="0"/>
                    <w:left w:val="nil"/>
                    <w:bottom w:val="single" w:color="auto" w:sz="4" w:space="0"/>
                    <w:right w:val="single" w:color="auto" w:sz="4" w:space="0"/>
                  </w:tcBorders>
                  <w:shd w:val="clear" w:color="auto" w:fill="auto"/>
                  <w:vAlign w:val="center"/>
                </w:tcPr>
                <w:p w14:paraId="708965C9">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kern w:val="2"/>
                      <w:sz w:val="21"/>
                      <w:szCs w:val="21"/>
                      <w:lang w:val="en-US" w:eastAsia="zh-CN" w:bidi="ar"/>
                    </w:rPr>
                  </w:pPr>
                  <w:r>
                    <w:rPr>
                      <w:rFonts w:hint="default" w:ascii="Times New Roman" w:hAnsi="Times New Roman" w:eastAsia="宋体" w:cs="Times New Roman"/>
                      <w:kern w:val="2"/>
                      <w:sz w:val="21"/>
                      <w:szCs w:val="21"/>
                      <w:lang w:val="en-US" w:eastAsia="zh-CN" w:bidi="ar"/>
                    </w:rPr>
                    <w:t>南侧</w:t>
                  </w:r>
                </w:p>
              </w:tc>
              <w:tc>
                <w:tcPr>
                  <w:tcW w:w="912" w:type="dxa"/>
                  <w:tcBorders>
                    <w:top w:val="single" w:color="auto" w:sz="4" w:space="0"/>
                    <w:left w:val="nil"/>
                    <w:bottom w:val="single" w:color="auto" w:sz="4" w:space="0"/>
                    <w:right w:val="single" w:color="auto" w:sz="4" w:space="0"/>
                  </w:tcBorders>
                  <w:shd w:val="clear" w:color="auto" w:fill="auto"/>
                  <w:vAlign w:val="center"/>
                </w:tcPr>
                <w:p w14:paraId="5ABBC63F">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57.7</w:t>
                  </w:r>
                </w:p>
              </w:tc>
              <w:tc>
                <w:tcPr>
                  <w:tcW w:w="761" w:type="dxa"/>
                  <w:tcBorders>
                    <w:top w:val="single" w:color="auto" w:sz="4" w:space="0"/>
                    <w:left w:val="nil"/>
                    <w:bottom w:val="single" w:color="auto" w:sz="4" w:space="0"/>
                    <w:right w:val="single" w:color="auto" w:sz="4" w:space="0"/>
                  </w:tcBorders>
                  <w:shd w:val="clear" w:color="auto" w:fill="auto"/>
                  <w:vAlign w:val="center"/>
                </w:tcPr>
                <w:p w14:paraId="6F4598BB">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47.4</w:t>
                  </w:r>
                </w:p>
              </w:tc>
              <w:tc>
                <w:tcPr>
                  <w:tcW w:w="762" w:type="dxa"/>
                  <w:tcBorders>
                    <w:top w:val="single" w:color="auto" w:sz="4" w:space="0"/>
                    <w:left w:val="nil"/>
                    <w:bottom w:val="single" w:color="auto" w:sz="4" w:space="0"/>
                    <w:right w:val="single" w:color="auto" w:sz="4" w:space="0"/>
                  </w:tcBorders>
                  <w:shd w:val="clear" w:color="auto" w:fill="auto"/>
                  <w:vAlign w:val="center"/>
                </w:tcPr>
                <w:p w14:paraId="569CC650">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42.4</w:t>
                  </w:r>
                </w:p>
              </w:tc>
              <w:tc>
                <w:tcPr>
                  <w:tcW w:w="912" w:type="dxa"/>
                  <w:tcBorders>
                    <w:top w:val="single" w:color="auto" w:sz="4" w:space="0"/>
                    <w:left w:val="nil"/>
                    <w:bottom w:val="single" w:color="auto" w:sz="4" w:space="0"/>
                    <w:right w:val="single" w:color="auto" w:sz="4" w:space="0"/>
                  </w:tcBorders>
                  <w:shd w:val="clear" w:color="auto" w:fill="auto"/>
                  <w:vAlign w:val="center"/>
                </w:tcPr>
                <w:p w14:paraId="30BBECEA">
                  <w:pPr>
                    <w:pStyle w:val="20"/>
                    <w:keepNext w:val="0"/>
                    <w:keepLines w:val="0"/>
                    <w:widowControl w:val="0"/>
                    <w:suppressLineNumbers w:val="0"/>
                    <w:spacing w:before="0" w:beforeAutospacing="0" w:after="0" w:afterAutospacing="0" w:line="360" w:lineRule="auto"/>
                    <w:ind w:left="0" w:right="0" w:firstLine="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58</w:t>
                  </w:r>
                </w:p>
              </w:tc>
              <w:tc>
                <w:tcPr>
                  <w:tcW w:w="914" w:type="dxa"/>
                  <w:tcBorders>
                    <w:top w:val="single" w:color="auto" w:sz="4" w:space="0"/>
                    <w:left w:val="nil"/>
                    <w:bottom w:val="single" w:color="auto" w:sz="4" w:space="0"/>
                    <w:right w:val="single" w:color="auto" w:sz="4" w:space="0"/>
                  </w:tcBorders>
                  <w:shd w:val="clear" w:color="auto" w:fill="auto"/>
                  <w:vAlign w:val="center"/>
                </w:tcPr>
                <w:p w14:paraId="7E6C6544">
                  <w:pPr>
                    <w:pStyle w:val="20"/>
                    <w:keepNext w:val="0"/>
                    <w:keepLines w:val="0"/>
                    <w:widowControl w:val="0"/>
                    <w:suppressLineNumbers w:val="0"/>
                    <w:spacing w:before="0" w:beforeAutospacing="0" w:after="0" w:afterAutospacing="0" w:line="360" w:lineRule="auto"/>
                    <w:ind w:left="0" w:right="0" w:firstLine="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57.7</w:t>
                  </w:r>
                </w:p>
              </w:tc>
              <w:tc>
                <w:tcPr>
                  <w:tcW w:w="1218" w:type="dxa"/>
                  <w:tcBorders>
                    <w:top w:val="single" w:color="auto" w:sz="4" w:space="0"/>
                    <w:left w:val="nil"/>
                    <w:bottom w:val="single" w:color="auto" w:sz="4" w:space="0"/>
                    <w:right w:val="single" w:color="auto" w:sz="4" w:space="0"/>
                  </w:tcBorders>
                  <w:shd w:val="clear" w:color="auto" w:fill="auto"/>
                  <w:vAlign w:val="center"/>
                </w:tcPr>
                <w:p w14:paraId="72F9E732">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kern w:val="2"/>
                      <w:sz w:val="21"/>
                      <w:szCs w:val="21"/>
                      <w:lang w:val="en-US" w:eastAsia="zh-CN" w:bidi="ar"/>
                    </w:rPr>
                  </w:pPr>
                  <w:r>
                    <w:rPr>
                      <w:rFonts w:hint="default" w:ascii="Times New Roman" w:hAnsi="Times New Roman" w:eastAsia="宋体" w:cs="Times New Roman"/>
                      <w:kern w:val="2"/>
                      <w:sz w:val="21"/>
                      <w:szCs w:val="21"/>
                      <w:lang w:val="en-US" w:eastAsia="zh-CN" w:bidi="ar"/>
                    </w:rPr>
                    <w:t>达标</w:t>
                  </w:r>
                </w:p>
              </w:tc>
              <w:tc>
                <w:tcPr>
                  <w:tcW w:w="1025" w:type="dxa"/>
                  <w:tcBorders>
                    <w:top w:val="single" w:color="auto" w:sz="4" w:space="0"/>
                    <w:left w:val="nil"/>
                    <w:bottom w:val="single" w:color="auto" w:sz="4" w:space="0"/>
                    <w:right w:val="single" w:color="auto" w:sz="4" w:space="0"/>
                  </w:tcBorders>
                  <w:shd w:val="clear" w:color="auto" w:fill="auto"/>
                  <w:vAlign w:val="center"/>
                </w:tcPr>
                <w:p w14:paraId="111622F6">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kern w:val="2"/>
                      <w:sz w:val="21"/>
                      <w:szCs w:val="21"/>
                      <w:lang w:val="en-US" w:eastAsia="zh-CN" w:bidi="ar"/>
                    </w:rPr>
                  </w:pPr>
                  <w:r>
                    <w:rPr>
                      <w:rFonts w:hint="default" w:ascii="Times New Roman" w:hAnsi="Times New Roman" w:eastAsia="宋体" w:cs="Times New Roman"/>
                      <w:kern w:val="2"/>
                      <w:sz w:val="21"/>
                      <w:szCs w:val="21"/>
                      <w:lang w:val="en-US" w:eastAsia="zh-CN" w:bidi="ar"/>
                    </w:rPr>
                    <w:t>超标</w:t>
                  </w:r>
                </w:p>
              </w:tc>
            </w:tr>
            <w:tr w14:paraId="3F3E65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2" w:type="dxa"/>
                  <w:vMerge w:val="continue"/>
                  <w:tcBorders>
                    <w:left w:val="single" w:color="auto" w:sz="4" w:space="0"/>
                    <w:bottom w:val="single" w:color="auto" w:sz="4" w:space="0"/>
                    <w:right w:val="single" w:color="auto" w:sz="4" w:space="0"/>
                  </w:tcBorders>
                  <w:shd w:val="clear" w:color="auto" w:fill="auto"/>
                  <w:vAlign w:val="center"/>
                </w:tcPr>
                <w:p w14:paraId="29482DFB">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912" w:type="dxa"/>
                  <w:vMerge w:val="continue"/>
                  <w:tcBorders>
                    <w:left w:val="nil"/>
                    <w:bottom w:val="single" w:color="auto" w:sz="4" w:space="0"/>
                    <w:right w:val="single" w:color="auto" w:sz="4" w:space="0"/>
                  </w:tcBorders>
                  <w:shd w:val="clear" w:color="auto" w:fill="auto"/>
                  <w:vAlign w:val="center"/>
                </w:tcPr>
                <w:p w14:paraId="5242EEB9">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eastAsia="zh-CN" w:bidi="ar"/>
                    </w:rPr>
                  </w:pPr>
                </w:p>
              </w:tc>
              <w:tc>
                <w:tcPr>
                  <w:tcW w:w="1370" w:type="dxa"/>
                  <w:tcBorders>
                    <w:top w:val="single" w:color="auto" w:sz="4" w:space="0"/>
                    <w:left w:val="nil"/>
                    <w:bottom w:val="single" w:color="auto" w:sz="4" w:space="0"/>
                    <w:right w:val="single" w:color="auto" w:sz="4" w:space="0"/>
                  </w:tcBorders>
                  <w:shd w:val="clear" w:color="auto" w:fill="auto"/>
                  <w:vAlign w:val="center"/>
                </w:tcPr>
                <w:p w14:paraId="7B16907A">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kern w:val="2"/>
                      <w:sz w:val="21"/>
                      <w:szCs w:val="21"/>
                      <w:lang w:val="en-US" w:eastAsia="zh-CN" w:bidi="ar"/>
                    </w:rPr>
                  </w:pPr>
                  <w:r>
                    <w:rPr>
                      <w:rFonts w:hint="default" w:ascii="Times New Roman" w:hAnsi="Times New Roman" w:eastAsia="宋体" w:cs="Times New Roman"/>
                      <w:kern w:val="2"/>
                      <w:sz w:val="21"/>
                      <w:szCs w:val="21"/>
                      <w:lang w:val="en-US" w:eastAsia="zh-CN" w:bidi="ar"/>
                    </w:rPr>
                    <w:t>北侧</w:t>
                  </w:r>
                </w:p>
              </w:tc>
              <w:tc>
                <w:tcPr>
                  <w:tcW w:w="912" w:type="dxa"/>
                  <w:tcBorders>
                    <w:top w:val="single" w:color="auto" w:sz="4" w:space="0"/>
                    <w:left w:val="nil"/>
                    <w:bottom w:val="single" w:color="auto" w:sz="4" w:space="0"/>
                    <w:right w:val="single" w:color="auto" w:sz="4" w:space="0"/>
                  </w:tcBorders>
                  <w:shd w:val="clear" w:color="auto" w:fill="auto"/>
                  <w:vAlign w:val="center"/>
                </w:tcPr>
                <w:p w14:paraId="14A21208">
                  <w:pPr>
                    <w:pStyle w:val="20"/>
                    <w:keepNext w:val="0"/>
                    <w:keepLines w:val="0"/>
                    <w:widowControl w:val="0"/>
                    <w:suppressLineNumbers w:val="0"/>
                    <w:spacing w:before="0" w:beforeAutospacing="0" w:after="0" w:afterAutospacing="0" w:line="360" w:lineRule="auto"/>
                    <w:ind w:left="0" w:right="0" w:firstLine="0"/>
                    <w:jc w:val="center"/>
                    <w:rPr>
                      <w:rFonts w:hint="default"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54</w:t>
                  </w:r>
                </w:p>
              </w:tc>
              <w:tc>
                <w:tcPr>
                  <w:tcW w:w="761" w:type="dxa"/>
                  <w:tcBorders>
                    <w:top w:val="single" w:color="auto" w:sz="4" w:space="0"/>
                    <w:left w:val="nil"/>
                    <w:bottom w:val="single" w:color="auto" w:sz="4" w:space="0"/>
                    <w:right w:val="single" w:color="auto" w:sz="4" w:space="0"/>
                  </w:tcBorders>
                  <w:shd w:val="clear" w:color="auto" w:fill="auto"/>
                  <w:vAlign w:val="center"/>
                </w:tcPr>
                <w:p w14:paraId="74C0C3B0">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53.4</w:t>
                  </w:r>
                </w:p>
              </w:tc>
              <w:tc>
                <w:tcPr>
                  <w:tcW w:w="762" w:type="dxa"/>
                  <w:tcBorders>
                    <w:top w:val="single" w:color="auto" w:sz="4" w:space="0"/>
                    <w:left w:val="nil"/>
                    <w:bottom w:val="single" w:color="auto" w:sz="4" w:space="0"/>
                    <w:right w:val="single" w:color="auto" w:sz="4" w:space="0"/>
                  </w:tcBorders>
                  <w:shd w:val="clear" w:color="auto" w:fill="auto"/>
                  <w:vAlign w:val="center"/>
                </w:tcPr>
                <w:p w14:paraId="7AA4C340">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44.5</w:t>
                  </w:r>
                </w:p>
              </w:tc>
              <w:tc>
                <w:tcPr>
                  <w:tcW w:w="912" w:type="dxa"/>
                  <w:tcBorders>
                    <w:top w:val="single" w:color="auto" w:sz="4" w:space="0"/>
                    <w:left w:val="nil"/>
                    <w:bottom w:val="single" w:color="auto" w:sz="4" w:space="0"/>
                    <w:right w:val="single" w:color="auto" w:sz="4" w:space="0"/>
                  </w:tcBorders>
                  <w:shd w:val="clear" w:color="auto" w:fill="auto"/>
                  <w:vAlign w:val="center"/>
                </w:tcPr>
                <w:p w14:paraId="47EF89CF">
                  <w:pPr>
                    <w:pStyle w:val="20"/>
                    <w:keepNext w:val="0"/>
                    <w:keepLines w:val="0"/>
                    <w:widowControl w:val="0"/>
                    <w:suppressLineNumbers w:val="0"/>
                    <w:spacing w:before="0" w:beforeAutospacing="0" w:after="0" w:afterAutospacing="0" w:line="360" w:lineRule="auto"/>
                    <w:ind w:left="0" w:right="0" w:firstLine="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56.7</w:t>
                  </w:r>
                </w:p>
              </w:tc>
              <w:tc>
                <w:tcPr>
                  <w:tcW w:w="914" w:type="dxa"/>
                  <w:tcBorders>
                    <w:top w:val="single" w:color="auto" w:sz="4" w:space="0"/>
                    <w:left w:val="nil"/>
                    <w:bottom w:val="single" w:color="auto" w:sz="4" w:space="0"/>
                    <w:right w:val="single" w:color="auto" w:sz="4" w:space="0"/>
                  </w:tcBorders>
                  <w:shd w:val="clear" w:color="auto" w:fill="auto"/>
                  <w:vAlign w:val="center"/>
                </w:tcPr>
                <w:p w14:paraId="4C02C287">
                  <w:pPr>
                    <w:pStyle w:val="20"/>
                    <w:keepNext w:val="0"/>
                    <w:keepLines w:val="0"/>
                    <w:widowControl w:val="0"/>
                    <w:suppressLineNumbers w:val="0"/>
                    <w:spacing w:before="0" w:beforeAutospacing="0" w:after="0" w:afterAutospacing="0" w:line="360" w:lineRule="auto"/>
                    <w:ind w:left="0" w:right="0" w:firstLine="0"/>
                    <w:jc w:val="center"/>
                    <w:rPr>
                      <w:rFonts w:hint="eastAsia" w:ascii="Times New Roman" w:hAnsi="Times New Roman" w:eastAsia="宋体" w:cs="Times New Roman"/>
                      <w:kern w:val="2"/>
                      <w:sz w:val="21"/>
                      <w:szCs w:val="21"/>
                      <w:lang w:val="en-US" w:eastAsia="zh-CN" w:bidi="ar"/>
                    </w:rPr>
                  </w:pPr>
                  <w:r>
                    <w:rPr>
                      <w:rFonts w:hint="eastAsia" w:ascii="Times New Roman" w:hAnsi="Times New Roman" w:cs="Times New Roman"/>
                      <w:kern w:val="2"/>
                      <w:sz w:val="21"/>
                      <w:szCs w:val="21"/>
                      <w:lang w:val="en-US" w:eastAsia="zh-CN" w:bidi="ar"/>
                    </w:rPr>
                    <w:t>54.4</w:t>
                  </w:r>
                </w:p>
              </w:tc>
              <w:tc>
                <w:tcPr>
                  <w:tcW w:w="1218" w:type="dxa"/>
                  <w:tcBorders>
                    <w:top w:val="single" w:color="auto" w:sz="4" w:space="0"/>
                    <w:left w:val="nil"/>
                    <w:bottom w:val="single" w:color="auto" w:sz="4" w:space="0"/>
                    <w:right w:val="single" w:color="auto" w:sz="4" w:space="0"/>
                  </w:tcBorders>
                  <w:shd w:val="clear" w:color="auto" w:fill="auto"/>
                  <w:vAlign w:val="center"/>
                </w:tcPr>
                <w:p w14:paraId="3E78DE72">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kern w:val="2"/>
                      <w:sz w:val="21"/>
                      <w:szCs w:val="21"/>
                      <w:lang w:val="en-US" w:eastAsia="zh-CN" w:bidi="ar"/>
                    </w:rPr>
                  </w:pPr>
                  <w:r>
                    <w:rPr>
                      <w:rFonts w:hint="default" w:ascii="Times New Roman" w:hAnsi="Times New Roman" w:eastAsia="宋体" w:cs="Times New Roman"/>
                      <w:kern w:val="2"/>
                      <w:sz w:val="21"/>
                      <w:szCs w:val="21"/>
                      <w:lang w:val="en-US" w:eastAsia="zh-CN" w:bidi="ar"/>
                    </w:rPr>
                    <w:t>达标</w:t>
                  </w:r>
                </w:p>
              </w:tc>
              <w:tc>
                <w:tcPr>
                  <w:tcW w:w="1025" w:type="dxa"/>
                  <w:tcBorders>
                    <w:top w:val="single" w:color="auto" w:sz="4" w:space="0"/>
                    <w:left w:val="nil"/>
                    <w:bottom w:val="single" w:color="auto" w:sz="4" w:space="0"/>
                    <w:right w:val="single" w:color="auto" w:sz="4" w:space="0"/>
                  </w:tcBorders>
                  <w:shd w:val="clear" w:color="auto" w:fill="auto"/>
                  <w:vAlign w:val="center"/>
                </w:tcPr>
                <w:p w14:paraId="495A1BC6">
                  <w:pPr>
                    <w:pStyle w:val="20"/>
                    <w:keepNext w:val="0"/>
                    <w:keepLines w:val="0"/>
                    <w:widowControl w:val="0"/>
                    <w:suppressLineNumbers w:val="0"/>
                    <w:spacing w:before="0" w:beforeAutospacing="0" w:after="0" w:afterAutospacing="0" w:line="360" w:lineRule="auto"/>
                    <w:ind w:left="0" w:leftChars="0" w:right="0" w:rightChars="0" w:firstLine="0" w:firstLineChars="0"/>
                    <w:jc w:val="center"/>
                    <w:rPr>
                      <w:rFonts w:hint="default" w:ascii="Times New Roman" w:hAnsi="Times New Roman" w:eastAsia="宋体" w:cs="Times New Roman"/>
                      <w:kern w:val="2"/>
                      <w:sz w:val="21"/>
                      <w:szCs w:val="21"/>
                      <w:lang w:val="en-US" w:eastAsia="zh-CN" w:bidi="ar"/>
                    </w:rPr>
                  </w:pPr>
                  <w:r>
                    <w:rPr>
                      <w:rFonts w:hint="default" w:ascii="Times New Roman" w:hAnsi="Times New Roman" w:eastAsia="宋体" w:cs="Times New Roman"/>
                      <w:kern w:val="2"/>
                      <w:sz w:val="21"/>
                      <w:szCs w:val="21"/>
                      <w:lang w:val="en-US" w:eastAsia="zh-CN" w:bidi="ar"/>
                    </w:rPr>
                    <w:t>达标</w:t>
                  </w:r>
                </w:p>
              </w:tc>
            </w:tr>
            <w:tr w14:paraId="38CB31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6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4A626642">
                  <w:pPr>
                    <w:pStyle w:val="20"/>
                    <w:keepNext w:val="0"/>
                    <w:keepLines w:val="0"/>
                    <w:widowControl w:val="0"/>
                    <w:suppressLineNumbers w:val="0"/>
                    <w:spacing w:before="0" w:beforeAutospacing="0" w:after="0" w:afterAutospacing="0" w:line="360" w:lineRule="auto"/>
                    <w:ind w:left="0" w:right="0" w:firstLine="0"/>
                    <w:jc w:val="both"/>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GB12348-2008</w:t>
                  </w:r>
                  <w:r>
                    <w:rPr>
                      <w:rFonts w:hint="eastAsia" w:ascii="宋体" w:hAnsi="宋体" w:eastAsia="宋体" w:cs="宋体"/>
                      <w:kern w:val="2"/>
                      <w:sz w:val="21"/>
                      <w:szCs w:val="21"/>
                      <w:lang w:val="en-US" w:eastAsia="zh-CN" w:bidi="ar"/>
                    </w:rPr>
                    <w:t>中</w:t>
                  </w:r>
                  <w:r>
                    <w:rPr>
                      <w:rFonts w:hint="default" w:ascii="Times New Roman" w:hAnsi="Times New Roman" w:eastAsia="宋体" w:cs="Times New Roman"/>
                      <w:kern w:val="2"/>
                      <w:sz w:val="21"/>
                      <w:szCs w:val="21"/>
                      <w:lang w:val="en-US" w:eastAsia="zh-CN" w:bidi="ar"/>
                    </w:rPr>
                    <w:t>3</w:t>
                  </w:r>
                  <w:r>
                    <w:rPr>
                      <w:rFonts w:hint="eastAsia" w:ascii="宋体" w:hAnsi="宋体" w:eastAsia="宋体" w:cs="宋体"/>
                      <w:kern w:val="2"/>
                      <w:sz w:val="21"/>
                      <w:szCs w:val="21"/>
                      <w:lang w:val="en-US" w:eastAsia="zh-CN" w:bidi="ar"/>
                    </w:rPr>
                    <w:t>类标准，昼间</w:t>
                  </w:r>
                  <w:r>
                    <w:rPr>
                      <w:rFonts w:hint="default" w:ascii="Times New Roman" w:hAnsi="Times New Roman" w:eastAsia="宋体" w:cs="Times New Roman"/>
                      <w:kern w:val="2"/>
                      <w:sz w:val="21"/>
                      <w:szCs w:val="21"/>
                      <w:lang w:val="en-US" w:eastAsia="zh-CN" w:bidi="ar"/>
                    </w:rPr>
                    <w:t>≤65dB</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A</w:t>
                  </w:r>
                  <w:r>
                    <w:rPr>
                      <w:rFonts w:hint="eastAsia" w:ascii="宋体" w:hAnsi="宋体" w:eastAsia="宋体" w:cs="宋体"/>
                      <w:kern w:val="2"/>
                      <w:sz w:val="21"/>
                      <w:szCs w:val="21"/>
                      <w:lang w:val="en-US" w:eastAsia="zh-CN" w:bidi="ar"/>
                    </w:rPr>
                    <w:t>），夜间</w:t>
                  </w:r>
                  <w:r>
                    <w:rPr>
                      <w:rFonts w:hint="default" w:ascii="Times New Roman" w:hAnsi="Times New Roman" w:eastAsia="宋体" w:cs="Times New Roman"/>
                      <w:kern w:val="2"/>
                      <w:sz w:val="21"/>
                      <w:szCs w:val="21"/>
                      <w:lang w:val="en-US" w:eastAsia="zh-CN" w:bidi="ar"/>
                    </w:rPr>
                    <w:t>≤55dB</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A</w:t>
                  </w:r>
                  <w:r>
                    <w:rPr>
                      <w:rFonts w:hint="eastAsia" w:ascii="宋体" w:hAnsi="宋体" w:eastAsia="宋体" w:cs="宋体"/>
                      <w:kern w:val="2"/>
                      <w:sz w:val="21"/>
                      <w:szCs w:val="21"/>
                      <w:lang w:val="en-US" w:eastAsia="zh-CN" w:bidi="ar"/>
                    </w:rPr>
                    <w:t>）</w:t>
                  </w:r>
                </w:p>
              </w:tc>
            </w:tr>
          </w:tbl>
          <w:p w14:paraId="002FA48B">
            <w:pPr>
              <w:rPr>
                <w:rFonts w:hint="default"/>
              </w:rPr>
            </w:pPr>
          </w:p>
          <w:p w14:paraId="43DE926E">
            <w:pPr>
              <w:pStyle w:val="46"/>
              <w:rPr>
                <w:rFonts w:hint="default" w:ascii="Times New Roman" w:hAnsi="Times New Roman" w:cs="Times New Roman"/>
                <w:color w:val="auto"/>
              </w:rPr>
            </w:pPr>
            <w:r>
              <w:rPr>
                <w:rFonts w:hint="default" w:ascii="Times New Roman" w:hAnsi="Times New Roman" w:cs="Times New Roman"/>
                <w:color w:val="auto"/>
                <w:lang w:val="en-US" w:eastAsia="zh-CN"/>
              </w:rPr>
              <w:t>通过上表预测结果可知，项目昼间能够达到《工业企业厂界环境噪声排放标准》（GB 12348-2008）3类标准的要求，夜间西侧</w:t>
            </w:r>
            <w:r>
              <w:rPr>
                <w:rFonts w:hint="eastAsia" w:cs="Times New Roman"/>
                <w:color w:val="auto"/>
                <w:lang w:val="en-US" w:eastAsia="zh-CN"/>
              </w:rPr>
              <w:t>和南侧</w:t>
            </w:r>
            <w:r>
              <w:rPr>
                <w:rFonts w:hint="default" w:ascii="Times New Roman" w:hAnsi="Times New Roman" w:cs="Times New Roman"/>
                <w:color w:val="auto"/>
                <w:lang w:val="en-US" w:eastAsia="zh-CN"/>
              </w:rPr>
              <w:t>场界噪声超标，项目建成后，夜间不生产，不会对区域噪声产生影响。</w:t>
            </w:r>
          </w:p>
          <w:p w14:paraId="20A1450A">
            <w:pPr>
              <w:pStyle w:val="46"/>
              <w:rPr>
                <w:rFonts w:hint="default" w:ascii="Times New Roman" w:hAnsi="Times New Roman" w:cs="Times New Roman"/>
                <w:color w:val="auto"/>
              </w:rPr>
            </w:pPr>
            <w:r>
              <w:rPr>
                <w:rFonts w:hint="default" w:ascii="Times New Roman" w:hAnsi="Times New Roman" w:cs="Times New Roman"/>
                <w:color w:val="auto"/>
              </w:rPr>
              <w:t>同时，为减少设备噪声对操作人员及周围环境的影响，本环评建议如下：</w:t>
            </w:r>
          </w:p>
          <w:p w14:paraId="623B46BD">
            <w:pPr>
              <w:pStyle w:val="46"/>
              <w:rPr>
                <w:rFonts w:hint="default" w:ascii="Times New Roman" w:hAnsi="Times New Roman" w:cs="Times New Roman"/>
                <w:color w:val="auto"/>
              </w:rPr>
            </w:pPr>
            <w:r>
              <w:rPr>
                <w:rFonts w:hint="default" w:ascii="Times New Roman" w:hAnsi="Times New Roman" w:cs="Times New Roman"/>
                <w:color w:val="auto"/>
                <w:lang w:val="en-US" w:eastAsia="zh-CN"/>
              </w:rPr>
              <w:t>为了更好的降低对周边环境的影响，建设单位还应采取以下降噪措施：</w:t>
            </w:r>
          </w:p>
          <w:p w14:paraId="1878C6E7">
            <w:pPr>
              <w:pStyle w:val="46"/>
              <w:rPr>
                <w:rFonts w:hint="default" w:ascii="Times New Roman" w:hAnsi="Times New Roman" w:cs="Times New Roman"/>
                <w:color w:val="auto"/>
              </w:rPr>
            </w:pPr>
            <w:r>
              <w:rPr>
                <w:rFonts w:hint="default" w:ascii="Times New Roman" w:hAnsi="Times New Roman" w:cs="Times New Roman"/>
                <w:color w:val="auto"/>
                <w:lang w:val="en-US" w:eastAsia="zh-CN"/>
              </w:rPr>
              <w:t>（1）从源头治理抓起，在设备选型订货时，首选运行高效、低噪型设备，在一些必要的设备上加装消音、隔声装置，以降低噪声源强。</w:t>
            </w:r>
          </w:p>
          <w:p w14:paraId="0FD01553">
            <w:pPr>
              <w:pStyle w:val="46"/>
              <w:rPr>
                <w:rFonts w:hint="default" w:ascii="Times New Roman" w:hAnsi="Times New Roman" w:cs="Times New Roman"/>
                <w:color w:val="auto"/>
              </w:rPr>
            </w:pPr>
            <w:r>
              <w:rPr>
                <w:rFonts w:hint="default" w:ascii="Times New Roman" w:hAnsi="Times New Roman" w:cs="Times New Roman"/>
                <w:color w:val="auto"/>
                <w:lang w:val="en-US" w:eastAsia="zh-CN"/>
              </w:rPr>
              <w:t>（2）设备安装时，先要打坚固地基，加装减振垫，增加稳定性减轻振动；风机、水泵用软接头连接，平台风机及泵底座安装减震垫。对于噪声强度大的设备，除加装消音装置外，要单独进行封闭布置，尽可能远离厂界。</w:t>
            </w:r>
          </w:p>
          <w:p w14:paraId="3E8B5EA1">
            <w:pPr>
              <w:pStyle w:val="46"/>
              <w:rPr>
                <w:rFonts w:hint="default" w:ascii="Times New Roman" w:hAnsi="Times New Roman" w:cs="Times New Roman"/>
                <w:color w:val="auto"/>
              </w:rPr>
            </w:pPr>
            <w:r>
              <w:rPr>
                <w:rFonts w:hint="default" w:ascii="Times New Roman" w:hAnsi="Times New Roman" w:cs="Times New Roman"/>
                <w:color w:val="auto"/>
                <w:lang w:val="en-US" w:eastAsia="zh-CN"/>
              </w:rPr>
              <w:t>（3）厂区平面布置应统筹兼顾、合理布局，注重办公生活区与生产区的防噪间距。</w:t>
            </w:r>
          </w:p>
          <w:p w14:paraId="5BAD839B">
            <w:pPr>
              <w:pStyle w:val="46"/>
              <w:rPr>
                <w:rFonts w:hint="default" w:ascii="Times New Roman" w:hAnsi="Times New Roman" w:cs="Times New Roman"/>
                <w:color w:val="auto"/>
              </w:rPr>
            </w:pPr>
            <w:r>
              <w:rPr>
                <w:rFonts w:hint="default" w:ascii="Times New Roman" w:hAnsi="Times New Roman" w:cs="Times New Roman"/>
                <w:color w:val="auto"/>
                <w:lang w:val="en-US" w:eastAsia="zh-CN"/>
              </w:rPr>
              <w:t>（4）在车间厂房设计建设过程中，对噪声源比较集中的车间，门、窗、墙壁要注意使用吸音材料，安装吸声结构，保证厂房的屏蔽隔声效应。</w:t>
            </w:r>
          </w:p>
          <w:p w14:paraId="4874205F">
            <w:pPr>
              <w:pStyle w:val="46"/>
              <w:rPr>
                <w:rFonts w:hint="default" w:ascii="Times New Roman" w:hAnsi="Times New Roman" w:cs="Times New Roman"/>
                <w:color w:val="auto"/>
                <w:lang w:val="en-US"/>
              </w:rPr>
            </w:pPr>
            <w:r>
              <w:rPr>
                <w:rFonts w:hint="default" w:ascii="Times New Roman" w:hAnsi="Times New Roman" w:cs="Times New Roman"/>
                <w:color w:val="auto"/>
                <w:lang w:val="en-US" w:eastAsia="zh-CN"/>
              </w:rPr>
              <w:t>通过选用低噪声设备，布置于厂房内，并采取了隔声、吸声、减振等有效的降噪措施，可大大降低了其噪声影响。</w:t>
            </w:r>
          </w:p>
          <w:p w14:paraId="048902C8">
            <w:pPr>
              <w:pStyle w:val="46"/>
              <w:rPr>
                <w:rFonts w:hint="default" w:ascii="Times New Roman" w:hAnsi="Times New Roman" w:cs="Times New Roman" w:eastAsiaTheme="minorEastAsia"/>
                <w:color w:val="auto"/>
              </w:rPr>
            </w:pPr>
            <w:r>
              <w:rPr>
                <w:rFonts w:hint="default" w:ascii="Times New Roman" w:hAnsi="Times New Roman" w:cs="Times New Roman" w:eastAsiaTheme="minorEastAsia"/>
                <w:color w:val="auto"/>
              </w:rPr>
              <w:t>因此，本项目的实施不会对项目所在地的声学环境产生明显影响。</w:t>
            </w:r>
          </w:p>
          <w:p w14:paraId="5D1333F4">
            <w:pPr>
              <w:pStyle w:val="28"/>
              <w:numPr>
                <w:ilvl w:val="0"/>
                <w:numId w:val="0"/>
              </w:numPr>
              <w:spacing w:line="360" w:lineRule="auto"/>
              <w:rPr>
                <w:rFonts w:hint="default" w:ascii="Times New Roman" w:hAnsi="Times New Roman" w:cs="Times New Roman" w:eastAsiaTheme="minorEastAsia"/>
                <w:b/>
                <w:bCs/>
                <w:color w:val="auto"/>
                <w:sz w:val="24"/>
                <w:szCs w:val="24"/>
                <w:lang w:val="en-US" w:eastAsia="zh-CN"/>
              </w:rPr>
            </w:pPr>
            <w:r>
              <w:rPr>
                <w:rFonts w:hint="eastAsia" w:ascii="Times New Roman" w:cs="Times New Roman" w:eastAsiaTheme="minorEastAsia"/>
                <w:b/>
                <w:bCs/>
                <w:color w:val="auto"/>
                <w:sz w:val="24"/>
                <w:szCs w:val="24"/>
                <w:lang w:val="en-US" w:eastAsia="zh-CN"/>
              </w:rPr>
              <w:t>（四）</w:t>
            </w:r>
            <w:r>
              <w:rPr>
                <w:rFonts w:hint="default" w:ascii="Times New Roman" w:hAnsi="Times New Roman" w:cs="Times New Roman" w:eastAsiaTheme="minorEastAsia"/>
                <w:b/>
                <w:bCs/>
                <w:color w:val="auto"/>
                <w:sz w:val="24"/>
                <w:szCs w:val="24"/>
                <w:lang w:val="en-US" w:eastAsia="zh-CN"/>
              </w:rPr>
              <w:t>固体废物环境影响分析</w:t>
            </w:r>
          </w:p>
          <w:p w14:paraId="29B3337D">
            <w:pPr>
              <w:spacing w:line="360" w:lineRule="auto"/>
              <w:ind w:firstLine="480"/>
              <w:rPr>
                <w:rFonts w:hint="default" w:ascii="Times New Roman" w:hAnsi="Times New Roman" w:cs="Times New Roman" w:eastAsiaTheme="minorEastAsia"/>
                <w:b w:val="0"/>
                <w:bCs w:val="0"/>
                <w:color w:val="auto"/>
                <w:sz w:val="24"/>
                <w:szCs w:val="24"/>
                <w:lang w:val="en-US" w:eastAsia="zh-CN"/>
              </w:rPr>
            </w:pPr>
            <w:r>
              <w:rPr>
                <w:rFonts w:hint="default" w:ascii="Times New Roman" w:hAnsi="Times New Roman" w:cs="Times New Roman" w:eastAsiaTheme="minorEastAsia"/>
                <w:b w:val="0"/>
                <w:bCs w:val="0"/>
                <w:color w:val="auto"/>
                <w:sz w:val="24"/>
                <w:szCs w:val="24"/>
                <w:lang w:val="en-US" w:eastAsia="zh-CN"/>
              </w:rPr>
              <w:t>项目营运期主要固体废物为生金属废料、PP和PE废料、不合格注塑吹塑产品、隔油池废油、包装弃料、餐饮垃圾、生活垃圾以及污泥等一般废物；废机油、废液压油、废含油手套抹布、废原料桶、废活性炭等危险废物。</w:t>
            </w:r>
          </w:p>
          <w:p w14:paraId="3C9D7FED">
            <w:pPr>
              <w:numPr>
                <w:ilvl w:val="0"/>
                <w:numId w:val="4"/>
              </w:numPr>
              <w:spacing w:line="360" w:lineRule="auto"/>
              <w:ind w:firstLine="480"/>
              <w:rPr>
                <w:rFonts w:hint="eastAsia" w:cs="Times New Roman" w:eastAsiaTheme="minorEastAsia"/>
                <w:b w:val="0"/>
                <w:bCs w:val="0"/>
                <w:color w:val="auto"/>
                <w:sz w:val="24"/>
                <w:szCs w:val="24"/>
                <w:lang w:val="en-US" w:eastAsia="zh-CN"/>
              </w:rPr>
            </w:pPr>
            <w:r>
              <w:rPr>
                <w:rFonts w:hint="eastAsia" w:cs="Times New Roman" w:eastAsiaTheme="minorEastAsia"/>
                <w:b w:val="0"/>
                <w:bCs w:val="0"/>
                <w:color w:val="auto"/>
                <w:sz w:val="24"/>
                <w:szCs w:val="24"/>
                <w:lang w:val="en-US" w:eastAsia="zh-CN"/>
              </w:rPr>
              <w:t>一般固废</w:t>
            </w:r>
          </w:p>
          <w:p w14:paraId="2C0D079F">
            <w:pPr>
              <w:numPr>
                <w:ilvl w:val="0"/>
                <w:numId w:val="0"/>
              </w:numPr>
              <w:spacing w:line="360" w:lineRule="auto"/>
              <w:ind w:firstLine="480" w:firstLineChars="200"/>
              <w:rPr>
                <w:rFonts w:hint="default" w:ascii="Times New Roman" w:hAnsi="Times New Roman" w:cs="Times New Roman" w:eastAsiaTheme="minorEastAsia"/>
                <w:b w:val="0"/>
                <w:bCs w:val="0"/>
                <w:color w:val="auto"/>
                <w:sz w:val="24"/>
                <w:szCs w:val="24"/>
                <w:lang w:val="en-US" w:eastAsia="zh-CN"/>
              </w:rPr>
            </w:pPr>
            <w:r>
              <w:rPr>
                <w:rFonts w:hint="default" w:ascii="Times New Roman" w:hAnsi="Times New Roman" w:cs="Times New Roman" w:eastAsiaTheme="minorEastAsia"/>
                <w:b w:val="0"/>
                <w:bCs w:val="0"/>
                <w:color w:val="auto"/>
                <w:sz w:val="24"/>
                <w:szCs w:val="24"/>
                <w:lang w:val="en-US" w:eastAsia="zh-CN"/>
              </w:rPr>
              <w:t>餐厨垃圾单独设立餐厨垃圾收集场所，实现餐厨垃圾分类存放，并交由环卫部门收运、处理，确保餐厨垃圾产生后24小时内交其收运；隔油池废油脂定期交由取得经营许可的餐厨垃圾收运单位清运处理；金属废料、PP和PE废料、不合格注塑吹塑产品</w:t>
            </w:r>
            <w:r>
              <w:rPr>
                <w:rFonts w:hint="eastAsia" w:cs="Times New Roman" w:eastAsiaTheme="minorEastAsia"/>
                <w:b w:val="0"/>
                <w:bCs w:val="0"/>
                <w:color w:val="auto"/>
                <w:sz w:val="24"/>
                <w:szCs w:val="24"/>
                <w:lang w:val="en-US" w:eastAsia="zh-CN"/>
              </w:rPr>
              <w:t>破碎后回用于生产；</w:t>
            </w:r>
            <w:r>
              <w:rPr>
                <w:rFonts w:hint="default" w:ascii="Times New Roman" w:hAnsi="Times New Roman" w:cs="Times New Roman" w:eastAsiaTheme="minorEastAsia"/>
                <w:b w:val="0"/>
                <w:bCs w:val="0"/>
                <w:color w:val="auto"/>
                <w:sz w:val="24"/>
                <w:szCs w:val="24"/>
                <w:lang w:val="en-US" w:eastAsia="zh-CN"/>
              </w:rPr>
              <w:t>生活垃圾</w:t>
            </w:r>
            <w:r>
              <w:rPr>
                <w:rFonts w:hint="eastAsia" w:cs="Times New Roman" w:eastAsiaTheme="minorEastAsia"/>
                <w:b w:val="0"/>
                <w:bCs w:val="0"/>
                <w:color w:val="auto"/>
                <w:sz w:val="24"/>
                <w:szCs w:val="24"/>
                <w:lang w:val="en-US" w:eastAsia="zh-CN"/>
              </w:rPr>
              <w:t>、预处理池污泥</w:t>
            </w:r>
            <w:r>
              <w:rPr>
                <w:rFonts w:hint="default" w:ascii="Times New Roman" w:hAnsi="Times New Roman" w:cs="Times New Roman" w:eastAsiaTheme="minorEastAsia"/>
                <w:b w:val="0"/>
                <w:bCs w:val="0"/>
                <w:color w:val="auto"/>
                <w:sz w:val="24"/>
                <w:szCs w:val="24"/>
                <w:lang w:val="en-US" w:eastAsia="zh-CN"/>
              </w:rPr>
              <w:t>经收集后由当地环卫部门统一清运处理；金属废料、包装弃料废</w:t>
            </w:r>
            <w:r>
              <w:rPr>
                <w:rFonts w:hint="eastAsia" w:cs="Times New Roman" w:eastAsiaTheme="minorEastAsia"/>
                <w:b w:val="0"/>
                <w:bCs w:val="0"/>
                <w:color w:val="auto"/>
                <w:sz w:val="24"/>
                <w:szCs w:val="24"/>
                <w:lang w:val="en-US" w:eastAsia="zh-CN"/>
              </w:rPr>
              <w:t>外卖废品收购公司</w:t>
            </w:r>
            <w:r>
              <w:rPr>
                <w:rFonts w:hint="default" w:ascii="Times New Roman" w:hAnsi="Times New Roman" w:cs="Times New Roman" w:eastAsiaTheme="minorEastAsia"/>
                <w:b w:val="0"/>
                <w:bCs w:val="0"/>
                <w:color w:val="auto"/>
                <w:sz w:val="24"/>
                <w:szCs w:val="24"/>
                <w:lang w:val="en-US" w:eastAsia="zh-CN"/>
              </w:rPr>
              <w:t>。</w:t>
            </w:r>
          </w:p>
          <w:p w14:paraId="4C088BAF">
            <w:pPr>
              <w:numPr>
                <w:ilvl w:val="0"/>
                <w:numId w:val="0"/>
              </w:numPr>
              <w:spacing w:line="360" w:lineRule="auto"/>
              <w:ind w:firstLine="480" w:firstLineChars="200"/>
              <w:rPr>
                <w:rFonts w:hint="default" w:ascii="Times New Roman" w:hAnsi="Times New Roman" w:cs="Times New Roman" w:eastAsiaTheme="minorEastAsia"/>
                <w:b w:val="0"/>
                <w:bCs w:val="0"/>
                <w:color w:val="auto"/>
                <w:sz w:val="24"/>
                <w:szCs w:val="24"/>
                <w:lang w:val="en-US" w:eastAsia="zh-CN"/>
              </w:rPr>
            </w:pPr>
            <w:r>
              <w:rPr>
                <w:rFonts w:hint="eastAsia" w:cs="Times New Roman" w:eastAsiaTheme="minorEastAsia"/>
                <w:b w:val="0"/>
                <w:bCs w:val="0"/>
                <w:color w:val="auto"/>
                <w:sz w:val="24"/>
                <w:szCs w:val="24"/>
                <w:lang w:val="en-US" w:eastAsia="zh-CN"/>
              </w:rPr>
              <w:t>2、危险废物</w:t>
            </w:r>
          </w:p>
          <w:p w14:paraId="66039FE1">
            <w:pPr>
              <w:numPr>
                <w:ilvl w:val="0"/>
                <w:numId w:val="0"/>
              </w:numPr>
              <w:spacing w:line="360" w:lineRule="auto"/>
              <w:ind w:firstLine="480" w:firstLineChars="200"/>
              <w:rPr>
                <w:rFonts w:hint="default" w:ascii="Times New Roman" w:hAnsi="Times New Roman" w:cs="Times New Roman"/>
                <w:color w:val="auto"/>
                <w:sz w:val="24"/>
                <w:szCs w:val="24"/>
              </w:rPr>
            </w:pPr>
            <w:r>
              <w:rPr>
                <w:rFonts w:hint="eastAsia"/>
                <w:color w:val="auto"/>
                <w:sz w:val="24"/>
                <w:szCs w:val="24"/>
              </w:rPr>
              <w:t>营运期对机械设备维护</w:t>
            </w:r>
            <w:r>
              <w:rPr>
                <w:rFonts w:hint="eastAsia"/>
                <w:color w:val="auto"/>
                <w:sz w:val="24"/>
                <w:szCs w:val="24"/>
                <w:lang w:eastAsia="zh-CN"/>
              </w:rPr>
              <w:t>、</w:t>
            </w:r>
            <w:r>
              <w:rPr>
                <w:rFonts w:hint="eastAsia"/>
                <w:color w:val="auto"/>
                <w:sz w:val="24"/>
                <w:szCs w:val="24"/>
              </w:rPr>
              <w:t>检修</w:t>
            </w:r>
            <w:r>
              <w:rPr>
                <w:rFonts w:hint="eastAsia"/>
                <w:color w:val="auto"/>
                <w:sz w:val="24"/>
                <w:szCs w:val="24"/>
                <w:lang w:val="en-US" w:eastAsia="zh-CN"/>
              </w:rPr>
              <w:t>和生产时</w:t>
            </w:r>
            <w:r>
              <w:rPr>
                <w:rFonts w:hint="eastAsia"/>
                <w:color w:val="auto"/>
                <w:sz w:val="24"/>
                <w:szCs w:val="24"/>
              </w:rPr>
              <w:t>产生的</w:t>
            </w:r>
            <w:r>
              <w:rPr>
                <w:rFonts w:hint="default" w:ascii="Times New Roman" w:hAnsi="Times New Roman" w:cs="Times New Roman"/>
                <w:color w:val="auto"/>
                <w:sz w:val="24"/>
                <w:szCs w:val="24"/>
                <w:lang w:val="en-US" w:eastAsia="zh-CN"/>
              </w:rPr>
              <w:t>废</w:t>
            </w:r>
            <w:r>
              <w:rPr>
                <w:rFonts w:hint="eastAsia" w:cs="Times New Roman"/>
                <w:color w:val="auto"/>
                <w:sz w:val="24"/>
                <w:szCs w:val="24"/>
                <w:lang w:val="en-US" w:eastAsia="zh-CN"/>
              </w:rPr>
              <w:t>润滑油</w:t>
            </w:r>
            <w:r>
              <w:rPr>
                <w:rFonts w:hint="default" w:ascii="Times New Roman" w:hAnsi="Times New Roman" w:cs="Times New Roman"/>
                <w:color w:val="auto"/>
                <w:sz w:val="24"/>
                <w:szCs w:val="24"/>
                <w:lang w:val="en-US" w:eastAsia="zh-CN"/>
              </w:rPr>
              <w:t>、废液压油、废含油手套抹布、废原料桶等分别属于《国家危险废物名录》中“HW08废矿物油与含矿物油废物/非特定行业/900-214-08</w:t>
            </w:r>
            <w:r>
              <w:rPr>
                <w:rFonts w:hint="eastAsia" w:cs="Times New Roman"/>
                <w:color w:val="auto"/>
                <w:sz w:val="24"/>
                <w:szCs w:val="24"/>
                <w:lang w:val="en-US" w:eastAsia="zh-CN"/>
              </w:rPr>
              <w:t xml:space="preserve"> 900-218-08</w:t>
            </w:r>
            <w:r>
              <w:rPr>
                <w:rFonts w:hint="default" w:ascii="Times New Roman" w:hAnsi="Times New Roman" w:cs="Times New Roman"/>
                <w:color w:val="auto"/>
                <w:sz w:val="24"/>
                <w:szCs w:val="24"/>
                <w:lang w:val="en-US" w:eastAsia="zh-CN"/>
              </w:rPr>
              <w:t>”、“HW49 其他废物/非特定行业/900-041-49 ”，应分类收集后暂存于危废暂存间，交由有资质的单位进行处理；废活性炭属于《国家危险废物名录》中“HW49其他废物/非特定行业/900-041-49 含有或直接沾染危险废物的废弃包装物、容器、清洗杂物”，经分类收集后暂存于危废暂存间，定期交由有资质的单位进行处置。</w:t>
            </w:r>
          </w:p>
          <w:p w14:paraId="7FA1E306">
            <w:pPr>
              <w:numPr>
                <w:ilvl w:val="0"/>
                <w:numId w:val="0"/>
              </w:num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同时，环评要求建设单位在危废暂存间设置和转运过程中，需严格按照下列要求进行：</w:t>
            </w:r>
          </w:p>
          <w:p w14:paraId="6F251FB5">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a.严格按照《危险废物贮存污染控制标准》（GB18597-2001）设计要求，对危废暂存间设防渗层，防渗层为环氧树脂或其它人工材料，并严格做好防雨、防腐措施，防止造成地下水污染。</w:t>
            </w:r>
          </w:p>
          <w:p w14:paraId="6A971E8C">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b.危险废物的收集必须按照相关规定进行，禁止在非贮存地点（容器）倾倒、堆放危险废物或者将危险废物混入其他一般工业固体废物和生活垃圾，各废物贮存需按照国家相应要求处置，贮存场所按照《环境保护图形标志——固体废物贮存（处置）场》（GB15562.2-1995）设置警示标识。</w:t>
            </w:r>
          </w:p>
          <w:p w14:paraId="09A14FD5">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c.危险废物转运时必须安全转移，防止撒漏，且由具处理资质的单位接手。危险废物的处置需严格按照《危险废物转移联单管理办法》规定办理危险废物转移手续，并严格执行《危险废物转移联单管理办法》规定，防止二次污染。</w:t>
            </w:r>
          </w:p>
          <w:p w14:paraId="10C7DD88">
            <w:pPr>
              <w:spacing w:line="360" w:lineRule="auto"/>
              <w:ind w:firstLine="480"/>
              <w:rPr>
                <w:rFonts w:hint="default" w:ascii="Times New Roman" w:hAnsi="Times New Roman" w:cs="Times New Roman" w:eastAsiaTheme="minorEastAsia"/>
                <w:b w:val="0"/>
                <w:bCs w:val="0"/>
                <w:color w:val="auto"/>
                <w:sz w:val="24"/>
                <w:szCs w:val="24"/>
                <w:lang w:val="en-US" w:eastAsia="zh-CN"/>
              </w:rPr>
            </w:pPr>
            <w:r>
              <w:rPr>
                <w:rFonts w:hint="default" w:ascii="Times New Roman" w:hAnsi="Times New Roman" w:cs="Times New Roman"/>
                <w:color w:val="auto"/>
                <w:sz w:val="24"/>
                <w:szCs w:val="24"/>
              </w:rPr>
              <w:t>综上所述，采取本环评提出的上述处置措施后，本项目产生的固体废物去向明确，可实现资源化或无害化处置，不会对环境造成二次污染。</w:t>
            </w:r>
          </w:p>
          <w:p w14:paraId="3EA5715C">
            <w:pPr>
              <w:spacing w:line="360" w:lineRule="auto"/>
              <w:rPr>
                <w:rFonts w:hint="default" w:ascii="Times New Roman" w:hAnsi="Times New Roman" w:cs="Times New Roman"/>
                <w:b/>
                <w:color w:val="auto"/>
                <w:sz w:val="24"/>
                <w:szCs w:val="24"/>
              </w:rPr>
            </w:pPr>
            <w:r>
              <w:rPr>
                <w:rFonts w:hint="eastAsia" w:cs="Times New Roman"/>
                <w:b/>
                <w:color w:val="auto"/>
                <w:sz w:val="24"/>
                <w:szCs w:val="24"/>
                <w:lang w:val="en-US" w:eastAsia="zh-CN"/>
              </w:rPr>
              <w:t>（五）</w:t>
            </w:r>
            <w:r>
              <w:rPr>
                <w:rFonts w:hint="default" w:ascii="Times New Roman" w:hAnsi="Times New Roman" w:cs="Times New Roman"/>
                <w:b/>
                <w:color w:val="auto"/>
                <w:sz w:val="24"/>
                <w:szCs w:val="24"/>
              </w:rPr>
              <w:t>地下水环境影响分析</w:t>
            </w:r>
          </w:p>
          <w:p w14:paraId="52DFF3FB">
            <w:pPr>
              <w:spacing w:line="360" w:lineRule="auto"/>
              <w:ind w:firstLine="480"/>
              <w:rPr>
                <w:rFonts w:hint="default" w:ascii="Times New Roman" w:hAnsi="Times New Roman" w:cs="Times New Roman"/>
                <w:b w:val="0"/>
                <w:bCs/>
                <w:color w:val="auto"/>
                <w:sz w:val="24"/>
                <w:szCs w:val="24"/>
                <w:lang w:val="en-US" w:eastAsia="zh-CN"/>
              </w:rPr>
            </w:pPr>
            <w:r>
              <w:rPr>
                <w:rFonts w:hint="eastAsia" w:cs="Times New Roman"/>
                <w:b w:val="0"/>
                <w:bCs/>
                <w:color w:val="auto"/>
                <w:sz w:val="24"/>
                <w:szCs w:val="24"/>
                <w:lang w:val="en-US" w:eastAsia="zh-CN"/>
              </w:rPr>
              <w:t>1、</w:t>
            </w:r>
            <w:r>
              <w:rPr>
                <w:rFonts w:hint="default" w:ascii="Times New Roman" w:hAnsi="Times New Roman" w:cs="Times New Roman"/>
                <w:b w:val="0"/>
                <w:bCs/>
                <w:color w:val="auto"/>
                <w:sz w:val="24"/>
                <w:szCs w:val="24"/>
                <w:lang w:val="en-US" w:eastAsia="zh-CN"/>
              </w:rPr>
              <w:t>地下水污染途径</w:t>
            </w:r>
          </w:p>
          <w:p w14:paraId="365C2CE2">
            <w:pPr>
              <w:spacing w:line="360" w:lineRule="auto"/>
              <w:ind w:firstLine="480"/>
              <w:rPr>
                <w:rFonts w:hint="default" w:ascii="Times New Roman" w:hAnsi="Times New Roman" w:cs="Times New Roman"/>
                <w:b w:val="0"/>
                <w:bCs/>
                <w:color w:val="auto"/>
                <w:sz w:val="24"/>
                <w:szCs w:val="24"/>
                <w:lang w:val="en-US" w:eastAsia="zh-CN"/>
              </w:rPr>
            </w:pPr>
            <w:r>
              <w:rPr>
                <w:rFonts w:hint="default" w:ascii="Times New Roman" w:hAnsi="Times New Roman" w:cs="Times New Roman"/>
                <w:b w:val="0"/>
                <w:bCs/>
                <w:color w:val="auto"/>
                <w:sz w:val="24"/>
                <w:szCs w:val="24"/>
                <w:lang w:val="en-US" w:eastAsia="zh-CN"/>
              </w:rPr>
              <w:t>本项目所在区域地下水总体匮乏，水文地质条件简单，地下水类型为第四系松散堆积砂卵石层空隙潜水和红层区裂隙水以及山区岩溶水，水量极小，且本项目建设场地内未设置地下水集中式饮用水水源地。另外，本项目场地不属于集中式饮用水水源地准保护区和补给径流区，以及其他与地下水环境相关的保护区，无特殊地下水资源保护区以外的分布区；无分散式居民饮用水水源等其他地下水环境敏感区。本项目用水主要采用自来水，生活用水均不取用地下水。分析可知，本项目给、排水均不会与地下水直接发生联系，故本项目的建设不会对地下水水位、水质造成明显影响。</w:t>
            </w:r>
          </w:p>
          <w:p w14:paraId="3058E5F0">
            <w:pPr>
              <w:spacing w:line="360" w:lineRule="auto"/>
              <w:ind w:firstLine="480"/>
              <w:rPr>
                <w:rFonts w:hint="default" w:ascii="Times New Roman" w:hAnsi="Times New Roman" w:cs="Times New Roman"/>
                <w:b w:val="0"/>
                <w:bCs/>
                <w:color w:val="auto"/>
                <w:sz w:val="24"/>
                <w:szCs w:val="24"/>
                <w:lang w:val="en-US" w:eastAsia="zh-CN"/>
              </w:rPr>
            </w:pPr>
            <w:r>
              <w:rPr>
                <w:rFonts w:hint="eastAsia" w:cs="Times New Roman"/>
                <w:b w:val="0"/>
                <w:bCs/>
                <w:color w:val="auto"/>
                <w:sz w:val="24"/>
                <w:szCs w:val="24"/>
                <w:lang w:val="en-US" w:eastAsia="zh-CN"/>
              </w:rPr>
              <w:t>2、</w:t>
            </w:r>
            <w:r>
              <w:rPr>
                <w:rFonts w:hint="default" w:ascii="Times New Roman" w:hAnsi="Times New Roman" w:cs="Times New Roman"/>
                <w:b w:val="0"/>
                <w:bCs/>
                <w:color w:val="auto"/>
                <w:sz w:val="24"/>
                <w:szCs w:val="24"/>
                <w:lang w:val="en-US" w:eastAsia="zh-CN"/>
              </w:rPr>
              <w:t>防治措施</w:t>
            </w:r>
          </w:p>
          <w:p w14:paraId="3F66684F">
            <w:pPr>
              <w:spacing w:line="360" w:lineRule="auto"/>
              <w:ind w:firstLine="480"/>
              <w:rPr>
                <w:rFonts w:hint="default" w:ascii="Times New Roman" w:hAnsi="Times New Roman" w:cs="Times New Roman"/>
                <w:b w:val="0"/>
                <w:bCs/>
                <w:color w:val="auto"/>
                <w:sz w:val="24"/>
                <w:szCs w:val="24"/>
                <w:lang w:val="en-US" w:eastAsia="zh-CN"/>
              </w:rPr>
            </w:pPr>
            <w:r>
              <w:rPr>
                <w:rFonts w:hint="default" w:ascii="Times New Roman" w:hAnsi="Times New Roman" w:cs="Times New Roman"/>
                <w:b w:val="0"/>
                <w:bCs/>
                <w:color w:val="auto"/>
                <w:sz w:val="24"/>
                <w:szCs w:val="24"/>
                <w:lang w:val="en-US" w:eastAsia="zh-CN"/>
              </w:rPr>
              <w:t>项目地下水污染防治措施和对策，应坚持“源头控制、分区防治、污染监控、应急响应”的原则，本项目拟采取的地下水的防治措施如下所述。</w:t>
            </w:r>
          </w:p>
          <w:p w14:paraId="3B906AC3">
            <w:pPr>
              <w:spacing w:line="360" w:lineRule="auto"/>
              <w:ind w:firstLine="480"/>
              <w:rPr>
                <w:rFonts w:hint="default" w:ascii="Times New Roman" w:hAnsi="Times New Roman" w:cs="Times New Roman"/>
                <w:b w:val="0"/>
                <w:bCs/>
                <w:color w:val="auto"/>
                <w:sz w:val="24"/>
                <w:szCs w:val="24"/>
                <w:lang w:val="en-US" w:eastAsia="zh-CN"/>
              </w:rPr>
            </w:pPr>
            <w:r>
              <w:rPr>
                <w:rFonts w:hint="default" w:ascii="Times New Roman" w:hAnsi="Times New Roman" w:cs="Times New Roman"/>
                <w:b w:val="0"/>
                <w:bCs/>
                <w:color w:val="auto"/>
                <w:sz w:val="24"/>
                <w:szCs w:val="24"/>
                <w:lang w:val="en-US" w:eastAsia="zh-CN"/>
              </w:rPr>
              <w:t>（1）源头控制措施</w:t>
            </w:r>
          </w:p>
          <w:p w14:paraId="15A1FCE8">
            <w:pPr>
              <w:spacing w:line="360" w:lineRule="auto"/>
              <w:ind w:firstLine="480"/>
              <w:rPr>
                <w:rFonts w:hint="default" w:ascii="Times New Roman" w:hAnsi="Times New Roman" w:cs="Times New Roman"/>
                <w:b w:val="0"/>
                <w:bCs/>
                <w:color w:val="auto"/>
                <w:sz w:val="24"/>
                <w:szCs w:val="24"/>
                <w:lang w:val="en-US" w:eastAsia="zh-CN"/>
              </w:rPr>
            </w:pPr>
            <w:r>
              <w:rPr>
                <w:rFonts w:hint="default" w:ascii="Times New Roman" w:hAnsi="Times New Roman" w:cs="Times New Roman"/>
                <w:b w:val="0"/>
                <w:bCs/>
                <w:color w:val="auto"/>
                <w:sz w:val="24"/>
                <w:szCs w:val="24"/>
                <w:lang w:val="en-US" w:eastAsia="zh-CN"/>
              </w:rPr>
              <w:t>项目方应积极推行实施清洁生产，实现各类废物循环利用，减少污染物的排放量；应根据国家现行相关规范加强环境管理，采取防止和降低污染物跑、冒、滴、漏的措施。正常生产过程中应加强巡检及时处理污染物跑、冒、滴、漏，同时应加强对防渗工程的检查，若发现防渗密封材料老化或损坏，应及时维修更换；对工艺、管道、设备、污水储存及处理构筑物采取控制措施，防止污染物的跑、冒、滴、漏，将污染物泄漏的环境风险事故降到最低限度。</w:t>
            </w:r>
          </w:p>
          <w:p w14:paraId="5E7CA6B6">
            <w:pPr>
              <w:spacing w:line="360" w:lineRule="auto"/>
              <w:ind w:firstLine="480"/>
              <w:rPr>
                <w:rFonts w:hint="default" w:ascii="Times New Roman" w:hAnsi="Times New Roman" w:cs="Times New Roman"/>
                <w:b w:val="0"/>
                <w:bCs/>
                <w:color w:val="auto"/>
                <w:sz w:val="24"/>
                <w:szCs w:val="24"/>
                <w:lang w:val="en-US" w:eastAsia="zh-CN"/>
              </w:rPr>
            </w:pPr>
            <w:r>
              <w:rPr>
                <w:rFonts w:hint="default" w:ascii="Times New Roman" w:hAnsi="Times New Roman" w:cs="Times New Roman"/>
                <w:b w:val="0"/>
                <w:bCs/>
                <w:color w:val="auto"/>
                <w:sz w:val="24"/>
                <w:szCs w:val="24"/>
                <w:lang w:val="en-US" w:eastAsia="zh-CN"/>
              </w:rPr>
              <w:t>（2）分区防渗划分</w:t>
            </w:r>
          </w:p>
          <w:p w14:paraId="2529CFD7">
            <w:pPr>
              <w:spacing w:line="360" w:lineRule="auto"/>
              <w:ind w:firstLine="480"/>
              <w:rPr>
                <w:rFonts w:hint="default" w:ascii="Times New Roman" w:hAnsi="Times New Roman" w:cs="Times New Roman"/>
                <w:b w:val="0"/>
                <w:bCs/>
                <w:color w:val="auto"/>
                <w:sz w:val="24"/>
                <w:szCs w:val="24"/>
                <w:lang w:val="en-US" w:eastAsia="zh-CN"/>
              </w:rPr>
            </w:pPr>
            <w:r>
              <w:rPr>
                <w:rFonts w:hint="default" w:ascii="Times New Roman" w:hAnsi="Times New Roman" w:cs="Times New Roman"/>
                <w:b w:val="0"/>
                <w:bCs/>
                <w:color w:val="auto"/>
                <w:sz w:val="24"/>
                <w:szCs w:val="24"/>
                <w:lang w:val="en-US" w:eastAsia="zh-CN"/>
              </w:rPr>
              <w:t>将全厂按物料或者污染物泄漏的途径和生产功能单元所处的位置划分为简单防渗区、一般防渗区、重点防渗区三类地下水污染防渗区域。依托的生活污水预处理池已由苏哈瑞涛有限公司做好防渗，此处不在讨论。</w:t>
            </w:r>
          </w:p>
          <w:p w14:paraId="2E605A62">
            <w:pPr>
              <w:spacing w:line="360" w:lineRule="auto"/>
              <w:ind w:firstLine="480"/>
              <w:rPr>
                <w:rFonts w:hint="default" w:ascii="Times New Roman" w:hAnsi="Times New Roman" w:cs="Times New Roman"/>
                <w:b w:val="0"/>
                <w:bCs/>
                <w:color w:val="auto"/>
                <w:sz w:val="24"/>
                <w:szCs w:val="24"/>
                <w:lang w:val="en-US" w:eastAsia="zh-CN"/>
              </w:rPr>
            </w:pPr>
            <w:r>
              <w:rPr>
                <w:rFonts w:hint="default" w:ascii="Times New Roman" w:hAnsi="Times New Roman" w:cs="Times New Roman"/>
                <w:b w:val="0"/>
                <w:bCs/>
                <w:color w:val="auto"/>
                <w:sz w:val="24"/>
                <w:szCs w:val="24"/>
                <w:lang w:val="en-US" w:eastAsia="zh-CN"/>
              </w:rPr>
              <w:t>a、重点防渗区包括危废暂存间、液氨储存室、事故应急池，确保各单元防渗层满足等效黏土防渗层 Mb≥6.0m，防渗系数 k≤1.0×10-10cm/s 的要求防渗材料可选取防渗混凝土+2.0mm的高密度聚乙烯或其它人工防渗材料</w:t>
            </w:r>
          </w:p>
          <w:p w14:paraId="562AA8A8">
            <w:pPr>
              <w:spacing w:line="360" w:lineRule="auto"/>
              <w:ind w:firstLine="480"/>
              <w:rPr>
                <w:rFonts w:hint="default" w:ascii="Times New Roman" w:hAnsi="Times New Roman" w:cs="Times New Roman"/>
                <w:b w:val="0"/>
                <w:bCs/>
                <w:color w:val="auto"/>
                <w:sz w:val="24"/>
                <w:szCs w:val="24"/>
                <w:lang w:val="en-US" w:eastAsia="zh-CN"/>
              </w:rPr>
            </w:pPr>
            <w:r>
              <w:rPr>
                <w:rFonts w:hint="default" w:ascii="Times New Roman" w:hAnsi="Times New Roman" w:cs="Times New Roman"/>
                <w:b w:val="0"/>
                <w:bCs/>
                <w:color w:val="auto"/>
                <w:sz w:val="24"/>
                <w:szCs w:val="24"/>
                <w:lang w:val="en-US" w:eastAsia="zh-CN"/>
              </w:rPr>
              <w:t>b、一般防渗区为除危废暂存间、液氨储存室以外的其他生产区域，包括生产车间、一般固废暂存间、冷库、等。拟在现有水泥地面增加环氧树脂地坪，保证各单元等效黏土防渗层满足 Mb≥1.5m，防渗系数 k≤1.0×10-7cm/s的要求。</w:t>
            </w:r>
          </w:p>
          <w:p w14:paraId="5EFAC1E2">
            <w:pPr>
              <w:spacing w:line="360" w:lineRule="auto"/>
              <w:ind w:firstLine="480"/>
              <w:rPr>
                <w:rFonts w:hint="default" w:ascii="Times New Roman" w:hAnsi="Times New Roman" w:cs="Times New Roman"/>
                <w:b w:val="0"/>
                <w:bCs/>
                <w:color w:val="auto"/>
                <w:sz w:val="24"/>
                <w:szCs w:val="24"/>
                <w:lang w:val="en-US" w:eastAsia="zh-CN"/>
              </w:rPr>
            </w:pPr>
            <w:r>
              <w:rPr>
                <w:rFonts w:hint="default" w:ascii="Times New Roman" w:hAnsi="Times New Roman" w:cs="Times New Roman"/>
                <w:b w:val="0"/>
                <w:bCs/>
                <w:color w:val="auto"/>
                <w:sz w:val="24"/>
                <w:szCs w:val="24"/>
                <w:lang w:val="en-US" w:eastAsia="zh-CN"/>
              </w:rPr>
              <w:t>c、除重点防渗区和一般防渗区以外的车间其它区域为简单防渗区，采取一般地面硬化。根据现场踏勘，简单防渗区已由苏哈瑞涛科技园建设完成，能够满足简单防渗要求。</w:t>
            </w:r>
          </w:p>
          <w:p w14:paraId="6BBA84F3">
            <w:pPr>
              <w:spacing w:line="360" w:lineRule="auto"/>
              <w:ind w:firstLine="480"/>
              <w:rPr>
                <w:rFonts w:hint="default" w:ascii="Times New Roman" w:hAnsi="Times New Roman" w:cs="Times New Roman"/>
                <w:b w:val="0"/>
                <w:bCs/>
                <w:color w:val="auto"/>
              </w:rPr>
            </w:pPr>
            <w:r>
              <w:rPr>
                <w:rFonts w:hint="default" w:ascii="Times New Roman" w:hAnsi="Times New Roman" w:cs="Times New Roman"/>
                <w:b w:val="0"/>
                <w:bCs/>
                <w:color w:val="auto"/>
                <w:sz w:val="24"/>
                <w:szCs w:val="24"/>
                <w:lang w:val="en-US" w:eastAsia="zh-CN"/>
              </w:rPr>
              <w:t>综上，在合理做好项目营运期各项地下水防渗措施前提下，本项目对地下水的影响甚微。</w:t>
            </w:r>
          </w:p>
          <w:p w14:paraId="4EE8D645">
            <w:pPr>
              <w:spacing w:line="360" w:lineRule="auto"/>
              <w:outlineLvl w:val="0"/>
              <w:rPr>
                <w:rFonts w:hint="default" w:ascii="Times New Roman" w:hAnsi="Times New Roman" w:eastAsia="黑体" w:cs="Times New Roman"/>
                <w:color w:val="auto"/>
                <w:sz w:val="28"/>
              </w:rPr>
            </w:pPr>
            <w:r>
              <w:rPr>
                <w:rFonts w:hint="default" w:ascii="Times New Roman" w:hAnsi="Times New Roman" w:eastAsia="黑体" w:cs="Times New Roman"/>
                <w:color w:val="auto"/>
                <w:sz w:val="28"/>
              </w:rPr>
              <w:t>三、环境风险分析</w:t>
            </w:r>
          </w:p>
          <w:p w14:paraId="558C4E1C">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环境风险评价的目的是分析和预测建设项目存在的潜在危险、有害因素，建设项目在建设和运行期间可能发生的突发性事件或事故，引起有毒有害和易燃易爆等物质的泄漏，所造成的人身安全与环境影响和损害程度，提出合理可行的防范、应急与减缓措施，以使建设项目事故率、损失和环境影响达到可接受的水平。</w:t>
            </w:r>
          </w:p>
          <w:p w14:paraId="5CA83258">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1、化学品危险特性识别</w:t>
            </w:r>
          </w:p>
          <w:p w14:paraId="24AFEB7E">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项目建成投产后，生产过程中使用的化学品主要为</w:t>
            </w:r>
            <w:r>
              <w:rPr>
                <w:rFonts w:hint="eastAsia" w:cs="Times New Roman"/>
                <w:color w:val="auto"/>
                <w:sz w:val="24"/>
                <w:szCs w:val="24"/>
                <w:lang w:val="en-US" w:eastAsia="zh-CN"/>
              </w:rPr>
              <w:t>液压油</w:t>
            </w:r>
            <w:r>
              <w:rPr>
                <w:rFonts w:hint="default" w:ascii="Times New Roman" w:hAnsi="Times New Roman" w:cs="Times New Roman"/>
                <w:color w:val="auto"/>
                <w:sz w:val="24"/>
                <w:szCs w:val="24"/>
                <w:lang w:val="en-US" w:eastAsia="zh-CN"/>
              </w:rPr>
              <w:t>、</w:t>
            </w:r>
            <w:r>
              <w:rPr>
                <w:rFonts w:hint="eastAsia" w:cs="Times New Roman"/>
                <w:color w:val="auto"/>
                <w:sz w:val="24"/>
                <w:szCs w:val="24"/>
                <w:lang w:val="en-US" w:eastAsia="zh-CN"/>
              </w:rPr>
              <w:t>润滑油</w:t>
            </w:r>
            <w:r>
              <w:rPr>
                <w:rFonts w:hint="default" w:ascii="Times New Roman" w:hAnsi="Times New Roman" w:cs="Times New Roman"/>
                <w:color w:val="auto"/>
                <w:sz w:val="24"/>
                <w:szCs w:val="24"/>
                <w:lang w:val="en-US" w:eastAsia="zh-CN"/>
              </w:rPr>
              <w:t>、</w:t>
            </w:r>
            <w:r>
              <w:rPr>
                <w:rFonts w:hint="eastAsia" w:cs="Times New Roman"/>
                <w:color w:val="auto"/>
                <w:sz w:val="24"/>
                <w:szCs w:val="24"/>
                <w:lang w:val="en-US" w:eastAsia="zh-CN"/>
              </w:rPr>
              <w:t>聚醚多元醇、碳化二亚胺改性MDI</w:t>
            </w:r>
            <w:r>
              <w:rPr>
                <w:rFonts w:hint="default" w:ascii="Times New Roman" w:hAnsi="Times New Roman" w:cs="Times New Roman"/>
                <w:color w:val="auto"/>
                <w:sz w:val="24"/>
                <w:szCs w:val="24"/>
                <w:lang w:val="en-US" w:eastAsia="zh-CN"/>
              </w:rPr>
              <w:t>。本项目化学品贮存情况见下表7-</w:t>
            </w:r>
            <w:r>
              <w:rPr>
                <w:rFonts w:hint="eastAsia" w:cs="Times New Roman"/>
                <w:color w:val="auto"/>
                <w:sz w:val="24"/>
                <w:szCs w:val="24"/>
                <w:lang w:val="en-US" w:eastAsia="zh-CN"/>
              </w:rPr>
              <w:t>14</w:t>
            </w:r>
            <w:r>
              <w:rPr>
                <w:rFonts w:hint="default" w:ascii="Times New Roman" w:hAnsi="Times New Roman" w:cs="Times New Roman"/>
                <w:color w:val="auto"/>
                <w:sz w:val="24"/>
                <w:szCs w:val="24"/>
                <w:lang w:val="en-US" w:eastAsia="zh-CN"/>
              </w:rPr>
              <w:t>。</w:t>
            </w:r>
          </w:p>
          <w:p w14:paraId="791CD9C9">
            <w:pPr>
              <w:pStyle w:val="46"/>
              <w:ind w:firstLine="420"/>
              <w:jc w:val="center"/>
              <w:rPr>
                <w:rFonts w:hint="default" w:ascii="Times New Roman" w:hAnsi="Times New Roman" w:eastAsia="黑体" w:cs="Times New Roman"/>
                <w:color w:val="auto"/>
                <w:sz w:val="21"/>
                <w:szCs w:val="21"/>
                <w:lang w:val="en-US" w:eastAsia="zh-CN"/>
              </w:rPr>
            </w:pPr>
            <w:r>
              <w:rPr>
                <w:rFonts w:hint="default" w:ascii="Times New Roman" w:hAnsi="Times New Roman" w:eastAsia="黑体" w:cs="Times New Roman"/>
                <w:color w:val="auto"/>
                <w:sz w:val="21"/>
                <w:szCs w:val="21"/>
                <w:lang w:val="en-US" w:eastAsia="zh-CN"/>
              </w:rPr>
              <w:t>表7-</w:t>
            </w:r>
            <w:r>
              <w:rPr>
                <w:rFonts w:hint="eastAsia" w:ascii="Times New Roman" w:hAnsi="Times New Roman" w:eastAsia="黑体" w:cs="Times New Roman"/>
                <w:color w:val="auto"/>
                <w:sz w:val="21"/>
                <w:szCs w:val="21"/>
                <w:lang w:val="en-US" w:eastAsia="zh-CN"/>
              </w:rPr>
              <w:t>1</w:t>
            </w:r>
            <w:r>
              <w:rPr>
                <w:rFonts w:hint="default" w:ascii="Times New Roman" w:hAnsi="Times New Roman" w:eastAsia="黑体" w:cs="Times New Roman"/>
                <w:color w:val="auto"/>
                <w:sz w:val="21"/>
                <w:szCs w:val="21"/>
                <w:lang w:val="en-US" w:eastAsia="zh-CN"/>
              </w:rPr>
              <w:t>4 主要化学品贮存情况一览表</w:t>
            </w:r>
          </w:p>
          <w:tbl>
            <w:tblPr>
              <w:tblStyle w:val="69"/>
              <w:tblW w:w="902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2430"/>
              <w:gridCol w:w="986"/>
              <w:gridCol w:w="1861"/>
              <w:gridCol w:w="1227"/>
              <w:gridCol w:w="1236"/>
              <w:gridCol w:w="1287"/>
            </w:tblGrid>
            <w:tr w14:paraId="2CE094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83" w:hRule="atLeast"/>
                <w:jc w:val="center"/>
              </w:trPr>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14:paraId="47367F37">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名称</w:t>
                  </w:r>
                </w:p>
              </w:tc>
              <w:tc>
                <w:tcPr>
                  <w:tcW w:w="986" w:type="dxa"/>
                  <w:tcBorders>
                    <w:top w:val="single" w:color="000000" w:sz="4" w:space="0"/>
                    <w:left w:val="nil"/>
                    <w:bottom w:val="single" w:color="000000" w:sz="4" w:space="0"/>
                    <w:right w:val="single" w:color="000000" w:sz="4" w:space="0"/>
                  </w:tcBorders>
                  <w:shd w:val="clear" w:color="auto" w:fill="auto"/>
                  <w:vAlign w:val="top"/>
                </w:tcPr>
                <w:p w14:paraId="2ABB1C89">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单位</w:t>
                  </w:r>
                </w:p>
              </w:tc>
              <w:tc>
                <w:tcPr>
                  <w:tcW w:w="1861" w:type="dxa"/>
                  <w:tcBorders>
                    <w:top w:val="single" w:color="000000" w:sz="4" w:space="0"/>
                    <w:left w:val="nil"/>
                    <w:bottom w:val="single" w:color="000000" w:sz="4" w:space="0"/>
                    <w:right w:val="single" w:color="000000" w:sz="4" w:space="0"/>
                  </w:tcBorders>
                  <w:shd w:val="clear" w:color="auto" w:fill="auto"/>
                  <w:vAlign w:val="top"/>
                </w:tcPr>
                <w:p w14:paraId="2A4037C8">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原材料年用量</w:t>
                  </w:r>
                </w:p>
              </w:tc>
              <w:tc>
                <w:tcPr>
                  <w:tcW w:w="1227" w:type="dxa"/>
                  <w:tcBorders>
                    <w:top w:val="single" w:color="000000" w:sz="4" w:space="0"/>
                    <w:left w:val="nil"/>
                    <w:bottom w:val="single" w:color="000000" w:sz="4" w:space="0"/>
                    <w:right w:val="single" w:color="000000" w:sz="4" w:space="0"/>
                  </w:tcBorders>
                  <w:shd w:val="clear" w:color="auto" w:fill="auto"/>
                  <w:vAlign w:val="top"/>
                </w:tcPr>
                <w:p w14:paraId="634BE1F2">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最大储量</w:t>
                  </w:r>
                </w:p>
              </w:tc>
              <w:tc>
                <w:tcPr>
                  <w:tcW w:w="1236" w:type="dxa"/>
                  <w:tcBorders>
                    <w:top w:val="single" w:color="000000" w:sz="4" w:space="0"/>
                    <w:left w:val="nil"/>
                    <w:bottom w:val="single" w:color="000000" w:sz="4" w:space="0"/>
                    <w:right w:val="single" w:color="000000" w:sz="4" w:space="0"/>
                  </w:tcBorders>
                  <w:shd w:val="clear" w:color="auto" w:fill="auto"/>
                  <w:vAlign w:val="top"/>
                </w:tcPr>
                <w:p w14:paraId="1F49CDFE">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包装方式</w:t>
                  </w:r>
                </w:p>
              </w:tc>
              <w:tc>
                <w:tcPr>
                  <w:tcW w:w="1287" w:type="dxa"/>
                  <w:tcBorders>
                    <w:top w:val="single" w:color="000000" w:sz="4" w:space="0"/>
                    <w:left w:val="nil"/>
                    <w:bottom w:val="single" w:color="000000" w:sz="4" w:space="0"/>
                    <w:right w:val="single" w:color="000000" w:sz="4" w:space="0"/>
                  </w:tcBorders>
                  <w:shd w:val="clear" w:color="auto" w:fill="auto"/>
                  <w:vAlign w:val="top"/>
                </w:tcPr>
                <w:p w14:paraId="10D3EC33">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储存地点</w:t>
                  </w:r>
                </w:p>
              </w:tc>
            </w:tr>
            <w:tr w14:paraId="2DF614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atLeast"/>
                <w:jc w:val="center"/>
              </w:trPr>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14:paraId="466DAB33">
                  <w:pPr>
                    <w:adjustRightInd w:val="0"/>
                    <w:snapToGrid w:val="0"/>
                    <w:jc w:val="center"/>
                    <w:rPr>
                      <w:rFonts w:hint="eastAsia"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聚醚多元醇</w:t>
                  </w:r>
                </w:p>
              </w:tc>
              <w:tc>
                <w:tcPr>
                  <w:tcW w:w="986" w:type="dxa"/>
                  <w:tcBorders>
                    <w:top w:val="single" w:color="000000" w:sz="4" w:space="0"/>
                    <w:left w:val="nil"/>
                    <w:bottom w:val="single" w:color="000000" w:sz="4" w:space="0"/>
                    <w:right w:val="single" w:color="000000" w:sz="4" w:space="0"/>
                  </w:tcBorders>
                  <w:shd w:val="clear" w:color="auto" w:fill="auto"/>
                  <w:vAlign w:val="top"/>
                </w:tcPr>
                <w:p w14:paraId="3B254477">
                  <w:pPr>
                    <w:adjustRightInd w:val="0"/>
                    <w:snapToGrid w:val="0"/>
                    <w:jc w:val="center"/>
                    <w:rPr>
                      <w:rFonts w:hint="default" w:ascii="Times New Roman" w:hAnsi="Times New Roman" w:cs="Times New Roman"/>
                      <w:color w:val="000000" w:themeColor="text1"/>
                      <w:szCs w:val="21"/>
                      <w:lang w:val="en-US"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t/a</w:t>
                  </w:r>
                </w:p>
              </w:tc>
              <w:tc>
                <w:tcPr>
                  <w:tcW w:w="1861" w:type="dxa"/>
                  <w:tcBorders>
                    <w:top w:val="single" w:color="000000" w:sz="4" w:space="0"/>
                    <w:left w:val="nil"/>
                    <w:bottom w:val="single" w:color="000000" w:sz="4" w:space="0"/>
                    <w:right w:val="single" w:color="000000" w:sz="4" w:space="0"/>
                  </w:tcBorders>
                  <w:shd w:val="clear" w:color="auto" w:fill="auto"/>
                  <w:vAlign w:val="top"/>
                </w:tcPr>
                <w:p w14:paraId="5ACCF594">
                  <w:pPr>
                    <w:adjustRightInd w:val="0"/>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7</w:t>
                  </w:r>
                </w:p>
              </w:tc>
              <w:tc>
                <w:tcPr>
                  <w:tcW w:w="1227" w:type="dxa"/>
                  <w:tcBorders>
                    <w:top w:val="single" w:color="000000" w:sz="4" w:space="0"/>
                    <w:left w:val="nil"/>
                    <w:bottom w:val="single" w:color="000000" w:sz="4" w:space="0"/>
                    <w:right w:val="single" w:color="000000" w:sz="4" w:space="0"/>
                  </w:tcBorders>
                  <w:shd w:val="clear" w:color="auto" w:fill="auto"/>
                  <w:vAlign w:val="top"/>
                </w:tcPr>
                <w:p w14:paraId="304B9B69">
                  <w:pPr>
                    <w:adjustRightInd w:val="0"/>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1</w:t>
                  </w:r>
                </w:p>
              </w:tc>
              <w:tc>
                <w:tcPr>
                  <w:tcW w:w="1236" w:type="dxa"/>
                  <w:tcBorders>
                    <w:top w:val="single" w:color="000000" w:sz="4" w:space="0"/>
                    <w:left w:val="nil"/>
                    <w:bottom w:val="single" w:color="000000" w:sz="4" w:space="0"/>
                    <w:right w:val="single" w:color="000000" w:sz="4" w:space="0"/>
                  </w:tcBorders>
                  <w:shd w:val="clear" w:color="auto" w:fill="auto"/>
                  <w:vAlign w:val="top"/>
                </w:tcPr>
                <w:p w14:paraId="0890182A">
                  <w:pPr>
                    <w:adjustRightInd w:val="0"/>
                    <w:snapToGrid w:val="0"/>
                    <w:jc w:val="center"/>
                    <w:rPr>
                      <w:rFonts w:hint="default" w:ascii="Times New Roman" w:hAnsi="Times New Roman" w:cs="Times New Roman"/>
                      <w:color w:val="000000" w:themeColor="text1"/>
                      <w:szCs w:val="21"/>
                      <w:lang w:val="en-US"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桶装</w:t>
                  </w:r>
                </w:p>
              </w:tc>
              <w:tc>
                <w:tcPr>
                  <w:tcW w:w="1287" w:type="dxa"/>
                  <w:tcBorders>
                    <w:top w:val="single" w:color="000000" w:sz="4" w:space="0"/>
                    <w:left w:val="nil"/>
                    <w:bottom w:val="single" w:color="000000" w:sz="4" w:space="0"/>
                    <w:right w:val="single" w:color="000000" w:sz="4" w:space="0"/>
                  </w:tcBorders>
                  <w:shd w:val="clear" w:color="auto" w:fill="auto"/>
                  <w:vAlign w:val="top"/>
                </w:tcPr>
                <w:p w14:paraId="35BDCFCE">
                  <w:pPr>
                    <w:adjustRightInd w:val="0"/>
                    <w:snapToGrid w:val="0"/>
                    <w:jc w:val="center"/>
                    <w:rPr>
                      <w:rFonts w:hint="default" w:ascii="Times New Roman" w:hAnsi="Times New Roman" w:cs="Times New Roman"/>
                      <w:color w:val="000000" w:themeColor="text1"/>
                      <w:szCs w:val="21"/>
                      <w:lang w:val="en-US"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库房</w:t>
                  </w:r>
                </w:p>
              </w:tc>
            </w:tr>
            <w:tr w14:paraId="1F19EA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atLeast"/>
                <w:jc w:val="center"/>
              </w:trPr>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14:paraId="6203D6EA">
                  <w:pPr>
                    <w:adjustRightInd w:val="0"/>
                    <w:snapToGrid w:val="0"/>
                    <w:jc w:val="center"/>
                    <w:rPr>
                      <w:rFonts w:hint="eastAsia"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碳化二亚胺改性MDI</w:t>
                  </w:r>
                </w:p>
              </w:tc>
              <w:tc>
                <w:tcPr>
                  <w:tcW w:w="986" w:type="dxa"/>
                  <w:tcBorders>
                    <w:top w:val="single" w:color="000000" w:sz="4" w:space="0"/>
                    <w:left w:val="nil"/>
                    <w:bottom w:val="single" w:color="000000" w:sz="4" w:space="0"/>
                    <w:right w:val="single" w:color="000000" w:sz="4" w:space="0"/>
                  </w:tcBorders>
                  <w:shd w:val="clear" w:color="auto" w:fill="auto"/>
                  <w:vAlign w:val="top"/>
                </w:tcPr>
                <w:p w14:paraId="5028D6E3">
                  <w:pPr>
                    <w:adjustRightInd w:val="0"/>
                    <w:snapToGrid w:val="0"/>
                    <w:jc w:val="center"/>
                    <w:rPr>
                      <w:rFonts w:hint="default" w:ascii="Times New Roman" w:hAnsi="Times New Roman" w:cs="Times New Roman"/>
                      <w:color w:val="000000" w:themeColor="text1"/>
                      <w:szCs w:val="21"/>
                      <w:lang w:val="en-US"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t/a</w:t>
                  </w:r>
                </w:p>
              </w:tc>
              <w:tc>
                <w:tcPr>
                  <w:tcW w:w="1861" w:type="dxa"/>
                  <w:tcBorders>
                    <w:top w:val="single" w:color="000000" w:sz="4" w:space="0"/>
                    <w:left w:val="nil"/>
                    <w:bottom w:val="single" w:color="000000" w:sz="4" w:space="0"/>
                    <w:right w:val="single" w:color="000000" w:sz="4" w:space="0"/>
                  </w:tcBorders>
                  <w:shd w:val="clear" w:color="auto" w:fill="auto"/>
                  <w:vAlign w:val="top"/>
                </w:tcPr>
                <w:p w14:paraId="0FC90419">
                  <w:pPr>
                    <w:adjustRightInd w:val="0"/>
                    <w:snapToGrid w:val="0"/>
                    <w:jc w:val="center"/>
                    <w:rPr>
                      <w:rFonts w:hint="eastAsia"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3</w:t>
                  </w:r>
                </w:p>
              </w:tc>
              <w:tc>
                <w:tcPr>
                  <w:tcW w:w="1227" w:type="dxa"/>
                  <w:tcBorders>
                    <w:top w:val="single" w:color="000000" w:sz="4" w:space="0"/>
                    <w:left w:val="nil"/>
                    <w:bottom w:val="single" w:color="000000" w:sz="4" w:space="0"/>
                    <w:right w:val="single" w:color="000000" w:sz="4" w:space="0"/>
                  </w:tcBorders>
                  <w:shd w:val="clear" w:color="auto" w:fill="auto"/>
                  <w:vAlign w:val="top"/>
                </w:tcPr>
                <w:p w14:paraId="342F839C">
                  <w:pPr>
                    <w:adjustRightInd w:val="0"/>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1</w:t>
                  </w:r>
                </w:p>
              </w:tc>
              <w:tc>
                <w:tcPr>
                  <w:tcW w:w="1236" w:type="dxa"/>
                  <w:tcBorders>
                    <w:top w:val="single" w:color="000000" w:sz="4" w:space="0"/>
                    <w:left w:val="nil"/>
                    <w:bottom w:val="single" w:color="000000" w:sz="4" w:space="0"/>
                    <w:right w:val="single" w:color="000000" w:sz="4" w:space="0"/>
                  </w:tcBorders>
                  <w:shd w:val="clear" w:color="auto" w:fill="auto"/>
                  <w:vAlign w:val="top"/>
                </w:tcPr>
                <w:p w14:paraId="0D6377E3">
                  <w:pPr>
                    <w:adjustRightInd w:val="0"/>
                    <w:snapToGrid w:val="0"/>
                    <w:jc w:val="center"/>
                    <w:rPr>
                      <w:rFonts w:hint="default" w:ascii="Times New Roman" w:hAnsi="Times New Roman" w:cs="Times New Roman"/>
                      <w:color w:val="000000" w:themeColor="text1"/>
                      <w:szCs w:val="21"/>
                      <w:lang w:val="en-US"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桶装</w:t>
                  </w:r>
                </w:p>
              </w:tc>
              <w:tc>
                <w:tcPr>
                  <w:tcW w:w="1287" w:type="dxa"/>
                  <w:tcBorders>
                    <w:top w:val="single" w:color="000000" w:sz="4" w:space="0"/>
                    <w:left w:val="nil"/>
                    <w:bottom w:val="single" w:color="000000" w:sz="4" w:space="0"/>
                    <w:right w:val="single" w:color="000000" w:sz="4" w:space="0"/>
                  </w:tcBorders>
                  <w:shd w:val="clear" w:color="auto" w:fill="auto"/>
                  <w:vAlign w:val="top"/>
                </w:tcPr>
                <w:p w14:paraId="790749F7">
                  <w:pPr>
                    <w:adjustRightInd w:val="0"/>
                    <w:snapToGrid w:val="0"/>
                    <w:jc w:val="center"/>
                    <w:rPr>
                      <w:rFonts w:hint="default" w:ascii="Times New Roman" w:hAnsi="Times New Roman" w:cs="Times New Roman"/>
                      <w:color w:val="000000" w:themeColor="text1"/>
                      <w:szCs w:val="21"/>
                      <w:lang w:val="en-US"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库房</w:t>
                  </w:r>
                </w:p>
              </w:tc>
            </w:tr>
            <w:tr w14:paraId="322B73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atLeast"/>
                <w:jc w:val="center"/>
              </w:trPr>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14:paraId="37197DF7">
                  <w:pPr>
                    <w:adjustRightInd w:val="0"/>
                    <w:snapToGrid w:val="0"/>
                    <w:jc w:val="center"/>
                    <w:rPr>
                      <w:rFonts w:hint="eastAsia" w:ascii="Times New Roman" w:hAnsi="Times New Roman" w:eastAsia="宋体" w:cs="Times New Roman"/>
                      <w:color w:val="000000" w:themeColor="text1"/>
                      <w:szCs w:val="21"/>
                      <w:lang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润滑油</w:t>
                  </w:r>
                </w:p>
              </w:tc>
              <w:tc>
                <w:tcPr>
                  <w:tcW w:w="986" w:type="dxa"/>
                  <w:tcBorders>
                    <w:top w:val="single" w:color="000000" w:sz="4" w:space="0"/>
                    <w:left w:val="nil"/>
                    <w:bottom w:val="single" w:color="000000" w:sz="4" w:space="0"/>
                    <w:right w:val="single" w:color="000000" w:sz="4" w:space="0"/>
                  </w:tcBorders>
                  <w:shd w:val="clear" w:color="auto" w:fill="auto"/>
                  <w:vAlign w:val="top"/>
                </w:tcPr>
                <w:p w14:paraId="04924E1E">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L</w:t>
                  </w:r>
                  <w:r>
                    <w:rPr>
                      <w:rFonts w:hint="default" w:ascii="Times New Roman" w:hAnsi="Times New Roman" w:cs="Times New Roman"/>
                      <w:color w:val="000000" w:themeColor="text1"/>
                      <w:szCs w:val="21"/>
                      <w:lang w:val="en-US" w:eastAsia="en-US"/>
                      <w14:textFill>
                        <w14:solidFill>
                          <w14:schemeClr w14:val="tx1"/>
                        </w14:solidFill>
                      </w14:textFill>
                    </w:rPr>
                    <w:t>/a</w:t>
                  </w:r>
                </w:p>
              </w:tc>
              <w:tc>
                <w:tcPr>
                  <w:tcW w:w="1861" w:type="dxa"/>
                  <w:tcBorders>
                    <w:top w:val="single" w:color="000000" w:sz="4" w:space="0"/>
                    <w:left w:val="nil"/>
                    <w:bottom w:val="single" w:color="000000" w:sz="4" w:space="0"/>
                    <w:right w:val="single" w:color="000000" w:sz="4" w:space="0"/>
                  </w:tcBorders>
                  <w:shd w:val="clear" w:color="auto" w:fill="auto"/>
                  <w:vAlign w:val="top"/>
                </w:tcPr>
                <w:p w14:paraId="7E31E550">
                  <w:pPr>
                    <w:adjustRightInd w:val="0"/>
                    <w:snapToGrid w:val="0"/>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50</w:t>
                  </w:r>
                </w:p>
              </w:tc>
              <w:tc>
                <w:tcPr>
                  <w:tcW w:w="1227" w:type="dxa"/>
                  <w:tcBorders>
                    <w:top w:val="single" w:color="000000" w:sz="4" w:space="0"/>
                    <w:left w:val="nil"/>
                    <w:bottom w:val="single" w:color="000000" w:sz="4" w:space="0"/>
                    <w:right w:val="single" w:color="000000" w:sz="4" w:space="0"/>
                  </w:tcBorders>
                  <w:shd w:val="clear" w:color="auto" w:fill="auto"/>
                  <w:vAlign w:val="top"/>
                </w:tcPr>
                <w:p w14:paraId="2B3D2F1F">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50</w:t>
                  </w:r>
                </w:p>
              </w:tc>
              <w:tc>
                <w:tcPr>
                  <w:tcW w:w="1236" w:type="dxa"/>
                  <w:tcBorders>
                    <w:top w:val="single" w:color="000000" w:sz="4" w:space="0"/>
                    <w:left w:val="nil"/>
                    <w:bottom w:val="single" w:color="000000" w:sz="4" w:space="0"/>
                    <w:right w:val="single" w:color="000000" w:sz="4" w:space="0"/>
                  </w:tcBorders>
                  <w:shd w:val="clear" w:color="auto" w:fill="auto"/>
                  <w:vAlign w:val="top"/>
                </w:tcPr>
                <w:p w14:paraId="2A32CB87">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桶装</w:t>
                  </w:r>
                </w:p>
              </w:tc>
              <w:tc>
                <w:tcPr>
                  <w:tcW w:w="1287" w:type="dxa"/>
                  <w:tcBorders>
                    <w:top w:val="single" w:color="000000" w:sz="4" w:space="0"/>
                    <w:left w:val="nil"/>
                    <w:bottom w:val="single" w:color="000000" w:sz="4" w:space="0"/>
                    <w:right w:val="single" w:color="000000" w:sz="4" w:space="0"/>
                  </w:tcBorders>
                  <w:shd w:val="clear" w:color="auto" w:fill="auto"/>
                  <w:vAlign w:val="top"/>
                </w:tcPr>
                <w:p w14:paraId="58C57EEA">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库房</w:t>
                  </w:r>
                </w:p>
              </w:tc>
            </w:tr>
            <w:tr w14:paraId="78731C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atLeast"/>
                <w:jc w:val="center"/>
              </w:trPr>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14:paraId="6A34A30B">
                  <w:pPr>
                    <w:adjustRightInd w:val="0"/>
                    <w:snapToGrid w:val="0"/>
                    <w:jc w:val="center"/>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液压油</w:t>
                  </w:r>
                </w:p>
              </w:tc>
              <w:tc>
                <w:tcPr>
                  <w:tcW w:w="986" w:type="dxa"/>
                  <w:tcBorders>
                    <w:top w:val="single" w:color="000000" w:sz="4" w:space="0"/>
                    <w:left w:val="nil"/>
                    <w:bottom w:val="single" w:color="000000" w:sz="4" w:space="0"/>
                    <w:right w:val="single" w:color="000000" w:sz="4" w:space="0"/>
                  </w:tcBorders>
                  <w:shd w:val="clear" w:color="auto" w:fill="auto"/>
                  <w:vAlign w:val="top"/>
                </w:tcPr>
                <w:p w14:paraId="484B9557">
                  <w:pPr>
                    <w:adjustRightInd w:val="0"/>
                    <w:snapToGrid w:val="0"/>
                    <w:jc w:val="center"/>
                    <w:rPr>
                      <w:rFonts w:hint="default" w:ascii="Times New Roman" w:hAnsi="Times New Roman" w:cs="Times New Roman"/>
                      <w:color w:val="000000" w:themeColor="text1"/>
                      <w:szCs w:val="21"/>
                      <w:lang w:val="en-US" w:eastAsia="zh-CN"/>
                      <w14:textFill>
                        <w14:solidFill>
                          <w14:schemeClr w14:val="tx1"/>
                        </w14:solidFill>
                      </w14:textFill>
                    </w:rPr>
                  </w:pPr>
                  <w:r>
                    <w:rPr>
                      <w:rFonts w:hint="default" w:ascii="Times New Roman" w:hAnsi="Times New Roman" w:cs="Times New Roman"/>
                      <w:color w:val="000000" w:themeColor="text1"/>
                      <w:szCs w:val="21"/>
                      <w:lang w:val="en-US" w:eastAsia="zh-CN"/>
                      <w14:textFill>
                        <w14:solidFill>
                          <w14:schemeClr w14:val="tx1"/>
                        </w14:solidFill>
                      </w14:textFill>
                    </w:rPr>
                    <w:t>L/a</w:t>
                  </w:r>
                </w:p>
              </w:tc>
              <w:tc>
                <w:tcPr>
                  <w:tcW w:w="1861" w:type="dxa"/>
                  <w:tcBorders>
                    <w:top w:val="single" w:color="000000" w:sz="4" w:space="0"/>
                    <w:left w:val="nil"/>
                    <w:bottom w:val="single" w:color="000000" w:sz="4" w:space="0"/>
                    <w:right w:val="single" w:color="000000" w:sz="4" w:space="0"/>
                  </w:tcBorders>
                  <w:shd w:val="clear" w:color="auto" w:fill="auto"/>
                  <w:vAlign w:val="top"/>
                </w:tcPr>
                <w:p w14:paraId="329FD456">
                  <w:pPr>
                    <w:adjustRightInd w:val="0"/>
                    <w:snapToGrid w:val="0"/>
                    <w:jc w:val="center"/>
                    <w:rPr>
                      <w:rFonts w:hint="default" w:ascii="Times New Roman" w:hAnsi="Times New Roman" w:cs="Times New Roman"/>
                      <w:color w:val="000000" w:themeColor="text1"/>
                      <w:szCs w:val="21"/>
                      <w:lang w:val="en-US" w:eastAsia="zh-CN"/>
                      <w14:textFill>
                        <w14:solidFill>
                          <w14:schemeClr w14:val="tx1"/>
                        </w14:solidFill>
                      </w14:textFill>
                    </w:rPr>
                  </w:pPr>
                  <w:r>
                    <w:rPr>
                      <w:rFonts w:hint="default" w:ascii="Times New Roman" w:hAnsi="Times New Roman" w:cs="Times New Roman"/>
                      <w:color w:val="000000" w:themeColor="text1"/>
                      <w:szCs w:val="21"/>
                      <w:lang w:val="en-US" w:eastAsia="zh-CN"/>
                      <w14:textFill>
                        <w14:solidFill>
                          <w14:schemeClr w14:val="tx1"/>
                        </w14:solidFill>
                      </w14:textFill>
                    </w:rPr>
                    <w:t>50</w:t>
                  </w:r>
                </w:p>
              </w:tc>
              <w:tc>
                <w:tcPr>
                  <w:tcW w:w="1227" w:type="dxa"/>
                  <w:tcBorders>
                    <w:top w:val="single" w:color="000000" w:sz="4" w:space="0"/>
                    <w:left w:val="nil"/>
                    <w:bottom w:val="single" w:color="000000" w:sz="4" w:space="0"/>
                    <w:right w:val="single" w:color="000000" w:sz="4" w:space="0"/>
                  </w:tcBorders>
                  <w:shd w:val="clear" w:color="auto" w:fill="auto"/>
                  <w:vAlign w:val="top"/>
                </w:tcPr>
                <w:p w14:paraId="7B3FE597">
                  <w:pPr>
                    <w:adjustRightInd w:val="0"/>
                    <w:snapToGrid w:val="0"/>
                    <w:jc w:val="center"/>
                    <w:rPr>
                      <w:rFonts w:hint="default" w:ascii="Times New Roman" w:hAnsi="Times New Roman" w:cs="Times New Roman"/>
                      <w:color w:val="000000" w:themeColor="text1"/>
                      <w:szCs w:val="21"/>
                      <w:lang w:val="en-US" w:eastAsia="zh-CN"/>
                      <w14:textFill>
                        <w14:solidFill>
                          <w14:schemeClr w14:val="tx1"/>
                        </w14:solidFill>
                      </w14:textFill>
                    </w:rPr>
                  </w:pPr>
                  <w:r>
                    <w:rPr>
                      <w:rFonts w:hint="default" w:ascii="Times New Roman" w:hAnsi="Times New Roman" w:cs="Times New Roman"/>
                      <w:color w:val="000000" w:themeColor="text1"/>
                      <w:szCs w:val="21"/>
                      <w:lang w:val="en-US" w:eastAsia="zh-CN"/>
                      <w14:textFill>
                        <w14:solidFill>
                          <w14:schemeClr w14:val="tx1"/>
                        </w14:solidFill>
                      </w14:textFill>
                    </w:rPr>
                    <w:t>50</w:t>
                  </w:r>
                </w:p>
              </w:tc>
              <w:tc>
                <w:tcPr>
                  <w:tcW w:w="1236" w:type="dxa"/>
                  <w:tcBorders>
                    <w:top w:val="single" w:color="000000" w:sz="4" w:space="0"/>
                    <w:left w:val="nil"/>
                    <w:bottom w:val="single" w:color="000000" w:sz="4" w:space="0"/>
                    <w:right w:val="single" w:color="000000" w:sz="4" w:space="0"/>
                  </w:tcBorders>
                  <w:shd w:val="clear" w:color="auto" w:fill="auto"/>
                  <w:vAlign w:val="top"/>
                </w:tcPr>
                <w:p w14:paraId="7BA5BA1A">
                  <w:pPr>
                    <w:adjustRightInd w:val="0"/>
                    <w:snapToGrid w:val="0"/>
                    <w:jc w:val="center"/>
                    <w:rPr>
                      <w:rFonts w:hint="default" w:ascii="Times New Roman" w:hAnsi="Times New Roman" w:cs="Times New Roman"/>
                      <w:color w:val="000000" w:themeColor="text1"/>
                      <w:szCs w:val="21"/>
                      <w:lang w:val="en-US"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桶装</w:t>
                  </w:r>
                </w:p>
              </w:tc>
              <w:tc>
                <w:tcPr>
                  <w:tcW w:w="1287" w:type="dxa"/>
                  <w:tcBorders>
                    <w:top w:val="single" w:color="000000" w:sz="4" w:space="0"/>
                    <w:left w:val="nil"/>
                    <w:bottom w:val="single" w:color="000000" w:sz="4" w:space="0"/>
                    <w:right w:val="single" w:color="000000" w:sz="4" w:space="0"/>
                  </w:tcBorders>
                  <w:shd w:val="clear" w:color="auto" w:fill="auto"/>
                  <w:vAlign w:val="top"/>
                </w:tcPr>
                <w:p w14:paraId="5D225087">
                  <w:pPr>
                    <w:adjustRightInd w:val="0"/>
                    <w:snapToGrid w:val="0"/>
                    <w:jc w:val="center"/>
                    <w:rPr>
                      <w:rFonts w:hint="default" w:ascii="Times New Roman" w:hAnsi="Times New Roman" w:cs="Times New Roman"/>
                      <w:color w:val="000000" w:themeColor="text1"/>
                      <w:szCs w:val="21"/>
                      <w:lang w:val="en-US" w:eastAsia="zh-CN"/>
                      <w14:textFill>
                        <w14:solidFill>
                          <w14:schemeClr w14:val="tx1"/>
                        </w14:solidFill>
                      </w14:textFill>
                    </w:rPr>
                  </w:pPr>
                  <w:r>
                    <w:rPr>
                      <w:rFonts w:hint="default" w:ascii="Times New Roman" w:hAnsi="Times New Roman" w:cs="Times New Roman"/>
                      <w:color w:val="000000" w:themeColor="text1"/>
                      <w:szCs w:val="21"/>
                      <w:lang w:val="en-US" w:eastAsia="zh-CN"/>
                      <w14:textFill>
                        <w14:solidFill>
                          <w14:schemeClr w14:val="tx1"/>
                        </w14:solidFill>
                      </w14:textFill>
                    </w:rPr>
                    <w:t>库房</w:t>
                  </w:r>
                </w:p>
              </w:tc>
            </w:tr>
          </w:tbl>
          <w:p w14:paraId="3FC1F57C">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本项目所涉及</w:t>
            </w:r>
            <w:r>
              <w:rPr>
                <w:rFonts w:hint="eastAsia" w:cs="Times New Roman"/>
                <w:color w:val="auto"/>
                <w:sz w:val="24"/>
                <w:szCs w:val="24"/>
                <w:lang w:val="en-US" w:eastAsia="zh-CN"/>
              </w:rPr>
              <w:t>润滑油</w:t>
            </w:r>
            <w:r>
              <w:rPr>
                <w:rFonts w:hint="default" w:ascii="Times New Roman" w:hAnsi="Times New Roman" w:cs="Times New Roman"/>
                <w:color w:val="auto"/>
                <w:sz w:val="24"/>
                <w:szCs w:val="24"/>
                <w:lang w:val="en-US" w:eastAsia="zh-CN"/>
              </w:rPr>
              <w:t>、</w:t>
            </w:r>
            <w:r>
              <w:rPr>
                <w:rFonts w:hint="eastAsia" w:cs="Times New Roman"/>
                <w:color w:val="auto"/>
                <w:sz w:val="24"/>
                <w:szCs w:val="24"/>
                <w:lang w:val="en-US" w:eastAsia="zh-CN"/>
              </w:rPr>
              <w:t>液压油</w:t>
            </w:r>
            <w:r>
              <w:rPr>
                <w:rFonts w:hint="default" w:ascii="Times New Roman" w:hAnsi="Times New Roman" w:cs="Times New Roman"/>
                <w:color w:val="auto"/>
                <w:sz w:val="24"/>
                <w:szCs w:val="24"/>
                <w:lang w:val="en-US" w:eastAsia="zh-CN"/>
              </w:rPr>
              <w:t>、碳化二亚胺改性MDI</w:t>
            </w:r>
            <w:r>
              <w:rPr>
                <w:rFonts w:hint="eastAsia" w:cs="Times New Roman"/>
                <w:color w:val="auto"/>
                <w:sz w:val="24"/>
                <w:szCs w:val="24"/>
                <w:lang w:val="en-US" w:eastAsia="zh-CN"/>
              </w:rPr>
              <w:t>、聚醚多元醇</w:t>
            </w:r>
            <w:r>
              <w:rPr>
                <w:rFonts w:hint="default" w:ascii="Times New Roman" w:hAnsi="Times New Roman" w:cs="Times New Roman"/>
                <w:color w:val="auto"/>
                <w:sz w:val="24"/>
                <w:szCs w:val="24"/>
                <w:lang w:val="en-US" w:eastAsia="zh-CN"/>
              </w:rPr>
              <w:t>等以卡车运输到厂区内，并用搬运车将其运至专门的储存区域单独存放，其他原辅材料存放于车间内的原料库。</w:t>
            </w:r>
          </w:p>
          <w:p w14:paraId="1ACB66A2">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2、风险类型</w:t>
            </w:r>
          </w:p>
          <w:p w14:paraId="6E3252A6">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针对本项目的生产特点，对可能发生的事故风险进行环境影响分析很有必要，以便提出防范及应急措施，力求将环境风险降至最低。根据对同类项目类比调查，项目事故风险类型确定为火灾事故。</w:t>
            </w:r>
          </w:p>
          <w:p w14:paraId="75944D6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3、评价工作等级</w:t>
            </w:r>
          </w:p>
          <w:p w14:paraId="5433571E">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根据《建设项目环境风险评价技术导则》所规定风险评价的工作等级</w:t>
            </w:r>
            <w:r>
              <w:rPr>
                <w:rFonts w:hint="eastAsia" w:cs="Times New Roman"/>
                <w:color w:val="auto"/>
                <w:sz w:val="24"/>
                <w:szCs w:val="24"/>
                <w:lang w:val="en-US" w:eastAsia="zh-CN"/>
              </w:rPr>
              <w:t>分二</w:t>
            </w:r>
            <w:r>
              <w:rPr>
                <w:rFonts w:hint="default" w:ascii="Times New Roman" w:hAnsi="Times New Roman" w:cs="Times New Roman"/>
                <w:color w:val="auto"/>
                <w:sz w:val="24"/>
                <w:szCs w:val="24"/>
                <w:lang w:val="en-US" w:eastAsia="zh-CN"/>
              </w:rPr>
              <w:t>级，详见下表7-</w:t>
            </w:r>
            <w:r>
              <w:rPr>
                <w:rFonts w:hint="eastAsia" w:cs="Times New Roman"/>
                <w:color w:val="auto"/>
                <w:sz w:val="24"/>
                <w:szCs w:val="24"/>
                <w:lang w:val="en-US" w:eastAsia="zh-CN"/>
              </w:rPr>
              <w:t>15</w:t>
            </w:r>
            <w:r>
              <w:rPr>
                <w:rFonts w:hint="default" w:ascii="Times New Roman" w:hAnsi="Times New Roman" w:cs="Times New Roman"/>
                <w:color w:val="auto"/>
                <w:sz w:val="24"/>
                <w:szCs w:val="24"/>
                <w:lang w:val="en-US" w:eastAsia="zh-CN"/>
              </w:rPr>
              <w:t>：</w:t>
            </w:r>
          </w:p>
          <w:p w14:paraId="692B36DE">
            <w:pPr>
              <w:pStyle w:val="46"/>
              <w:ind w:firstLine="420"/>
              <w:jc w:val="center"/>
              <w:rPr>
                <w:rFonts w:hint="default" w:ascii="Times New Roman" w:hAnsi="Times New Roman" w:eastAsia="黑体" w:cs="Times New Roman"/>
                <w:color w:val="auto"/>
                <w:sz w:val="21"/>
                <w:szCs w:val="21"/>
                <w:lang w:val="en-US" w:eastAsia="zh-CN"/>
              </w:rPr>
            </w:pPr>
            <w:r>
              <w:rPr>
                <w:rFonts w:hint="default" w:ascii="Times New Roman" w:hAnsi="Times New Roman" w:eastAsia="黑体" w:cs="Times New Roman"/>
                <w:color w:val="auto"/>
                <w:sz w:val="21"/>
                <w:szCs w:val="21"/>
                <w:lang w:val="en-US" w:eastAsia="zh-CN"/>
              </w:rPr>
              <w:t>表7-</w:t>
            </w:r>
            <w:r>
              <w:rPr>
                <w:rFonts w:hint="eastAsia" w:eastAsia="黑体" w:cs="Times New Roman"/>
                <w:color w:val="auto"/>
                <w:sz w:val="21"/>
                <w:szCs w:val="21"/>
                <w:lang w:val="en-US" w:eastAsia="zh-CN"/>
              </w:rPr>
              <w:t>15</w:t>
            </w:r>
            <w:r>
              <w:rPr>
                <w:rFonts w:hint="default" w:ascii="Times New Roman" w:hAnsi="Times New Roman" w:eastAsia="黑体" w:cs="Times New Roman"/>
                <w:color w:val="auto"/>
                <w:sz w:val="21"/>
                <w:szCs w:val="21"/>
                <w:lang w:val="en-US" w:eastAsia="zh-CN"/>
              </w:rPr>
              <w:t xml:space="preserve"> 评价工作级别</w:t>
            </w:r>
          </w:p>
          <w:tbl>
            <w:tblPr>
              <w:tblStyle w:val="69"/>
              <w:tblW w:w="894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605"/>
              <w:gridCol w:w="1701"/>
              <w:gridCol w:w="1843"/>
              <w:gridCol w:w="2008"/>
              <w:gridCol w:w="1790"/>
            </w:tblGrid>
            <w:tr w14:paraId="5C021A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65" w:hRule="atLeast"/>
                <w:jc w:val="center"/>
              </w:trPr>
              <w:tc>
                <w:tcPr>
                  <w:tcW w:w="16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CA98C9">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p>
              </w:tc>
              <w:tc>
                <w:tcPr>
                  <w:tcW w:w="1701" w:type="dxa"/>
                  <w:tcBorders>
                    <w:top w:val="single" w:color="000000" w:sz="4" w:space="0"/>
                    <w:left w:val="nil"/>
                    <w:bottom w:val="single" w:color="000000" w:sz="4" w:space="0"/>
                    <w:right w:val="single" w:color="000000" w:sz="4" w:space="0"/>
                  </w:tcBorders>
                  <w:shd w:val="clear" w:color="auto" w:fill="auto"/>
                  <w:vAlign w:val="center"/>
                </w:tcPr>
                <w:p w14:paraId="60C3E564">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剧毒危险性物质</w:t>
                  </w:r>
                </w:p>
              </w:tc>
              <w:tc>
                <w:tcPr>
                  <w:tcW w:w="1843" w:type="dxa"/>
                  <w:tcBorders>
                    <w:top w:val="single" w:color="000000" w:sz="4" w:space="0"/>
                    <w:left w:val="nil"/>
                    <w:bottom w:val="single" w:color="000000" w:sz="4" w:space="0"/>
                    <w:right w:val="single" w:color="000000" w:sz="4" w:space="0"/>
                  </w:tcBorders>
                  <w:shd w:val="clear" w:color="auto" w:fill="auto"/>
                  <w:vAlign w:val="center"/>
                </w:tcPr>
                <w:p w14:paraId="5356F3BC">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一般毒性危险物质</w:t>
                  </w:r>
                </w:p>
              </w:tc>
              <w:tc>
                <w:tcPr>
                  <w:tcW w:w="2008" w:type="dxa"/>
                  <w:tcBorders>
                    <w:top w:val="single" w:color="000000" w:sz="4" w:space="0"/>
                    <w:left w:val="nil"/>
                    <w:bottom w:val="single" w:color="000000" w:sz="4" w:space="0"/>
                    <w:right w:val="single" w:color="000000" w:sz="4" w:space="0"/>
                  </w:tcBorders>
                  <w:shd w:val="clear" w:color="auto" w:fill="auto"/>
                  <w:vAlign w:val="center"/>
                </w:tcPr>
                <w:p w14:paraId="7E779140">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可燃、易燃危险性物质</w:t>
                  </w:r>
                </w:p>
              </w:tc>
              <w:tc>
                <w:tcPr>
                  <w:tcW w:w="1790" w:type="dxa"/>
                  <w:tcBorders>
                    <w:top w:val="single" w:color="000000" w:sz="4" w:space="0"/>
                    <w:left w:val="nil"/>
                    <w:bottom w:val="single" w:color="000000" w:sz="4" w:space="0"/>
                    <w:right w:val="single" w:color="000000" w:sz="4" w:space="0"/>
                  </w:tcBorders>
                  <w:shd w:val="clear" w:color="auto" w:fill="auto"/>
                  <w:vAlign w:val="center"/>
                </w:tcPr>
                <w:p w14:paraId="061E0034">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爆炸危险性物质</w:t>
                  </w:r>
                </w:p>
              </w:tc>
            </w:tr>
            <w:tr w14:paraId="727A68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6" w:hRule="atLeast"/>
                <w:jc w:val="center"/>
              </w:trPr>
              <w:tc>
                <w:tcPr>
                  <w:tcW w:w="16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3CAC53">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重大危险源</w:t>
                  </w:r>
                </w:p>
              </w:tc>
              <w:tc>
                <w:tcPr>
                  <w:tcW w:w="1701" w:type="dxa"/>
                  <w:tcBorders>
                    <w:top w:val="single" w:color="000000" w:sz="4" w:space="0"/>
                    <w:left w:val="nil"/>
                    <w:bottom w:val="single" w:color="000000" w:sz="4" w:space="0"/>
                    <w:right w:val="single" w:color="000000" w:sz="4" w:space="0"/>
                  </w:tcBorders>
                  <w:shd w:val="clear" w:color="auto" w:fill="auto"/>
                  <w:vAlign w:val="center"/>
                </w:tcPr>
                <w:p w14:paraId="0FCE8740">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一</w:t>
                  </w:r>
                </w:p>
              </w:tc>
              <w:tc>
                <w:tcPr>
                  <w:tcW w:w="1843" w:type="dxa"/>
                  <w:tcBorders>
                    <w:top w:val="single" w:color="000000" w:sz="4" w:space="0"/>
                    <w:left w:val="nil"/>
                    <w:bottom w:val="single" w:color="000000" w:sz="4" w:space="0"/>
                    <w:right w:val="single" w:color="000000" w:sz="4" w:space="0"/>
                  </w:tcBorders>
                  <w:shd w:val="clear" w:color="auto" w:fill="auto"/>
                  <w:vAlign w:val="center"/>
                </w:tcPr>
                <w:p w14:paraId="559C06FC">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二</w:t>
                  </w:r>
                </w:p>
              </w:tc>
              <w:tc>
                <w:tcPr>
                  <w:tcW w:w="2008" w:type="dxa"/>
                  <w:tcBorders>
                    <w:top w:val="single" w:color="000000" w:sz="4" w:space="0"/>
                    <w:left w:val="nil"/>
                    <w:bottom w:val="single" w:color="000000" w:sz="4" w:space="0"/>
                    <w:right w:val="single" w:color="000000" w:sz="4" w:space="0"/>
                  </w:tcBorders>
                  <w:shd w:val="clear" w:color="auto" w:fill="auto"/>
                  <w:vAlign w:val="center"/>
                </w:tcPr>
                <w:p w14:paraId="64093E8B">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一</w:t>
                  </w:r>
                </w:p>
              </w:tc>
              <w:tc>
                <w:tcPr>
                  <w:tcW w:w="1790" w:type="dxa"/>
                  <w:tcBorders>
                    <w:top w:val="single" w:color="000000" w:sz="4" w:space="0"/>
                    <w:left w:val="nil"/>
                    <w:bottom w:val="single" w:color="000000" w:sz="4" w:space="0"/>
                    <w:right w:val="single" w:color="000000" w:sz="4" w:space="0"/>
                  </w:tcBorders>
                  <w:shd w:val="clear" w:color="auto" w:fill="auto"/>
                  <w:vAlign w:val="center"/>
                </w:tcPr>
                <w:p w14:paraId="74AD12C2">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一</w:t>
                  </w:r>
                </w:p>
              </w:tc>
            </w:tr>
            <w:tr w14:paraId="032067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6" w:hRule="atLeast"/>
                <w:jc w:val="center"/>
              </w:trPr>
              <w:tc>
                <w:tcPr>
                  <w:tcW w:w="16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2C4B7B">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非重大危险源</w:t>
                  </w:r>
                </w:p>
              </w:tc>
              <w:tc>
                <w:tcPr>
                  <w:tcW w:w="1701" w:type="dxa"/>
                  <w:tcBorders>
                    <w:top w:val="single" w:color="000000" w:sz="4" w:space="0"/>
                    <w:left w:val="nil"/>
                    <w:bottom w:val="single" w:color="000000" w:sz="4" w:space="0"/>
                    <w:right w:val="single" w:color="000000" w:sz="4" w:space="0"/>
                  </w:tcBorders>
                  <w:shd w:val="clear" w:color="auto" w:fill="auto"/>
                  <w:vAlign w:val="center"/>
                </w:tcPr>
                <w:p w14:paraId="1AF781B6">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二</w:t>
                  </w:r>
                </w:p>
              </w:tc>
              <w:tc>
                <w:tcPr>
                  <w:tcW w:w="1843" w:type="dxa"/>
                  <w:tcBorders>
                    <w:top w:val="single" w:color="000000" w:sz="4" w:space="0"/>
                    <w:left w:val="nil"/>
                    <w:bottom w:val="single" w:color="000000" w:sz="4" w:space="0"/>
                    <w:right w:val="single" w:color="000000" w:sz="4" w:space="0"/>
                  </w:tcBorders>
                  <w:shd w:val="clear" w:color="auto" w:fill="auto"/>
                  <w:vAlign w:val="center"/>
                </w:tcPr>
                <w:p w14:paraId="4A9F911C">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二</w:t>
                  </w:r>
                </w:p>
              </w:tc>
              <w:tc>
                <w:tcPr>
                  <w:tcW w:w="2008" w:type="dxa"/>
                  <w:tcBorders>
                    <w:top w:val="single" w:color="000000" w:sz="4" w:space="0"/>
                    <w:left w:val="nil"/>
                    <w:bottom w:val="single" w:color="000000" w:sz="4" w:space="0"/>
                    <w:right w:val="single" w:color="000000" w:sz="4" w:space="0"/>
                  </w:tcBorders>
                  <w:shd w:val="clear" w:color="auto" w:fill="auto"/>
                  <w:vAlign w:val="center"/>
                </w:tcPr>
                <w:p w14:paraId="0CE40848">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highlight w:val="darkGray"/>
                      <w:lang w:val="en-US" w:eastAsia="en-US"/>
                      <w14:textFill>
                        <w14:solidFill>
                          <w14:schemeClr w14:val="tx1"/>
                        </w14:solidFill>
                      </w14:textFill>
                    </w:rPr>
                    <w:t>二</w:t>
                  </w:r>
                </w:p>
              </w:tc>
              <w:tc>
                <w:tcPr>
                  <w:tcW w:w="1790" w:type="dxa"/>
                  <w:tcBorders>
                    <w:top w:val="single" w:color="000000" w:sz="4" w:space="0"/>
                    <w:left w:val="nil"/>
                    <w:bottom w:val="single" w:color="000000" w:sz="4" w:space="0"/>
                    <w:right w:val="single" w:color="000000" w:sz="4" w:space="0"/>
                  </w:tcBorders>
                  <w:shd w:val="clear" w:color="auto" w:fill="auto"/>
                  <w:vAlign w:val="center"/>
                </w:tcPr>
                <w:p w14:paraId="638DA433">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二</w:t>
                  </w:r>
                </w:p>
              </w:tc>
            </w:tr>
            <w:tr w14:paraId="1DC420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6" w:hRule="atLeast"/>
                <w:jc w:val="center"/>
              </w:trPr>
              <w:tc>
                <w:tcPr>
                  <w:tcW w:w="16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80312C">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环境敏感地区</w:t>
                  </w:r>
                </w:p>
              </w:tc>
              <w:tc>
                <w:tcPr>
                  <w:tcW w:w="1701" w:type="dxa"/>
                  <w:tcBorders>
                    <w:top w:val="single" w:color="000000" w:sz="4" w:space="0"/>
                    <w:left w:val="nil"/>
                    <w:bottom w:val="single" w:color="000000" w:sz="4" w:space="0"/>
                    <w:right w:val="single" w:color="000000" w:sz="4" w:space="0"/>
                  </w:tcBorders>
                  <w:shd w:val="clear" w:color="auto" w:fill="auto"/>
                  <w:vAlign w:val="center"/>
                </w:tcPr>
                <w:p w14:paraId="27FE93FB">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一</w:t>
                  </w:r>
                </w:p>
              </w:tc>
              <w:tc>
                <w:tcPr>
                  <w:tcW w:w="1843" w:type="dxa"/>
                  <w:tcBorders>
                    <w:top w:val="single" w:color="000000" w:sz="4" w:space="0"/>
                    <w:left w:val="nil"/>
                    <w:bottom w:val="single" w:color="000000" w:sz="4" w:space="0"/>
                    <w:right w:val="single" w:color="000000" w:sz="4" w:space="0"/>
                  </w:tcBorders>
                  <w:shd w:val="clear" w:color="auto" w:fill="auto"/>
                  <w:vAlign w:val="center"/>
                </w:tcPr>
                <w:p w14:paraId="412144B1">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一</w:t>
                  </w:r>
                </w:p>
              </w:tc>
              <w:tc>
                <w:tcPr>
                  <w:tcW w:w="2008" w:type="dxa"/>
                  <w:tcBorders>
                    <w:top w:val="single" w:color="000000" w:sz="4" w:space="0"/>
                    <w:left w:val="nil"/>
                    <w:bottom w:val="single" w:color="000000" w:sz="4" w:space="0"/>
                    <w:right w:val="single" w:color="000000" w:sz="4" w:space="0"/>
                  </w:tcBorders>
                  <w:shd w:val="clear" w:color="auto" w:fill="auto"/>
                  <w:vAlign w:val="center"/>
                </w:tcPr>
                <w:p w14:paraId="5F1902C8">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一</w:t>
                  </w:r>
                </w:p>
              </w:tc>
              <w:tc>
                <w:tcPr>
                  <w:tcW w:w="1790" w:type="dxa"/>
                  <w:tcBorders>
                    <w:top w:val="single" w:color="000000" w:sz="4" w:space="0"/>
                    <w:left w:val="nil"/>
                    <w:bottom w:val="single" w:color="000000" w:sz="4" w:space="0"/>
                    <w:right w:val="single" w:color="000000" w:sz="4" w:space="0"/>
                  </w:tcBorders>
                  <w:shd w:val="clear" w:color="auto" w:fill="auto"/>
                  <w:vAlign w:val="center"/>
                </w:tcPr>
                <w:p w14:paraId="38594D3C">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一</w:t>
                  </w:r>
                </w:p>
              </w:tc>
            </w:tr>
          </w:tbl>
          <w:p w14:paraId="307B6DDC">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（1）重大危险源识别</w:t>
            </w:r>
          </w:p>
          <w:p w14:paraId="4D8313CE">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依据《危险化学品重大危险源辨识》（GB18218-2009）和国家安监局下发的《关于开展重大危险源监督管理工作的指导意见》（安监管协调[2004]56号）的相关要求进行辨识，重大危险源辨识指标有两种情况：</w:t>
            </w:r>
          </w:p>
          <w:p w14:paraId="37A0B42F">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单元内存在的危险物质为单一品种，则该物质的数量即为单元内危险物质的总量，若等于或超过相应的临界量，则定为重大危险源。</w:t>
            </w:r>
          </w:p>
          <w:p w14:paraId="67F40605">
            <w:pPr>
              <w:spacing w:line="360" w:lineRule="auto"/>
              <w:ind w:firstLine="48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单元内存在的危险物质为多品种时，则按下式计算，若满足下式，则定为重大危险源。</w:t>
            </w:r>
          </w:p>
          <w:p w14:paraId="0195FD51">
            <w:pPr>
              <w:spacing w:line="360" w:lineRule="auto"/>
              <w:ind w:firstLine="480"/>
              <w:jc w:val="center"/>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drawing>
                <wp:inline distT="0" distB="0" distL="0" distR="0">
                  <wp:extent cx="850900" cy="230505"/>
                  <wp:effectExtent l="0" t="0" r="6350" b="17145"/>
                  <wp:docPr id="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850900" cy="230505"/>
                          </a:xfrm>
                          <a:prstGeom prst="rect">
                            <a:avLst/>
                          </a:prstGeom>
                          <a:noFill/>
                          <a:ln>
                            <a:noFill/>
                          </a:ln>
                        </pic:spPr>
                      </pic:pic>
                    </a:graphicData>
                  </a:graphic>
                </wp:inline>
              </w:drawing>
            </w:r>
          </w:p>
          <w:p w14:paraId="653FB62A">
            <w:pPr>
              <w:spacing w:line="360" w:lineRule="auto"/>
              <w:ind w:firstLine="48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式中，</w:t>
            </w:r>
            <w:r>
              <w:rPr>
                <w:rFonts w:hint="eastAsia" w:cs="Times New Roman"/>
                <w:color w:val="auto"/>
                <w:sz w:val="24"/>
                <w:szCs w:val="24"/>
                <w:lang w:val="en-US" w:eastAsia="zh-CN"/>
              </w:rPr>
              <w:t xml:space="preserve"> </w:t>
            </w:r>
            <w:r>
              <w:rPr>
                <w:rFonts w:hint="default" w:ascii="Times New Roman" w:hAnsi="Times New Roman" w:cs="Times New Roman"/>
                <w:color w:val="auto"/>
                <w:sz w:val="24"/>
                <w:szCs w:val="24"/>
                <w:lang w:val="en-US" w:eastAsia="zh-CN"/>
              </w:rPr>
              <w:t>qi —— i种物质的实际存储量，t；</w:t>
            </w:r>
          </w:p>
          <w:p w14:paraId="447AA44E">
            <w:pPr>
              <w:spacing w:line="360" w:lineRule="auto"/>
              <w:ind w:firstLine="1262" w:firstLineChars="526"/>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Qi —— i种危险物质对应的临界量，t。</w:t>
            </w:r>
          </w:p>
          <w:p w14:paraId="45C926D7">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本项目物质最大储存量均低于临界值，故不构成重大危险源，因此，本项目储存和使用的危险物质不构成重大危险源。</w:t>
            </w:r>
          </w:p>
          <w:p w14:paraId="155E41E8">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（2）项目所在位置敏感度识别</w:t>
            </w:r>
          </w:p>
          <w:p w14:paraId="3AEDB50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项目位于遂宁市安居区</w:t>
            </w:r>
            <w:r>
              <w:rPr>
                <w:rFonts w:hint="eastAsia" w:cs="Times New Roman"/>
                <w:color w:val="auto"/>
                <w:sz w:val="24"/>
                <w:szCs w:val="24"/>
                <w:lang w:val="en-US" w:eastAsia="zh-CN"/>
              </w:rPr>
              <w:t>汽摩产业园</w:t>
            </w:r>
            <w:r>
              <w:rPr>
                <w:rFonts w:hint="default" w:ascii="Times New Roman" w:hAnsi="Times New Roman" w:cs="Times New Roman"/>
                <w:color w:val="auto"/>
                <w:sz w:val="24"/>
                <w:szCs w:val="24"/>
                <w:lang w:val="en-US" w:eastAsia="zh-CN"/>
              </w:rPr>
              <w:t>内，不涉及自然保护区，水源保护地、生态脆弱区、风景名胜区等需特别关注的区域；项目排水有完善管网及配套的污水处理设施；废气污染物通过治理后可达标排放，对周围敏感点影响较小。因此项目施工期无环境制约因素，运营后对周边单位影响较小，项目选址为非环境敏感区。</w:t>
            </w:r>
          </w:p>
          <w:p w14:paraId="0D37A638">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（3）评价等级的确定</w:t>
            </w:r>
          </w:p>
          <w:p w14:paraId="742801FE">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根据以上分析，项目化学品不构成重大危险源，同时本项目不在敏感区域内，因此，根据导则工作级别划分原则，风险评价等级应为二级。</w:t>
            </w:r>
          </w:p>
          <w:p w14:paraId="324F80FD">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4、源项分析及最大可信事故</w:t>
            </w:r>
          </w:p>
          <w:p w14:paraId="43D15036">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（1）源项分析</w:t>
            </w:r>
          </w:p>
          <w:p w14:paraId="1F527D5F">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根据项目性质，主要可能发生的环境风险为火灾。</w:t>
            </w:r>
          </w:p>
          <w:p w14:paraId="2028051F">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结合类似厂区发生火灾原因分析，主要的导致火灾风险原因有：</w:t>
            </w:r>
          </w:p>
          <w:p w14:paraId="5C5CB510">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电气火灾。电气设备老化、绝缘破损、过流、短路、接线不规范、电器使用不当、油漆等遇明火等引起火灾，鼠患导致电线短路，造成火灾；</w:t>
            </w:r>
          </w:p>
          <w:p w14:paraId="7261D4C0">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装卸工人抽烟，乱扔烟头，导致火灾；</w:t>
            </w:r>
          </w:p>
          <w:p w14:paraId="296B10D5">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明火管理不严。生产、生活用火失控，导致火灾；</w:t>
            </w:r>
          </w:p>
          <w:p w14:paraId="560FB5A3">
            <w:pPr>
              <w:spacing w:line="360" w:lineRule="auto"/>
              <w:ind w:firstLine="480"/>
              <w:rPr>
                <w:rFonts w:hint="default" w:ascii="Times New Roman" w:hAnsi="Times New Roman" w:cs="Times New Roman"/>
                <w:color w:val="auto"/>
                <w:sz w:val="24"/>
                <w:szCs w:val="24"/>
              </w:rPr>
            </w:pPr>
            <w:r>
              <w:rPr>
                <w:rFonts w:hint="eastAsia" w:cs="Times New Roman"/>
                <w:color w:val="auto"/>
                <w:sz w:val="24"/>
                <w:szCs w:val="24"/>
                <w:lang w:val="en-US" w:eastAsia="zh-CN"/>
              </w:rPr>
              <w:t>液压油、润滑油</w:t>
            </w:r>
            <w:r>
              <w:rPr>
                <w:rFonts w:hint="default" w:ascii="Times New Roman" w:hAnsi="Times New Roman" w:cs="Times New Roman"/>
                <w:color w:val="auto"/>
                <w:sz w:val="24"/>
                <w:szCs w:val="24"/>
                <w:lang w:val="en-US" w:eastAsia="zh-CN"/>
              </w:rPr>
              <w:t>等保存不规范，遇明火造成的火灾。</w:t>
            </w:r>
          </w:p>
          <w:p w14:paraId="1007DB47">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本项目库房发生火灾事故本身风险较小，同时项目火灾防范措施先进，防火措施可靠，有效，能将火灾控制在较小范围内，同时按照操作规范使用各类材料，规范员工保护，完善应急设施，因此环境风险较小，在可接受范围内。</w:t>
            </w:r>
          </w:p>
          <w:p w14:paraId="00D7363C">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（2）最大可信事故</w:t>
            </w:r>
          </w:p>
          <w:p w14:paraId="0F5E0872">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最大可信事故是指，在所有预测的概率不为零的事故中，对环境（或健康）危害最严重的重大事故。最大可信事故确定的目的是针对典型事故进行环境风险分析，并不意味着其它事故不具环境风险。在项目生产、贮存、运输等过程中，存在诸多事故风险因素，风险评价不可能面面具到，只能考虑对环境危害最大的事故风险。</w:t>
            </w:r>
          </w:p>
          <w:p w14:paraId="48C15884">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根据分析，项目最大可信事故为化学品</w:t>
            </w:r>
            <w:r>
              <w:rPr>
                <w:rFonts w:hint="eastAsia" w:cs="Times New Roman"/>
                <w:color w:val="auto"/>
                <w:sz w:val="24"/>
                <w:szCs w:val="24"/>
                <w:lang w:val="en-US" w:eastAsia="zh-CN"/>
              </w:rPr>
              <w:t>泄漏</w:t>
            </w:r>
            <w:r>
              <w:rPr>
                <w:rFonts w:hint="default" w:ascii="Times New Roman" w:hAnsi="Times New Roman" w:cs="Times New Roman"/>
                <w:color w:val="auto"/>
                <w:sz w:val="24"/>
                <w:szCs w:val="24"/>
                <w:lang w:val="en-US" w:eastAsia="zh-CN"/>
              </w:rPr>
              <w:t>及火灾。根据危险化学品特性识别及重大危险源识别，项目危险化学品主要为液压油、润滑油</w:t>
            </w:r>
            <w:r>
              <w:rPr>
                <w:rFonts w:hint="eastAsia" w:cs="Times New Roman"/>
                <w:color w:val="auto"/>
                <w:sz w:val="24"/>
                <w:szCs w:val="24"/>
                <w:lang w:val="en-US" w:eastAsia="zh-CN"/>
              </w:rPr>
              <w:t>、</w:t>
            </w:r>
            <w:r>
              <w:rPr>
                <w:rFonts w:hint="default" w:ascii="Times New Roman" w:hAnsi="Times New Roman" w:cs="Times New Roman"/>
                <w:color w:val="auto"/>
                <w:sz w:val="24"/>
                <w:szCs w:val="24"/>
                <w:lang w:val="en-US" w:eastAsia="zh-CN"/>
              </w:rPr>
              <w:t>聚醚多元醇、碳化二亚胺改性MDI等。</w:t>
            </w:r>
          </w:p>
          <w:p w14:paraId="70A726E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液压油、润滑油为易燃物品，存在一定的燃爆风险。事故主要原因是因液压油、润滑油等遇明火或由于其他原因，导致火灾、爆炸，致周围环境受到污染影响。</w:t>
            </w:r>
          </w:p>
          <w:p w14:paraId="3B3118FA">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5、环境风险防范措施</w:t>
            </w:r>
          </w:p>
          <w:p w14:paraId="51C34B63">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（1）选址、总图布置和建筑风险防范措施</w:t>
            </w:r>
          </w:p>
          <w:p w14:paraId="6AE1A0B9">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①项目位于遂宁市安居区</w:t>
            </w:r>
            <w:r>
              <w:rPr>
                <w:rFonts w:hint="eastAsia" w:cs="Times New Roman"/>
                <w:color w:val="auto"/>
                <w:sz w:val="24"/>
                <w:szCs w:val="24"/>
                <w:lang w:val="en-US" w:eastAsia="zh-CN"/>
              </w:rPr>
              <w:t>汽摩产业园</w:t>
            </w:r>
            <w:r>
              <w:rPr>
                <w:rFonts w:hint="default" w:ascii="Times New Roman" w:hAnsi="Times New Roman" w:cs="Times New Roman"/>
                <w:color w:val="auto"/>
                <w:sz w:val="24"/>
                <w:szCs w:val="24"/>
                <w:lang w:val="en-US" w:eastAsia="zh-CN"/>
              </w:rPr>
              <w:t>内，符合园区规划，选址合理。</w:t>
            </w:r>
          </w:p>
          <w:p w14:paraId="28E05BCD">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②总图布置严格执行国家有关部门现行的设计规范、规定及标准。各生产装置之间严格按防火防爆间距布置，厂房及建筑物按规定等级设计，高温明火的设备尽可能远离散发可燃气体的场所。</w:t>
            </w:r>
          </w:p>
          <w:p w14:paraId="52520150">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根据车间（工序）生产过程中火灾、爆炸危险等级及毒物危害程度分级进行分类、分区布置。合理划分管理区、工艺生产区、辅助生产区及储运设施区，各区按其危害程度采取相应的安全防范措施进行管理。合理组织人流和货流，结合交通、消防的需要，装置区周围设置环形消防道，以满足工艺流程、厂内外运输、检修及生产管理的要求。</w:t>
            </w:r>
          </w:p>
          <w:p w14:paraId="621D6FF4">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③液压油、润滑油、聚醚多元醇、碳化二亚胺改性MDI厂内储存符合《危险化学品安全管理条例》要求，必须储存在专用仓库，储存方式、方法与储存数量符合国家标准，并由专人管理，实行双人收发、双人保管制度，且储存危险化学品的仓库需设立明显标志。</w:t>
            </w:r>
          </w:p>
          <w:p w14:paraId="49413688">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④在事故状态下，本工程排放的废气对周围大气环境造成污染，对周围人群健康造成危害，在发生事故时，应及时组织人群转移，以减少对人群的伤害。</w:t>
            </w:r>
          </w:p>
          <w:p w14:paraId="1E38C1AD">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（2）生产装置区储存风险防范措施</w:t>
            </w:r>
          </w:p>
          <w:p w14:paraId="04E67053">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项目设计专门的库房，用于储存生产过程中涉及的液压油、润滑油、聚醚多元醇、碳化二亚胺改性MDI等。根据《常用化学危险品贮存通则》（GB15603—1995）中要求，在储存和使用危险化学品的过程中，应做好以下几点：</w:t>
            </w:r>
          </w:p>
          <w:p w14:paraId="3BE9D9B5">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①贮存区必须配备有专业知识的技术人员，库房及场所应设专人管理，管理人员必须必备可靠的个人安全防护用品。</w:t>
            </w:r>
          </w:p>
          <w:p w14:paraId="6E8D493A">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②原料入库时，应严格检验物品质量、数量、包装情况、有无泄漏。入库后应采取适当的养护措施，在贮存期内，定期检查，发现其品质变化、包装破损渗漏、稳定剂短缺等，应及时处理。</w:t>
            </w:r>
          </w:p>
          <w:p w14:paraId="6E9893D1">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③库房温度、湿度应严格控制，发现变化及时调整、并配备相应的消防设施。</w:t>
            </w:r>
          </w:p>
          <w:p w14:paraId="7CF0F583">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④使用危险化学品的过程中，渗漏或</w:t>
            </w:r>
            <w:r>
              <w:rPr>
                <w:rFonts w:hint="eastAsia" w:cs="Times New Roman"/>
                <w:color w:val="auto"/>
                <w:sz w:val="24"/>
                <w:szCs w:val="24"/>
                <w:lang w:val="en-US" w:eastAsia="zh-CN"/>
              </w:rPr>
              <w:t>泄漏</w:t>
            </w:r>
            <w:r>
              <w:rPr>
                <w:rFonts w:hint="default" w:ascii="Times New Roman" w:hAnsi="Times New Roman" w:cs="Times New Roman"/>
                <w:color w:val="auto"/>
                <w:sz w:val="24"/>
                <w:szCs w:val="24"/>
                <w:lang w:val="en-US" w:eastAsia="zh-CN"/>
              </w:rPr>
              <w:t>的包装容器应迅速转移至安全区域。</w:t>
            </w:r>
          </w:p>
          <w:p w14:paraId="2957215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⑤仓库工作人员应进行培训，经考核合格后持证上岗。</w:t>
            </w:r>
          </w:p>
          <w:p w14:paraId="4AC18F01">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⑥制定应急处理措施，编制事故应急预案，应对意外突发事件。</w:t>
            </w:r>
          </w:p>
          <w:p w14:paraId="2897A08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除以上管理措施外，针对不同的危险品性质，还应采取相应的管理措施。</w:t>
            </w:r>
          </w:p>
          <w:p w14:paraId="619439CA">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（3）化学品及危险废物运输要求</w:t>
            </w:r>
          </w:p>
          <w:p w14:paraId="18D2E23F">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本项目涉及的化学品运输入厂及产生的危险废物运输至相关由资质的单位，均存在运输风险。因此，为降低运输过程中出现的风险事故，本项目化学品及危废的运输应参照以下要求执行：</w:t>
            </w:r>
          </w:p>
          <w:p w14:paraId="3E65422F">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1）化学品运输要求</w:t>
            </w:r>
          </w:p>
          <w:p w14:paraId="1EEC9C5E">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a.运输、装卸危险化学品，应当依照国家法律、法规、规章的规定和国家标准的要求并按照危险化学品的危险特性，采取必要的安全防护措施。</w:t>
            </w:r>
          </w:p>
          <w:p w14:paraId="2FA75D53">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b.用于化学品运输工具的槽罐以及其他容器，必须按照《危险化学品安全管理条例》的规定，由专业生产企业定点生产，并经检测、检验合格，方可投入使用。质检部门应当对前款规定的专业生产企业定点生产的槽罐以及其他容器的产品质量进行定期的或不定期的检查。</w:t>
            </w:r>
          </w:p>
          <w:p w14:paraId="11FC9A55">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c.运输危险化学品的槽罐以及其他容器必须封口严密，能够承受正常运输条件下产生的内部压力和外部压力，保证危险化学品运输中不因温度、湿度或者压力的变化而发生任何泄漏。</w:t>
            </w:r>
          </w:p>
          <w:p w14:paraId="6C1F2AD7">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d.装运危险化学品的槽罐应适合所装货物的性能，具有足够的强度，并应根据不同货物的需要配置泄压阀、防波板、遮阳物、压力表、液位计、导除静电等相应的安全设施；槽罐外部的附近应有可靠的防护设施，必须保证所装货物不发生“跑、冒、滴、漏”，并安装积漏器。</w:t>
            </w:r>
          </w:p>
          <w:p w14:paraId="75DC8687">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e.通过公路运输的危险化学品，必须配备押运人员，并随时处于押运人员的监管之下，不得超载、超装，不得进入危险品运输车辆禁止通行的区域；确需进入禁止通行区域的，应当向当地公安部门报告，由公安部门为其指定行车时间和路线，运输车辆必须遵守公安部门规定的行车时间和路线。</w:t>
            </w:r>
          </w:p>
          <w:p w14:paraId="47F2F523">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危险品运输车禁止通行区域，由设区的市级人民政府公安部门划定，并设置明显的标志。</w:t>
            </w:r>
          </w:p>
          <w:p w14:paraId="2864F74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f.运输危险化学品的车辆应专车专用，并有明显标志，要符合交通管理部门对车辆和设备的规定：</w:t>
            </w:r>
          </w:p>
          <w:p w14:paraId="5EEF99D3">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车厢、底板必须平坦完好，周围栏板必须牢固；</w:t>
            </w:r>
          </w:p>
          <w:p w14:paraId="2DDD805E">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机动车辆排气管必须装有有效的隔热和熄灭火星的装置，电路系统应有切断总电源和隔离火花的装置；</w:t>
            </w:r>
          </w:p>
          <w:p w14:paraId="3DE4809F">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车辆左前方必须悬挂黄底黑字“危险品”字样的信号旗；</w:t>
            </w:r>
          </w:p>
          <w:p w14:paraId="6AF5C173">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根据所装危险货物的性质，配置相应的消防器材和捆扎、防水、防散失等用具。</w:t>
            </w:r>
          </w:p>
          <w:p w14:paraId="00A29D1D">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g.应对装运放射性同位素的专用运输车辆、设备、搬动工具、防护用具进行放射性污染程度的检查，当污染量超过规定的允许水平时，不得继续使用。</w:t>
            </w:r>
          </w:p>
          <w:p w14:paraId="4B6F9779">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h.装运集装箱、大型气瓶、可移动槽罐等的车辆，必须设置有效的紧固装置。</w:t>
            </w:r>
          </w:p>
          <w:p w14:paraId="24515D77">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i.各种装卸机械、工具要有足够的安全系数，装卸易燃、易爆危险品的机械和工具，必须装有消除产生火花的措施。</w:t>
            </w:r>
          </w:p>
          <w:p w14:paraId="2C0E58F4">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j.危化品在运输中包装应牢固，各类危险化学品包装应符合GB12463 的规定。</w:t>
            </w:r>
          </w:p>
          <w:p w14:paraId="7D580784">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k. 性质或消除方法相互抵触，以及配装号或类项不同的危险化学品不能装在同一车、船内运输。</w:t>
            </w:r>
          </w:p>
          <w:p w14:paraId="54A9720A">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l. 易燃、易爆品不能装在铁棒、铁底车、船内运输。</w:t>
            </w:r>
          </w:p>
          <w:p w14:paraId="36558E9A">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m. 易燃品闪点在28℃以下，气温高于28℃时应在夜间运输。</w:t>
            </w:r>
          </w:p>
          <w:p w14:paraId="6AE52F11">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n. 运输危险化学品的车辆、船只应有防火安全措施。</w:t>
            </w:r>
          </w:p>
          <w:p w14:paraId="03EF090D">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o. 禁止无关人员搭乘运输危险化学品的车、船和其他交通工具。</w:t>
            </w:r>
          </w:p>
          <w:p w14:paraId="6455E84A">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p. 运输爆炸品和需凭证运输的危险化学品，应运有县、市公安部门的《爆炸品准运证》或《危险化学物品准运证》。</w:t>
            </w:r>
          </w:p>
          <w:p w14:paraId="5A4E8550">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q. 通过航空运输危险化学品的，应按照国务院民航部门的有关规定执行。</w:t>
            </w:r>
          </w:p>
          <w:p w14:paraId="5F17B810">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2）危险废物运输要求</w:t>
            </w:r>
          </w:p>
          <w:p w14:paraId="6EF532D5">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a.做好每次外运处置废弃物的运输登记、认真填写危险废物转移联单（每种废物填写一份联单），并加盖公司公章，经运输单位核实验收签字后，将联单第一联副联自留存档，将联单第二联交移出当地环境保护行政主管部门，第三联及其余各联交付运输单位，随危险废物转移运行。第四联交接收单位，第五联交接受地环保局。</w:t>
            </w:r>
          </w:p>
          <w:p w14:paraId="4A6152D6">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b.废弃物处置单位的运输人员必须掌握危险化学品运输的安全知识，了解所运载的危险化学品的性质、危害特性、包装容器的使用特性和发生意外时的应急措施。运输车辆必须具有车辆危险货物运输许可证。驾驶人员必须取得驾驶执照的熟练人员担任。</w:t>
            </w:r>
          </w:p>
          <w:p w14:paraId="51EF26CE">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c.处置单位在运输危险废物时，必须配备押运人员，并随时处于押运人员的监管之下，不得超载、超装，不得进入危险品运输车辆禁止通行的区域；确需进入禁止通行区域的，应当向当地公安部门报告，由公安部门为其指定行车时间和路线，运输车辆必须遵守公安部门规定的行车时间和路线。</w:t>
            </w:r>
          </w:p>
          <w:p w14:paraId="7B96EEB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d.危险废物运输过程中若发生被盗、丢失、流散、</w:t>
            </w:r>
            <w:r>
              <w:rPr>
                <w:rFonts w:hint="eastAsia" w:cs="Times New Roman"/>
                <w:color w:val="auto"/>
                <w:sz w:val="24"/>
                <w:szCs w:val="24"/>
                <w:lang w:val="en-US" w:eastAsia="zh-CN"/>
              </w:rPr>
              <w:t>泄漏</w:t>
            </w:r>
            <w:r>
              <w:rPr>
                <w:rFonts w:hint="default" w:ascii="Times New Roman" w:hAnsi="Times New Roman" w:cs="Times New Roman"/>
                <w:color w:val="auto"/>
                <w:sz w:val="24"/>
                <w:szCs w:val="24"/>
                <w:lang w:val="en-US" w:eastAsia="zh-CN"/>
              </w:rPr>
              <w:t>等情况时，公司及押运人员必须立即向公安部门报告，并采取一切可能的警示措施。</w:t>
            </w:r>
          </w:p>
          <w:p w14:paraId="208091D4">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e.一旦发生危险废物</w:t>
            </w:r>
            <w:r>
              <w:rPr>
                <w:rFonts w:hint="eastAsia" w:cs="Times New Roman"/>
                <w:color w:val="auto"/>
                <w:sz w:val="24"/>
                <w:szCs w:val="24"/>
                <w:lang w:val="en-US" w:eastAsia="zh-CN"/>
              </w:rPr>
              <w:t>泄漏</w:t>
            </w:r>
            <w:r>
              <w:rPr>
                <w:rFonts w:hint="default" w:ascii="Times New Roman" w:hAnsi="Times New Roman" w:cs="Times New Roman"/>
                <w:color w:val="auto"/>
                <w:sz w:val="24"/>
                <w:szCs w:val="24"/>
                <w:lang w:val="en-US" w:eastAsia="zh-CN"/>
              </w:rPr>
              <w:t>事故，公司和危险废物处置单位都应积极协助有关部门采取必要的安全措施，减少事故损失，防止事故蔓延、扩大；针对事故对人体、动植物、土壤、水源空气造成的现实危害和可能产生的危害，应迅速采取封闭、隔离、洗消等措施，并对事故造成的危害进行监测、处置，直至符合国家环境保护标准。</w:t>
            </w:r>
          </w:p>
          <w:p w14:paraId="1F33568D">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（4）废气事故排放</w:t>
            </w:r>
          </w:p>
          <w:p w14:paraId="1F037EED">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本项目使用的碳化二亚胺改性MDI含有</w:t>
            </w:r>
            <w:r>
              <w:rPr>
                <w:rFonts w:hint="eastAsia" w:cs="Times New Roman"/>
                <w:color w:val="auto"/>
                <w:sz w:val="24"/>
                <w:szCs w:val="24"/>
                <w:lang w:val="en-US" w:eastAsia="zh-CN"/>
              </w:rPr>
              <w:t>二异氰酸酯</w:t>
            </w:r>
            <w:r>
              <w:rPr>
                <w:rFonts w:hint="default" w:ascii="Times New Roman" w:hAnsi="Times New Roman" w:cs="Times New Roman"/>
                <w:color w:val="auto"/>
                <w:sz w:val="24"/>
                <w:szCs w:val="24"/>
                <w:lang w:val="en-US" w:eastAsia="zh-CN"/>
              </w:rPr>
              <w:t>等毒性物质，在</w:t>
            </w:r>
            <w:r>
              <w:rPr>
                <w:rFonts w:hint="eastAsia" w:cs="Times New Roman"/>
                <w:color w:val="auto"/>
                <w:sz w:val="24"/>
                <w:szCs w:val="24"/>
                <w:lang w:val="en-US" w:eastAsia="zh-CN"/>
              </w:rPr>
              <w:t>注胶</w:t>
            </w:r>
            <w:r>
              <w:rPr>
                <w:rFonts w:hint="default" w:ascii="Times New Roman" w:hAnsi="Times New Roman" w:cs="Times New Roman"/>
                <w:color w:val="auto"/>
                <w:sz w:val="24"/>
                <w:szCs w:val="24"/>
                <w:lang w:val="en-US" w:eastAsia="zh-CN"/>
              </w:rPr>
              <w:t>工序中这部分毒性物质将挥发出来。本项目采用自动</w:t>
            </w:r>
            <w:r>
              <w:rPr>
                <w:rFonts w:hint="eastAsia" w:cs="Times New Roman"/>
                <w:color w:val="auto"/>
                <w:sz w:val="24"/>
                <w:szCs w:val="24"/>
                <w:lang w:val="en-US" w:eastAsia="zh-CN"/>
              </w:rPr>
              <w:t>注胶</w:t>
            </w:r>
            <w:r>
              <w:rPr>
                <w:rFonts w:hint="default" w:ascii="Times New Roman" w:hAnsi="Times New Roman" w:cs="Times New Roman"/>
                <w:color w:val="auto"/>
                <w:sz w:val="24"/>
                <w:szCs w:val="24"/>
                <w:lang w:val="en-US" w:eastAsia="zh-CN"/>
              </w:rPr>
              <w:t>机的方式，在较封闭车间内进行，同时在</w:t>
            </w:r>
            <w:r>
              <w:rPr>
                <w:rFonts w:hint="eastAsia" w:cs="Times New Roman"/>
                <w:color w:val="auto"/>
                <w:sz w:val="24"/>
                <w:szCs w:val="24"/>
                <w:lang w:val="en-US" w:eastAsia="zh-CN"/>
              </w:rPr>
              <w:t>注胶</w:t>
            </w:r>
            <w:r>
              <w:rPr>
                <w:rFonts w:hint="default" w:ascii="Times New Roman" w:hAnsi="Times New Roman" w:cs="Times New Roman"/>
                <w:color w:val="auto"/>
                <w:sz w:val="24"/>
                <w:szCs w:val="24"/>
                <w:lang w:val="en-US" w:eastAsia="zh-CN"/>
              </w:rPr>
              <w:t>机上方设集气罩，将有机废气经</w:t>
            </w:r>
            <w:r>
              <w:rPr>
                <w:rFonts w:hint="eastAsia" w:cs="Times New Roman"/>
                <w:color w:val="auto"/>
                <w:sz w:val="24"/>
                <w:szCs w:val="24"/>
                <w:lang w:val="en-US" w:eastAsia="zh-CN"/>
              </w:rPr>
              <w:t>UV光催化+</w:t>
            </w:r>
            <w:r>
              <w:rPr>
                <w:rFonts w:hint="default" w:ascii="Times New Roman" w:hAnsi="Times New Roman" w:cs="Times New Roman"/>
                <w:color w:val="auto"/>
                <w:sz w:val="24"/>
                <w:szCs w:val="24"/>
                <w:lang w:val="en-US" w:eastAsia="zh-CN"/>
              </w:rPr>
              <w:t>活性炭吸附处理后通过15m高排气筒排放，基本可消除二异氰酸酯等毒性物质的排放。同时，本项目以生产车间为边界划定100m的卫生防护距离。评价要求在此范围内不得新建永久性居住及对大气环境有特殊要求的建筑。</w:t>
            </w:r>
          </w:p>
          <w:p w14:paraId="0BDEE56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管理措施：建设单位加强活性炭装置的维护力度，定期更换，保证活性炭的吸附效率；定期检查集气罩等收集措施的收集情况，避免因集气罩故障而引起的有机废气事故排放。</w:t>
            </w:r>
          </w:p>
          <w:p w14:paraId="5C32AA4E">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同时成型车间可能出现粉尘爆炸事故，为了预防此类情况发生，建设单位应维护换气设备正常运行；车间定期清扫，防止粉尘堆积，产生粉尘的区域相对密闭。</w:t>
            </w:r>
          </w:p>
          <w:p w14:paraId="1E4D653F">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组织管理措施：注重员工培训，详细的书面说明和允许的工作程序上墙、培训等；对危险场所的工作实施充分的监督和管理；避免一般的引火源，尤其是常规的摩擦火花。</w:t>
            </w:r>
          </w:p>
          <w:p w14:paraId="0D6E089C">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（5）消防系统</w:t>
            </w:r>
          </w:p>
          <w:p w14:paraId="195715EC">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本项目消防设施均按国家有关规范设计，在总体布局方面，项目与其他建筑的间距均大于或等于规范要求的防火间距。同时，根据《建筑灭火器配置设计规范》的规定，在各建筑物内的相应地点配置手提式干粉灭火器。</w:t>
            </w:r>
          </w:p>
          <w:p w14:paraId="3F69B2C8">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（6）管理对策措施</w:t>
            </w:r>
          </w:p>
          <w:p w14:paraId="6473D60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加强员工的安全、环保知识和风险事故安全教育，提高职工的风险意识，减少风险发生的概率。所有从业人员应当掌握本职工作所需要的危险化学品安全知识和技能，严格遵守危险化学品安全规章制度和操作规程，了解其他工作场所和工作存在的危险有害因素以及其他企业所采取的防范措施和环境突发事故应急措施。</w:t>
            </w:r>
          </w:p>
          <w:p w14:paraId="4788B1D7">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企业建设环境风险管理机构，建立健全各项管理制度，制定环境管理实施计划，对各项污染物、污染源进行定期监测，记录运行及监测数据，规范厂区排污口，设置明显的标志；吸取同类企业先进操作经验和污染控制技术，建立信息反馈中心，对生产中环保问题及时反馈。</w:t>
            </w:r>
          </w:p>
          <w:p w14:paraId="71A606B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加强对安全管理的领导，建立健全各项安全、消防管理网络。建立健全各项安全管理制度：如防火，防爆、防雷电、防静电制度；敢为责任制，安全教育，培训制度，原料及成品的运输、储存制度；设备、管道等设施的定期检验、维护和保养、检修制度；以及安全操作规程等。</w:t>
            </w:r>
          </w:p>
          <w:p w14:paraId="22273C1B">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按照企业可能存在的环境风险事故，编写环境突发事件应急救援预案，并且制定相应的培训计划和演练计划。</w:t>
            </w:r>
          </w:p>
          <w:p w14:paraId="676C2909">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（7）风险投资</w:t>
            </w:r>
          </w:p>
          <w:p w14:paraId="52C91D16">
            <w:pPr>
              <w:pStyle w:val="46"/>
              <w:ind w:firstLine="420"/>
              <w:jc w:val="center"/>
              <w:rPr>
                <w:rFonts w:hint="default" w:ascii="Times New Roman" w:hAnsi="Times New Roman" w:eastAsia="黑体" w:cs="Times New Roman"/>
                <w:color w:val="auto"/>
                <w:sz w:val="21"/>
                <w:szCs w:val="21"/>
                <w:lang w:val="en-US" w:eastAsia="zh-CN"/>
              </w:rPr>
            </w:pPr>
            <w:r>
              <w:rPr>
                <w:rFonts w:hint="default" w:ascii="Times New Roman" w:hAnsi="Times New Roman" w:eastAsia="黑体" w:cs="Times New Roman"/>
                <w:color w:val="auto"/>
                <w:sz w:val="21"/>
                <w:szCs w:val="21"/>
                <w:lang w:val="en-US" w:eastAsia="zh-CN"/>
              </w:rPr>
              <w:t>本项目风险投资见下表7-</w:t>
            </w:r>
            <w:r>
              <w:rPr>
                <w:rFonts w:hint="eastAsia" w:eastAsia="黑体" w:cs="Times New Roman"/>
                <w:color w:val="auto"/>
                <w:sz w:val="21"/>
                <w:szCs w:val="21"/>
                <w:lang w:val="en-US" w:eastAsia="zh-CN"/>
              </w:rPr>
              <w:t>16</w:t>
            </w:r>
          </w:p>
          <w:tbl>
            <w:tblPr>
              <w:tblStyle w:val="69"/>
              <w:tblW w:w="902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2235"/>
              <w:gridCol w:w="3523"/>
              <w:gridCol w:w="1878"/>
              <w:gridCol w:w="1391"/>
            </w:tblGrid>
            <w:tr w14:paraId="76B65E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16" w:hRule="atLeast"/>
                <w:jc w:val="center"/>
              </w:trPr>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CF0C39">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名称</w:t>
                  </w:r>
                </w:p>
              </w:tc>
              <w:tc>
                <w:tcPr>
                  <w:tcW w:w="3523" w:type="dxa"/>
                  <w:tcBorders>
                    <w:top w:val="single" w:color="000000" w:sz="4" w:space="0"/>
                    <w:left w:val="nil"/>
                    <w:bottom w:val="single" w:color="000000" w:sz="4" w:space="0"/>
                    <w:right w:val="single" w:color="000000" w:sz="4" w:space="0"/>
                  </w:tcBorders>
                  <w:shd w:val="clear" w:color="auto" w:fill="auto"/>
                  <w:vAlign w:val="center"/>
                </w:tcPr>
                <w:p w14:paraId="2FDD8DAF">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方案</w:t>
                  </w:r>
                </w:p>
              </w:tc>
              <w:tc>
                <w:tcPr>
                  <w:tcW w:w="1878" w:type="dxa"/>
                  <w:tcBorders>
                    <w:top w:val="single" w:color="000000" w:sz="4" w:space="0"/>
                    <w:left w:val="nil"/>
                    <w:bottom w:val="single" w:color="000000" w:sz="4" w:space="0"/>
                    <w:right w:val="single" w:color="000000" w:sz="4" w:space="0"/>
                  </w:tcBorders>
                  <w:shd w:val="clear" w:color="auto" w:fill="auto"/>
                  <w:vAlign w:val="center"/>
                </w:tcPr>
                <w:p w14:paraId="46DB4931">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处理效果</w:t>
                  </w:r>
                </w:p>
              </w:tc>
              <w:tc>
                <w:tcPr>
                  <w:tcW w:w="1391" w:type="dxa"/>
                  <w:tcBorders>
                    <w:top w:val="single" w:color="000000" w:sz="4" w:space="0"/>
                    <w:left w:val="nil"/>
                    <w:bottom w:val="single" w:color="000000" w:sz="4" w:space="0"/>
                    <w:right w:val="single" w:color="000000" w:sz="4" w:space="0"/>
                  </w:tcBorders>
                  <w:shd w:val="clear" w:color="auto" w:fill="auto"/>
                  <w:vAlign w:val="center"/>
                </w:tcPr>
                <w:p w14:paraId="680CE868">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金额（万元）</w:t>
                  </w:r>
                </w:p>
              </w:tc>
            </w:tr>
            <w:tr w14:paraId="7BDAEC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5" w:hRule="atLeast"/>
                <w:jc w:val="center"/>
              </w:trPr>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458184">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危险废物暂存场所</w:t>
                  </w:r>
                </w:p>
              </w:tc>
              <w:tc>
                <w:tcPr>
                  <w:tcW w:w="3523" w:type="dxa"/>
                  <w:tcBorders>
                    <w:top w:val="single" w:color="000000" w:sz="4" w:space="0"/>
                    <w:left w:val="nil"/>
                    <w:bottom w:val="single" w:color="000000" w:sz="4" w:space="0"/>
                    <w:right w:val="single" w:color="000000" w:sz="4" w:space="0"/>
                  </w:tcBorders>
                  <w:shd w:val="clear" w:color="auto" w:fill="auto"/>
                  <w:vAlign w:val="center"/>
                </w:tcPr>
                <w:p w14:paraId="6C0A048D">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设置危废暂存间，地面作防渗、防雨、防漏处理</w:t>
                  </w:r>
                </w:p>
              </w:tc>
              <w:tc>
                <w:tcPr>
                  <w:tcW w:w="1878" w:type="dxa"/>
                  <w:tcBorders>
                    <w:top w:val="single" w:color="000000" w:sz="4" w:space="0"/>
                    <w:left w:val="nil"/>
                    <w:bottom w:val="single" w:color="000000" w:sz="4" w:space="0"/>
                    <w:right w:val="single" w:color="000000" w:sz="4" w:space="0"/>
                  </w:tcBorders>
                  <w:shd w:val="clear" w:color="auto" w:fill="auto"/>
                  <w:vAlign w:val="center"/>
                </w:tcPr>
                <w:p w14:paraId="16427D24">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风险可接受水平</w:t>
                  </w:r>
                </w:p>
              </w:tc>
              <w:tc>
                <w:tcPr>
                  <w:tcW w:w="1391" w:type="dxa"/>
                  <w:vMerge w:val="restart"/>
                  <w:tcBorders>
                    <w:top w:val="nil"/>
                    <w:left w:val="nil"/>
                    <w:bottom w:val="single" w:color="000000" w:sz="4" w:space="0"/>
                    <w:right w:val="single" w:color="000000" w:sz="4" w:space="0"/>
                  </w:tcBorders>
                  <w:shd w:val="clear" w:color="auto" w:fill="auto"/>
                  <w:vAlign w:val="center"/>
                </w:tcPr>
                <w:p w14:paraId="2C5C70B7">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计入地下水防治措施投资</w:t>
                  </w:r>
                </w:p>
              </w:tc>
            </w:tr>
            <w:tr w14:paraId="53CC7F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4" w:hRule="atLeast"/>
                <w:jc w:val="center"/>
              </w:trPr>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537540">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eastAsia" w:cs="Times New Roman"/>
                      <w:color w:val="000000" w:themeColor="text1"/>
                      <w:szCs w:val="21"/>
                      <w:lang w:val="en-US" w:eastAsia="zh-CN"/>
                      <w14:textFill>
                        <w14:solidFill>
                          <w14:schemeClr w14:val="tx1"/>
                        </w14:solidFill>
                      </w14:textFill>
                    </w:rPr>
                    <w:t>危化品库房</w:t>
                  </w:r>
                </w:p>
              </w:tc>
              <w:tc>
                <w:tcPr>
                  <w:tcW w:w="3523" w:type="dxa"/>
                  <w:tcBorders>
                    <w:top w:val="single" w:color="000000" w:sz="4" w:space="0"/>
                    <w:left w:val="nil"/>
                    <w:bottom w:val="single" w:color="000000" w:sz="4" w:space="0"/>
                    <w:right w:val="single" w:color="000000" w:sz="4" w:space="0"/>
                  </w:tcBorders>
                  <w:shd w:val="clear" w:color="auto" w:fill="auto"/>
                  <w:vAlign w:val="center"/>
                </w:tcPr>
                <w:p w14:paraId="7BD965E6">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重点防渗区，地面作防渗、防雨、防漏处理，管道防渗、防腐</w:t>
                  </w:r>
                </w:p>
              </w:tc>
              <w:tc>
                <w:tcPr>
                  <w:tcW w:w="1878" w:type="dxa"/>
                  <w:tcBorders>
                    <w:top w:val="single" w:color="000000" w:sz="4" w:space="0"/>
                    <w:left w:val="nil"/>
                    <w:bottom w:val="single" w:color="000000" w:sz="4" w:space="0"/>
                    <w:right w:val="single" w:color="000000" w:sz="4" w:space="0"/>
                  </w:tcBorders>
                  <w:shd w:val="clear" w:color="auto" w:fill="auto"/>
                  <w:vAlign w:val="center"/>
                </w:tcPr>
                <w:p w14:paraId="4CE08012">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风险可接受水平</w:t>
                  </w:r>
                </w:p>
              </w:tc>
              <w:tc>
                <w:tcPr>
                  <w:tcW w:w="1391" w:type="dxa"/>
                  <w:vMerge w:val="continue"/>
                  <w:tcBorders>
                    <w:top w:val="nil"/>
                    <w:left w:val="nil"/>
                    <w:bottom w:val="single" w:color="000000" w:sz="4" w:space="0"/>
                    <w:right w:val="single" w:color="000000" w:sz="4" w:space="0"/>
                  </w:tcBorders>
                  <w:shd w:val="clear" w:color="auto" w:fill="auto"/>
                  <w:vAlign w:val="center"/>
                </w:tcPr>
                <w:p w14:paraId="4279A088">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p>
              </w:tc>
            </w:tr>
            <w:tr w14:paraId="583326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5" w:hRule="atLeast"/>
                <w:jc w:val="center"/>
              </w:trPr>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157DBC">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自备式呼吸器、面罩、防护服等</w:t>
                  </w:r>
                </w:p>
              </w:tc>
              <w:tc>
                <w:tcPr>
                  <w:tcW w:w="3523" w:type="dxa"/>
                  <w:tcBorders>
                    <w:top w:val="single" w:color="000000" w:sz="4" w:space="0"/>
                    <w:left w:val="nil"/>
                    <w:bottom w:val="single" w:color="000000" w:sz="4" w:space="0"/>
                    <w:right w:val="single" w:color="000000" w:sz="4" w:space="0"/>
                  </w:tcBorders>
                  <w:shd w:val="clear" w:color="auto" w:fill="auto"/>
                  <w:vAlign w:val="center"/>
                </w:tcPr>
                <w:p w14:paraId="5BF4F09D">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w:t>
                  </w:r>
                </w:p>
              </w:tc>
              <w:tc>
                <w:tcPr>
                  <w:tcW w:w="1878" w:type="dxa"/>
                  <w:tcBorders>
                    <w:top w:val="single" w:color="000000" w:sz="4" w:space="0"/>
                    <w:left w:val="nil"/>
                    <w:bottom w:val="single" w:color="000000" w:sz="4" w:space="0"/>
                    <w:right w:val="single" w:color="000000" w:sz="4" w:space="0"/>
                  </w:tcBorders>
                  <w:shd w:val="clear" w:color="auto" w:fill="auto"/>
                  <w:vAlign w:val="center"/>
                </w:tcPr>
                <w:p w14:paraId="7ED9B3D5">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风险可接受水平</w:t>
                  </w:r>
                </w:p>
              </w:tc>
              <w:tc>
                <w:tcPr>
                  <w:tcW w:w="1391" w:type="dxa"/>
                  <w:tcBorders>
                    <w:top w:val="single" w:color="000000" w:sz="4" w:space="0"/>
                    <w:left w:val="nil"/>
                    <w:bottom w:val="single" w:color="000000" w:sz="4" w:space="0"/>
                    <w:right w:val="single" w:color="000000" w:sz="4" w:space="0"/>
                  </w:tcBorders>
                  <w:shd w:val="clear" w:color="auto" w:fill="auto"/>
                  <w:vAlign w:val="center"/>
                </w:tcPr>
                <w:p w14:paraId="06A1C91A">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1</w:t>
                  </w:r>
                </w:p>
              </w:tc>
            </w:tr>
            <w:tr w14:paraId="4CF400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6" w:hRule="atLeast"/>
                <w:jc w:val="center"/>
              </w:trPr>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16D4AA">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消防系统</w:t>
                  </w:r>
                </w:p>
              </w:tc>
              <w:tc>
                <w:tcPr>
                  <w:tcW w:w="3523" w:type="dxa"/>
                  <w:tcBorders>
                    <w:top w:val="single" w:color="000000" w:sz="4" w:space="0"/>
                    <w:left w:val="nil"/>
                    <w:bottom w:val="single" w:color="000000" w:sz="4" w:space="0"/>
                    <w:right w:val="single" w:color="000000" w:sz="4" w:space="0"/>
                  </w:tcBorders>
                  <w:shd w:val="clear" w:color="auto" w:fill="auto"/>
                  <w:vAlign w:val="center"/>
                </w:tcPr>
                <w:p w14:paraId="0A15DEA6">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灭火器，火灾探测头等消防器材</w:t>
                  </w:r>
                </w:p>
              </w:tc>
              <w:tc>
                <w:tcPr>
                  <w:tcW w:w="1878" w:type="dxa"/>
                  <w:tcBorders>
                    <w:top w:val="single" w:color="000000" w:sz="4" w:space="0"/>
                    <w:left w:val="nil"/>
                    <w:bottom w:val="single" w:color="000000" w:sz="4" w:space="0"/>
                    <w:right w:val="single" w:color="000000" w:sz="4" w:space="0"/>
                  </w:tcBorders>
                  <w:shd w:val="clear" w:color="auto" w:fill="auto"/>
                  <w:vAlign w:val="center"/>
                </w:tcPr>
                <w:p w14:paraId="2FCC57CB">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风险可接受水平</w:t>
                  </w:r>
                </w:p>
              </w:tc>
              <w:tc>
                <w:tcPr>
                  <w:tcW w:w="1391" w:type="dxa"/>
                  <w:tcBorders>
                    <w:top w:val="single" w:color="000000" w:sz="4" w:space="0"/>
                    <w:left w:val="nil"/>
                    <w:bottom w:val="single" w:color="000000" w:sz="4" w:space="0"/>
                    <w:right w:val="single" w:color="000000" w:sz="4" w:space="0"/>
                  </w:tcBorders>
                  <w:shd w:val="clear" w:color="auto" w:fill="auto"/>
                  <w:vAlign w:val="center"/>
                </w:tcPr>
                <w:p w14:paraId="38B1F6A2">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0.5</w:t>
                  </w:r>
                </w:p>
              </w:tc>
            </w:tr>
            <w:tr w14:paraId="4333E5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6" w:hRule="atLeast"/>
                <w:jc w:val="center"/>
              </w:trPr>
              <w:tc>
                <w:tcPr>
                  <w:tcW w:w="763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3FFF615">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合计</w:t>
                  </w:r>
                </w:p>
              </w:tc>
              <w:tc>
                <w:tcPr>
                  <w:tcW w:w="1391" w:type="dxa"/>
                  <w:tcBorders>
                    <w:top w:val="single" w:color="000000" w:sz="4" w:space="0"/>
                    <w:left w:val="nil"/>
                    <w:bottom w:val="single" w:color="000000" w:sz="4" w:space="0"/>
                    <w:right w:val="single" w:color="000000" w:sz="4" w:space="0"/>
                  </w:tcBorders>
                  <w:shd w:val="clear" w:color="auto" w:fill="auto"/>
                  <w:vAlign w:val="center"/>
                </w:tcPr>
                <w:p w14:paraId="03791690">
                  <w:pPr>
                    <w:adjustRightInd w:val="0"/>
                    <w:snapToGrid w:val="0"/>
                    <w:jc w:val="center"/>
                    <w:rPr>
                      <w:rFonts w:hint="default" w:ascii="Times New Roman" w:hAnsi="Times New Roman" w:cs="Times New Roman"/>
                      <w:color w:val="000000" w:themeColor="text1"/>
                      <w:szCs w:val="21"/>
                      <w:lang w:eastAsia="en-US"/>
                      <w14:textFill>
                        <w14:solidFill>
                          <w14:schemeClr w14:val="tx1"/>
                        </w14:solidFill>
                      </w14:textFill>
                    </w:rPr>
                  </w:pPr>
                  <w:r>
                    <w:rPr>
                      <w:rFonts w:hint="default" w:ascii="Times New Roman" w:hAnsi="Times New Roman" w:cs="Times New Roman"/>
                      <w:color w:val="000000" w:themeColor="text1"/>
                      <w:szCs w:val="21"/>
                      <w:lang w:val="en-US" w:eastAsia="en-US"/>
                      <w14:textFill>
                        <w14:solidFill>
                          <w14:schemeClr w14:val="tx1"/>
                        </w14:solidFill>
                      </w14:textFill>
                    </w:rPr>
                    <w:t>1.5</w:t>
                  </w:r>
                </w:p>
              </w:tc>
            </w:tr>
          </w:tbl>
          <w:p w14:paraId="06E03EB1">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6、应急预案</w:t>
            </w:r>
          </w:p>
          <w:p w14:paraId="38195326">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对可能发生的事故，应制定应急计划，使各部门在事故发生后能有步骤、有秩序地采取各项应急措施。企业应按照要求编制应急预案，并报环保局审批。主要包括以下几点：</w:t>
            </w:r>
          </w:p>
          <w:p w14:paraId="388C855C">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①事故发生后，应根据具体情况采取应急措施，切断泄漏源、火源、控制事故扩大，同时通知中央控制室，根据事故类型，大小，启动相应的应急预案。</w:t>
            </w:r>
          </w:p>
          <w:p w14:paraId="2EC403C5">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②发生重大事故，应立即上报相关部门，启动社会救援系统，就近地区调拨到专业救援队伍协助处理。</w:t>
            </w:r>
          </w:p>
          <w:p w14:paraId="03FEE558">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③事故发生后应立即通知当地环境保护局、自来水公司等市政部门，协同事故救援与监控。</w:t>
            </w:r>
          </w:p>
          <w:p w14:paraId="70DC8ACA">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④加强职工培训与管理，提高员工安全生产技能，定期检查和保养生产设备，保证设施安全正常运行。</w:t>
            </w:r>
          </w:p>
          <w:p w14:paraId="7B743115">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⑤应急救援人员由当地安全生产监督管理部门进行培训或由本公司已取得危险化学品管理人员（包括注册安全主任）资格证书的人员培训。</w:t>
            </w:r>
          </w:p>
          <w:p w14:paraId="4AC5C960">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 xml:space="preserve">7、风险结论 </w:t>
            </w:r>
          </w:p>
          <w:p w14:paraId="38A3197D">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从项目风险因素分析及风险防范措施来看，虽然化学品的使用和储藏存在着一定的风险，但只要化学品按照储存、使用规范及安全要求进行厂房设计和生产管理，加强人员教育，严格执行安全生产管理制度和完善操作规程，保证安全设施的正常运行，就可以避免风险事故的发生。</w:t>
            </w:r>
          </w:p>
          <w:p w14:paraId="2647994C">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且本项目所在地属非敏感区域，本项目使用的危险化学品不构成重大危险源。因此。在确保各项风险防范措施得到有效实施的情况下，本项目处于风险处于可接受水平，其风险管理措施有效、可靠，从环境风险角度而言是可行的。</w:t>
            </w:r>
          </w:p>
          <w:p w14:paraId="3338A461">
            <w:pPr>
              <w:spacing w:line="360" w:lineRule="auto"/>
              <w:outlineLvl w:val="0"/>
              <w:rPr>
                <w:rFonts w:hint="default" w:ascii="Times New Roman" w:hAnsi="Times New Roman" w:eastAsia="黑体" w:cs="Times New Roman"/>
                <w:color w:val="auto"/>
                <w:sz w:val="28"/>
              </w:rPr>
            </w:pPr>
            <w:r>
              <w:rPr>
                <w:rFonts w:hint="default" w:ascii="Times New Roman" w:hAnsi="Times New Roman" w:eastAsia="黑体" w:cs="Times New Roman"/>
                <w:color w:val="auto"/>
                <w:sz w:val="28"/>
              </w:rPr>
              <w:t>四、清洁生产</w:t>
            </w:r>
          </w:p>
          <w:p w14:paraId="5E8A1FC4">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清洁生产是将污染物消除或削减在生产过程中，使生产末端处于无废或少废状态的一种全新生产工艺，它着重于过程控制和源头削减，通过清洁的生产工艺、强化管理等种种手段，在生产过程中减少污染物的产生。</w:t>
            </w:r>
          </w:p>
          <w:p w14:paraId="004DC9A0">
            <w:pPr>
              <w:spacing w:line="360" w:lineRule="auto"/>
              <w:ind w:firstLine="480"/>
              <w:rPr>
                <w:rFonts w:hint="default" w:ascii="Times New Roman" w:hAnsi="Times New Roman" w:cs="Times New Roman"/>
                <w:color w:val="auto"/>
                <w:sz w:val="24"/>
              </w:rPr>
            </w:pPr>
            <w:r>
              <w:rPr>
                <w:rFonts w:hint="default" w:ascii="Times New Roman" w:hAnsi="Times New Roman" w:cs="Times New Roman"/>
                <w:color w:val="auto"/>
                <w:sz w:val="24"/>
                <w:szCs w:val="24"/>
              </w:rPr>
              <w:t>对原材料进行充分利用、节约能源，努力实现废物的最小化和效益的最大化，是深化工业污染防治、实现可持续发展的根本途径。</w:t>
            </w:r>
            <w:r>
              <w:rPr>
                <w:rFonts w:hint="default" w:ascii="Times New Roman" w:hAnsi="Times New Roman" w:cs="Times New Roman"/>
                <w:color w:val="auto"/>
                <w:sz w:val="24"/>
              </w:rPr>
              <w:t>实行清洁生产，走可持续发展的道路，是企业污染防治的基本原则。</w:t>
            </w:r>
          </w:p>
          <w:p w14:paraId="182C7782">
            <w:pPr>
              <w:spacing w:line="360" w:lineRule="auto"/>
              <w:ind w:firstLine="480"/>
              <w:rPr>
                <w:rFonts w:hint="default" w:ascii="Times New Roman" w:hAnsi="Times New Roman" w:cs="Times New Roman"/>
                <w:color w:val="auto"/>
                <w:sz w:val="24"/>
              </w:rPr>
            </w:pPr>
            <w:r>
              <w:rPr>
                <w:rFonts w:hint="default" w:ascii="Times New Roman" w:hAnsi="Times New Roman" w:cs="Times New Roman"/>
                <w:color w:val="auto"/>
                <w:sz w:val="24"/>
              </w:rPr>
              <w:t>本项目</w:t>
            </w:r>
            <w:r>
              <w:rPr>
                <w:rFonts w:hint="default" w:ascii="Times New Roman" w:hAnsi="Times New Roman" w:cs="Times New Roman"/>
                <w:color w:val="auto"/>
                <w:sz w:val="24"/>
                <w:lang w:eastAsia="zh-CN"/>
              </w:rPr>
              <w:t>已</w:t>
            </w:r>
            <w:r>
              <w:rPr>
                <w:rFonts w:hint="default" w:ascii="Times New Roman" w:hAnsi="Times New Roman" w:cs="Times New Roman"/>
                <w:color w:val="auto"/>
                <w:sz w:val="24"/>
              </w:rPr>
              <w:t>采取的清洁生产措施有：</w:t>
            </w:r>
          </w:p>
          <w:p w14:paraId="46807BFE">
            <w:pPr>
              <w:tabs>
                <w:tab w:val="left" w:pos="7290"/>
              </w:tabs>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a.本项目采用先进高效的生产设备和工艺装备，有效的提高了生产效率，节省能源，降低成本，大大减少了污染物的产生。</w:t>
            </w:r>
          </w:p>
          <w:p w14:paraId="07943F9B">
            <w:pPr>
              <w:tabs>
                <w:tab w:val="left" w:pos="7290"/>
              </w:tabs>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b.本项目生产过程中产生的可回收废物，经收集后回用于生产或外售至相关企业，实现了废物的资源化利用。</w:t>
            </w:r>
          </w:p>
          <w:p w14:paraId="1EB3EC64">
            <w:pPr>
              <w:tabs>
                <w:tab w:val="left" w:pos="7290"/>
              </w:tabs>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c.本项目选用低噪声设备，同时采取了减振和厂房隔声的措施，很大程度上减轻了动力设备产生的噪声及其对周围环境的影响。</w:t>
            </w:r>
          </w:p>
          <w:p w14:paraId="158B3C5C">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d.本项目</w:t>
            </w:r>
            <w:r>
              <w:rPr>
                <w:rFonts w:hint="eastAsia" w:ascii="Times New Roman" w:hAnsi="Times New Roman" w:cs="Times New Roman"/>
                <w:color w:val="auto"/>
                <w:sz w:val="24"/>
                <w:lang w:eastAsia="zh-CN"/>
              </w:rPr>
              <w:t>“</w:t>
            </w:r>
            <w:r>
              <w:rPr>
                <w:rFonts w:hint="default" w:ascii="Times New Roman" w:hAnsi="Times New Roman" w:cs="Times New Roman"/>
                <w:color w:val="auto"/>
                <w:sz w:val="24"/>
              </w:rPr>
              <w:t>三废</w:t>
            </w:r>
            <w:r>
              <w:rPr>
                <w:rFonts w:hint="eastAsia" w:ascii="Times New Roman" w:hAnsi="Times New Roman" w:cs="Times New Roman"/>
                <w:color w:val="auto"/>
                <w:sz w:val="24"/>
                <w:lang w:eastAsia="zh-CN"/>
              </w:rPr>
              <w:t>”</w:t>
            </w:r>
            <w:r>
              <w:rPr>
                <w:rFonts w:hint="default" w:ascii="Times New Roman" w:hAnsi="Times New Roman" w:cs="Times New Roman"/>
                <w:color w:val="auto"/>
                <w:sz w:val="24"/>
              </w:rPr>
              <w:t>及噪声均采取了合理的治理措施，能够实现达标排放。</w:t>
            </w:r>
          </w:p>
          <w:p w14:paraId="73DD0A7F">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e.</w:t>
            </w:r>
            <w:r>
              <w:rPr>
                <w:rFonts w:hint="default" w:ascii="Times New Roman" w:hAnsi="Times New Roman" w:cs="Times New Roman"/>
                <w:bCs/>
                <w:color w:val="auto"/>
                <w:sz w:val="24"/>
              </w:rPr>
              <w:t>强化企业管理，建立较为完善的企业内部质量管理体系和一系列严密科学可行的管理程序和各项规章制度，做到专人负责，层层落实；通过培训，使每个员工都树立起清洁生产的意识，将制定的各项清洁生产措施落到实处。</w:t>
            </w:r>
          </w:p>
          <w:p w14:paraId="45E315D1">
            <w:pPr>
              <w:tabs>
                <w:tab w:val="left" w:pos="7290"/>
              </w:tabs>
              <w:spacing w:line="360" w:lineRule="auto"/>
              <w:ind w:firstLine="480" w:firstLineChars="200"/>
              <w:rPr>
                <w:rFonts w:hint="default" w:ascii="Times New Roman" w:hAnsi="Times New Roman" w:cs="Times New Roman"/>
                <w:bCs/>
                <w:color w:val="auto"/>
                <w:sz w:val="24"/>
              </w:rPr>
            </w:pPr>
            <w:r>
              <w:rPr>
                <w:rFonts w:hint="default" w:ascii="Times New Roman" w:hAnsi="Times New Roman" w:cs="Times New Roman"/>
                <w:bCs/>
                <w:color w:val="auto"/>
                <w:sz w:val="24"/>
              </w:rPr>
              <w:t>综上，本项目投产后，通过在原辅材料选用和管理、生产工艺与设备选择、废物回收利用、污染治理、内部管理等几方面采取合理可行的清洁生产措施，有效地控制污染，可大大降低能耗、物耗，减少污染物的排放，降低产品的生产成本，达到了清洁生产的要求。</w:t>
            </w:r>
          </w:p>
          <w:p w14:paraId="702BE60F">
            <w:pPr>
              <w:spacing w:line="360" w:lineRule="auto"/>
              <w:outlineLvl w:val="0"/>
              <w:rPr>
                <w:rFonts w:hint="default" w:ascii="Times New Roman" w:hAnsi="Times New Roman" w:eastAsia="黑体" w:cs="Times New Roman"/>
                <w:color w:val="auto"/>
                <w:sz w:val="28"/>
              </w:rPr>
            </w:pPr>
            <w:r>
              <w:rPr>
                <w:rFonts w:hint="default" w:ascii="Times New Roman" w:hAnsi="Times New Roman" w:eastAsia="黑体" w:cs="Times New Roman"/>
                <w:color w:val="auto"/>
                <w:sz w:val="28"/>
              </w:rPr>
              <w:t>五、总量控制</w:t>
            </w:r>
          </w:p>
          <w:p w14:paraId="0F3DD76B">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bCs/>
                <w:color w:val="auto"/>
                <w:sz w:val="24"/>
              </w:rPr>
              <w:t>本项目涉及的总量控制指标为COD</w:t>
            </w:r>
            <w:r>
              <w:rPr>
                <w:rFonts w:hint="eastAsia" w:cs="Times New Roman"/>
                <w:bCs/>
                <w:color w:val="auto"/>
                <w:sz w:val="24"/>
                <w:lang w:val="en-US" w:eastAsia="zh-CN"/>
              </w:rPr>
              <w:t>cr</w:t>
            </w:r>
            <w:r>
              <w:rPr>
                <w:rFonts w:hint="default" w:ascii="Times New Roman" w:hAnsi="Times New Roman" w:cs="Times New Roman"/>
                <w:bCs/>
                <w:color w:val="auto"/>
                <w:sz w:val="24"/>
              </w:rPr>
              <w:t>、NH</w:t>
            </w:r>
            <w:r>
              <w:rPr>
                <w:rFonts w:hint="default" w:ascii="Times New Roman" w:hAnsi="Times New Roman" w:cs="Times New Roman"/>
                <w:bCs/>
                <w:color w:val="auto"/>
                <w:sz w:val="24"/>
                <w:vertAlign w:val="subscript"/>
              </w:rPr>
              <w:t>3</w:t>
            </w:r>
            <w:r>
              <w:rPr>
                <w:rFonts w:hint="default" w:ascii="Times New Roman" w:hAnsi="Times New Roman" w:cs="Times New Roman"/>
                <w:bCs/>
                <w:color w:val="auto"/>
                <w:sz w:val="24"/>
              </w:rPr>
              <w:t>-N、</w:t>
            </w:r>
            <w:r>
              <w:rPr>
                <w:rFonts w:hint="eastAsia" w:cs="Times New Roman"/>
                <w:bCs/>
                <w:color w:val="auto"/>
                <w:sz w:val="24"/>
                <w:lang w:val="en-US" w:eastAsia="zh-CN"/>
              </w:rPr>
              <w:t>VOCs</w:t>
            </w:r>
            <w:r>
              <w:rPr>
                <w:rFonts w:hint="default" w:ascii="Times New Roman" w:hAnsi="Times New Roman" w:cs="Times New Roman"/>
                <w:bCs/>
                <w:color w:val="auto"/>
                <w:sz w:val="24"/>
              </w:rPr>
              <w:t>，</w:t>
            </w:r>
            <w:r>
              <w:rPr>
                <w:rFonts w:hint="default" w:ascii="Times New Roman" w:hAnsi="Times New Roman" w:cs="Times New Roman"/>
                <w:color w:val="auto"/>
                <w:sz w:val="24"/>
                <w:szCs w:val="24"/>
              </w:rPr>
              <w:t>由当地环境保护区调剂解决，本次评价仅就污染物总量控制给出计算数据。</w:t>
            </w:r>
          </w:p>
          <w:p w14:paraId="14EF0957">
            <w:pPr>
              <w:spacing w:line="360" w:lineRule="auto"/>
              <w:ind w:firstLine="480"/>
              <w:jc w:val="center"/>
              <w:rPr>
                <w:rFonts w:hint="default" w:ascii="Times New Roman" w:hAnsi="Times New Roman" w:eastAsia="黑体" w:cs="Times New Roman"/>
                <w:color w:val="auto"/>
                <w:szCs w:val="21"/>
              </w:rPr>
            </w:pPr>
            <w:r>
              <w:rPr>
                <w:rFonts w:hint="default" w:ascii="Times New Roman" w:hAnsi="Times New Roman" w:eastAsia="黑体" w:cs="Times New Roman"/>
                <w:color w:val="auto"/>
                <w:szCs w:val="21"/>
              </w:rPr>
              <w:t>表7-</w:t>
            </w:r>
            <w:r>
              <w:rPr>
                <w:rFonts w:hint="eastAsia" w:eastAsia="黑体" w:cs="Times New Roman"/>
                <w:color w:val="auto"/>
                <w:szCs w:val="21"/>
                <w:lang w:val="en-US" w:eastAsia="zh-CN"/>
              </w:rPr>
              <w:t>17</w:t>
            </w:r>
            <w:r>
              <w:rPr>
                <w:rFonts w:hint="default" w:ascii="Times New Roman" w:hAnsi="Times New Roman" w:eastAsia="黑体" w:cs="Times New Roman"/>
                <w:color w:val="auto"/>
                <w:szCs w:val="21"/>
              </w:rPr>
              <w:t xml:space="preserve">  总量控制指标一览表</w:t>
            </w:r>
          </w:p>
          <w:tbl>
            <w:tblPr>
              <w:tblStyle w:val="23"/>
              <w:tblW w:w="99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5"/>
              <w:gridCol w:w="1483"/>
              <w:gridCol w:w="1142"/>
              <w:gridCol w:w="3347"/>
              <w:gridCol w:w="3281"/>
            </w:tblGrid>
            <w:tr w14:paraId="256E2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5" w:type="dxa"/>
                  <w:vMerge w:val="restart"/>
                  <w:shd w:val="clear" w:color="auto" w:fill="auto"/>
                  <w:vAlign w:val="center"/>
                </w:tcPr>
                <w:p w14:paraId="35CE366A">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序号</w:t>
                  </w:r>
                </w:p>
              </w:tc>
              <w:tc>
                <w:tcPr>
                  <w:tcW w:w="1483" w:type="dxa"/>
                  <w:vMerge w:val="restart"/>
                  <w:vAlign w:val="center"/>
                </w:tcPr>
                <w:p w14:paraId="4266589B">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类别</w:t>
                  </w:r>
                </w:p>
              </w:tc>
              <w:tc>
                <w:tcPr>
                  <w:tcW w:w="1142" w:type="dxa"/>
                  <w:vMerge w:val="restart"/>
                  <w:vAlign w:val="center"/>
                </w:tcPr>
                <w:p w14:paraId="6A4341E4">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控制指标</w:t>
                  </w:r>
                </w:p>
              </w:tc>
              <w:tc>
                <w:tcPr>
                  <w:tcW w:w="6628" w:type="dxa"/>
                  <w:gridSpan w:val="2"/>
                </w:tcPr>
                <w:p w14:paraId="2F686EC2">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总量控制</w:t>
                  </w:r>
                </w:p>
              </w:tc>
            </w:tr>
            <w:tr w14:paraId="302B87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5" w:type="dxa"/>
                  <w:vMerge w:val="continue"/>
                  <w:shd w:val="clear" w:color="auto" w:fill="auto"/>
                  <w:vAlign w:val="center"/>
                </w:tcPr>
                <w:p w14:paraId="23013158">
                  <w:pPr>
                    <w:spacing w:line="276" w:lineRule="auto"/>
                    <w:jc w:val="center"/>
                    <w:rPr>
                      <w:rFonts w:hint="default" w:ascii="Times New Roman" w:hAnsi="Times New Roman" w:cs="Times New Roman"/>
                      <w:color w:val="auto"/>
                      <w:szCs w:val="21"/>
                    </w:rPr>
                  </w:pPr>
                </w:p>
              </w:tc>
              <w:tc>
                <w:tcPr>
                  <w:tcW w:w="1483" w:type="dxa"/>
                  <w:vMerge w:val="continue"/>
                  <w:vAlign w:val="center"/>
                </w:tcPr>
                <w:p w14:paraId="6EB3AB78">
                  <w:pPr>
                    <w:spacing w:line="276" w:lineRule="auto"/>
                    <w:jc w:val="center"/>
                    <w:rPr>
                      <w:rFonts w:hint="default" w:ascii="Times New Roman" w:hAnsi="Times New Roman" w:cs="Times New Roman"/>
                      <w:color w:val="auto"/>
                      <w:szCs w:val="21"/>
                    </w:rPr>
                  </w:pPr>
                </w:p>
              </w:tc>
              <w:tc>
                <w:tcPr>
                  <w:tcW w:w="1142" w:type="dxa"/>
                  <w:vMerge w:val="continue"/>
                  <w:vAlign w:val="center"/>
                </w:tcPr>
                <w:p w14:paraId="15B2068D">
                  <w:pPr>
                    <w:spacing w:line="276" w:lineRule="auto"/>
                    <w:jc w:val="center"/>
                    <w:rPr>
                      <w:rFonts w:hint="default" w:ascii="Times New Roman" w:hAnsi="Times New Roman" w:cs="Times New Roman"/>
                      <w:color w:val="auto"/>
                      <w:szCs w:val="21"/>
                    </w:rPr>
                  </w:pPr>
                </w:p>
              </w:tc>
              <w:tc>
                <w:tcPr>
                  <w:tcW w:w="3347" w:type="dxa"/>
                  <w:shd w:val="clear" w:color="auto" w:fill="auto"/>
                  <w:vAlign w:val="center"/>
                </w:tcPr>
                <w:p w14:paraId="6D060CA8">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lang w:eastAsia="zh-CN"/>
                    </w:rPr>
                    <w:t>化粪</w:t>
                  </w:r>
                  <w:r>
                    <w:rPr>
                      <w:rFonts w:hint="default" w:ascii="Times New Roman" w:hAnsi="Times New Roman" w:cs="Times New Roman"/>
                      <w:color w:val="auto"/>
                      <w:szCs w:val="21"/>
                    </w:rPr>
                    <w:t>池处理后总量</w:t>
                  </w:r>
                </w:p>
              </w:tc>
              <w:tc>
                <w:tcPr>
                  <w:tcW w:w="3281" w:type="dxa"/>
                  <w:shd w:val="clear" w:color="auto" w:fill="auto"/>
                  <w:vAlign w:val="center"/>
                </w:tcPr>
                <w:p w14:paraId="5F0B5D48">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污水处理厂处理后总量</w:t>
                  </w:r>
                </w:p>
              </w:tc>
            </w:tr>
            <w:tr w14:paraId="2FE75D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5" w:type="dxa"/>
                  <w:vMerge w:val="restart"/>
                  <w:shd w:val="clear" w:color="auto" w:fill="auto"/>
                  <w:vAlign w:val="center"/>
                </w:tcPr>
                <w:p w14:paraId="4A123BF9">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1</w:t>
                  </w:r>
                </w:p>
              </w:tc>
              <w:tc>
                <w:tcPr>
                  <w:tcW w:w="1483" w:type="dxa"/>
                  <w:vMerge w:val="restart"/>
                  <w:vAlign w:val="center"/>
                </w:tcPr>
                <w:p w14:paraId="03653B76">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水污染物</w:t>
                  </w:r>
                </w:p>
              </w:tc>
              <w:tc>
                <w:tcPr>
                  <w:tcW w:w="1142" w:type="dxa"/>
                  <w:vAlign w:val="center"/>
                </w:tcPr>
                <w:p w14:paraId="6E05630C">
                  <w:pPr>
                    <w:spacing w:line="276" w:lineRule="auto"/>
                    <w:jc w:val="center"/>
                    <w:rPr>
                      <w:rFonts w:hint="eastAsia" w:ascii="Times New Roman" w:hAnsi="Times New Roman" w:eastAsia="宋体" w:cs="Times New Roman"/>
                      <w:color w:val="auto"/>
                      <w:szCs w:val="21"/>
                      <w:lang w:val="en-US" w:eastAsia="zh-CN"/>
                    </w:rPr>
                  </w:pPr>
                  <w:r>
                    <w:rPr>
                      <w:rFonts w:hint="default" w:ascii="Times New Roman" w:hAnsi="Times New Roman" w:cs="Times New Roman"/>
                      <w:color w:val="auto"/>
                      <w:szCs w:val="21"/>
                    </w:rPr>
                    <w:t>COD</w:t>
                  </w:r>
                  <w:r>
                    <w:rPr>
                      <w:rFonts w:hint="eastAsia" w:cs="Times New Roman"/>
                      <w:color w:val="auto"/>
                      <w:szCs w:val="21"/>
                      <w:lang w:val="en-US" w:eastAsia="zh-CN"/>
                    </w:rPr>
                    <w:t>cr</w:t>
                  </w:r>
                </w:p>
              </w:tc>
              <w:tc>
                <w:tcPr>
                  <w:tcW w:w="3347" w:type="dxa"/>
                  <w:shd w:val="clear" w:color="auto" w:fill="auto"/>
                  <w:vAlign w:val="center"/>
                </w:tcPr>
                <w:p w14:paraId="4265D613">
                  <w:pPr>
                    <w:spacing w:line="276" w:lineRule="auto"/>
                    <w:jc w:val="center"/>
                    <w:rPr>
                      <w:rFonts w:hint="eastAsia" w:ascii="Times New Roman" w:hAnsi="Times New Roman" w:eastAsia="宋体" w:cs="Times New Roman"/>
                      <w:color w:val="auto"/>
                      <w:szCs w:val="21"/>
                      <w:lang w:val="en-US" w:eastAsia="zh-CN"/>
                    </w:rPr>
                  </w:pPr>
                  <w:r>
                    <w:rPr>
                      <w:rFonts w:hint="eastAsia" w:cs="Times New Roman"/>
                      <w:color w:val="auto"/>
                      <w:szCs w:val="21"/>
                      <w:lang w:val="en-US" w:eastAsia="zh-CN"/>
                    </w:rPr>
                    <w:t>1.062t/a</w:t>
                  </w:r>
                </w:p>
              </w:tc>
              <w:tc>
                <w:tcPr>
                  <w:tcW w:w="3281" w:type="dxa"/>
                  <w:shd w:val="clear" w:color="auto" w:fill="auto"/>
                  <w:vAlign w:val="center"/>
                </w:tcPr>
                <w:p w14:paraId="4FAC2182">
                  <w:pPr>
                    <w:spacing w:line="276" w:lineRule="auto"/>
                    <w:jc w:val="center"/>
                    <w:rPr>
                      <w:rFonts w:hint="eastAsia" w:ascii="Times New Roman" w:hAnsi="Times New Roman" w:eastAsia="宋体" w:cs="Times New Roman"/>
                      <w:color w:val="auto"/>
                      <w:szCs w:val="21"/>
                      <w:lang w:val="en-US" w:eastAsia="zh-CN"/>
                    </w:rPr>
                  </w:pPr>
                  <w:r>
                    <w:rPr>
                      <w:rFonts w:hint="eastAsia" w:cs="Times New Roman"/>
                      <w:color w:val="auto"/>
                      <w:szCs w:val="21"/>
                      <w:lang w:val="en-US" w:eastAsia="zh-CN"/>
                    </w:rPr>
                    <w:t>0.1062t/a</w:t>
                  </w:r>
                </w:p>
              </w:tc>
            </w:tr>
            <w:tr w14:paraId="340B60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5" w:type="dxa"/>
                  <w:vMerge w:val="continue"/>
                  <w:shd w:val="clear" w:color="auto" w:fill="auto"/>
                  <w:vAlign w:val="center"/>
                </w:tcPr>
                <w:p w14:paraId="7152E1B1">
                  <w:pPr>
                    <w:spacing w:line="276" w:lineRule="auto"/>
                    <w:jc w:val="center"/>
                    <w:rPr>
                      <w:rFonts w:hint="default" w:ascii="Times New Roman" w:hAnsi="Times New Roman" w:cs="Times New Roman"/>
                      <w:color w:val="auto"/>
                      <w:szCs w:val="21"/>
                    </w:rPr>
                  </w:pPr>
                </w:p>
              </w:tc>
              <w:tc>
                <w:tcPr>
                  <w:tcW w:w="1483" w:type="dxa"/>
                  <w:vMerge w:val="continue"/>
                  <w:vAlign w:val="center"/>
                </w:tcPr>
                <w:p w14:paraId="420C7F63">
                  <w:pPr>
                    <w:spacing w:line="276" w:lineRule="auto"/>
                    <w:jc w:val="center"/>
                    <w:rPr>
                      <w:rFonts w:hint="default" w:ascii="Times New Roman" w:hAnsi="Times New Roman" w:cs="Times New Roman"/>
                      <w:color w:val="auto"/>
                      <w:szCs w:val="21"/>
                    </w:rPr>
                  </w:pPr>
                </w:p>
              </w:tc>
              <w:tc>
                <w:tcPr>
                  <w:tcW w:w="1142" w:type="dxa"/>
                  <w:vAlign w:val="center"/>
                </w:tcPr>
                <w:p w14:paraId="1878D942">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NH</w:t>
                  </w:r>
                  <w:r>
                    <w:rPr>
                      <w:rFonts w:hint="default" w:ascii="Times New Roman" w:hAnsi="Times New Roman" w:cs="Times New Roman"/>
                      <w:color w:val="auto"/>
                      <w:szCs w:val="21"/>
                      <w:vertAlign w:val="subscript"/>
                    </w:rPr>
                    <w:t>3</w:t>
                  </w:r>
                  <w:r>
                    <w:rPr>
                      <w:rFonts w:hint="default" w:ascii="Times New Roman" w:hAnsi="Times New Roman" w:cs="Times New Roman"/>
                      <w:color w:val="auto"/>
                      <w:szCs w:val="21"/>
                    </w:rPr>
                    <w:t>-N</w:t>
                  </w:r>
                </w:p>
              </w:tc>
              <w:tc>
                <w:tcPr>
                  <w:tcW w:w="3347" w:type="dxa"/>
                  <w:shd w:val="clear" w:color="auto" w:fill="auto"/>
                  <w:vAlign w:val="center"/>
                </w:tcPr>
                <w:p w14:paraId="6E7B8ED9">
                  <w:pPr>
                    <w:spacing w:line="276" w:lineRule="auto"/>
                    <w:jc w:val="center"/>
                    <w:rPr>
                      <w:rFonts w:hint="eastAsia" w:ascii="Times New Roman" w:hAnsi="Times New Roman" w:eastAsia="宋体" w:cs="Times New Roman"/>
                      <w:color w:val="auto"/>
                      <w:szCs w:val="21"/>
                      <w:lang w:val="en-US" w:eastAsia="zh-CN"/>
                    </w:rPr>
                  </w:pPr>
                  <w:r>
                    <w:rPr>
                      <w:rFonts w:hint="eastAsia" w:cs="Times New Roman"/>
                      <w:color w:val="auto"/>
                      <w:szCs w:val="21"/>
                      <w:lang w:val="en-US" w:eastAsia="zh-CN"/>
                    </w:rPr>
                    <w:t>0.0956t/a</w:t>
                  </w:r>
                </w:p>
              </w:tc>
              <w:tc>
                <w:tcPr>
                  <w:tcW w:w="3281" w:type="dxa"/>
                  <w:shd w:val="clear" w:color="auto" w:fill="auto"/>
                  <w:vAlign w:val="center"/>
                </w:tcPr>
                <w:p w14:paraId="6CCEF102">
                  <w:pPr>
                    <w:spacing w:line="276" w:lineRule="auto"/>
                    <w:jc w:val="center"/>
                    <w:rPr>
                      <w:rFonts w:hint="eastAsia" w:ascii="Times New Roman" w:hAnsi="Times New Roman" w:eastAsia="宋体" w:cs="Times New Roman"/>
                      <w:color w:val="auto"/>
                      <w:szCs w:val="21"/>
                      <w:lang w:val="en-US" w:eastAsia="zh-CN"/>
                    </w:rPr>
                  </w:pPr>
                  <w:r>
                    <w:rPr>
                      <w:rFonts w:hint="eastAsia" w:cs="Times New Roman"/>
                      <w:color w:val="auto"/>
                      <w:szCs w:val="21"/>
                      <w:lang w:val="en-US" w:eastAsia="zh-CN"/>
                    </w:rPr>
                    <w:t>0.0106t/a</w:t>
                  </w:r>
                </w:p>
              </w:tc>
            </w:tr>
            <w:tr w14:paraId="0D9275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 w:hRule="atLeast"/>
                <w:jc w:val="center"/>
              </w:trPr>
              <w:tc>
                <w:tcPr>
                  <w:tcW w:w="715" w:type="dxa"/>
                  <w:shd w:val="clear" w:color="auto" w:fill="auto"/>
                  <w:vAlign w:val="center"/>
                </w:tcPr>
                <w:p w14:paraId="6CC8F3F2">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2</w:t>
                  </w:r>
                </w:p>
              </w:tc>
              <w:tc>
                <w:tcPr>
                  <w:tcW w:w="1483" w:type="dxa"/>
                  <w:vAlign w:val="center"/>
                </w:tcPr>
                <w:p w14:paraId="26D75647">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大气污染物</w:t>
                  </w:r>
                </w:p>
              </w:tc>
              <w:tc>
                <w:tcPr>
                  <w:tcW w:w="1142" w:type="dxa"/>
                  <w:vAlign w:val="center"/>
                </w:tcPr>
                <w:p w14:paraId="480C16C2">
                  <w:pPr>
                    <w:spacing w:line="276"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lang w:val="en-US" w:eastAsia="zh-CN"/>
                    </w:rPr>
                    <w:t>VOCs</w:t>
                  </w:r>
                </w:p>
              </w:tc>
              <w:tc>
                <w:tcPr>
                  <w:tcW w:w="6628" w:type="dxa"/>
                  <w:gridSpan w:val="2"/>
                </w:tcPr>
                <w:p w14:paraId="302C481A">
                  <w:pPr>
                    <w:spacing w:line="276" w:lineRule="auto"/>
                    <w:jc w:val="center"/>
                    <w:rPr>
                      <w:rFonts w:hint="default" w:ascii="Times New Roman" w:hAnsi="Times New Roman" w:cs="Times New Roman"/>
                      <w:color w:val="auto"/>
                      <w:szCs w:val="21"/>
                    </w:rPr>
                  </w:pPr>
                  <w:r>
                    <w:rPr>
                      <w:rFonts w:hint="eastAsia" w:cs="Times New Roman"/>
                      <w:color w:val="auto"/>
                      <w:szCs w:val="21"/>
                      <w:lang w:val="en-US" w:eastAsia="zh-CN"/>
                    </w:rPr>
                    <w:t>5.5kg</w:t>
                  </w:r>
                  <w:r>
                    <w:rPr>
                      <w:rFonts w:hint="default" w:ascii="Times New Roman" w:hAnsi="Times New Roman" w:cs="Times New Roman"/>
                      <w:color w:val="auto"/>
                      <w:szCs w:val="21"/>
                    </w:rPr>
                    <w:t>/a</w:t>
                  </w:r>
                </w:p>
              </w:tc>
            </w:tr>
          </w:tbl>
          <w:p w14:paraId="69F4F631">
            <w:pPr>
              <w:pStyle w:val="28"/>
              <w:spacing w:line="360" w:lineRule="auto"/>
              <w:rPr>
                <w:rFonts w:hint="default" w:ascii="Times New Roman" w:hAnsi="Times New Roman" w:eastAsia="黑体" w:cs="Times New Roman"/>
                <w:color w:val="auto"/>
                <w:sz w:val="28"/>
                <w:szCs w:val="28"/>
              </w:rPr>
            </w:pPr>
            <w:r>
              <w:rPr>
                <w:rFonts w:hint="default" w:ascii="Times New Roman" w:hAnsi="Times New Roman" w:eastAsia="黑体" w:cs="Times New Roman"/>
                <w:color w:val="auto"/>
                <w:sz w:val="28"/>
                <w:szCs w:val="28"/>
                <w:lang w:eastAsia="zh-CN"/>
              </w:rPr>
              <w:t>六</w:t>
            </w:r>
            <w:r>
              <w:rPr>
                <w:rFonts w:hint="default" w:ascii="Times New Roman" w:hAnsi="Times New Roman" w:eastAsia="黑体" w:cs="Times New Roman"/>
                <w:color w:val="auto"/>
                <w:sz w:val="28"/>
                <w:szCs w:val="28"/>
              </w:rPr>
              <w:t>、环境管理与环境监测</w:t>
            </w:r>
          </w:p>
          <w:p w14:paraId="7B8D028F">
            <w:pPr>
              <w:pStyle w:val="28"/>
              <w:spacing w:line="360" w:lineRule="auto"/>
              <w:ind w:firstLine="480" w:firstLineChars="200"/>
              <w:rPr>
                <w:rFonts w:hint="default" w:ascii="Times New Roman" w:hAnsi="Times New Roman" w:cs="Times New Roman"/>
                <w:color w:val="auto"/>
              </w:rPr>
            </w:pPr>
            <w:r>
              <w:rPr>
                <w:rFonts w:hint="default" w:ascii="Times New Roman" w:hAnsi="Times New Roman" w:cs="Times New Roman"/>
                <w:color w:val="auto"/>
              </w:rPr>
              <w:t>（1）环境管理</w:t>
            </w:r>
          </w:p>
          <w:p w14:paraId="6C75A3FC">
            <w:pPr>
              <w:pStyle w:val="28"/>
              <w:spacing w:line="360" w:lineRule="auto"/>
              <w:ind w:firstLine="480" w:firstLineChars="200"/>
              <w:rPr>
                <w:rFonts w:hint="default" w:ascii="Times New Roman" w:hAnsi="Times New Roman" w:cs="Times New Roman"/>
                <w:color w:val="auto"/>
              </w:rPr>
            </w:pPr>
            <w:r>
              <w:rPr>
                <w:rFonts w:hint="default" w:ascii="Times New Roman" w:hAnsi="Times New Roman" w:cs="Times New Roman"/>
                <w:color w:val="auto"/>
              </w:rPr>
              <w:t>环境管理机构的设置，目的是为了贯彻执行中华人民共和国环境保护法的有关法律、法规，全面落实国务院关于环境保护若干问题的决定的有关规定，对项目</w:t>
            </w:r>
            <w:r>
              <w:rPr>
                <w:rFonts w:hint="eastAsia" w:ascii="Times New Roman" w:hAnsi="Times New Roman" w:cs="Times New Roman"/>
                <w:color w:val="auto"/>
                <w:lang w:eastAsia="zh-CN"/>
              </w:rPr>
              <w:t>“</w:t>
            </w:r>
            <w:r>
              <w:rPr>
                <w:rFonts w:hint="default" w:ascii="Times New Roman" w:hAnsi="Times New Roman" w:cs="Times New Roman"/>
                <w:color w:val="auto"/>
              </w:rPr>
              <w:t>三废</w:t>
            </w:r>
            <w:r>
              <w:rPr>
                <w:rFonts w:hint="eastAsia" w:ascii="Times New Roman" w:hAnsi="Times New Roman" w:cs="Times New Roman"/>
                <w:color w:val="auto"/>
                <w:lang w:eastAsia="zh-CN"/>
              </w:rPr>
              <w:t>”</w:t>
            </w:r>
            <w:r>
              <w:rPr>
                <w:rFonts w:hint="default" w:ascii="Times New Roman" w:hAnsi="Times New Roman" w:cs="Times New Roman"/>
                <w:color w:val="auto"/>
              </w:rPr>
              <w:t>排放实行监控，确保建设项目经济、环境和社会效益协调发展；协调地方环保部门工作，为企业的生产管理和环境管理提供保证，针对项目的具体情况，为加强严格管理，企业应设置环境管理机构，并尽相应的职责。环境管理机构的职责如下：</w:t>
            </w:r>
          </w:p>
          <w:p w14:paraId="66050125">
            <w:pPr>
              <w:pStyle w:val="28"/>
              <w:spacing w:line="360" w:lineRule="auto"/>
              <w:ind w:firstLine="480" w:firstLineChars="200"/>
              <w:rPr>
                <w:rFonts w:hint="default" w:ascii="Times New Roman" w:hAnsi="Times New Roman" w:cs="Times New Roman"/>
                <w:color w:val="auto"/>
              </w:rPr>
            </w:pP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 1 \* GB3 \* MERGEFORMAT </w:instrText>
            </w:r>
            <w:r>
              <w:rPr>
                <w:rFonts w:hint="default" w:ascii="Times New Roman" w:hAnsi="Times New Roman" w:cs="Times New Roman"/>
                <w:color w:val="auto"/>
              </w:rPr>
              <w:fldChar w:fldCharType="separate"/>
            </w:r>
            <w:r>
              <w:rPr>
                <w:rFonts w:hint="default" w:ascii="Times New Roman" w:hAnsi="Times New Roman" w:cs="Times New Roman"/>
                <w:color w:val="auto"/>
              </w:rPr>
              <w:t>①</w:t>
            </w:r>
            <w:r>
              <w:rPr>
                <w:rFonts w:hint="default" w:ascii="Times New Roman" w:hAnsi="Times New Roman" w:cs="Times New Roman"/>
                <w:color w:val="auto"/>
              </w:rPr>
              <w:fldChar w:fldCharType="end"/>
            </w:r>
            <w:r>
              <w:rPr>
                <w:rFonts w:hint="default" w:ascii="Times New Roman" w:hAnsi="Times New Roman" w:cs="Times New Roman"/>
                <w:color w:val="auto"/>
              </w:rPr>
              <w:t>贯彻、宣传国家的环保方针、政策和法律法规。</w:t>
            </w:r>
          </w:p>
          <w:p w14:paraId="12D4F6C7">
            <w:pPr>
              <w:pStyle w:val="28"/>
              <w:spacing w:line="360" w:lineRule="auto"/>
              <w:ind w:firstLine="480" w:firstLineChars="200"/>
              <w:rPr>
                <w:rFonts w:hint="default" w:ascii="Times New Roman" w:hAnsi="Times New Roman" w:cs="Times New Roman"/>
                <w:color w:val="auto"/>
              </w:rPr>
            </w:pP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 2 \* GB3 \* MERGEFORMAT </w:instrText>
            </w:r>
            <w:r>
              <w:rPr>
                <w:rFonts w:hint="default" w:ascii="Times New Roman" w:hAnsi="Times New Roman" w:cs="Times New Roman"/>
                <w:color w:val="auto"/>
              </w:rPr>
              <w:fldChar w:fldCharType="separate"/>
            </w:r>
            <w:r>
              <w:rPr>
                <w:rFonts w:hint="default" w:ascii="Times New Roman" w:hAnsi="Times New Roman" w:cs="Times New Roman"/>
                <w:color w:val="auto"/>
              </w:rPr>
              <w:t>②</w:t>
            </w:r>
            <w:r>
              <w:rPr>
                <w:rFonts w:hint="default" w:ascii="Times New Roman" w:hAnsi="Times New Roman" w:cs="Times New Roman"/>
                <w:color w:val="auto"/>
              </w:rPr>
              <w:fldChar w:fldCharType="end"/>
            </w:r>
            <w:r>
              <w:rPr>
                <w:rFonts w:hint="default" w:ascii="Times New Roman" w:hAnsi="Times New Roman" w:cs="Times New Roman"/>
                <w:color w:val="auto"/>
              </w:rPr>
              <w:t>制定本单位的环保管理制度、环保技术经济政策、环境保护发展规划和年度实施计划。</w:t>
            </w:r>
          </w:p>
          <w:p w14:paraId="515C9EB3">
            <w:pPr>
              <w:pStyle w:val="28"/>
              <w:spacing w:line="360" w:lineRule="auto"/>
              <w:ind w:firstLine="480" w:firstLineChars="200"/>
              <w:rPr>
                <w:rFonts w:hint="default" w:ascii="Times New Roman" w:hAnsi="Times New Roman" w:cs="Times New Roman"/>
                <w:color w:val="auto"/>
              </w:rPr>
            </w:pP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 3 \* GB3 \* MERGEFORMAT </w:instrText>
            </w:r>
            <w:r>
              <w:rPr>
                <w:rFonts w:hint="default" w:ascii="Times New Roman" w:hAnsi="Times New Roman" w:cs="Times New Roman"/>
                <w:color w:val="auto"/>
              </w:rPr>
              <w:fldChar w:fldCharType="separate"/>
            </w:r>
            <w:r>
              <w:rPr>
                <w:rFonts w:hint="default" w:ascii="Times New Roman" w:hAnsi="Times New Roman" w:cs="Times New Roman"/>
                <w:color w:val="auto"/>
              </w:rPr>
              <w:t>③</w:t>
            </w:r>
            <w:r>
              <w:rPr>
                <w:rFonts w:hint="default" w:ascii="Times New Roman" w:hAnsi="Times New Roman" w:cs="Times New Roman"/>
                <w:color w:val="auto"/>
              </w:rPr>
              <w:fldChar w:fldCharType="end"/>
            </w:r>
            <w:r>
              <w:rPr>
                <w:rFonts w:hint="default" w:ascii="Times New Roman" w:hAnsi="Times New Roman" w:cs="Times New Roman"/>
                <w:color w:val="auto"/>
              </w:rPr>
              <w:t>监督检查本项目执行</w:t>
            </w:r>
            <w:r>
              <w:rPr>
                <w:rFonts w:hint="eastAsia" w:ascii="Times New Roman" w:hAnsi="Times New Roman" w:cs="Times New Roman"/>
                <w:color w:val="auto"/>
                <w:lang w:eastAsia="zh-CN"/>
              </w:rPr>
              <w:t>“</w:t>
            </w:r>
            <w:r>
              <w:rPr>
                <w:rFonts w:hint="default" w:ascii="Times New Roman" w:hAnsi="Times New Roman" w:cs="Times New Roman"/>
                <w:color w:val="auto"/>
              </w:rPr>
              <w:t>三同时</w:t>
            </w:r>
            <w:r>
              <w:rPr>
                <w:rFonts w:hint="eastAsia" w:ascii="Times New Roman" w:hAnsi="Times New Roman" w:cs="Times New Roman"/>
                <w:color w:val="auto"/>
                <w:lang w:eastAsia="zh-CN"/>
              </w:rPr>
              <w:t>”</w:t>
            </w:r>
            <w:r>
              <w:rPr>
                <w:rFonts w:hint="default" w:ascii="Times New Roman" w:hAnsi="Times New Roman" w:cs="Times New Roman"/>
                <w:color w:val="auto"/>
              </w:rPr>
              <w:t>规定的情况，使环境保护工程措施与主体工程同时设计、同时施工、同时投产，以保证有效的控制污染。</w:t>
            </w:r>
          </w:p>
          <w:p w14:paraId="023EBECE">
            <w:pPr>
              <w:pStyle w:val="28"/>
              <w:spacing w:line="360" w:lineRule="auto"/>
              <w:ind w:firstLine="480" w:firstLineChars="200"/>
              <w:rPr>
                <w:rFonts w:hint="default" w:ascii="Times New Roman" w:hAnsi="Times New Roman" w:cs="Times New Roman"/>
                <w:color w:val="auto"/>
              </w:rPr>
            </w:pP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 4 \* GB3 \* MERGEFORMAT </w:instrText>
            </w:r>
            <w:r>
              <w:rPr>
                <w:rFonts w:hint="default" w:ascii="Times New Roman" w:hAnsi="Times New Roman" w:cs="Times New Roman"/>
                <w:color w:val="auto"/>
              </w:rPr>
              <w:fldChar w:fldCharType="separate"/>
            </w:r>
            <w:r>
              <w:rPr>
                <w:rFonts w:hint="default" w:ascii="Times New Roman" w:hAnsi="Times New Roman" w:cs="Times New Roman"/>
                <w:color w:val="auto"/>
              </w:rPr>
              <w:t>④</w:t>
            </w:r>
            <w:r>
              <w:rPr>
                <w:rFonts w:hint="default" w:ascii="Times New Roman" w:hAnsi="Times New Roman" w:cs="Times New Roman"/>
                <w:color w:val="auto"/>
              </w:rPr>
              <w:fldChar w:fldCharType="end"/>
            </w:r>
            <w:r>
              <w:rPr>
                <w:rFonts w:hint="default" w:ascii="Times New Roman" w:hAnsi="Times New Roman" w:cs="Times New Roman"/>
                <w:color w:val="auto"/>
              </w:rPr>
              <w:t>定期进行环保设备检查、维修和保养工作，确保环保设施长期、稳定、达标运转。</w:t>
            </w:r>
          </w:p>
          <w:p w14:paraId="3FB4A8FE">
            <w:pPr>
              <w:pStyle w:val="28"/>
              <w:spacing w:line="360" w:lineRule="auto"/>
              <w:ind w:firstLine="480" w:firstLineChars="200"/>
              <w:rPr>
                <w:rFonts w:hint="default" w:ascii="Times New Roman" w:hAnsi="Times New Roman" w:cs="Times New Roman"/>
                <w:color w:val="auto"/>
              </w:rPr>
            </w:pP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 5 \* GB3 \* MERGEFORMAT </w:instrText>
            </w:r>
            <w:r>
              <w:rPr>
                <w:rFonts w:hint="default" w:ascii="Times New Roman" w:hAnsi="Times New Roman" w:cs="Times New Roman"/>
                <w:color w:val="auto"/>
              </w:rPr>
              <w:fldChar w:fldCharType="separate"/>
            </w:r>
            <w:r>
              <w:rPr>
                <w:rFonts w:hint="default" w:ascii="Times New Roman" w:hAnsi="Times New Roman" w:cs="Times New Roman"/>
                <w:color w:val="auto"/>
              </w:rPr>
              <w:t>⑤</w:t>
            </w:r>
            <w:r>
              <w:rPr>
                <w:rFonts w:hint="default" w:ascii="Times New Roman" w:hAnsi="Times New Roman" w:cs="Times New Roman"/>
                <w:color w:val="auto"/>
              </w:rPr>
              <w:fldChar w:fldCharType="end"/>
            </w:r>
            <w:r>
              <w:rPr>
                <w:rFonts w:hint="default" w:ascii="Times New Roman" w:hAnsi="Times New Roman" w:cs="Times New Roman"/>
                <w:color w:val="auto"/>
              </w:rPr>
              <w:t>负责本项目环保设施的日常运行管理工作，制定事故防范措施，一旦发生事故，组织污染源调查及控制工作，并及时总结经验教训。</w:t>
            </w:r>
          </w:p>
          <w:p w14:paraId="01EC9530">
            <w:pPr>
              <w:pStyle w:val="28"/>
              <w:spacing w:line="360" w:lineRule="auto"/>
              <w:ind w:firstLine="480" w:firstLineChars="200"/>
              <w:rPr>
                <w:rFonts w:hint="default" w:ascii="Times New Roman" w:hAnsi="Times New Roman" w:cs="Times New Roman"/>
                <w:color w:val="auto"/>
              </w:rPr>
            </w:pP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 6 \* GB3 \* MERGEFORMAT </w:instrText>
            </w:r>
            <w:r>
              <w:rPr>
                <w:rFonts w:hint="default" w:ascii="Times New Roman" w:hAnsi="Times New Roman" w:cs="Times New Roman"/>
                <w:color w:val="auto"/>
              </w:rPr>
              <w:fldChar w:fldCharType="separate"/>
            </w:r>
            <w:r>
              <w:rPr>
                <w:rFonts w:hint="default" w:ascii="Times New Roman" w:hAnsi="Times New Roman" w:cs="Times New Roman"/>
                <w:color w:val="auto"/>
              </w:rPr>
              <w:t>⑥</w:t>
            </w:r>
            <w:r>
              <w:rPr>
                <w:rFonts w:hint="default" w:ascii="Times New Roman" w:hAnsi="Times New Roman" w:cs="Times New Roman"/>
                <w:color w:val="auto"/>
              </w:rPr>
              <w:fldChar w:fldCharType="end"/>
            </w:r>
            <w:r>
              <w:rPr>
                <w:rFonts w:hint="default" w:ascii="Times New Roman" w:hAnsi="Times New Roman" w:cs="Times New Roman"/>
                <w:color w:val="auto"/>
              </w:rPr>
              <w:t>负责对本单位职工进行环境保护教育，不断提高职工的环境意识和环保人员的业务素质。</w:t>
            </w:r>
          </w:p>
          <w:p w14:paraId="171EFAAC">
            <w:pPr>
              <w:pStyle w:val="28"/>
              <w:spacing w:line="360" w:lineRule="auto"/>
              <w:ind w:firstLine="480" w:firstLineChars="200"/>
              <w:rPr>
                <w:rFonts w:hint="default" w:ascii="Times New Roman" w:hAnsi="Times New Roman" w:cs="Times New Roman"/>
                <w:color w:val="auto"/>
              </w:rPr>
            </w:pPr>
            <w:r>
              <w:rPr>
                <w:rFonts w:hint="default" w:ascii="Times New Roman" w:hAnsi="Times New Roman" w:cs="Times New Roman"/>
                <w:color w:val="auto"/>
              </w:rPr>
              <w:t>（2）环境监测计划</w:t>
            </w:r>
          </w:p>
          <w:p w14:paraId="5606F573">
            <w:pPr>
              <w:pStyle w:val="28"/>
              <w:spacing w:line="360" w:lineRule="auto"/>
              <w:ind w:firstLine="480" w:firstLineChars="200"/>
              <w:jc w:val="center"/>
              <w:rPr>
                <w:rFonts w:hint="default" w:ascii="Times New Roman" w:hAnsi="Times New Roman" w:cs="Times New Roman"/>
                <w:color w:val="auto"/>
              </w:rPr>
            </w:pPr>
            <w:r>
              <w:rPr>
                <w:rFonts w:hint="default" w:ascii="Times New Roman" w:hAnsi="Times New Roman" w:cs="Times New Roman"/>
                <w:color w:val="auto"/>
              </w:rPr>
              <w:t>本项目营运期的环境监测应由符合国家环境质量监测认证资质的单位承担，监测重点为大气、噪声，采用定点和流动监测，定时和不定时抽检相结合的方式进行，监测计划见表7-1</w:t>
            </w:r>
            <w:r>
              <w:rPr>
                <w:rFonts w:hint="eastAsia" w:ascii="Times New Roman" w:cs="Times New Roman"/>
                <w:color w:val="auto"/>
                <w:lang w:val="en-US" w:eastAsia="zh-CN"/>
              </w:rPr>
              <w:t>6</w:t>
            </w:r>
            <w:r>
              <w:rPr>
                <w:rFonts w:hint="default" w:ascii="Times New Roman" w:hAnsi="Times New Roman" w:cs="Times New Roman"/>
                <w:color w:val="auto"/>
              </w:rPr>
              <w:t>。</w:t>
            </w:r>
            <w:r>
              <w:rPr>
                <w:rFonts w:hint="default" w:ascii="Times New Roman" w:hAnsi="Times New Roman" w:cs="Times New Roman"/>
                <w:color w:val="auto"/>
              </w:rPr>
              <w:tab/>
            </w:r>
            <w:r>
              <w:rPr>
                <w:rFonts w:hint="default" w:ascii="Times New Roman" w:hAnsi="Times New Roman" w:cs="Times New Roman"/>
                <w:b/>
                <w:bCs/>
                <w:color w:val="auto"/>
                <w:sz w:val="21"/>
                <w:szCs w:val="21"/>
              </w:rPr>
              <w:t>表7-1</w:t>
            </w:r>
            <w:r>
              <w:rPr>
                <w:rFonts w:hint="eastAsia" w:ascii="Times New Roman" w:cs="Times New Roman"/>
                <w:b/>
                <w:bCs/>
                <w:color w:val="auto"/>
                <w:sz w:val="21"/>
                <w:szCs w:val="21"/>
                <w:lang w:val="en-US" w:eastAsia="zh-CN"/>
              </w:rPr>
              <w:t>8</w:t>
            </w:r>
            <w:r>
              <w:rPr>
                <w:rFonts w:hint="default" w:ascii="Times New Roman" w:hAnsi="Times New Roman" w:cs="Times New Roman"/>
                <w:b/>
                <w:bCs/>
                <w:color w:val="auto"/>
                <w:sz w:val="21"/>
                <w:szCs w:val="21"/>
              </w:rPr>
              <w:tab/>
            </w:r>
            <w:r>
              <w:rPr>
                <w:rFonts w:hint="default" w:ascii="Times New Roman" w:hAnsi="Times New Roman" w:cs="Times New Roman"/>
                <w:b/>
                <w:bCs/>
                <w:color w:val="auto"/>
                <w:sz w:val="21"/>
                <w:szCs w:val="21"/>
              </w:rPr>
              <w:t>环境监测计划一览表</w:t>
            </w:r>
          </w:p>
          <w:tbl>
            <w:tblPr>
              <w:tblStyle w:val="23"/>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908"/>
              <w:gridCol w:w="2861"/>
              <w:gridCol w:w="3433"/>
              <w:gridCol w:w="1352"/>
              <w:gridCol w:w="1084"/>
            </w:tblGrid>
            <w:tr w14:paraId="647C92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5" w:hRule="atLeast"/>
                <w:jc w:val="center"/>
              </w:trPr>
              <w:tc>
                <w:tcPr>
                  <w:tcW w:w="3769" w:type="dxa"/>
                  <w:gridSpan w:val="2"/>
                  <w:shd w:val="clear" w:color="auto" w:fill="D7D7D7"/>
                  <w:vAlign w:val="center"/>
                </w:tcPr>
                <w:p w14:paraId="5719B2F5">
                  <w:pPr>
                    <w:spacing w:line="240" w:lineRule="exact"/>
                    <w:jc w:val="center"/>
                    <w:rPr>
                      <w:rFonts w:hint="default" w:ascii="Times New Roman" w:hAnsi="Times New Roman" w:eastAsia="宋体" w:cs="Times New Roman"/>
                      <w:b/>
                      <w:color w:val="auto"/>
                      <w:w w:val="100"/>
                      <w:sz w:val="21"/>
                      <w:szCs w:val="21"/>
                    </w:rPr>
                  </w:pPr>
                  <w:r>
                    <w:rPr>
                      <w:rFonts w:hint="default" w:ascii="Times New Roman" w:hAnsi="Times New Roman" w:eastAsia="宋体" w:cs="Times New Roman"/>
                      <w:b/>
                      <w:color w:val="auto"/>
                      <w:w w:val="100"/>
                      <w:sz w:val="21"/>
                      <w:szCs w:val="21"/>
                    </w:rPr>
                    <w:t>阶段</w:t>
                  </w:r>
                </w:p>
                <w:p w14:paraId="08B21818">
                  <w:pPr>
                    <w:spacing w:line="240" w:lineRule="exact"/>
                    <w:jc w:val="center"/>
                    <w:rPr>
                      <w:rFonts w:hint="default" w:ascii="Times New Roman" w:hAnsi="Times New Roman" w:eastAsia="宋体" w:cs="Times New Roman"/>
                      <w:b/>
                      <w:color w:val="auto"/>
                      <w:w w:val="100"/>
                      <w:sz w:val="21"/>
                      <w:szCs w:val="21"/>
                    </w:rPr>
                  </w:pPr>
                  <w:r>
                    <w:rPr>
                      <w:rFonts w:hint="default" w:ascii="Times New Roman" w:hAnsi="Times New Roman" w:eastAsia="宋体" w:cs="Times New Roman"/>
                      <w:b/>
                      <w:color w:val="auto"/>
                      <w:w w:val="100"/>
                      <w:sz w:val="21"/>
                      <w:szCs w:val="21"/>
                    </w:rPr>
                    <w:t>监测地点</w:t>
                  </w:r>
                </w:p>
              </w:tc>
              <w:tc>
                <w:tcPr>
                  <w:tcW w:w="3433" w:type="dxa"/>
                  <w:shd w:val="clear" w:color="auto" w:fill="D7D7D7"/>
                  <w:vAlign w:val="center"/>
                </w:tcPr>
                <w:p w14:paraId="08D304DA">
                  <w:pPr>
                    <w:spacing w:line="240" w:lineRule="exact"/>
                    <w:jc w:val="center"/>
                    <w:rPr>
                      <w:rFonts w:hint="default" w:ascii="Times New Roman" w:hAnsi="Times New Roman" w:eastAsia="宋体" w:cs="Times New Roman"/>
                      <w:b/>
                      <w:color w:val="auto"/>
                      <w:w w:val="100"/>
                      <w:sz w:val="21"/>
                      <w:szCs w:val="21"/>
                    </w:rPr>
                  </w:pPr>
                  <w:r>
                    <w:rPr>
                      <w:rFonts w:hint="default" w:ascii="Times New Roman" w:hAnsi="Times New Roman" w:eastAsia="宋体" w:cs="Times New Roman"/>
                      <w:b/>
                      <w:color w:val="auto"/>
                      <w:w w:val="100"/>
                      <w:sz w:val="21"/>
                      <w:szCs w:val="21"/>
                    </w:rPr>
                    <w:t>监测项目</w:t>
                  </w:r>
                </w:p>
              </w:tc>
              <w:tc>
                <w:tcPr>
                  <w:tcW w:w="1352" w:type="dxa"/>
                  <w:shd w:val="clear" w:color="auto" w:fill="D7D7D7"/>
                  <w:vAlign w:val="center"/>
                </w:tcPr>
                <w:p w14:paraId="4900BE75">
                  <w:pPr>
                    <w:spacing w:line="240" w:lineRule="exact"/>
                    <w:ind w:left="180"/>
                    <w:rPr>
                      <w:rFonts w:hint="default" w:ascii="Times New Roman" w:hAnsi="Times New Roman" w:eastAsia="宋体" w:cs="Times New Roman"/>
                      <w:b/>
                      <w:color w:val="auto"/>
                      <w:w w:val="100"/>
                      <w:sz w:val="21"/>
                      <w:szCs w:val="21"/>
                    </w:rPr>
                  </w:pPr>
                  <w:r>
                    <w:rPr>
                      <w:rFonts w:hint="default" w:ascii="Times New Roman" w:hAnsi="Times New Roman" w:eastAsia="宋体" w:cs="Times New Roman"/>
                      <w:b/>
                      <w:color w:val="auto"/>
                      <w:w w:val="100"/>
                      <w:sz w:val="21"/>
                      <w:szCs w:val="21"/>
                    </w:rPr>
                    <w:t>监测频次</w:t>
                  </w:r>
                </w:p>
              </w:tc>
              <w:tc>
                <w:tcPr>
                  <w:tcW w:w="1084" w:type="dxa"/>
                  <w:shd w:val="clear" w:color="auto" w:fill="D7D7D7"/>
                  <w:vAlign w:val="center"/>
                </w:tcPr>
                <w:p w14:paraId="5B935E74">
                  <w:pPr>
                    <w:spacing w:line="240" w:lineRule="exact"/>
                    <w:jc w:val="center"/>
                    <w:rPr>
                      <w:rFonts w:hint="default" w:ascii="Times New Roman" w:hAnsi="Times New Roman" w:eastAsia="宋体" w:cs="Times New Roman"/>
                      <w:b/>
                      <w:color w:val="auto"/>
                      <w:w w:val="100"/>
                      <w:sz w:val="21"/>
                      <w:szCs w:val="21"/>
                    </w:rPr>
                  </w:pPr>
                  <w:r>
                    <w:rPr>
                      <w:rFonts w:hint="default" w:ascii="Times New Roman" w:hAnsi="Times New Roman" w:eastAsia="宋体" w:cs="Times New Roman"/>
                      <w:b/>
                      <w:color w:val="auto"/>
                      <w:w w:val="100"/>
                      <w:sz w:val="21"/>
                      <w:szCs w:val="21"/>
                    </w:rPr>
                    <w:t>实施机构</w:t>
                  </w:r>
                </w:p>
              </w:tc>
            </w:tr>
            <w:tr w14:paraId="081FCA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62" w:hRule="atLeast"/>
                <w:jc w:val="center"/>
              </w:trPr>
              <w:tc>
                <w:tcPr>
                  <w:tcW w:w="908" w:type="dxa"/>
                  <w:vMerge w:val="restart"/>
                  <w:shd w:val="clear" w:color="auto" w:fill="auto"/>
                  <w:vAlign w:val="center"/>
                </w:tcPr>
                <w:p w14:paraId="7DB6647E">
                  <w:pPr>
                    <w:spacing w:line="240" w:lineRule="exact"/>
                    <w:jc w:val="center"/>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营运期</w:t>
                  </w:r>
                </w:p>
              </w:tc>
              <w:tc>
                <w:tcPr>
                  <w:tcW w:w="2861" w:type="dxa"/>
                  <w:shd w:val="clear" w:color="auto" w:fill="auto"/>
                  <w:vAlign w:val="center"/>
                </w:tcPr>
                <w:p w14:paraId="04AD222B">
                  <w:pPr>
                    <w:spacing w:line="240" w:lineRule="exact"/>
                    <w:jc w:val="center"/>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厂界噪音</w:t>
                  </w:r>
                </w:p>
              </w:tc>
              <w:tc>
                <w:tcPr>
                  <w:tcW w:w="3433" w:type="dxa"/>
                  <w:shd w:val="clear" w:color="auto" w:fill="auto"/>
                  <w:vAlign w:val="center"/>
                </w:tcPr>
                <w:p w14:paraId="494DD1D7">
                  <w:pPr>
                    <w:spacing w:line="256" w:lineRule="exact"/>
                    <w:jc w:val="center"/>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噪声：等效</w:t>
                  </w:r>
                  <w:r>
                    <w:rPr>
                      <w:rFonts w:hint="default" w:ascii="Times New Roman" w:hAnsi="Times New Roman" w:eastAsia="Times New Roman" w:cs="Times New Roman"/>
                      <w:color w:val="auto"/>
                      <w:w w:val="100"/>
                      <w:sz w:val="21"/>
                      <w:szCs w:val="21"/>
                    </w:rPr>
                    <w:t>A</w:t>
                  </w:r>
                  <w:r>
                    <w:rPr>
                      <w:rFonts w:hint="default" w:ascii="Times New Roman" w:hAnsi="Times New Roman" w:eastAsia="宋体" w:cs="Times New Roman"/>
                      <w:color w:val="auto"/>
                      <w:w w:val="100"/>
                      <w:sz w:val="21"/>
                      <w:szCs w:val="21"/>
                    </w:rPr>
                    <w:t>声级</w:t>
                  </w:r>
                </w:p>
              </w:tc>
              <w:tc>
                <w:tcPr>
                  <w:tcW w:w="1352" w:type="dxa"/>
                  <w:shd w:val="clear" w:color="auto" w:fill="auto"/>
                  <w:vAlign w:val="center"/>
                </w:tcPr>
                <w:p w14:paraId="34F3D4CF">
                  <w:pPr>
                    <w:spacing w:line="240" w:lineRule="exact"/>
                    <w:ind w:left="180"/>
                    <w:rPr>
                      <w:rFonts w:hint="default" w:ascii="Times New Roman" w:hAnsi="Times New Roman" w:eastAsia="宋体" w:cs="Times New Roman"/>
                      <w:color w:val="auto"/>
                      <w:w w:val="100"/>
                      <w:sz w:val="21"/>
                      <w:szCs w:val="21"/>
                    </w:rPr>
                  </w:pPr>
                  <w:r>
                    <w:rPr>
                      <w:rFonts w:hint="eastAsia" w:cs="Times New Roman"/>
                      <w:color w:val="auto"/>
                      <w:w w:val="100"/>
                      <w:sz w:val="21"/>
                      <w:szCs w:val="21"/>
                      <w:lang w:val="en-US" w:eastAsia="zh-CN"/>
                    </w:rPr>
                    <w:t>每6月</w:t>
                  </w:r>
                  <w:r>
                    <w:rPr>
                      <w:rFonts w:hint="default" w:ascii="Times New Roman" w:hAnsi="Times New Roman" w:eastAsia="宋体" w:cs="Times New Roman"/>
                      <w:color w:val="auto"/>
                      <w:w w:val="100"/>
                      <w:sz w:val="21"/>
                      <w:szCs w:val="21"/>
                    </w:rPr>
                    <w:t>一次</w:t>
                  </w:r>
                </w:p>
              </w:tc>
              <w:tc>
                <w:tcPr>
                  <w:tcW w:w="1084" w:type="dxa"/>
                  <w:vMerge w:val="restart"/>
                  <w:shd w:val="clear" w:color="auto" w:fill="auto"/>
                  <w:vAlign w:val="center"/>
                </w:tcPr>
                <w:p w14:paraId="193A57A3">
                  <w:pPr>
                    <w:spacing w:line="240" w:lineRule="exact"/>
                    <w:jc w:val="center"/>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委托有资</w:t>
                  </w:r>
                </w:p>
                <w:p w14:paraId="11CC46FB">
                  <w:pPr>
                    <w:spacing w:line="240" w:lineRule="exact"/>
                    <w:jc w:val="center"/>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质的监测</w:t>
                  </w:r>
                </w:p>
                <w:p w14:paraId="2B6E36CA">
                  <w:pPr>
                    <w:spacing w:line="240" w:lineRule="exact"/>
                    <w:jc w:val="center"/>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单位</w:t>
                  </w:r>
                </w:p>
              </w:tc>
            </w:tr>
            <w:tr w14:paraId="1CE5CB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908" w:type="dxa"/>
                  <w:vMerge w:val="continue"/>
                  <w:shd w:val="clear" w:color="auto" w:fill="auto"/>
                  <w:vAlign w:val="center"/>
                </w:tcPr>
                <w:p w14:paraId="098BDC1B">
                  <w:pPr>
                    <w:spacing w:line="0" w:lineRule="atLeast"/>
                    <w:rPr>
                      <w:rFonts w:hint="default" w:ascii="Times New Roman" w:hAnsi="Times New Roman" w:eastAsia="Times New Roman" w:cs="Times New Roman"/>
                      <w:color w:val="auto"/>
                      <w:w w:val="100"/>
                      <w:sz w:val="21"/>
                      <w:szCs w:val="21"/>
                    </w:rPr>
                  </w:pPr>
                </w:p>
              </w:tc>
              <w:tc>
                <w:tcPr>
                  <w:tcW w:w="2861" w:type="dxa"/>
                  <w:shd w:val="clear" w:color="auto" w:fill="auto"/>
                  <w:vAlign w:val="center"/>
                </w:tcPr>
                <w:p w14:paraId="7C3E9245">
                  <w:pPr>
                    <w:spacing w:line="240" w:lineRule="exact"/>
                    <w:jc w:val="center"/>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环境空气</w:t>
                  </w:r>
                </w:p>
              </w:tc>
              <w:tc>
                <w:tcPr>
                  <w:tcW w:w="3433" w:type="dxa"/>
                  <w:shd w:val="clear" w:color="auto" w:fill="auto"/>
                  <w:vAlign w:val="center"/>
                </w:tcPr>
                <w:p w14:paraId="31271A42">
                  <w:pPr>
                    <w:spacing w:line="256" w:lineRule="exact"/>
                    <w:jc w:val="center"/>
                    <w:rPr>
                      <w:rFonts w:hint="default" w:ascii="Times New Roman" w:hAnsi="Times New Roman" w:eastAsia="Times New Roman" w:cs="Times New Roman"/>
                      <w:color w:val="auto"/>
                      <w:w w:val="100"/>
                      <w:sz w:val="21"/>
                      <w:szCs w:val="21"/>
                    </w:rPr>
                  </w:pPr>
                  <w:r>
                    <w:rPr>
                      <w:rFonts w:hint="default" w:ascii="Times New Roman" w:hAnsi="Times New Roman" w:eastAsia="Times New Roman" w:cs="Times New Roman"/>
                      <w:color w:val="auto"/>
                      <w:w w:val="100"/>
                      <w:sz w:val="21"/>
                      <w:szCs w:val="21"/>
                    </w:rPr>
                    <w:t>SO</w:t>
                  </w:r>
                  <w:r>
                    <w:rPr>
                      <w:rFonts w:hint="default" w:ascii="Times New Roman" w:hAnsi="Times New Roman" w:eastAsia="Times New Roman" w:cs="Times New Roman"/>
                      <w:color w:val="auto"/>
                      <w:w w:val="100"/>
                      <w:sz w:val="21"/>
                      <w:szCs w:val="21"/>
                      <w:vertAlign w:val="subscript"/>
                    </w:rPr>
                    <w:t>2</w:t>
                  </w:r>
                  <w:r>
                    <w:rPr>
                      <w:rFonts w:hint="default" w:ascii="Times New Roman" w:hAnsi="Times New Roman" w:eastAsia="宋体" w:cs="Times New Roman"/>
                      <w:color w:val="auto"/>
                      <w:w w:val="100"/>
                      <w:sz w:val="21"/>
                      <w:szCs w:val="21"/>
                    </w:rPr>
                    <w:t>、</w:t>
                  </w:r>
                  <w:r>
                    <w:rPr>
                      <w:rFonts w:hint="default" w:ascii="Times New Roman" w:hAnsi="Times New Roman" w:eastAsia="Times New Roman" w:cs="Times New Roman"/>
                      <w:color w:val="auto"/>
                      <w:w w:val="100"/>
                      <w:sz w:val="21"/>
                      <w:szCs w:val="21"/>
                    </w:rPr>
                    <w:t>NO</w:t>
                  </w:r>
                  <w:r>
                    <w:rPr>
                      <w:rFonts w:hint="default" w:ascii="Times New Roman" w:hAnsi="Times New Roman" w:eastAsia="Times New Roman" w:cs="Times New Roman"/>
                      <w:color w:val="auto"/>
                      <w:w w:val="100"/>
                      <w:sz w:val="21"/>
                      <w:szCs w:val="21"/>
                      <w:vertAlign w:val="subscript"/>
                    </w:rPr>
                    <w:t>2</w:t>
                  </w:r>
                  <w:r>
                    <w:rPr>
                      <w:rFonts w:hint="default" w:ascii="Times New Roman" w:hAnsi="Times New Roman" w:eastAsia="宋体" w:cs="Times New Roman"/>
                      <w:color w:val="auto"/>
                      <w:w w:val="100"/>
                      <w:sz w:val="21"/>
                      <w:szCs w:val="21"/>
                    </w:rPr>
                    <w:t>、</w:t>
                  </w:r>
                  <w:r>
                    <w:rPr>
                      <w:rFonts w:hint="default" w:ascii="Times New Roman" w:hAnsi="Times New Roman" w:eastAsia="Times New Roman" w:cs="Times New Roman"/>
                      <w:color w:val="auto"/>
                      <w:w w:val="100"/>
                      <w:sz w:val="21"/>
                      <w:szCs w:val="21"/>
                      <w:lang w:val="en-US" w:eastAsia="zh-CN"/>
                    </w:rPr>
                    <w:t>VOCs</w:t>
                  </w:r>
                </w:p>
              </w:tc>
              <w:tc>
                <w:tcPr>
                  <w:tcW w:w="1352" w:type="dxa"/>
                  <w:shd w:val="clear" w:color="auto" w:fill="auto"/>
                  <w:vAlign w:val="center"/>
                </w:tcPr>
                <w:p w14:paraId="1C7D7AAA">
                  <w:pPr>
                    <w:spacing w:line="240" w:lineRule="exact"/>
                    <w:ind w:left="180"/>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每</w:t>
                  </w:r>
                  <w:r>
                    <w:rPr>
                      <w:rFonts w:hint="eastAsia" w:cs="Times New Roman"/>
                      <w:color w:val="auto"/>
                      <w:w w:val="100"/>
                      <w:sz w:val="21"/>
                      <w:szCs w:val="21"/>
                      <w:lang w:val="en-US" w:eastAsia="zh-CN"/>
                    </w:rPr>
                    <w:t>3月</w:t>
                  </w:r>
                  <w:r>
                    <w:rPr>
                      <w:rFonts w:hint="default" w:ascii="Times New Roman" w:hAnsi="Times New Roman" w:eastAsia="宋体" w:cs="Times New Roman"/>
                      <w:color w:val="auto"/>
                      <w:w w:val="100"/>
                      <w:sz w:val="21"/>
                      <w:szCs w:val="21"/>
                    </w:rPr>
                    <w:t>一次</w:t>
                  </w:r>
                </w:p>
              </w:tc>
              <w:tc>
                <w:tcPr>
                  <w:tcW w:w="1084" w:type="dxa"/>
                  <w:vMerge w:val="continue"/>
                  <w:shd w:val="clear" w:color="auto" w:fill="auto"/>
                  <w:vAlign w:val="center"/>
                </w:tcPr>
                <w:p w14:paraId="06E34AF2">
                  <w:pPr>
                    <w:spacing w:line="0" w:lineRule="atLeast"/>
                    <w:rPr>
                      <w:rFonts w:hint="default" w:ascii="Times New Roman" w:hAnsi="Times New Roman" w:eastAsia="Times New Roman" w:cs="Times New Roman"/>
                      <w:color w:val="auto"/>
                      <w:w w:val="100"/>
                      <w:sz w:val="21"/>
                      <w:szCs w:val="21"/>
                    </w:rPr>
                  </w:pPr>
                </w:p>
              </w:tc>
            </w:tr>
            <w:tr w14:paraId="7E06C5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04" w:hRule="atLeast"/>
                <w:jc w:val="center"/>
              </w:trPr>
              <w:tc>
                <w:tcPr>
                  <w:tcW w:w="908" w:type="dxa"/>
                  <w:vMerge w:val="continue"/>
                  <w:shd w:val="clear" w:color="auto" w:fill="auto"/>
                  <w:vAlign w:val="center"/>
                </w:tcPr>
                <w:p w14:paraId="6774332E">
                  <w:pPr>
                    <w:spacing w:line="0" w:lineRule="atLeast"/>
                    <w:rPr>
                      <w:rFonts w:hint="default" w:ascii="Times New Roman" w:hAnsi="Times New Roman" w:eastAsia="Times New Roman" w:cs="Times New Roman"/>
                      <w:color w:val="auto"/>
                      <w:w w:val="100"/>
                      <w:sz w:val="21"/>
                      <w:szCs w:val="21"/>
                    </w:rPr>
                  </w:pPr>
                </w:p>
              </w:tc>
              <w:tc>
                <w:tcPr>
                  <w:tcW w:w="2861" w:type="dxa"/>
                  <w:shd w:val="clear" w:color="auto" w:fill="auto"/>
                  <w:vAlign w:val="center"/>
                </w:tcPr>
                <w:p w14:paraId="2E70F180">
                  <w:pPr>
                    <w:spacing w:line="240" w:lineRule="exact"/>
                    <w:jc w:val="center"/>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排水水质和排放量（污水总</w:t>
                  </w:r>
                </w:p>
                <w:p w14:paraId="410E6252">
                  <w:pPr>
                    <w:spacing w:line="237" w:lineRule="exact"/>
                    <w:jc w:val="center"/>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接管口）</w:t>
                  </w:r>
                </w:p>
              </w:tc>
              <w:tc>
                <w:tcPr>
                  <w:tcW w:w="3433" w:type="dxa"/>
                  <w:shd w:val="clear" w:color="auto" w:fill="auto"/>
                  <w:vAlign w:val="center"/>
                </w:tcPr>
                <w:p w14:paraId="514E19BC">
                  <w:pPr>
                    <w:spacing w:line="256" w:lineRule="exact"/>
                    <w:jc w:val="center"/>
                    <w:rPr>
                      <w:rFonts w:hint="default" w:ascii="Times New Roman" w:hAnsi="Times New Roman" w:eastAsia="宋体" w:cs="Times New Roman"/>
                      <w:color w:val="auto"/>
                      <w:w w:val="100"/>
                      <w:sz w:val="21"/>
                      <w:szCs w:val="21"/>
                    </w:rPr>
                  </w:pPr>
                  <w:r>
                    <w:rPr>
                      <w:rFonts w:hint="eastAsia" w:cs="Times New Roman"/>
                      <w:color w:val="auto"/>
                      <w:w w:val="100"/>
                      <w:sz w:val="21"/>
                      <w:szCs w:val="21"/>
                      <w:lang w:val="en-US" w:eastAsia="zh-CN"/>
                    </w:rPr>
                    <w:t>流</w:t>
                  </w:r>
                  <w:r>
                    <w:rPr>
                      <w:rFonts w:hint="default" w:ascii="Times New Roman" w:hAnsi="Times New Roman" w:eastAsia="宋体" w:cs="Times New Roman"/>
                      <w:color w:val="auto"/>
                      <w:w w:val="100"/>
                      <w:sz w:val="21"/>
                      <w:szCs w:val="21"/>
                    </w:rPr>
                    <w:t>量、</w:t>
                  </w:r>
                  <w:r>
                    <w:rPr>
                      <w:rFonts w:hint="default" w:ascii="Times New Roman" w:hAnsi="Times New Roman" w:eastAsia="Times New Roman" w:cs="Times New Roman"/>
                      <w:color w:val="auto"/>
                      <w:w w:val="100"/>
                      <w:sz w:val="21"/>
                      <w:szCs w:val="21"/>
                    </w:rPr>
                    <w:t>BOD</w:t>
                  </w:r>
                  <w:r>
                    <w:rPr>
                      <w:rFonts w:hint="default" w:ascii="Times New Roman" w:hAnsi="Times New Roman" w:eastAsia="Times New Roman" w:cs="Times New Roman"/>
                      <w:color w:val="auto"/>
                      <w:w w:val="100"/>
                      <w:sz w:val="21"/>
                      <w:szCs w:val="21"/>
                      <w:vertAlign w:val="subscript"/>
                    </w:rPr>
                    <w:t>5</w:t>
                  </w:r>
                  <w:r>
                    <w:rPr>
                      <w:rFonts w:hint="default" w:ascii="Times New Roman" w:hAnsi="Times New Roman" w:eastAsia="宋体" w:cs="Times New Roman"/>
                      <w:color w:val="auto"/>
                      <w:w w:val="100"/>
                      <w:sz w:val="21"/>
                      <w:szCs w:val="21"/>
                    </w:rPr>
                    <w:t>、</w:t>
                  </w:r>
                  <w:r>
                    <w:rPr>
                      <w:rFonts w:hint="default" w:ascii="Times New Roman" w:hAnsi="Times New Roman" w:eastAsia="Times New Roman" w:cs="Times New Roman"/>
                      <w:color w:val="auto"/>
                      <w:w w:val="100"/>
                      <w:sz w:val="21"/>
                      <w:szCs w:val="21"/>
                    </w:rPr>
                    <w:t>COD</w:t>
                  </w:r>
                  <w:r>
                    <w:rPr>
                      <w:rFonts w:hint="default" w:ascii="Times New Roman" w:hAnsi="Times New Roman" w:eastAsia="宋体" w:cs="Times New Roman"/>
                      <w:color w:val="auto"/>
                      <w:w w:val="100"/>
                      <w:sz w:val="21"/>
                      <w:szCs w:val="21"/>
                    </w:rPr>
                    <w:t>、</w:t>
                  </w:r>
                  <w:r>
                    <w:rPr>
                      <w:rFonts w:hint="default" w:ascii="Times New Roman" w:hAnsi="Times New Roman" w:eastAsia="Times New Roman" w:cs="Times New Roman"/>
                      <w:color w:val="auto"/>
                      <w:w w:val="100"/>
                      <w:sz w:val="21"/>
                      <w:szCs w:val="21"/>
                    </w:rPr>
                    <w:t>SS</w:t>
                  </w:r>
                  <w:r>
                    <w:rPr>
                      <w:rFonts w:hint="default" w:ascii="Times New Roman" w:hAnsi="Times New Roman" w:eastAsia="宋体" w:cs="Times New Roman"/>
                      <w:color w:val="auto"/>
                      <w:w w:val="100"/>
                      <w:sz w:val="21"/>
                      <w:szCs w:val="21"/>
                    </w:rPr>
                    <w:t>、</w:t>
                  </w:r>
                  <w:r>
                    <w:rPr>
                      <w:rFonts w:hint="default" w:ascii="Times New Roman" w:hAnsi="Times New Roman" w:eastAsia="Times New Roman" w:cs="Times New Roman"/>
                      <w:color w:val="auto"/>
                      <w:w w:val="100"/>
                      <w:sz w:val="21"/>
                      <w:szCs w:val="21"/>
                    </w:rPr>
                    <w:t>pH</w:t>
                  </w:r>
                  <w:r>
                    <w:rPr>
                      <w:rFonts w:hint="default" w:ascii="Times New Roman" w:hAnsi="Times New Roman" w:eastAsia="宋体" w:cs="Times New Roman"/>
                      <w:color w:val="auto"/>
                      <w:w w:val="100"/>
                      <w:sz w:val="21"/>
                      <w:szCs w:val="21"/>
                    </w:rPr>
                    <w:t>、</w:t>
                  </w:r>
                </w:p>
                <w:p w14:paraId="458098F6">
                  <w:pPr>
                    <w:spacing w:line="237" w:lineRule="exact"/>
                    <w:jc w:val="center"/>
                    <w:rPr>
                      <w:rFonts w:hint="default" w:ascii="Times New Roman" w:hAnsi="Times New Roman" w:eastAsia="宋体" w:cs="Times New Roman"/>
                      <w:color w:val="auto"/>
                      <w:w w:val="100"/>
                      <w:sz w:val="21"/>
                      <w:szCs w:val="21"/>
                    </w:rPr>
                  </w:pPr>
                  <w:r>
                    <w:rPr>
                      <w:rFonts w:hint="default" w:ascii="Times New Roman" w:hAnsi="Times New Roman" w:eastAsia="宋体" w:cs="Times New Roman"/>
                      <w:color w:val="auto"/>
                      <w:w w:val="100"/>
                      <w:sz w:val="21"/>
                      <w:szCs w:val="21"/>
                    </w:rPr>
                    <w:t>氨氮</w:t>
                  </w:r>
                </w:p>
              </w:tc>
              <w:tc>
                <w:tcPr>
                  <w:tcW w:w="1352" w:type="dxa"/>
                  <w:shd w:val="clear" w:color="auto" w:fill="auto"/>
                  <w:vAlign w:val="center"/>
                </w:tcPr>
                <w:p w14:paraId="712B91F3">
                  <w:pPr>
                    <w:spacing w:line="240" w:lineRule="exact"/>
                    <w:ind w:left="180"/>
                    <w:rPr>
                      <w:rFonts w:hint="default" w:ascii="Times New Roman" w:hAnsi="Times New Roman" w:eastAsia="宋体" w:cs="Times New Roman"/>
                      <w:color w:val="auto"/>
                      <w:w w:val="100"/>
                      <w:sz w:val="21"/>
                      <w:szCs w:val="21"/>
                    </w:rPr>
                  </w:pPr>
                  <w:r>
                    <w:rPr>
                      <w:rFonts w:hint="eastAsia" w:cs="Times New Roman"/>
                      <w:color w:val="auto"/>
                      <w:w w:val="100"/>
                      <w:sz w:val="21"/>
                      <w:szCs w:val="21"/>
                      <w:lang w:val="en-US" w:eastAsia="zh-CN"/>
                    </w:rPr>
                    <w:t>每6月</w:t>
                  </w:r>
                  <w:r>
                    <w:rPr>
                      <w:rFonts w:hint="default" w:ascii="Times New Roman" w:hAnsi="Times New Roman" w:eastAsia="宋体" w:cs="Times New Roman"/>
                      <w:color w:val="auto"/>
                      <w:w w:val="100"/>
                      <w:sz w:val="21"/>
                      <w:szCs w:val="21"/>
                    </w:rPr>
                    <w:t>一次</w:t>
                  </w:r>
                </w:p>
              </w:tc>
              <w:tc>
                <w:tcPr>
                  <w:tcW w:w="1084" w:type="dxa"/>
                  <w:vMerge w:val="continue"/>
                  <w:shd w:val="clear" w:color="auto" w:fill="auto"/>
                  <w:vAlign w:val="center"/>
                </w:tcPr>
                <w:p w14:paraId="29594CE8">
                  <w:pPr>
                    <w:spacing w:line="240" w:lineRule="exact"/>
                    <w:jc w:val="center"/>
                    <w:rPr>
                      <w:rFonts w:hint="default" w:ascii="Times New Roman" w:hAnsi="Times New Roman" w:eastAsia="宋体" w:cs="Times New Roman"/>
                      <w:color w:val="auto"/>
                      <w:w w:val="100"/>
                      <w:sz w:val="21"/>
                      <w:szCs w:val="21"/>
                    </w:rPr>
                  </w:pPr>
                </w:p>
              </w:tc>
            </w:tr>
          </w:tbl>
          <w:p w14:paraId="2A058B61">
            <w:pPr>
              <w:pStyle w:val="28"/>
              <w:spacing w:line="360" w:lineRule="auto"/>
              <w:ind w:firstLine="480" w:firstLineChars="200"/>
              <w:jc w:val="center"/>
              <w:rPr>
                <w:rFonts w:hint="default" w:ascii="Times New Roman" w:hAnsi="Times New Roman" w:cs="Times New Roman"/>
                <w:color w:val="auto"/>
              </w:rPr>
            </w:pPr>
          </w:p>
          <w:p w14:paraId="2E68B974">
            <w:pPr>
              <w:spacing w:line="360" w:lineRule="auto"/>
              <w:rPr>
                <w:rFonts w:hint="default" w:ascii="Times New Roman" w:hAnsi="Times New Roman" w:eastAsia="黑体" w:cs="Times New Roman"/>
                <w:color w:val="auto"/>
                <w:sz w:val="28"/>
                <w:szCs w:val="28"/>
              </w:rPr>
            </w:pPr>
            <w:r>
              <w:rPr>
                <w:rFonts w:hint="default" w:ascii="Times New Roman" w:hAnsi="Times New Roman" w:eastAsia="黑体" w:cs="Times New Roman"/>
                <w:color w:val="auto"/>
                <w:sz w:val="28"/>
                <w:szCs w:val="28"/>
                <w:lang w:eastAsia="zh-CN"/>
              </w:rPr>
              <w:t>七</w:t>
            </w:r>
            <w:r>
              <w:rPr>
                <w:rFonts w:hint="default" w:ascii="Times New Roman" w:hAnsi="Times New Roman" w:eastAsia="黑体" w:cs="Times New Roman"/>
                <w:color w:val="auto"/>
                <w:sz w:val="28"/>
                <w:szCs w:val="28"/>
              </w:rPr>
              <w:t>、环保投资估算</w:t>
            </w:r>
          </w:p>
          <w:p w14:paraId="37BB7FFB">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本项目建设总投资</w:t>
            </w:r>
            <w:r>
              <w:rPr>
                <w:rFonts w:hint="eastAsia" w:cs="Times New Roman"/>
                <w:color w:val="auto"/>
                <w:sz w:val="24"/>
                <w:szCs w:val="24"/>
                <w:lang w:val="en-US" w:eastAsia="zh-CN"/>
              </w:rPr>
              <w:t>15000</w:t>
            </w:r>
            <w:r>
              <w:rPr>
                <w:rFonts w:hint="default" w:ascii="Times New Roman" w:hAnsi="Times New Roman" w:cs="Times New Roman"/>
                <w:color w:val="auto"/>
                <w:sz w:val="24"/>
                <w:szCs w:val="24"/>
              </w:rPr>
              <w:t>万元，环保投资约</w:t>
            </w:r>
            <w:r>
              <w:rPr>
                <w:rFonts w:hint="eastAsia" w:cs="Times New Roman"/>
                <w:color w:val="auto"/>
                <w:sz w:val="24"/>
                <w:szCs w:val="24"/>
                <w:lang w:val="en-US" w:eastAsia="zh-CN"/>
              </w:rPr>
              <w:t>79</w:t>
            </w:r>
            <w:r>
              <w:rPr>
                <w:rFonts w:hint="default" w:ascii="Times New Roman" w:hAnsi="Times New Roman" w:cs="Times New Roman"/>
                <w:color w:val="auto"/>
                <w:sz w:val="24"/>
                <w:szCs w:val="24"/>
              </w:rPr>
              <w:t>万元，占总投资的</w:t>
            </w:r>
            <w:r>
              <w:rPr>
                <w:rFonts w:hint="eastAsia" w:cs="Times New Roman"/>
                <w:color w:val="auto"/>
                <w:sz w:val="24"/>
                <w:szCs w:val="24"/>
                <w:lang w:val="en-US" w:eastAsia="zh-CN"/>
              </w:rPr>
              <w:t>0.53</w:t>
            </w:r>
            <w:r>
              <w:rPr>
                <w:rFonts w:hint="default" w:ascii="Times New Roman" w:hAnsi="Times New Roman" w:cs="Times New Roman"/>
                <w:color w:val="auto"/>
                <w:sz w:val="24"/>
                <w:szCs w:val="24"/>
              </w:rPr>
              <w:t>%。本项目环保设施及投资估算见表7-</w:t>
            </w:r>
            <w:r>
              <w:rPr>
                <w:rFonts w:hint="default" w:ascii="Times New Roman" w:hAnsi="Times New Roman" w:cs="Times New Roman"/>
                <w:color w:val="auto"/>
                <w:sz w:val="24"/>
                <w:szCs w:val="24"/>
                <w:lang w:val="en-US" w:eastAsia="zh-CN"/>
              </w:rPr>
              <w:t>1</w:t>
            </w:r>
            <w:r>
              <w:rPr>
                <w:rFonts w:hint="eastAsia" w:cs="Times New Roman"/>
                <w:color w:val="auto"/>
                <w:sz w:val="24"/>
                <w:szCs w:val="24"/>
                <w:lang w:val="en-US" w:eastAsia="zh-CN"/>
              </w:rPr>
              <w:t>9</w:t>
            </w:r>
            <w:r>
              <w:rPr>
                <w:rFonts w:hint="default" w:ascii="Times New Roman" w:hAnsi="Times New Roman" w:cs="Times New Roman"/>
                <w:color w:val="auto"/>
                <w:sz w:val="24"/>
                <w:szCs w:val="24"/>
              </w:rPr>
              <w:t>。</w:t>
            </w:r>
          </w:p>
          <w:p w14:paraId="4B4E2069">
            <w:pPr>
              <w:spacing w:line="360" w:lineRule="auto"/>
              <w:ind w:firstLine="480"/>
              <w:jc w:val="center"/>
              <w:rPr>
                <w:rFonts w:hint="default" w:ascii="Times New Roman" w:hAnsi="Times New Roman" w:eastAsia="黑体" w:cs="Times New Roman"/>
                <w:color w:val="auto"/>
                <w:szCs w:val="21"/>
              </w:rPr>
            </w:pPr>
            <w:r>
              <w:rPr>
                <w:rFonts w:hint="default" w:ascii="Times New Roman" w:hAnsi="Times New Roman" w:cs="Times New Roman" w:eastAsiaTheme="minorEastAsia"/>
                <w:b/>
                <w:bCs/>
                <w:color w:val="auto"/>
                <w:sz w:val="21"/>
                <w:szCs w:val="21"/>
              </w:rPr>
              <w:t>表7-</w:t>
            </w:r>
            <w:r>
              <w:rPr>
                <w:rFonts w:hint="default" w:ascii="Times New Roman" w:hAnsi="Times New Roman" w:cs="Times New Roman" w:eastAsiaTheme="minorEastAsia"/>
                <w:b/>
                <w:bCs/>
                <w:color w:val="auto"/>
                <w:sz w:val="21"/>
                <w:szCs w:val="21"/>
                <w:lang w:val="en-US" w:eastAsia="zh-CN"/>
              </w:rPr>
              <w:t>1</w:t>
            </w:r>
            <w:r>
              <w:rPr>
                <w:rFonts w:hint="eastAsia" w:cs="Times New Roman" w:eastAsiaTheme="minorEastAsia"/>
                <w:b/>
                <w:bCs/>
                <w:color w:val="auto"/>
                <w:sz w:val="21"/>
                <w:szCs w:val="21"/>
                <w:lang w:val="en-US" w:eastAsia="zh-CN"/>
              </w:rPr>
              <w:t>9</w:t>
            </w:r>
            <w:r>
              <w:rPr>
                <w:rFonts w:hint="default" w:ascii="Times New Roman" w:hAnsi="Times New Roman" w:cs="Times New Roman" w:eastAsiaTheme="minorEastAsia"/>
                <w:b/>
                <w:bCs/>
                <w:color w:val="auto"/>
                <w:sz w:val="21"/>
                <w:szCs w:val="21"/>
              </w:rPr>
              <w:t xml:space="preserve">  环保投资估算一览表</w:t>
            </w:r>
          </w:p>
          <w:tbl>
            <w:tblPr>
              <w:tblStyle w:val="69"/>
              <w:tblW w:w="9968"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05"/>
              <w:gridCol w:w="950"/>
              <w:gridCol w:w="1583"/>
              <w:gridCol w:w="5301"/>
              <w:gridCol w:w="1"/>
              <w:gridCol w:w="1527"/>
              <w:gridCol w:w="1"/>
            </w:tblGrid>
            <w:tr w14:paraId="30EE77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605" w:type="dxa"/>
                  <w:vAlign w:val="center"/>
                </w:tcPr>
                <w:p w14:paraId="2610F2F6">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b/>
                      <w:bCs/>
                      <w:snapToGrid w:val="0"/>
                      <w:color w:val="auto"/>
                      <w:sz w:val="21"/>
                      <w:szCs w:val="21"/>
                      <w:lang w:val="en-US" w:eastAsia="zh-CN"/>
                    </w:rPr>
                  </w:pPr>
                  <w:r>
                    <w:rPr>
                      <w:rFonts w:hint="eastAsia" w:ascii="Times New Roman" w:hAnsi="Times New Roman" w:cs="Times New Roman"/>
                      <w:b/>
                      <w:bCs/>
                      <w:snapToGrid w:val="0"/>
                      <w:color w:val="auto"/>
                      <w:sz w:val="21"/>
                      <w:szCs w:val="21"/>
                      <w:lang w:val="en-US" w:eastAsia="zh-CN"/>
                    </w:rPr>
                    <w:t>阶段</w:t>
                  </w:r>
                </w:p>
              </w:tc>
              <w:tc>
                <w:tcPr>
                  <w:tcW w:w="950" w:type="dxa"/>
                  <w:vAlign w:val="center"/>
                </w:tcPr>
                <w:p w14:paraId="6C2AB050">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lang w:eastAsia="zh-CN"/>
                    </w:rPr>
                  </w:pPr>
                  <w:r>
                    <w:rPr>
                      <w:rFonts w:hint="default" w:ascii="Times New Roman" w:hAnsi="Times New Roman" w:eastAsia="宋体" w:cs="Times New Roman"/>
                      <w:b/>
                      <w:bCs/>
                      <w:snapToGrid w:val="0"/>
                      <w:color w:val="auto"/>
                      <w:sz w:val="21"/>
                      <w:szCs w:val="21"/>
                      <w:lang w:eastAsia="zh-CN"/>
                    </w:rPr>
                    <w:t>项目</w:t>
                  </w:r>
                </w:p>
              </w:tc>
              <w:tc>
                <w:tcPr>
                  <w:tcW w:w="1583" w:type="dxa"/>
                  <w:vAlign w:val="center"/>
                </w:tcPr>
                <w:p w14:paraId="0D7A952D">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lang w:eastAsia="zh-CN"/>
                    </w:rPr>
                  </w:pPr>
                  <w:r>
                    <w:rPr>
                      <w:rFonts w:hint="default" w:ascii="Times New Roman" w:hAnsi="Times New Roman" w:eastAsia="宋体" w:cs="Times New Roman"/>
                      <w:b/>
                      <w:bCs/>
                      <w:snapToGrid w:val="0"/>
                      <w:color w:val="auto"/>
                      <w:sz w:val="21"/>
                      <w:szCs w:val="21"/>
                      <w:lang w:eastAsia="zh-CN"/>
                    </w:rPr>
                    <w:t>污染物</w:t>
                  </w:r>
                </w:p>
              </w:tc>
              <w:tc>
                <w:tcPr>
                  <w:tcW w:w="5302" w:type="dxa"/>
                  <w:gridSpan w:val="2"/>
                  <w:vAlign w:val="center"/>
                </w:tcPr>
                <w:p w14:paraId="59B2A80F">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lang w:eastAsia="zh-CN"/>
                    </w:rPr>
                  </w:pPr>
                  <w:r>
                    <w:rPr>
                      <w:rFonts w:hint="default" w:ascii="Times New Roman" w:hAnsi="Times New Roman" w:eastAsia="宋体" w:cs="Times New Roman"/>
                      <w:b/>
                      <w:bCs/>
                      <w:snapToGrid w:val="0"/>
                      <w:color w:val="auto"/>
                      <w:sz w:val="21"/>
                      <w:szCs w:val="21"/>
                      <w:lang w:eastAsia="zh-CN"/>
                    </w:rPr>
                    <w:t>设施概况</w:t>
                  </w:r>
                </w:p>
              </w:tc>
              <w:tc>
                <w:tcPr>
                  <w:tcW w:w="1528" w:type="dxa"/>
                  <w:gridSpan w:val="2"/>
                  <w:vAlign w:val="center"/>
                </w:tcPr>
                <w:p w14:paraId="1B03D97F">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eastAsia="zh-CN"/>
                    </w:rPr>
                  </w:pPr>
                  <w:r>
                    <w:rPr>
                      <w:rFonts w:hint="default" w:ascii="Times New Roman" w:hAnsi="Times New Roman" w:eastAsia="宋体" w:cs="Times New Roman"/>
                      <w:b/>
                      <w:bCs/>
                      <w:snapToGrid w:val="0"/>
                      <w:color w:val="auto"/>
                      <w:sz w:val="21"/>
                      <w:szCs w:val="21"/>
                      <w:lang w:eastAsia="zh-CN"/>
                    </w:rPr>
                    <w:t>新增环保投资</w:t>
                  </w:r>
                </w:p>
                <w:p w14:paraId="4670EEC0">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eastAsia="zh-CN"/>
                    </w:rPr>
                  </w:pPr>
                  <w:r>
                    <w:rPr>
                      <w:rFonts w:hint="default" w:ascii="Times New Roman" w:hAnsi="Times New Roman" w:eastAsia="宋体" w:cs="Times New Roman"/>
                      <w:b/>
                      <w:bCs/>
                      <w:snapToGrid w:val="0"/>
                      <w:color w:val="auto"/>
                      <w:sz w:val="21"/>
                      <w:szCs w:val="21"/>
                      <w:lang w:eastAsia="zh-CN"/>
                    </w:rPr>
                    <w:t>（万元）</w:t>
                  </w:r>
                </w:p>
              </w:tc>
            </w:tr>
            <w:tr w14:paraId="589227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5" w:hRule="exact"/>
              </w:trPr>
              <w:tc>
                <w:tcPr>
                  <w:tcW w:w="605" w:type="dxa"/>
                  <w:vMerge w:val="restart"/>
                  <w:vAlign w:val="center"/>
                </w:tcPr>
                <w:p w14:paraId="318F071C">
                  <w:pPr>
                    <w:pStyle w:val="65"/>
                    <w:keepNext w:val="0"/>
                    <w:keepLines w:val="0"/>
                    <w:suppressLineNumbers w:val="0"/>
                    <w:spacing w:before="0" w:beforeAutospacing="0" w:after="0" w:afterAutospacing="0"/>
                    <w:ind w:left="0" w:right="0"/>
                    <w:jc w:val="center"/>
                    <w:rPr>
                      <w:rFonts w:hint="eastAsia" w:ascii="Times New Roman" w:hAnsi="Times New Roman" w:cs="Times New Roman"/>
                      <w:snapToGrid w:val="0"/>
                      <w:color w:val="auto"/>
                      <w:sz w:val="21"/>
                      <w:szCs w:val="21"/>
                      <w:lang w:val="en-US" w:eastAsia="zh-CN"/>
                    </w:rPr>
                  </w:pPr>
                  <w:r>
                    <w:rPr>
                      <w:rFonts w:hint="eastAsia" w:ascii="Times New Roman" w:hAnsi="Times New Roman" w:cs="Times New Roman"/>
                      <w:snapToGrid w:val="0"/>
                      <w:color w:val="auto"/>
                      <w:sz w:val="21"/>
                      <w:szCs w:val="21"/>
                      <w:lang w:val="en-US" w:eastAsia="zh-CN"/>
                    </w:rPr>
                    <w:t>营</w:t>
                  </w:r>
                </w:p>
                <w:p w14:paraId="7AA75384">
                  <w:pPr>
                    <w:pStyle w:val="65"/>
                    <w:keepNext w:val="0"/>
                    <w:keepLines w:val="0"/>
                    <w:suppressLineNumbers w:val="0"/>
                    <w:spacing w:before="0" w:beforeAutospacing="0" w:after="0" w:afterAutospacing="0"/>
                    <w:ind w:left="0" w:right="0"/>
                    <w:jc w:val="center"/>
                    <w:rPr>
                      <w:rFonts w:hint="eastAsia" w:ascii="Times New Roman" w:hAnsi="Times New Roman" w:cs="Times New Roman"/>
                      <w:snapToGrid w:val="0"/>
                      <w:color w:val="auto"/>
                      <w:sz w:val="21"/>
                      <w:szCs w:val="21"/>
                      <w:lang w:val="en-US" w:eastAsia="zh-CN"/>
                    </w:rPr>
                  </w:pPr>
                  <w:r>
                    <w:rPr>
                      <w:rFonts w:hint="eastAsia" w:ascii="Times New Roman" w:hAnsi="Times New Roman" w:cs="Times New Roman"/>
                      <w:snapToGrid w:val="0"/>
                      <w:color w:val="auto"/>
                      <w:sz w:val="21"/>
                      <w:szCs w:val="21"/>
                      <w:lang w:val="en-US" w:eastAsia="zh-CN"/>
                    </w:rPr>
                    <w:t>运</w:t>
                  </w:r>
                </w:p>
                <w:p w14:paraId="6A47AAF3">
                  <w:pPr>
                    <w:pStyle w:val="65"/>
                    <w:keepNext w:val="0"/>
                    <w:keepLines w:val="0"/>
                    <w:suppressLineNumbers w:val="0"/>
                    <w:spacing w:before="0" w:beforeAutospacing="0" w:after="0" w:afterAutospacing="0"/>
                    <w:ind w:left="0" w:right="0"/>
                    <w:jc w:val="center"/>
                    <w:rPr>
                      <w:rFonts w:hint="eastAsia" w:ascii="Times New Roman" w:hAnsi="Times New Roman" w:eastAsia="宋体" w:cs="Times New Roman"/>
                      <w:snapToGrid w:val="0"/>
                      <w:color w:val="auto"/>
                      <w:sz w:val="21"/>
                      <w:szCs w:val="21"/>
                      <w:lang w:val="en-US" w:eastAsia="zh-CN"/>
                    </w:rPr>
                  </w:pPr>
                  <w:r>
                    <w:rPr>
                      <w:rFonts w:hint="eastAsia" w:ascii="Times New Roman" w:hAnsi="Times New Roman" w:cs="Times New Roman"/>
                      <w:snapToGrid w:val="0"/>
                      <w:color w:val="auto"/>
                      <w:sz w:val="21"/>
                      <w:szCs w:val="21"/>
                      <w:lang w:val="en-US" w:eastAsia="zh-CN"/>
                    </w:rPr>
                    <w:t>期</w:t>
                  </w:r>
                </w:p>
              </w:tc>
              <w:tc>
                <w:tcPr>
                  <w:tcW w:w="950" w:type="dxa"/>
                  <w:vMerge w:val="restart"/>
                  <w:vAlign w:val="center"/>
                </w:tcPr>
                <w:p w14:paraId="105F2B7B">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废气</w:t>
                  </w:r>
                </w:p>
                <w:p w14:paraId="460CAFE2">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rPr>
                  </w:pPr>
                  <w:r>
                    <w:rPr>
                      <w:rFonts w:hint="default" w:ascii="Times New Roman" w:hAnsi="Times New Roman" w:eastAsia="宋体" w:cs="Times New Roman"/>
                      <w:snapToGrid w:val="0"/>
                      <w:color w:val="auto"/>
                      <w:sz w:val="21"/>
                      <w:szCs w:val="21"/>
                    </w:rPr>
                    <w:t>治理</w:t>
                  </w:r>
                </w:p>
              </w:tc>
              <w:tc>
                <w:tcPr>
                  <w:tcW w:w="1583" w:type="dxa"/>
                  <w:vAlign w:val="center"/>
                </w:tcPr>
                <w:p w14:paraId="2E944CF3">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val="en-US" w:eastAsia="zh-CN"/>
                    </w:rPr>
                  </w:pPr>
                  <w:r>
                    <w:rPr>
                      <w:rFonts w:hint="eastAsia" w:ascii="Times New Roman" w:hAnsi="Times New Roman" w:cs="Times New Roman"/>
                      <w:snapToGrid w:val="0"/>
                      <w:color w:val="auto"/>
                      <w:sz w:val="21"/>
                      <w:szCs w:val="21"/>
                      <w:lang w:val="en-US" w:eastAsia="zh-CN"/>
                    </w:rPr>
                    <w:t>食堂油烟</w:t>
                  </w:r>
                </w:p>
              </w:tc>
              <w:tc>
                <w:tcPr>
                  <w:tcW w:w="5302" w:type="dxa"/>
                  <w:gridSpan w:val="2"/>
                  <w:vAlign w:val="center"/>
                </w:tcPr>
                <w:p w14:paraId="2583CDF7">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val="en-US" w:eastAsia="zh-CN"/>
                    </w:rPr>
                  </w:pPr>
                  <w:r>
                    <w:rPr>
                      <w:rFonts w:hint="eastAsia" w:ascii="Times New Roman" w:hAnsi="Times New Roman" w:cs="Times New Roman"/>
                      <w:snapToGrid w:val="0"/>
                      <w:color w:val="auto"/>
                      <w:sz w:val="21"/>
                      <w:szCs w:val="21"/>
                      <w:lang w:val="en-US" w:eastAsia="zh-CN"/>
                    </w:rPr>
                    <w:t>油烟净化器+排气筒</w:t>
                  </w:r>
                </w:p>
              </w:tc>
              <w:tc>
                <w:tcPr>
                  <w:tcW w:w="1528" w:type="dxa"/>
                  <w:gridSpan w:val="2"/>
                  <w:vAlign w:val="center"/>
                </w:tcPr>
                <w:p w14:paraId="4D0CFFE4">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eastAsia="zh-CN"/>
                    </w:rPr>
                  </w:pPr>
                  <w:r>
                    <w:rPr>
                      <w:rFonts w:hint="eastAsia" w:ascii="Times New Roman" w:hAnsi="Times New Roman" w:cs="Times New Roman"/>
                      <w:snapToGrid w:val="0"/>
                      <w:color w:val="auto"/>
                      <w:sz w:val="21"/>
                      <w:lang w:val="en-US" w:eastAsia="zh-CN"/>
                    </w:rPr>
                    <w:t>2</w:t>
                  </w:r>
                </w:p>
              </w:tc>
            </w:tr>
            <w:tr w14:paraId="3F0E16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8" w:hRule="exact"/>
              </w:trPr>
              <w:tc>
                <w:tcPr>
                  <w:tcW w:w="605" w:type="dxa"/>
                  <w:vMerge w:val="continue"/>
                  <w:vAlign w:val="center"/>
                </w:tcPr>
                <w:p w14:paraId="400FB656">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p>
              </w:tc>
              <w:tc>
                <w:tcPr>
                  <w:tcW w:w="950" w:type="dxa"/>
                  <w:vMerge w:val="continue"/>
                  <w:vAlign w:val="center"/>
                </w:tcPr>
                <w:p w14:paraId="746B2C67">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p>
              </w:tc>
              <w:tc>
                <w:tcPr>
                  <w:tcW w:w="1583" w:type="dxa"/>
                  <w:vAlign w:val="center"/>
                </w:tcPr>
                <w:p w14:paraId="72B6F15E">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val="en-US" w:eastAsia="zh-CN"/>
                    </w:rPr>
                  </w:pPr>
                  <w:r>
                    <w:rPr>
                      <w:rFonts w:hint="eastAsia" w:ascii="Times New Roman" w:hAnsi="Times New Roman" w:cs="Times New Roman"/>
                      <w:snapToGrid w:val="0"/>
                      <w:color w:val="auto"/>
                      <w:sz w:val="21"/>
                      <w:szCs w:val="21"/>
                      <w:lang w:val="en-US" w:eastAsia="zh-CN"/>
                    </w:rPr>
                    <w:t>焊接烟尘</w:t>
                  </w:r>
                </w:p>
              </w:tc>
              <w:tc>
                <w:tcPr>
                  <w:tcW w:w="5302" w:type="dxa"/>
                  <w:gridSpan w:val="2"/>
                  <w:vAlign w:val="center"/>
                </w:tcPr>
                <w:p w14:paraId="65AB991C">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eastAsia="zh-CN"/>
                    </w:rPr>
                  </w:pPr>
                  <w:r>
                    <w:rPr>
                      <w:rFonts w:hint="eastAsia" w:ascii="Times New Roman" w:hAnsi="Times New Roman" w:cs="Times New Roman"/>
                      <w:snapToGrid w:val="0"/>
                      <w:color w:val="auto"/>
                      <w:sz w:val="21"/>
                      <w:szCs w:val="21"/>
                      <w:lang w:val="en-US" w:eastAsia="zh-CN"/>
                    </w:rPr>
                    <w:t>2#车间设1套“集气罩+焊接烟尘净化器+1根15米高排气筒（2#）”</w:t>
                  </w:r>
                </w:p>
              </w:tc>
              <w:tc>
                <w:tcPr>
                  <w:tcW w:w="1528" w:type="dxa"/>
                  <w:gridSpan w:val="2"/>
                  <w:vAlign w:val="center"/>
                </w:tcPr>
                <w:p w14:paraId="40DF7416">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lang w:eastAsia="zh-CN"/>
                    </w:rPr>
                  </w:pPr>
                  <w:r>
                    <w:rPr>
                      <w:rFonts w:hint="eastAsia" w:ascii="Times New Roman" w:hAnsi="Times New Roman" w:cs="Times New Roman"/>
                      <w:snapToGrid w:val="0"/>
                      <w:color w:val="auto"/>
                      <w:sz w:val="21"/>
                      <w:lang w:val="en-US" w:eastAsia="zh-CN"/>
                    </w:rPr>
                    <w:t>3</w:t>
                  </w:r>
                </w:p>
              </w:tc>
            </w:tr>
            <w:tr w14:paraId="40A740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9" w:hRule="atLeast"/>
              </w:trPr>
              <w:tc>
                <w:tcPr>
                  <w:tcW w:w="605" w:type="dxa"/>
                  <w:vMerge w:val="continue"/>
                  <w:vAlign w:val="center"/>
                </w:tcPr>
                <w:p w14:paraId="3D39325E">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p>
              </w:tc>
              <w:tc>
                <w:tcPr>
                  <w:tcW w:w="950" w:type="dxa"/>
                  <w:vMerge w:val="continue"/>
                  <w:vAlign w:val="center"/>
                </w:tcPr>
                <w:p w14:paraId="138A202B">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p>
              </w:tc>
              <w:tc>
                <w:tcPr>
                  <w:tcW w:w="1583" w:type="dxa"/>
                  <w:vAlign w:val="center"/>
                </w:tcPr>
                <w:p w14:paraId="576BC089">
                  <w:pPr>
                    <w:pStyle w:val="65"/>
                    <w:keepNext w:val="0"/>
                    <w:keepLines w:val="0"/>
                    <w:suppressLineNumbers w:val="0"/>
                    <w:spacing w:before="0" w:beforeAutospacing="0" w:after="0" w:afterAutospacing="0"/>
                    <w:ind w:left="0" w:right="0"/>
                    <w:jc w:val="center"/>
                    <w:rPr>
                      <w:rFonts w:hint="eastAsia" w:ascii="Times New Roman" w:hAnsi="Times New Roman" w:eastAsia="宋体" w:cs="Times New Roman"/>
                      <w:snapToGrid w:val="0"/>
                      <w:color w:val="auto"/>
                      <w:sz w:val="21"/>
                      <w:szCs w:val="21"/>
                      <w:lang w:val="en-US" w:eastAsia="zh-CN"/>
                    </w:rPr>
                  </w:pPr>
                  <w:r>
                    <w:rPr>
                      <w:rFonts w:hint="eastAsia" w:ascii="Times New Roman" w:hAnsi="Times New Roman" w:cs="Times New Roman"/>
                      <w:snapToGrid w:val="0"/>
                      <w:color w:val="auto"/>
                      <w:sz w:val="21"/>
                      <w:szCs w:val="21"/>
                      <w:lang w:val="en-US" w:eastAsia="zh-CN"/>
                    </w:rPr>
                    <w:t>破碎粉尘</w:t>
                  </w:r>
                </w:p>
              </w:tc>
              <w:tc>
                <w:tcPr>
                  <w:tcW w:w="5302" w:type="dxa"/>
                  <w:gridSpan w:val="2"/>
                  <w:vAlign w:val="center"/>
                </w:tcPr>
                <w:p w14:paraId="532D9851">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val="en-US" w:eastAsia="zh-CN"/>
                    </w:rPr>
                  </w:pPr>
                  <w:r>
                    <w:rPr>
                      <w:rFonts w:hint="eastAsia" w:ascii="Times New Roman" w:hAnsi="Times New Roman" w:cs="Times New Roman"/>
                      <w:snapToGrid w:val="0"/>
                      <w:color w:val="auto"/>
                      <w:sz w:val="21"/>
                      <w:szCs w:val="21"/>
                      <w:lang w:val="en-US" w:eastAsia="zh-CN"/>
                    </w:rPr>
                    <w:t>破碎房间密闭</w:t>
                  </w:r>
                </w:p>
              </w:tc>
              <w:tc>
                <w:tcPr>
                  <w:tcW w:w="1528" w:type="dxa"/>
                  <w:gridSpan w:val="2"/>
                  <w:vAlign w:val="center"/>
                </w:tcPr>
                <w:p w14:paraId="058E2253">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eastAsia="zh-CN"/>
                    </w:rPr>
                  </w:pPr>
                  <w:r>
                    <w:rPr>
                      <w:rFonts w:hint="eastAsia" w:ascii="Times New Roman" w:hAnsi="Times New Roman" w:eastAsia="宋体" w:cs="Times New Roman"/>
                      <w:snapToGrid w:val="0"/>
                      <w:color w:val="auto"/>
                      <w:sz w:val="21"/>
                      <w:lang w:eastAsia="zh-CN"/>
                    </w:rPr>
                    <w:t>2</w:t>
                  </w:r>
                </w:p>
              </w:tc>
            </w:tr>
            <w:tr w14:paraId="39DF6D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96" w:hRule="exact"/>
              </w:trPr>
              <w:tc>
                <w:tcPr>
                  <w:tcW w:w="605" w:type="dxa"/>
                  <w:vMerge w:val="continue"/>
                  <w:vAlign w:val="center"/>
                </w:tcPr>
                <w:p w14:paraId="06AD02FC">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lang w:eastAsia="en-US"/>
                    </w:rPr>
                  </w:pPr>
                </w:p>
              </w:tc>
              <w:tc>
                <w:tcPr>
                  <w:tcW w:w="950" w:type="dxa"/>
                  <w:vMerge w:val="continue"/>
                  <w:vAlign w:val="center"/>
                </w:tcPr>
                <w:p w14:paraId="29A62E9D">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lang w:eastAsia="en-US"/>
                    </w:rPr>
                  </w:pPr>
                </w:p>
              </w:tc>
              <w:tc>
                <w:tcPr>
                  <w:tcW w:w="1583" w:type="dxa"/>
                  <w:vMerge w:val="restart"/>
                  <w:vAlign w:val="center"/>
                </w:tcPr>
                <w:p w14:paraId="6F1498F6">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lang w:eastAsia="zh-CN"/>
                    </w:rPr>
                    <w:t>有机</w:t>
                  </w:r>
                  <w:r>
                    <w:rPr>
                      <w:rFonts w:hint="default" w:ascii="Times New Roman" w:hAnsi="Times New Roman" w:eastAsia="宋体" w:cs="Times New Roman"/>
                      <w:snapToGrid w:val="0"/>
                      <w:color w:val="auto"/>
                      <w:sz w:val="21"/>
                      <w:szCs w:val="21"/>
                    </w:rPr>
                    <w:t>废气</w:t>
                  </w:r>
                </w:p>
              </w:tc>
              <w:tc>
                <w:tcPr>
                  <w:tcW w:w="5302" w:type="dxa"/>
                  <w:gridSpan w:val="2"/>
                  <w:tcBorders>
                    <w:bottom w:val="single" w:color="auto" w:sz="4" w:space="0"/>
                  </w:tcBorders>
                  <w:vAlign w:val="center"/>
                </w:tcPr>
                <w:p w14:paraId="796E3024">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val="en-US" w:eastAsia="zh-CN"/>
                    </w:rPr>
                  </w:pPr>
                  <w:r>
                    <w:rPr>
                      <w:rFonts w:hint="eastAsia" w:ascii="Times New Roman" w:hAnsi="Times New Roman" w:cs="Times New Roman"/>
                      <w:snapToGrid w:val="0"/>
                      <w:color w:val="auto"/>
                      <w:sz w:val="21"/>
                      <w:szCs w:val="21"/>
                      <w:lang w:val="en-US" w:eastAsia="zh-CN"/>
                    </w:rPr>
                    <w:t>1#车间设一套“UV光氧催化装置+活性炭吸附+1根15m排气筒（1#）”</w:t>
                  </w:r>
                </w:p>
              </w:tc>
              <w:tc>
                <w:tcPr>
                  <w:tcW w:w="1528" w:type="dxa"/>
                  <w:gridSpan w:val="2"/>
                  <w:vAlign w:val="center"/>
                </w:tcPr>
                <w:p w14:paraId="7B67EE8D">
                  <w:pPr>
                    <w:pStyle w:val="65"/>
                    <w:keepNext w:val="0"/>
                    <w:keepLines w:val="0"/>
                    <w:suppressLineNumbers w:val="0"/>
                    <w:spacing w:before="0" w:beforeAutospacing="0" w:after="0" w:afterAutospacing="0"/>
                    <w:ind w:left="0" w:right="0"/>
                    <w:jc w:val="center"/>
                    <w:rPr>
                      <w:rFonts w:hint="eastAsia" w:ascii="Times New Roman" w:hAnsi="Times New Roman" w:eastAsia="宋体" w:cs="Times New Roman"/>
                      <w:snapToGrid w:val="0"/>
                      <w:color w:val="auto"/>
                      <w:sz w:val="21"/>
                      <w:szCs w:val="21"/>
                      <w:lang w:val="en-US" w:eastAsia="zh-CN"/>
                    </w:rPr>
                  </w:pPr>
                  <w:r>
                    <w:rPr>
                      <w:rFonts w:hint="eastAsia" w:ascii="Times New Roman" w:hAnsi="Times New Roman" w:cs="Times New Roman"/>
                      <w:snapToGrid w:val="0"/>
                      <w:color w:val="auto"/>
                      <w:sz w:val="21"/>
                      <w:lang w:val="en-US" w:eastAsia="zh-CN"/>
                    </w:rPr>
                    <w:t>20</w:t>
                  </w:r>
                </w:p>
              </w:tc>
            </w:tr>
            <w:tr w14:paraId="4A9621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9" w:hRule="atLeast"/>
              </w:trPr>
              <w:tc>
                <w:tcPr>
                  <w:tcW w:w="605" w:type="dxa"/>
                  <w:vMerge w:val="continue"/>
                  <w:vAlign w:val="center"/>
                </w:tcPr>
                <w:p w14:paraId="380B81B9">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lang w:eastAsia="en-US"/>
                    </w:rPr>
                  </w:pPr>
                </w:p>
              </w:tc>
              <w:tc>
                <w:tcPr>
                  <w:tcW w:w="950" w:type="dxa"/>
                  <w:vMerge w:val="continue"/>
                  <w:tcBorders>
                    <w:bottom w:val="single" w:color="000000" w:sz="4" w:space="0"/>
                  </w:tcBorders>
                  <w:vAlign w:val="center"/>
                </w:tcPr>
                <w:p w14:paraId="1B08076D">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lang w:eastAsia="en-US"/>
                    </w:rPr>
                  </w:pPr>
                </w:p>
              </w:tc>
              <w:tc>
                <w:tcPr>
                  <w:tcW w:w="1583" w:type="dxa"/>
                  <w:vMerge w:val="continue"/>
                  <w:tcBorders>
                    <w:bottom w:val="single" w:color="000000" w:sz="4" w:space="0"/>
                  </w:tcBorders>
                  <w:vAlign w:val="center"/>
                </w:tcPr>
                <w:p w14:paraId="0276F1C7">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rPr>
                  </w:pPr>
                </w:p>
              </w:tc>
              <w:tc>
                <w:tcPr>
                  <w:tcW w:w="5302" w:type="dxa"/>
                  <w:gridSpan w:val="2"/>
                  <w:tcBorders>
                    <w:top w:val="single" w:color="auto" w:sz="4" w:space="0"/>
                    <w:bottom w:val="single" w:color="000000" w:sz="4" w:space="0"/>
                  </w:tcBorders>
                  <w:vAlign w:val="center"/>
                </w:tcPr>
                <w:p w14:paraId="60EB031A">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eastAsia="zh-CN"/>
                    </w:rPr>
                  </w:pPr>
                  <w:r>
                    <w:rPr>
                      <w:rFonts w:hint="eastAsia" w:ascii="Times New Roman" w:hAnsi="Times New Roman" w:cs="Times New Roman"/>
                      <w:snapToGrid w:val="0"/>
                      <w:color w:val="auto"/>
                      <w:sz w:val="21"/>
                      <w:szCs w:val="21"/>
                      <w:lang w:val="en-US" w:eastAsia="zh-CN"/>
                    </w:rPr>
                    <w:t>2#车间设一</w:t>
                  </w:r>
                  <w:r>
                    <w:rPr>
                      <w:rFonts w:hint="default" w:ascii="Times New Roman" w:hAnsi="Times New Roman" w:eastAsia="宋体" w:cs="Times New Roman"/>
                      <w:snapToGrid w:val="0"/>
                      <w:color w:val="auto"/>
                      <w:sz w:val="21"/>
                      <w:szCs w:val="21"/>
                      <w:lang w:eastAsia="zh-CN"/>
                    </w:rPr>
                    <w:t>套</w:t>
                  </w:r>
                  <w:r>
                    <w:rPr>
                      <w:rFonts w:hint="eastAsia" w:ascii="Times New Roman" w:hAnsi="Times New Roman" w:cs="Times New Roman"/>
                      <w:snapToGrid w:val="0"/>
                      <w:color w:val="auto"/>
                      <w:sz w:val="21"/>
                      <w:szCs w:val="21"/>
                      <w:lang w:eastAsia="zh-CN"/>
                    </w:rPr>
                    <w:t>“</w:t>
                  </w:r>
                  <w:r>
                    <w:rPr>
                      <w:rFonts w:hint="eastAsia" w:ascii="Times New Roman" w:hAnsi="Times New Roman" w:cs="Times New Roman"/>
                      <w:snapToGrid w:val="0"/>
                      <w:color w:val="auto"/>
                      <w:sz w:val="21"/>
                      <w:szCs w:val="21"/>
                      <w:lang w:val="en-US" w:eastAsia="zh-CN"/>
                    </w:rPr>
                    <w:t>UV光氧催化装置+活性炭吸附+1根15m排气筒（2#）</w:t>
                  </w:r>
                  <w:r>
                    <w:rPr>
                      <w:rFonts w:hint="eastAsia" w:ascii="Times New Roman" w:hAnsi="Times New Roman" w:cs="Times New Roman"/>
                      <w:snapToGrid w:val="0"/>
                      <w:color w:val="auto"/>
                      <w:sz w:val="21"/>
                      <w:szCs w:val="21"/>
                      <w:lang w:eastAsia="zh-CN"/>
                    </w:rPr>
                    <w:t>”</w:t>
                  </w:r>
                </w:p>
              </w:tc>
              <w:tc>
                <w:tcPr>
                  <w:tcW w:w="1528" w:type="dxa"/>
                  <w:gridSpan w:val="2"/>
                  <w:tcBorders>
                    <w:bottom w:val="single" w:color="000000" w:sz="4" w:space="0"/>
                  </w:tcBorders>
                  <w:vAlign w:val="center"/>
                </w:tcPr>
                <w:p w14:paraId="5E3E8933">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val="en-US"/>
                    </w:rPr>
                  </w:pPr>
                  <w:r>
                    <w:rPr>
                      <w:rFonts w:hint="eastAsia" w:ascii="Times New Roman" w:hAnsi="Times New Roman" w:cs="Times New Roman"/>
                      <w:snapToGrid w:val="0"/>
                      <w:color w:val="auto"/>
                      <w:sz w:val="21"/>
                      <w:lang w:val="en-US" w:eastAsia="zh-CN"/>
                    </w:rPr>
                    <w:t>20</w:t>
                  </w:r>
                </w:p>
              </w:tc>
            </w:tr>
            <w:tr w14:paraId="27FD30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exact"/>
              </w:trPr>
              <w:tc>
                <w:tcPr>
                  <w:tcW w:w="605" w:type="dxa"/>
                  <w:vMerge w:val="continue"/>
                  <w:vAlign w:val="center"/>
                </w:tcPr>
                <w:p w14:paraId="55B76FCD">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lang w:eastAsia="en-US"/>
                    </w:rPr>
                  </w:pPr>
                </w:p>
              </w:tc>
              <w:tc>
                <w:tcPr>
                  <w:tcW w:w="950" w:type="dxa"/>
                  <w:vMerge w:val="continue"/>
                  <w:vAlign w:val="center"/>
                </w:tcPr>
                <w:p w14:paraId="79AF8D5C">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lang w:eastAsia="en-US"/>
                    </w:rPr>
                  </w:pPr>
                </w:p>
              </w:tc>
              <w:tc>
                <w:tcPr>
                  <w:tcW w:w="1583" w:type="dxa"/>
                  <w:vAlign w:val="center"/>
                </w:tcPr>
                <w:p w14:paraId="5C07F080">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车间排气</w:t>
                  </w:r>
                </w:p>
              </w:tc>
              <w:tc>
                <w:tcPr>
                  <w:tcW w:w="5302" w:type="dxa"/>
                  <w:gridSpan w:val="2"/>
                  <w:vAlign w:val="center"/>
                </w:tcPr>
                <w:p w14:paraId="63E2B207">
                  <w:pPr>
                    <w:pStyle w:val="65"/>
                    <w:keepNext w:val="0"/>
                    <w:keepLines w:val="0"/>
                    <w:suppressLineNumbers w:val="0"/>
                    <w:spacing w:before="0" w:beforeAutospacing="0" w:after="0" w:afterAutospacing="0"/>
                    <w:ind w:left="0" w:right="0"/>
                    <w:jc w:val="center"/>
                    <w:rPr>
                      <w:rFonts w:hint="eastAsia" w:ascii="Times New Roman" w:hAnsi="Times New Roman" w:eastAsia="宋体" w:cs="Times New Roman"/>
                      <w:snapToGrid w:val="0"/>
                      <w:color w:val="auto"/>
                      <w:sz w:val="21"/>
                      <w:szCs w:val="21"/>
                      <w:lang w:eastAsia="zh-CN"/>
                    </w:rPr>
                  </w:pPr>
                  <w:r>
                    <w:rPr>
                      <w:rFonts w:hint="eastAsia" w:ascii="Times New Roman" w:hAnsi="Times New Roman" w:cs="Times New Roman"/>
                      <w:snapToGrid w:val="0"/>
                      <w:color w:val="auto"/>
                      <w:sz w:val="21"/>
                      <w:szCs w:val="21"/>
                      <w:lang w:val="en-US" w:eastAsia="zh-CN"/>
                    </w:rPr>
                    <w:t>排风扇</w:t>
                  </w:r>
                </w:p>
              </w:tc>
              <w:tc>
                <w:tcPr>
                  <w:tcW w:w="1528" w:type="dxa"/>
                  <w:gridSpan w:val="2"/>
                  <w:vAlign w:val="center"/>
                </w:tcPr>
                <w:p w14:paraId="3EE41A7E">
                  <w:pPr>
                    <w:pStyle w:val="65"/>
                    <w:keepNext w:val="0"/>
                    <w:keepLines w:val="0"/>
                    <w:suppressLineNumbers w:val="0"/>
                    <w:spacing w:before="0" w:beforeAutospacing="0" w:after="0" w:afterAutospacing="0"/>
                    <w:ind w:left="0" w:right="0"/>
                    <w:jc w:val="center"/>
                    <w:rPr>
                      <w:rFonts w:hint="eastAsia" w:ascii="Times New Roman" w:hAnsi="Times New Roman" w:eastAsia="宋体" w:cs="Times New Roman"/>
                      <w:snapToGrid w:val="0"/>
                      <w:color w:val="auto"/>
                      <w:sz w:val="21"/>
                      <w:szCs w:val="21"/>
                      <w:lang w:val="en-US" w:eastAsia="zh-CN"/>
                    </w:rPr>
                  </w:pPr>
                  <w:r>
                    <w:rPr>
                      <w:rFonts w:hint="eastAsia" w:ascii="Times New Roman" w:hAnsi="Times New Roman" w:cs="Times New Roman"/>
                      <w:snapToGrid w:val="0"/>
                      <w:color w:val="auto"/>
                      <w:sz w:val="21"/>
                      <w:lang w:val="en-US" w:eastAsia="zh-CN"/>
                    </w:rPr>
                    <w:t>0.5</w:t>
                  </w:r>
                </w:p>
              </w:tc>
            </w:tr>
            <w:tr w14:paraId="1E72BF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4" w:hRule="exact"/>
              </w:trPr>
              <w:tc>
                <w:tcPr>
                  <w:tcW w:w="605" w:type="dxa"/>
                  <w:vMerge w:val="continue"/>
                  <w:vAlign w:val="center"/>
                </w:tcPr>
                <w:p w14:paraId="3F10D144">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p>
              </w:tc>
              <w:tc>
                <w:tcPr>
                  <w:tcW w:w="950" w:type="dxa"/>
                  <w:vMerge w:val="restart"/>
                  <w:vAlign w:val="center"/>
                </w:tcPr>
                <w:p w14:paraId="6C7AB07A">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废水</w:t>
                  </w:r>
                </w:p>
                <w:p w14:paraId="04A7B9DF">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治理</w:t>
                  </w:r>
                </w:p>
              </w:tc>
              <w:tc>
                <w:tcPr>
                  <w:tcW w:w="1583" w:type="dxa"/>
                  <w:vAlign w:val="center"/>
                </w:tcPr>
                <w:p w14:paraId="7C6883AF">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生活污水</w:t>
                  </w:r>
                </w:p>
              </w:tc>
              <w:tc>
                <w:tcPr>
                  <w:tcW w:w="5302" w:type="dxa"/>
                  <w:gridSpan w:val="2"/>
                  <w:vAlign w:val="center"/>
                </w:tcPr>
                <w:p w14:paraId="36E5EFEC">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13"/>
                      <w:szCs w:val="13"/>
                      <w:vertAlign w:val="baseline"/>
                      <w:lang w:eastAsia="zh-CN"/>
                    </w:rPr>
                  </w:pPr>
                  <w:r>
                    <w:rPr>
                      <w:rFonts w:hint="eastAsia" w:ascii="Times New Roman" w:hAnsi="Times New Roman" w:cs="Times New Roman"/>
                      <w:snapToGrid w:val="0"/>
                      <w:color w:val="auto"/>
                      <w:sz w:val="21"/>
                      <w:szCs w:val="21"/>
                      <w:lang w:val="en-US" w:eastAsia="zh-CN"/>
                    </w:rPr>
                    <w:t>新建</w:t>
                  </w:r>
                  <w:r>
                    <w:rPr>
                      <w:rFonts w:hint="eastAsia" w:ascii="Times New Roman" w:hAnsi="Times New Roman" w:eastAsia="宋体" w:cs="Times New Roman"/>
                      <w:snapToGrid w:val="0"/>
                      <w:color w:val="auto"/>
                      <w:sz w:val="21"/>
                      <w:szCs w:val="21"/>
                      <w:lang w:val="en-US" w:eastAsia="zh-CN"/>
                    </w:rPr>
                    <w:t>1</w:t>
                  </w:r>
                  <w:r>
                    <w:rPr>
                      <w:rFonts w:hint="eastAsia" w:ascii="Times New Roman" w:hAnsi="Times New Roman" w:eastAsia="宋体" w:cs="Times New Roman"/>
                      <w:snapToGrid w:val="0"/>
                      <w:color w:val="auto"/>
                      <w:sz w:val="21"/>
                      <w:szCs w:val="21"/>
                      <w:lang w:eastAsia="zh-CN"/>
                    </w:rPr>
                    <w:t>座</w:t>
                  </w:r>
                  <w:r>
                    <w:rPr>
                      <w:rFonts w:hint="eastAsia" w:ascii="Times New Roman" w:hAnsi="Times New Roman" w:cs="Times New Roman"/>
                      <w:snapToGrid w:val="0"/>
                      <w:color w:val="auto"/>
                      <w:sz w:val="21"/>
                      <w:szCs w:val="21"/>
                      <w:lang w:val="en-US" w:eastAsia="zh-CN"/>
                    </w:rPr>
                    <w:t>预处理池</w:t>
                  </w:r>
                  <w:r>
                    <w:rPr>
                      <w:rFonts w:hint="default" w:ascii="Times New Roman" w:hAnsi="Times New Roman" w:eastAsia="宋体" w:cs="Times New Roman"/>
                      <w:snapToGrid w:val="0"/>
                      <w:color w:val="auto"/>
                      <w:sz w:val="21"/>
                      <w:szCs w:val="21"/>
                      <w:lang w:eastAsia="zh-CN"/>
                    </w:rPr>
                    <w:t>，容积为</w:t>
                  </w:r>
                  <w:r>
                    <w:rPr>
                      <w:rFonts w:hint="eastAsia" w:ascii="Times New Roman" w:hAnsi="Times New Roman" w:eastAsia="宋体" w:cs="Times New Roman"/>
                      <w:snapToGrid w:val="0"/>
                      <w:color w:val="auto"/>
                      <w:sz w:val="21"/>
                      <w:szCs w:val="21"/>
                      <w:lang w:val="en-US" w:eastAsia="zh-CN"/>
                    </w:rPr>
                    <w:t>2</w:t>
                  </w:r>
                  <w:r>
                    <w:rPr>
                      <w:rFonts w:hint="eastAsia" w:ascii="Times New Roman" w:hAnsi="Times New Roman" w:eastAsia="宋体" w:cs="Times New Roman"/>
                      <w:snapToGrid w:val="0"/>
                      <w:color w:val="auto"/>
                      <w:sz w:val="21"/>
                      <w:szCs w:val="21"/>
                      <w:lang w:eastAsia="zh-CN"/>
                    </w:rPr>
                    <w:t>0</w:t>
                  </w:r>
                  <w:r>
                    <w:rPr>
                      <w:rFonts w:hint="default" w:ascii="Times New Roman" w:hAnsi="Times New Roman" w:eastAsia="宋体" w:cs="Times New Roman"/>
                      <w:snapToGrid w:val="0"/>
                      <w:color w:val="auto"/>
                      <w:sz w:val="21"/>
                      <w:szCs w:val="21"/>
                      <w:lang w:eastAsia="zh-CN"/>
                    </w:rPr>
                    <w:t>m</w:t>
                  </w:r>
                  <w:r>
                    <w:rPr>
                      <w:rFonts w:hint="eastAsia" w:ascii="Times New Roman" w:hAnsi="Times New Roman" w:eastAsia="宋体" w:cs="Times New Roman"/>
                      <w:snapToGrid w:val="0"/>
                      <w:color w:val="auto"/>
                      <w:sz w:val="21"/>
                      <w:szCs w:val="21"/>
                      <w:vertAlign w:val="superscript"/>
                      <w:lang w:eastAsia="zh-CN"/>
                    </w:rPr>
                    <w:t>3</w:t>
                  </w:r>
                </w:p>
              </w:tc>
              <w:tc>
                <w:tcPr>
                  <w:tcW w:w="1528" w:type="dxa"/>
                  <w:gridSpan w:val="2"/>
                  <w:vAlign w:val="center"/>
                </w:tcPr>
                <w:p w14:paraId="6A3D1AEC">
                  <w:pPr>
                    <w:pStyle w:val="65"/>
                    <w:keepNext w:val="0"/>
                    <w:keepLines w:val="0"/>
                    <w:suppressLineNumbers w:val="0"/>
                    <w:spacing w:before="0" w:beforeAutospacing="0" w:after="0" w:afterAutospacing="0"/>
                    <w:ind w:left="0" w:right="0"/>
                    <w:jc w:val="center"/>
                    <w:rPr>
                      <w:rFonts w:hint="eastAsia" w:ascii="Times New Roman" w:hAnsi="Times New Roman" w:eastAsia="宋体" w:cs="Times New Roman"/>
                      <w:snapToGrid w:val="0"/>
                      <w:color w:val="auto"/>
                      <w:sz w:val="21"/>
                      <w:szCs w:val="21"/>
                      <w:lang w:eastAsia="zh-CN"/>
                    </w:rPr>
                  </w:pPr>
                  <w:r>
                    <w:rPr>
                      <w:rFonts w:hint="eastAsia" w:ascii="Times New Roman" w:hAnsi="Times New Roman" w:cs="Times New Roman"/>
                      <w:snapToGrid w:val="0"/>
                      <w:color w:val="auto"/>
                      <w:sz w:val="21"/>
                      <w:lang w:val="en-US" w:eastAsia="zh-CN"/>
                    </w:rPr>
                    <w:t>2</w:t>
                  </w:r>
                </w:p>
              </w:tc>
            </w:tr>
            <w:tr w14:paraId="1627F4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6" w:hRule="atLeast"/>
              </w:trPr>
              <w:tc>
                <w:tcPr>
                  <w:tcW w:w="605" w:type="dxa"/>
                  <w:vMerge w:val="continue"/>
                  <w:vAlign w:val="center"/>
                </w:tcPr>
                <w:p w14:paraId="3047B015">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rPr>
                  </w:pPr>
                </w:p>
              </w:tc>
              <w:tc>
                <w:tcPr>
                  <w:tcW w:w="950" w:type="dxa"/>
                  <w:vMerge w:val="continue"/>
                  <w:vAlign w:val="center"/>
                </w:tcPr>
                <w:p w14:paraId="6D7D9829">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rPr>
                  </w:pPr>
                </w:p>
              </w:tc>
              <w:tc>
                <w:tcPr>
                  <w:tcW w:w="1583" w:type="dxa"/>
                  <w:vAlign w:val="center"/>
                </w:tcPr>
                <w:p w14:paraId="2F12713C">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val="en-US"/>
                    </w:rPr>
                  </w:pPr>
                  <w:r>
                    <w:rPr>
                      <w:rFonts w:hint="eastAsia" w:ascii="Times New Roman" w:hAnsi="Times New Roman" w:cs="Times New Roman"/>
                      <w:snapToGrid w:val="0"/>
                      <w:color w:val="auto"/>
                      <w:sz w:val="21"/>
                      <w:szCs w:val="21"/>
                      <w:lang w:val="en-US" w:eastAsia="zh-CN"/>
                    </w:rPr>
                    <w:t>食堂废水</w:t>
                  </w:r>
                </w:p>
              </w:tc>
              <w:tc>
                <w:tcPr>
                  <w:tcW w:w="5302" w:type="dxa"/>
                  <w:gridSpan w:val="2"/>
                  <w:vAlign w:val="center"/>
                </w:tcPr>
                <w:p w14:paraId="39FD512B">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13"/>
                      <w:szCs w:val="13"/>
                      <w:vertAlign w:val="baseline"/>
                      <w:lang w:val="en-US" w:eastAsia="zh-CN"/>
                    </w:rPr>
                  </w:pPr>
                  <w:r>
                    <w:rPr>
                      <w:rFonts w:hint="eastAsia" w:ascii="Times New Roman" w:hAnsi="Times New Roman" w:eastAsia="宋体" w:cs="Times New Roman"/>
                      <w:snapToGrid w:val="0"/>
                      <w:color w:val="auto"/>
                      <w:sz w:val="21"/>
                      <w:szCs w:val="21"/>
                      <w:lang w:val="en-US" w:eastAsia="zh-CN"/>
                    </w:rPr>
                    <w:t>新建1</w:t>
                  </w:r>
                  <w:r>
                    <w:rPr>
                      <w:rFonts w:hint="eastAsia" w:ascii="Times New Roman" w:hAnsi="Times New Roman" w:eastAsia="宋体" w:cs="Times New Roman"/>
                      <w:snapToGrid w:val="0"/>
                      <w:color w:val="auto"/>
                      <w:sz w:val="21"/>
                      <w:szCs w:val="21"/>
                      <w:lang w:eastAsia="zh-CN"/>
                    </w:rPr>
                    <w:t>座</w:t>
                  </w:r>
                  <w:r>
                    <w:rPr>
                      <w:rFonts w:hint="eastAsia" w:ascii="Times New Roman" w:hAnsi="Times New Roman" w:eastAsia="宋体" w:cs="Times New Roman"/>
                      <w:snapToGrid w:val="0"/>
                      <w:color w:val="auto"/>
                      <w:sz w:val="21"/>
                      <w:szCs w:val="21"/>
                      <w:lang w:val="en-US" w:eastAsia="zh-CN"/>
                    </w:rPr>
                    <w:t>预处理池</w:t>
                  </w:r>
                  <w:r>
                    <w:rPr>
                      <w:rFonts w:hint="eastAsia" w:ascii="Times New Roman" w:hAnsi="Times New Roman" w:eastAsia="宋体" w:cs="Times New Roman"/>
                      <w:snapToGrid w:val="0"/>
                      <w:color w:val="auto"/>
                      <w:sz w:val="21"/>
                      <w:szCs w:val="21"/>
                      <w:lang w:eastAsia="zh-CN"/>
                    </w:rPr>
                    <w:t>，</w:t>
                  </w:r>
                  <w:r>
                    <w:rPr>
                      <w:rFonts w:hint="eastAsia" w:ascii="Times New Roman" w:hAnsi="Times New Roman" w:cs="Times New Roman"/>
                      <w:snapToGrid w:val="0"/>
                      <w:color w:val="auto"/>
                      <w:sz w:val="21"/>
                      <w:szCs w:val="21"/>
                      <w:lang w:val="en-US" w:eastAsia="zh-CN"/>
                    </w:rPr>
                    <w:t>处理能力为</w:t>
                  </w:r>
                  <w:r>
                    <w:rPr>
                      <w:rFonts w:hint="eastAsia" w:ascii="Times New Roman" w:hAnsi="Times New Roman" w:eastAsia="宋体" w:cs="Times New Roman"/>
                      <w:snapToGrid w:val="0"/>
                      <w:color w:val="auto"/>
                      <w:sz w:val="21"/>
                      <w:szCs w:val="21"/>
                      <w:lang w:val="en-US" w:eastAsia="zh-CN"/>
                    </w:rPr>
                    <w:t>2</w:t>
                  </w:r>
                  <w:r>
                    <w:rPr>
                      <w:rFonts w:hint="eastAsia" w:ascii="Times New Roman" w:hAnsi="Times New Roman" w:eastAsia="宋体" w:cs="Times New Roman"/>
                      <w:snapToGrid w:val="0"/>
                      <w:color w:val="auto"/>
                      <w:sz w:val="21"/>
                      <w:szCs w:val="21"/>
                      <w:lang w:eastAsia="zh-CN"/>
                    </w:rPr>
                    <w:t>m</w:t>
                  </w:r>
                  <w:r>
                    <w:rPr>
                      <w:rFonts w:hint="eastAsia" w:ascii="Times New Roman" w:hAnsi="Times New Roman" w:eastAsia="宋体" w:cs="Times New Roman"/>
                      <w:snapToGrid w:val="0"/>
                      <w:color w:val="auto"/>
                      <w:sz w:val="21"/>
                      <w:szCs w:val="21"/>
                      <w:vertAlign w:val="superscript"/>
                      <w:lang w:eastAsia="zh-CN"/>
                    </w:rPr>
                    <w:t>3</w:t>
                  </w:r>
                  <w:r>
                    <w:rPr>
                      <w:rFonts w:hint="eastAsia" w:ascii="Times New Roman" w:hAnsi="Times New Roman" w:cs="Times New Roman"/>
                      <w:snapToGrid w:val="0"/>
                      <w:color w:val="auto"/>
                      <w:sz w:val="21"/>
                      <w:szCs w:val="21"/>
                      <w:vertAlign w:val="baseline"/>
                      <w:lang w:val="en-US" w:eastAsia="zh-CN"/>
                    </w:rPr>
                    <w:t>/h</w:t>
                  </w:r>
                </w:p>
              </w:tc>
              <w:tc>
                <w:tcPr>
                  <w:tcW w:w="1528" w:type="dxa"/>
                  <w:gridSpan w:val="2"/>
                  <w:vAlign w:val="center"/>
                </w:tcPr>
                <w:p w14:paraId="0B72556D">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eastAsia="zh-CN"/>
                    </w:rPr>
                  </w:pPr>
                  <w:r>
                    <w:rPr>
                      <w:rFonts w:hint="eastAsia" w:ascii="Times New Roman" w:hAnsi="Times New Roman" w:cs="Times New Roman"/>
                      <w:snapToGrid w:val="0"/>
                      <w:color w:val="auto"/>
                      <w:sz w:val="21"/>
                      <w:lang w:val="en-US" w:eastAsia="zh-CN"/>
                    </w:rPr>
                    <w:t>1</w:t>
                  </w:r>
                </w:p>
              </w:tc>
            </w:tr>
            <w:tr w14:paraId="51B16A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4" w:hRule="exact"/>
              </w:trPr>
              <w:tc>
                <w:tcPr>
                  <w:tcW w:w="605" w:type="dxa"/>
                  <w:vMerge w:val="continue"/>
                  <w:vAlign w:val="center"/>
                </w:tcPr>
                <w:p w14:paraId="3B46114D">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p>
              </w:tc>
              <w:tc>
                <w:tcPr>
                  <w:tcW w:w="950" w:type="dxa"/>
                  <w:vAlign w:val="center"/>
                </w:tcPr>
                <w:p w14:paraId="36A89BC0">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噪声</w:t>
                  </w:r>
                </w:p>
                <w:p w14:paraId="0628A2A5">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治理</w:t>
                  </w:r>
                </w:p>
              </w:tc>
              <w:tc>
                <w:tcPr>
                  <w:tcW w:w="1583" w:type="dxa"/>
                  <w:vAlign w:val="center"/>
                </w:tcPr>
                <w:p w14:paraId="604F04C0">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设备运行噪声</w:t>
                  </w:r>
                </w:p>
              </w:tc>
              <w:tc>
                <w:tcPr>
                  <w:tcW w:w="5302" w:type="dxa"/>
                  <w:gridSpan w:val="2"/>
                  <w:vAlign w:val="center"/>
                </w:tcPr>
                <w:p w14:paraId="56037385">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eastAsia="zh-CN"/>
                    </w:rPr>
                  </w:pPr>
                  <w:r>
                    <w:rPr>
                      <w:rFonts w:hint="default" w:ascii="Times New Roman" w:hAnsi="Times New Roman" w:eastAsia="宋体" w:cs="Times New Roman"/>
                      <w:snapToGrid w:val="0"/>
                      <w:color w:val="auto"/>
                      <w:sz w:val="21"/>
                      <w:szCs w:val="21"/>
                      <w:lang w:val="en-US" w:eastAsia="zh-CN"/>
                    </w:rPr>
                    <w:t>合理布局</w:t>
                  </w:r>
                  <w:r>
                    <w:rPr>
                      <w:rFonts w:hint="eastAsia" w:ascii="Times New Roman" w:hAnsi="Times New Roman" w:cs="Times New Roman"/>
                      <w:snapToGrid w:val="0"/>
                      <w:color w:val="auto"/>
                      <w:sz w:val="21"/>
                      <w:szCs w:val="21"/>
                      <w:lang w:val="en-US" w:eastAsia="zh-CN"/>
                    </w:rPr>
                    <w:t>、</w:t>
                  </w:r>
                  <w:r>
                    <w:rPr>
                      <w:rFonts w:hint="default" w:ascii="Times New Roman" w:hAnsi="Times New Roman" w:eastAsia="宋体" w:cs="Times New Roman"/>
                      <w:snapToGrid w:val="0"/>
                      <w:color w:val="auto"/>
                      <w:sz w:val="21"/>
                      <w:szCs w:val="21"/>
                      <w:lang w:eastAsia="zh-CN"/>
                    </w:rPr>
                    <w:t>选用低噪声设备、车间隔声、减震</w:t>
                  </w:r>
                </w:p>
              </w:tc>
              <w:tc>
                <w:tcPr>
                  <w:tcW w:w="1528" w:type="dxa"/>
                  <w:gridSpan w:val="2"/>
                  <w:vAlign w:val="center"/>
                </w:tcPr>
                <w:p w14:paraId="6C406831">
                  <w:pPr>
                    <w:pStyle w:val="65"/>
                    <w:keepNext w:val="0"/>
                    <w:keepLines w:val="0"/>
                    <w:suppressLineNumbers w:val="0"/>
                    <w:spacing w:before="0" w:beforeAutospacing="0" w:after="0" w:afterAutospacing="0"/>
                    <w:ind w:left="0" w:right="0"/>
                    <w:jc w:val="center"/>
                    <w:rPr>
                      <w:rFonts w:hint="eastAsia" w:ascii="Times New Roman" w:hAnsi="Times New Roman" w:eastAsia="宋体" w:cs="Times New Roman"/>
                      <w:snapToGrid w:val="0"/>
                      <w:color w:val="auto"/>
                      <w:sz w:val="21"/>
                      <w:szCs w:val="21"/>
                      <w:lang w:eastAsia="zh-CN"/>
                    </w:rPr>
                  </w:pPr>
                  <w:r>
                    <w:rPr>
                      <w:rFonts w:hint="eastAsia" w:ascii="Times New Roman" w:hAnsi="Times New Roman" w:cs="Times New Roman"/>
                      <w:snapToGrid w:val="0"/>
                      <w:color w:val="auto"/>
                      <w:sz w:val="21"/>
                      <w:lang w:val="en-US" w:eastAsia="zh-CN"/>
                    </w:rPr>
                    <w:t>1</w:t>
                  </w:r>
                </w:p>
              </w:tc>
            </w:tr>
            <w:tr w14:paraId="5B1988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66" w:hRule="exact"/>
              </w:trPr>
              <w:tc>
                <w:tcPr>
                  <w:tcW w:w="605" w:type="dxa"/>
                  <w:vMerge w:val="continue"/>
                  <w:vAlign w:val="center"/>
                </w:tcPr>
                <w:p w14:paraId="3751B6D4">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p>
              </w:tc>
              <w:tc>
                <w:tcPr>
                  <w:tcW w:w="950" w:type="dxa"/>
                  <w:vMerge w:val="restart"/>
                  <w:vAlign w:val="center"/>
                </w:tcPr>
                <w:p w14:paraId="7F75DA7F">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固废</w:t>
                  </w:r>
                </w:p>
                <w:p w14:paraId="0A654453">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rPr>
                  </w:pPr>
                  <w:r>
                    <w:rPr>
                      <w:rFonts w:hint="default" w:ascii="Times New Roman" w:hAnsi="Times New Roman" w:eastAsia="宋体" w:cs="Times New Roman"/>
                      <w:snapToGrid w:val="0"/>
                      <w:color w:val="auto"/>
                      <w:sz w:val="21"/>
                      <w:szCs w:val="21"/>
                    </w:rPr>
                    <w:t>治理</w:t>
                  </w:r>
                </w:p>
              </w:tc>
              <w:tc>
                <w:tcPr>
                  <w:tcW w:w="1583" w:type="dxa"/>
                  <w:vAlign w:val="center"/>
                </w:tcPr>
                <w:p w14:paraId="67FCAEE6">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危险废物</w:t>
                  </w:r>
                </w:p>
              </w:tc>
              <w:tc>
                <w:tcPr>
                  <w:tcW w:w="5302" w:type="dxa"/>
                  <w:gridSpan w:val="2"/>
                  <w:vAlign w:val="center"/>
                </w:tcPr>
                <w:p w14:paraId="10C71ABC">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vertAlign w:val="baseline"/>
                      <w:lang w:eastAsia="zh-CN"/>
                    </w:rPr>
                  </w:pPr>
                  <w:r>
                    <w:rPr>
                      <w:rFonts w:hint="eastAsia" w:ascii="Times New Roman" w:hAnsi="Times New Roman" w:cs="Times New Roman"/>
                      <w:color w:val="auto"/>
                      <w:spacing w:val="-2"/>
                      <w:szCs w:val="21"/>
                      <w:lang w:val="en-US" w:eastAsia="zh-CN"/>
                    </w:rPr>
                    <w:t>设置1间危废暂存间</w:t>
                  </w:r>
                  <w:r>
                    <w:rPr>
                      <w:rFonts w:hint="default" w:ascii="Times New Roman" w:hAnsi="Times New Roman" w:cs="Times New Roman"/>
                      <w:color w:val="auto"/>
                      <w:spacing w:val="-2"/>
                      <w:szCs w:val="21"/>
                      <w:lang w:eastAsia="zh-CN"/>
                    </w:rPr>
                    <w:t>，建筑面积</w:t>
                  </w:r>
                  <w:r>
                    <w:rPr>
                      <w:rFonts w:hint="eastAsia" w:ascii="Times New Roman" w:hAnsi="Times New Roman" w:cs="Times New Roman"/>
                      <w:color w:val="auto"/>
                      <w:spacing w:val="-2"/>
                      <w:szCs w:val="21"/>
                      <w:lang w:val="en-US" w:eastAsia="zh-CN"/>
                    </w:rPr>
                    <w:t>40</w:t>
                  </w:r>
                  <w:r>
                    <w:rPr>
                      <w:rFonts w:hint="default" w:ascii="Times New Roman" w:hAnsi="Times New Roman" w:cs="Times New Roman"/>
                      <w:color w:val="auto"/>
                      <w:spacing w:val="-2"/>
                      <w:szCs w:val="21"/>
                      <w:lang w:eastAsia="zh-CN"/>
                    </w:rPr>
                    <w:t>m</w:t>
                  </w:r>
                  <w:r>
                    <w:rPr>
                      <w:rFonts w:hint="default" w:ascii="Times New Roman" w:hAnsi="Times New Roman" w:cs="Times New Roman"/>
                      <w:color w:val="auto"/>
                      <w:spacing w:val="-2"/>
                      <w:szCs w:val="21"/>
                      <w:vertAlign w:val="superscript"/>
                      <w:lang w:eastAsia="zh-CN"/>
                    </w:rPr>
                    <w:t>2</w:t>
                  </w:r>
                  <w:r>
                    <w:rPr>
                      <w:rFonts w:hint="eastAsia" w:ascii="Times New Roman" w:hAnsi="Times New Roman" w:cs="Times New Roman"/>
                      <w:color w:val="auto"/>
                      <w:spacing w:val="-2"/>
                      <w:szCs w:val="21"/>
                      <w:vertAlign w:val="baseline"/>
                      <w:lang w:eastAsia="zh-CN"/>
                    </w:rPr>
                    <w:t>，</w:t>
                  </w:r>
                  <w:r>
                    <w:rPr>
                      <w:rFonts w:hint="eastAsia" w:ascii="Times New Roman" w:hAnsi="Times New Roman" w:cs="Times New Roman"/>
                      <w:color w:val="auto"/>
                      <w:spacing w:val="-2"/>
                      <w:szCs w:val="21"/>
                      <w:vertAlign w:val="baseline"/>
                      <w:lang w:val="en-US" w:eastAsia="zh-CN"/>
                    </w:rPr>
                    <w:t>危险废物定期</w:t>
                  </w:r>
                  <w:r>
                    <w:rPr>
                      <w:rFonts w:hint="eastAsia" w:ascii="Times New Roman" w:hAnsi="Times New Roman" w:cs="Times New Roman"/>
                      <w:color w:val="auto"/>
                      <w:spacing w:val="-2"/>
                      <w:szCs w:val="21"/>
                      <w:vertAlign w:val="baseline"/>
                      <w:lang w:eastAsia="zh-CN"/>
                    </w:rPr>
                    <w:t>交由有资质的单位进行处理，并对危废暂存间进行“</w:t>
                  </w:r>
                  <w:r>
                    <w:rPr>
                      <w:rFonts w:hint="eastAsia" w:ascii="Times New Roman" w:hAnsi="Times New Roman" w:cs="Times New Roman"/>
                      <w:color w:val="auto"/>
                      <w:spacing w:val="-2"/>
                      <w:szCs w:val="21"/>
                      <w:vertAlign w:val="baseline"/>
                      <w:lang w:val="en-US" w:eastAsia="zh-CN"/>
                    </w:rPr>
                    <w:t>四</w:t>
                  </w:r>
                  <w:r>
                    <w:rPr>
                      <w:rFonts w:hint="eastAsia" w:ascii="Times New Roman" w:hAnsi="Times New Roman" w:cs="Times New Roman"/>
                      <w:color w:val="auto"/>
                      <w:spacing w:val="-2"/>
                      <w:szCs w:val="21"/>
                      <w:vertAlign w:val="baseline"/>
                      <w:lang w:eastAsia="zh-CN"/>
                    </w:rPr>
                    <w:t>防”处理</w:t>
                  </w:r>
                </w:p>
              </w:tc>
              <w:tc>
                <w:tcPr>
                  <w:tcW w:w="1528" w:type="dxa"/>
                  <w:gridSpan w:val="2"/>
                  <w:vAlign w:val="center"/>
                </w:tcPr>
                <w:p w14:paraId="51E591F5">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eastAsia="zh-CN"/>
                    </w:rPr>
                  </w:pPr>
                  <w:r>
                    <w:rPr>
                      <w:rFonts w:hint="eastAsia" w:ascii="Times New Roman" w:hAnsi="Times New Roman" w:cs="Times New Roman"/>
                      <w:snapToGrid w:val="0"/>
                      <w:color w:val="auto"/>
                      <w:sz w:val="21"/>
                      <w:lang w:val="en-US" w:eastAsia="zh-CN"/>
                    </w:rPr>
                    <w:t>4</w:t>
                  </w:r>
                </w:p>
              </w:tc>
            </w:tr>
            <w:tr w14:paraId="7233A4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8" w:hRule="atLeast"/>
              </w:trPr>
              <w:tc>
                <w:tcPr>
                  <w:tcW w:w="605" w:type="dxa"/>
                  <w:vMerge w:val="continue"/>
                  <w:vAlign w:val="center"/>
                </w:tcPr>
                <w:p w14:paraId="085D7083">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p>
              </w:tc>
              <w:tc>
                <w:tcPr>
                  <w:tcW w:w="950" w:type="dxa"/>
                  <w:vMerge w:val="continue"/>
                  <w:vAlign w:val="center"/>
                </w:tcPr>
                <w:p w14:paraId="0757ABEF">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p>
              </w:tc>
              <w:tc>
                <w:tcPr>
                  <w:tcW w:w="1583" w:type="dxa"/>
                  <w:vAlign w:val="center"/>
                </w:tcPr>
                <w:p w14:paraId="7BDE7E12">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一般固废</w:t>
                  </w:r>
                </w:p>
              </w:tc>
              <w:tc>
                <w:tcPr>
                  <w:tcW w:w="5302" w:type="dxa"/>
                  <w:gridSpan w:val="2"/>
                  <w:vAlign w:val="center"/>
                </w:tcPr>
                <w:p w14:paraId="068854B7">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eastAsia="zh-CN"/>
                    </w:rPr>
                  </w:pPr>
                  <w:r>
                    <w:rPr>
                      <w:rFonts w:hint="default" w:ascii="Times New Roman" w:hAnsi="Times New Roman" w:eastAsia="宋体" w:cs="Times New Roman"/>
                      <w:snapToGrid w:val="0"/>
                      <w:color w:val="auto"/>
                      <w:sz w:val="21"/>
                      <w:szCs w:val="21"/>
                      <w:lang w:eastAsia="zh-CN"/>
                    </w:rPr>
                    <w:t>设置一个一般固废暂存间</w:t>
                  </w:r>
                  <w:r>
                    <w:rPr>
                      <w:rFonts w:hint="eastAsia" w:ascii="Times New Roman" w:hAnsi="Times New Roman" w:cs="Times New Roman"/>
                      <w:snapToGrid w:val="0"/>
                      <w:color w:val="auto"/>
                      <w:sz w:val="21"/>
                      <w:szCs w:val="21"/>
                      <w:lang w:val="en-US" w:eastAsia="zh-CN"/>
                    </w:rPr>
                    <w:t>20</w:t>
                  </w:r>
                  <w:r>
                    <w:rPr>
                      <w:rFonts w:hint="default" w:ascii="Times New Roman" w:hAnsi="Times New Roman" w:eastAsia="宋体" w:cs="Times New Roman"/>
                      <w:snapToGrid w:val="0"/>
                      <w:color w:val="auto"/>
                      <w:sz w:val="21"/>
                      <w:szCs w:val="21"/>
                      <w:lang w:eastAsia="zh-CN"/>
                    </w:rPr>
                    <w:t>m</w:t>
                  </w:r>
                  <w:r>
                    <w:rPr>
                      <w:rFonts w:hint="eastAsia" w:ascii="Times New Roman" w:hAnsi="Times New Roman" w:eastAsia="宋体" w:cs="Times New Roman"/>
                      <w:snapToGrid w:val="0"/>
                      <w:color w:val="auto"/>
                      <w:sz w:val="21"/>
                      <w:szCs w:val="21"/>
                      <w:vertAlign w:val="superscript"/>
                      <w:lang w:eastAsia="zh-CN"/>
                    </w:rPr>
                    <w:t>2</w:t>
                  </w:r>
                  <w:r>
                    <w:rPr>
                      <w:rFonts w:hint="default" w:ascii="Times New Roman" w:hAnsi="Times New Roman" w:eastAsia="宋体" w:cs="Times New Roman"/>
                      <w:snapToGrid w:val="0"/>
                      <w:color w:val="auto"/>
                      <w:sz w:val="21"/>
                      <w:szCs w:val="21"/>
                      <w:lang w:eastAsia="zh-CN"/>
                    </w:rPr>
                    <w:t>，完善防风、防雨措施</w:t>
                  </w:r>
                </w:p>
              </w:tc>
              <w:tc>
                <w:tcPr>
                  <w:tcW w:w="1528" w:type="dxa"/>
                  <w:gridSpan w:val="2"/>
                  <w:vAlign w:val="center"/>
                </w:tcPr>
                <w:p w14:paraId="38E7B2C5">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eastAsia="zh-CN"/>
                    </w:rPr>
                  </w:pPr>
                  <w:r>
                    <w:rPr>
                      <w:rFonts w:hint="eastAsia" w:ascii="Times New Roman" w:hAnsi="Times New Roman" w:cs="Times New Roman"/>
                      <w:snapToGrid w:val="0"/>
                      <w:color w:val="auto"/>
                      <w:sz w:val="21"/>
                      <w:lang w:val="en-US" w:eastAsia="zh-CN"/>
                    </w:rPr>
                    <w:t>1</w:t>
                  </w:r>
                </w:p>
              </w:tc>
            </w:tr>
            <w:tr w14:paraId="35DF8D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trPr>
              <w:tc>
                <w:tcPr>
                  <w:tcW w:w="605" w:type="dxa"/>
                  <w:vMerge w:val="continue"/>
                  <w:vAlign w:val="center"/>
                </w:tcPr>
                <w:p w14:paraId="1F058DAD">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lang w:eastAsia="en-US"/>
                    </w:rPr>
                  </w:pPr>
                </w:p>
              </w:tc>
              <w:tc>
                <w:tcPr>
                  <w:tcW w:w="950" w:type="dxa"/>
                  <w:vMerge w:val="continue"/>
                  <w:vAlign w:val="center"/>
                </w:tcPr>
                <w:p w14:paraId="28E48DA4">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lang w:eastAsia="en-US"/>
                    </w:rPr>
                  </w:pPr>
                </w:p>
              </w:tc>
              <w:tc>
                <w:tcPr>
                  <w:tcW w:w="1583" w:type="dxa"/>
                  <w:vAlign w:val="center"/>
                </w:tcPr>
                <w:p w14:paraId="4FA94FED">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生活垃圾</w:t>
                  </w:r>
                </w:p>
              </w:tc>
              <w:tc>
                <w:tcPr>
                  <w:tcW w:w="5302" w:type="dxa"/>
                  <w:gridSpan w:val="2"/>
                  <w:vMerge w:val="restart"/>
                  <w:vAlign w:val="center"/>
                </w:tcPr>
                <w:p w14:paraId="2F1B20EF">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环卫部门统一清运</w:t>
                  </w:r>
                </w:p>
              </w:tc>
              <w:tc>
                <w:tcPr>
                  <w:tcW w:w="1528" w:type="dxa"/>
                  <w:gridSpan w:val="2"/>
                  <w:vMerge w:val="restart"/>
                  <w:vAlign w:val="center"/>
                </w:tcPr>
                <w:p w14:paraId="110D257D">
                  <w:pPr>
                    <w:pStyle w:val="65"/>
                    <w:keepNext w:val="0"/>
                    <w:keepLines w:val="0"/>
                    <w:suppressLineNumbers w:val="0"/>
                    <w:spacing w:before="0" w:beforeAutospacing="0" w:after="0" w:afterAutospacing="0"/>
                    <w:ind w:left="0" w:right="0"/>
                    <w:jc w:val="center"/>
                    <w:rPr>
                      <w:rFonts w:hint="eastAsia" w:ascii="Times New Roman" w:hAnsi="Times New Roman" w:eastAsia="宋体" w:cs="Times New Roman"/>
                      <w:snapToGrid w:val="0"/>
                      <w:color w:val="auto"/>
                      <w:sz w:val="21"/>
                      <w:szCs w:val="21"/>
                      <w:lang w:eastAsia="zh-CN"/>
                    </w:rPr>
                  </w:pPr>
                  <w:r>
                    <w:rPr>
                      <w:rFonts w:hint="eastAsia" w:ascii="Times New Roman" w:hAnsi="Times New Roman" w:cs="Times New Roman"/>
                      <w:snapToGrid w:val="0"/>
                      <w:color w:val="auto"/>
                      <w:sz w:val="21"/>
                      <w:lang w:val="en-US" w:eastAsia="zh-CN"/>
                    </w:rPr>
                    <w:t>1</w:t>
                  </w:r>
                </w:p>
              </w:tc>
            </w:tr>
            <w:tr w14:paraId="07F85F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exact"/>
              </w:trPr>
              <w:tc>
                <w:tcPr>
                  <w:tcW w:w="605" w:type="dxa"/>
                  <w:vMerge w:val="continue"/>
                  <w:vAlign w:val="center"/>
                </w:tcPr>
                <w:p w14:paraId="568306E0">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lang w:eastAsia="en-US"/>
                    </w:rPr>
                  </w:pPr>
                </w:p>
              </w:tc>
              <w:tc>
                <w:tcPr>
                  <w:tcW w:w="950" w:type="dxa"/>
                  <w:vMerge w:val="continue"/>
                  <w:vAlign w:val="center"/>
                </w:tcPr>
                <w:p w14:paraId="3F345F43">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lang w:eastAsia="en-US"/>
                    </w:rPr>
                  </w:pPr>
                </w:p>
              </w:tc>
              <w:tc>
                <w:tcPr>
                  <w:tcW w:w="1583" w:type="dxa"/>
                  <w:vAlign w:val="center"/>
                </w:tcPr>
                <w:p w14:paraId="3780E49F">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预处理池污泥</w:t>
                  </w:r>
                </w:p>
              </w:tc>
              <w:tc>
                <w:tcPr>
                  <w:tcW w:w="5302" w:type="dxa"/>
                  <w:gridSpan w:val="2"/>
                  <w:vMerge w:val="continue"/>
                  <w:vAlign w:val="center"/>
                </w:tcPr>
                <w:p w14:paraId="2ACF18D4">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lang w:eastAsia="en-US"/>
                    </w:rPr>
                  </w:pPr>
                </w:p>
              </w:tc>
              <w:tc>
                <w:tcPr>
                  <w:tcW w:w="1528" w:type="dxa"/>
                  <w:gridSpan w:val="2"/>
                  <w:vMerge w:val="continue"/>
                  <w:vAlign w:val="center"/>
                </w:tcPr>
                <w:p w14:paraId="365585D5">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lang w:eastAsia="en-US"/>
                    </w:rPr>
                  </w:pPr>
                </w:p>
              </w:tc>
            </w:tr>
            <w:tr w14:paraId="78E6D2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exact"/>
              </w:trPr>
              <w:tc>
                <w:tcPr>
                  <w:tcW w:w="605" w:type="dxa"/>
                  <w:vMerge w:val="continue"/>
                  <w:vAlign w:val="center"/>
                </w:tcPr>
                <w:p w14:paraId="02FDEE36">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lang w:eastAsia="en-US"/>
                    </w:rPr>
                  </w:pPr>
                </w:p>
              </w:tc>
              <w:tc>
                <w:tcPr>
                  <w:tcW w:w="950" w:type="dxa"/>
                  <w:vMerge w:val="continue"/>
                  <w:vAlign w:val="center"/>
                </w:tcPr>
                <w:p w14:paraId="2467504F">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lang w:eastAsia="en-US"/>
                    </w:rPr>
                  </w:pPr>
                </w:p>
              </w:tc>
              <w:tc>
                <w:tcPr>
                  <w:tcW w:w="1583" w:type="dxa"/>
                  <w:vAlign w:val="center"/>
                </w:tcPr>
                <w:p w14:paraId="3990FEE6">
                  <w:pPr>
                    <w:pStyle w:val="65"/>
                    <w:keepNext w:val="0"/>
                    <w:keepLines w:val="0"/>
                    <w:suppressLineNumbers w:val="0"/>
                    <w:spacing w:before="0" w:beforeAutospacing="0" w:after="0" w:afterAutospacing="0"/>
                    <w:ind w:left="0" w:right="0"/>
                    <w:jc w:val="center"/>
                    <w:rPr>
                      <w:rFonts w:hint="eastAsia" w:ascii="Times New Roman" w:hAnsi="Times New Roman" w:eastAsia="宋体" w:cs="Times New Roman"/>
                      <w:snapToGrid w:val="0"/>
                      <w:color w:val="auto"/>
                      <w:sz w:val="21"/>
                      <w:szCs w:val="21"/>
                      <w:lang w:val="en-US" w:eastAsia="zh-CN"/>
                    </w:rPr>
                  </w:pPr>
                  <w:r>
                    <w:rPr>
                      <w:rFonts w:hint="eastAsia" w:ascii="Times New Roman" w:hAnsi="Times New Roman" w:cs="Times New Roman"/>
                      <w:snapToGrid w:val="0"/>
                      <w:color w:val="auto"/>
                      <w:sz w:val="21"/>
                      <w:szCs w:val="21"/>
                      <w:lang w:val="en-US" w:eastAsia="zh-CN"/>
                    </w:rPr>
                    <w:t>隔油池废油</w:t>
                  </w:r>
                </w:p>
              </w:tc>
              <w:tc>
                <w:tcPr>
                  <w:tcW w:w="5302" w:type="dxa"/>
                  <w:gridSpan w:val="2"/>
                  <w:vAlign w:val="center"/>
                </w:tcPr>
                <w:p w14:paraId="11F4F514">
                  <w:pPr>
                    <w:keepNext w:val="0"/>
                    <w:keepLines w:val="0"/>
                    <w:suppressLineNumbers w:val="0"/>
                    <w:spacing w:before="0" w:beforeAutospacing="0" w:after="0" w:afterAutospacing="0"/>
                    <w:ind w:left="0" w:right="0"/>
                    <w:jc w:val="center"/>
                    <w:rPr>
                      <w:rFonts w:hint="eastAsia" w:ascii="Times New Roman" w:hAnsi="Times New Roman" w:eastAsia="宋体" w:cs="Times New Roman"/>
                      <w:snapToGrid w:val="0"/>
                      <w:color w:val="auto"/>
                      <w:kern w:val="0"/>
                      <w:lang w:val="en-US" w:eastAsia="zh-CN"/>
                    </w:rPr>
                  </w:pPr>
                  <w:r>
                    <w:rPr>
                      <w:rFonts w:hint="eastAsia" w:cs="Times New Roman"/>
                      <w:snapToGrid w:val="0"/>
                      <w:color w:val="auto"/>
                      <w:kern w:val="0"/>
                      <w:lang w:val="en-US" w:eastAsia="zh-CN"/>
                    </w:rPr>
                    <w:t>具有回收资质单位回收</w:t>
                  </w:r>
                </w:p>
              </w:tc>
              <w:tc>
                <w:tcPr>
                  <w:tcW w:w="1528" w:type="dxa"/>
                  <w:gridSpan w:val="2"/>
                  <w:vAlign w:val="center"/>
                </w:tcPr>
                <w:p w14:paraId="2F615FC0">
                  <w:pPr>
                    <w:keepNext w:val="0"/>
                    <w:keepLines w:val="0"/>
                    <w:suppressLineNumbers w:val="0"/>
                    <w:spacing w:before="0" w:beforeAutospacing="0" w:after="0" w:afterAutospacing="0"/>
                    <w:ind w:left="0" w:right="0"/>
                    <w:jc w:val="center"/>
                    <w:rPr>
                      <w:rFonts w:hint="eastAsia" w:ascii="Times New Roman" w:hAnsi="Times New Roman" w:eastAsia="宋体" w:cs="Times New Roman"/>
                      <w:snapToGrid w:val="0"/>
                      <w:color w:val="auto"/>
                      <w:kern w:val="0"/>
                      <w:lang w:val="en-US" w:eastAsia="zh-CN"/>
                    </w:rPr>
                  </w:pPr>
                  <w:r>
                    <w:rPr>
                      <w:rFonts w:hint="eastAsia" w:cs="Times New Roman"/>
                      <w:snapToGrid w:val="0"/>
                      <w:color w:val="auto"/>
                      <w:kern w:val="0"/>
                      <w:lang w:val="en-US" w:eastAsia="zh-CN"/>
                    </w:rPr>
                    <w:t>1</w:t>
                  </w:r>
                </w:p>
              </w:tc>
            </w:tr>
            <w:tr w14:paraId="258662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5" w:hRule="exact"/>
              </w:trPr>
              <w:tc>
                <w:tcPr>
                  <w:tcW w:w="605" w:type="dxa"/>
                  <w:vMerge w:val="continue"/>
                  <w:vAlign w:val="center"/>
                </w:tcPr>
                <w:p w14:paraId="2F945077">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p>
              </w:tc>
              <w:tc>
                <w:tcPr>
                  <w:tcW w:w="950" w:type="dxa"/>
                  <w:vAlign w:val="center"/>
                </w:tcPr>
                <w:p w14:paraId="48C9F3A7">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地下水防 治</w:t>
                  </w:r>
                </w:p>
              </w:tc>
              <w:tc>
                <w:tcPr>
                  <w:tcW w:w="1583" w:type="dxa"/>
                  <w:vAlign w:val="center"/>
                </w:tcPr>
                <w:p w14:paraId="240D02BF">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防渗处理</w:t>
                  </w:r>
                </w:p>
              </w:tc>
              <w:tc>
                <w:tcPr>
                  <w:tcW w:w="5302" w:type="dxa"/>
                  <w:gridSpan w:val="2"/>
                  <w:vAlign w:val="center"/>
                </w:tcPr>
                <w:p w14:paraId="2D413DAA">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eastAsia="zh-CN"/>
                    </w:rPr>
                  </w:pPr>
                  <w:r>
                    <w:rPr>
                      <w:rFonts w:hint="default" w:ascii="Times New Roman" w:hAnsi="Times New Roman" w:eastAsia="宋体" w:cs="Times New Roman"/>
                      <w:snapToGrid w:val="0"/>
                      <w:color w:val="auto"/>
                      <w:sz w:val="21"/>
                      <w:szCs w:val="21"/>
                      <w:lang w:eastAsia="zh-CN"/>
                    </w:rPr>
                    <w:t>重点防渗区“防渗、防腐、防雨”三防措施；生产区除重点防渗区外，均按一般防渗区进行设置</w:t>
                  </w:r>
                </w:p>
              </w:tc>
              <w:tc>
                <w:tcPr>
                  <w:tcW w:w="1528" w:type="dxa"/>
                  <w:gridSpan w:val="2"/>
                  <w:vAlign w:val="center"/>
                </w:tcPr>
                <w:p w14:paraId="4AB5DD4C">
                  <w:pPr>
                    <w:pStyle w:val="65"/>
                    <w:keepNext w:val="0"/>
                    <w:keepLines w:val="0"/>
                    <w:suppressLineNumbers w:val="0"/>
                    <w:spacing w:before="0" w:beforeAutospacing="0" w:after="0" w:afterAutospacing="0"/>
                    <w:ind w:left="0" w:right="0"/>
                    <w:jc w:val="center"/>
                    <w:rPr>
                      <w:rFonts w:hint="eastAsia" w:ascii="Times New Roman" w:hAnsi="Times New Roman" w:eastAsia="宋体" w:cs="Times New Roman"/>
                      <w:snapToGrid w:val="0"/>
                      <w:color w:val="auto"/>
                      <w:sz w:val="21"/>
                      <w:szCs w:val="21"/>
                      <w:lang w:val="en-US" w:eastAsia="zh-CN"/>
                    </w:rPr>
                  </w:pPr>
                  <w:r>
                    <w:rPr>
                      <w:rFonts w:hint="eastAsia" w:ascii="Times New Roman" w:hAnsi="Times New Roman" w:cs="Times New Roman"/>
                      <w:snapToGrid w:val="0"/>
                      <w:color w:val="auto"/>
                      <w:sz w:val="21"/>
                      <w:lang w:val="en-US" w:eastAsia="zh-CN"/>
                    </w:rPr>
                    <w:t>10</w:t>
                  </w:r>
                </w:p>
              </w:tc>
            </w:tr>
            <w:tr w14:paraId="395153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8" w:hRule="exact"/>
              </w:trPr>
              <w:tc>
                <w:tcPr>
                  <w:tcW w:w="605" w:type="dxa"/>
                  <w:vMerge w:val="continue"/>
                  <w:vAlign w:val="center"/>
                </w:tcPr>
                <w:p w14:paraId="5317768C">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p>
              </w:tc>
              <w:tc>
                <w:tcPr>
                  <w:tcW w:w="950" w:type="dxa"/>
                  <w:vAlign w:val="center"/>
                </w:tcPr>
                <w:p w14:paraId="78C01A0E">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环境</w:t>
                  </w:r>
                </w:p>
                <w:p w14:paraId="0F772189">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风险</w:t>
                  </w:r>
                </w:p>
              </w:tc>
              <w:tc>
                <w:tcPr>
                  <w:tcW w:w="1583" w:type="dxa"/>
                  <w:vMerge w:val="restart"/>
                  <w:vAlign w:val="center"/>
                </w:tcPr>
                <w:p w14:paraId="2A0994A0">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消防系统</w:t>
                  </w:r>
                </w:p>
              </w:tc>
              <w:tc>
                <w:tcPr>
                  <w:tcW w:w="5302" w:type="dxa"/>
                  <w:gridSpan w:val="2"/>
                  <w:vAlign w:val="center"/>
                </w:tcPr>
                <w:p w14:paraId="206D8D59">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eastAsia="zh-CN"/>
                    </w:rPr>
                  </w:pPr>
                  <w:r>
                    <w:rPr>
                      <w:rFonts w:hint="default" w:ascii="Times New Roman" w:hAnsi="Times New Roman" w:eastAsia="宋体" w:cs="Times New Roman"/>
                      <w:snapToGrid w:val="0"/>
                      <w:color w:val="auto"/>
                      <w:sz w:val="21"/>
                      <w:szCs w:val="21"/>
                      <w:lang w:eastAsia="zh-CN"/>
                    </w:rPr>
                    <w:t>利用灭火器、火灾探测头、喷淋灭火装置等消防器材</w:t>
                  </w:r>
                </w:p>
              </w:tc>
              <w:tc>
                <w:tcPr>
                  <w:tcW w:w="1528" w:type="dxa"/>
                  <w:gridSpan w:val="2"/>
                  <w:vAlign w:val="center"/>
                </w:tcPr>
                <w:p w14:paraId="5860245F">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val="en-US" w:eastAsia="zh-CN"/>
                    </w:rPr>
                  </w:pPr>
                  <w:r>
                    <w:rPr>
                      <w:rFonts w:hint="eastAsia" w:ascii="Times New Roman" w:hAnsi="Times New Roman" w:cs="Times New Roman"/>
                      <w:snapToGrid w:val="0"/>
                      <w:color w:val="auto"/>
                      <w:sz w:val="21"/>
                      <w:lang w:val="en-US" w:eastAsia="zh-CN"/>
                    </w:rPr>
                    <w:t>0.5</w:t>
                  </w:r>
                </w:p>
              </w:tc>
            </w:tr>
            <w:tr w14:paraId="761997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5" w:hRule="exact"/>
              </w:trPr>
              <w:tc>
                <w:tcPr>
                  <w:tcW w:w="605" w:type="dxa"/>
                  <w:vMerge w:val="continue"/>
                  <w:vAlign w:val="center"/>
                </w:tcPr>
                <w:p w14:paraId="395BF669">
                  <w:pPr>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kern w:val="0"/>
                      <w:lang w:eastAsia="en-US"/>
                    </w:rPr>
                  </w:pPr>
                </w:p>
              </w:tc>
              <w:tc>
                <w:tcPr>
                  <w:tcW w:w="950" w:type="dxa"/>
                  <w:vAlign w:val="center"/>
                </w:tcPr>
                <w:p w14:paraId="37BA69A5">
                  <w:pPr>
                    <w:keepNext w:val="0"/>
                    <w:keepLines w:val="0"/>
                    <w:suppressLineNumbers w:val="0"/>
                    <w:spacing w:before="0" w:beforeAutospacing="0" w:after="0" w:afterAutospacing="0"/>
                    <w:ind w:left="0" w:right="0"/>
                    <w:jc w:val="center"/>
                    <w:rPr>
                      <w:rFonts w:hint="eastAsia" w:ascii="Times New Roman" w:hAnsi="Times New Roman" w:eastAsia="宋体" w:cs="Times New Roman"/>
                      <w:snapToGrid w:val="0"/>
                      <w:color w:val="auto"/>
                      <w:kern w:val="0"/>
                      <w:lang w:val="en-US" w:eastAsia="zh-CN"/>
                    </w:rPr>
                  </w:pPr>
                  <w:r>
                    <w:rPr>
                      <w:rFonts w:hint="eastAsia" w:cs="Times New Roman"/>
                      <w:snapToGrid w:val="0"/>
                      <w:color w:val="auto"/>
                      <w:kern w:val="0"/>
                      <w:lang w:val="en-US" w:eastAsia="zh-CN"/>
                    </w:rPr>
                    <w:t>绿化</w:t>
                  </w:r>
                </w:p>
              </w:tc>
              <w:tc>
                <w:tcPr>
                  <w:tcW w:w="6885" w:type="dxa"/>
                  <w:gridSpan w:val="3"/>
                  <w:vAlign w:val="center"/>
                </w:tcPr>
                <w:p w14:paraId="0A5F8DBD">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val="en-US" w:eastAsia="zh-CN"/>
                    </w:rPr>
                  </w:pPr>
                  <w:r>
                    <w:rPr>
                      <w:rFonts w:hint="eastAsia" w:ascii="Times New Roman" w:hAnsi="Times New Roman" w:cs="Times New Roman"/>
                      <w:snapToGrid w:val="0"/>
                      <w:color w:val="auto"/>
                      <w:sz w:val="21"/>
                      <w:szCs w:val="21"/>
                      <w:lang w:val="en-US" w:eastAsia="zh-CN"/>
                    </w:rPr>
                    <w:t>厂区绿化，种植草坪和树木</w:t>
                  </w:r>
                </w:p>
              </w:tc>
              <w:tc>
                <w:tcPr>
                  <w:tcW w:w="1528" w:type="dxa"/>
                  <w:gridSpan w:val="2"/>
                  <w:vAlign w:val="center"/>
                </w:tcPr>
                <w:p w14:paraId="6F8D02B0">
                  <w:pPr>
                    <w:pStyle w:val="65"/>
                    <w:keepNext w:val="0"/>
                    <w:keepLines w:val="0"/>
                    <w:suppressLineNumbers w:val="0"/>
                    <w:spacing w:before="0" w:beforeAutospacing="0" w:after="0" w:afterAutospacing="0"/>
                    <w:ind w:left="0" w:right="0"/>
                    <w:jc w:val="center"/>
                    <w:rPr>
                      <w:rFonts w:hint="eastAsia" w:ascii="Times New Roman" w:hAnsi="Times New Roman" w:eastAsia="宋体" w:cs="Times New Roman"/>
                      <w:snapToGrid w:val="0"/>
                      <w:color w:val="auto"/>
                      <w:sz w:val="21"/>
                      <w:lang w:val="en-US" w:eastAsia="zh-CN"/>
                    </w:rPr>
                  </w:pPr>
                  <w:r>
                    <w:rPr>
                      <w:rFonts w:hint="eastAsia" w:ascii="Times New Roman" w:hAnsi="Times New Roman" w:cs="Times New Roman"/>
                      <w:snapToGrid w:val="0"/>
                      <w:color w:val="auto"/>
                      <w:sz w:val="21"/>
                      <w:lang w:val="en-US" w:eastAsia="zh-CN"/>
                    </w:rPr>
                    <w:t>10</w:t>
                  </w:r>
                </w:p>
              </w:tc>
            </w:tr>
            <w:tr w14:paraId="64F897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1" w:type="dxa"/>
                <w:trHeight w:val="345" w:hRule="exact"/>
              </w:trPr>
              <w:tc>
                <w:tcPr>
                  <w:tcW w:w="605" w:type="dxa"/>
                  <w:vMerge w:val="continue"/>
                  <w:vAlign w:val="center"/>
                </w:tcPr>
                <w:p w14:paraId="3527E505">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eastAsia="zh-CN"/>
                    </w:rPr>
                  </w:pPr>
                </w:p>
              </w:tc>
              <w:tc>
                <w:tcPr>
                  <w:tcW w:w="7834" w:type="dxa"/>
                  <w:gridSpan w:val="3"/>
                  <w:vAlign w:val="center"/>
                </w:tcPr>
                <w:p w14:paraId="04F6D530">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szCs w:val="21"/>
                      <w:lang w:eastAsia="zh-CN"/>
                    </w:rPr>
                  </w:pPr>
                  <w:r>
                    <w:rPr>
                      <w:rFonts w:hint="default" w:ascii="Times New Roman" w:hAnsi="Times New Roman" w:eastAsia="宋体" w:cs="Times New Roman"/>
                      <w:snapToGrid w:val="0"/>
                      <w:color w:val="auto"/>
                      <w:sz w:val="21"/>
                      <w:szCs w:val="21"/>
                      <w:lang w:eastAsia="zh-CN"/>
                    </w:rPr>
                    <w:t>合计</w:t>
                  </w:r>
                </w:p>
              </w:tc>
              <w:tc>
                <w:tcPr>
                  <w:tcW w:w="1528" w:type="dxa"/>
                  <w:gridSpan w:val="2"/>
                  <w:vAlign w:val="center"/>
                </w:tcPr>
                <w:p w14:paraId="35D6EB06">
                  <w:pPr>
                    <w:pStyle w:val="65"/>
                    <w:keepNext w:val="0"/>
                    <w:keepLines w:val="0"/>
                    <w:suppressLineNumbers w:val="0"/>
                    <w:spacing w:before="0" w:beforeAutospacing="0" w:after="0" w:afterAutospacing="0"/>
                    <w:ind w:left="0" w:right="0"/>
                    <w:jc w:val="center"/>
                    <w:rPr>
                      <w:rFonts w:hint="default" w:ascii="Times New Roman" w:hAnsi="Times New Roman" w:eastAsia="宋体" w:cs="Times New Roman"/>
                      <w:snapToGrid w:val="0"/>
                      <w:color w:val="auto"/>
                      <w:sz w:val="21"/>
                      <w:lang w:val="en-US" w:eastAsia="zh-CN"/>
                    </w:rPr>
                  </w:pPr>
                  <w:r>
                    <w:rPr>
                      <w:rFonts w:hint="eastAsia" w:ascii="Times New Roman" w:hAnsi="Times New Roman" w:cs="Times New Roman"/>
                      <w:snapToGrid w:val="0"/>
                      <w:color w:val="auto"/>
                      <w:sz w:val="21"/>
                      <w:lang w:val="en-US" w:eastAsia="zh-CN"/>
                    </w:rPr>
                    <w:t>79</w:t>
                  </w:r>
                </w:p>
              </w:tc>
            </w:tr>
          </w:tbl>
          <w:p w14:paraId="1CA92A98">
            <w:pPr>
              <w:spacing w:line="360" w:lineRule="auto"/>
              <w:rPr>
                <w:rFonts w:hint="default" w:ascii="Times New Roman" w:hAnsi="Times New Roman" w:cs="Times New Roman"/>
                <w:color w:val="auto"/>
                <w:sz w:val="24"/>
                <w:szCs w:val="24"/>
              </w:rPr>
            </w:pPr>
          </w:p>
          <w:p w14:paraId="1E546D79">
            <w:pPr>
              <w:spacing w:line="360" w:lineRule="auto"/>
              <w:rPr>
                <w:rFonts w:hint="default" w:ascii="Times New Roman" w:hAnsi="Times New Roman" w:cs="Times New Roman"/>
                <w:color w:val="auto"/>
                <w:sz w:val="24"/>
                <w:szCs w:val="24"/>
              </w:rPr>
            </w:pPr>
          </w:p>
        </w:tc>
      </w:tr>
    </w:tbl>
    <w:p w14:paraId="08B93C5B">
      <w:pPr>
        <w:pStyle w:val="3"/>
        <w:spacing w:before="0" w:after="0" w:line="576" w:lineRule="auto"/>
        <w:rPr>
          <w:rFonts w:hint="default" w:ascii="Times New Roman" w:hAnsi="Times New Roman" w:cs="Times New Roman"/>
          <w:color w:val="auto"/>
          <w:sz w:val="28"/>
          <w:szCs w:val="28"/>
        </w:rPr>
        <w:sectPr>
          <w:footerReference r:id="rId3" w:type="default"/>
          <w:pgSz w:w="11906" w:h="16838"/>
          <w:pgMar w:top="1134" w:right="851" w:bottom="1134" w:left="851" w:header="851" w:footer="992" w:gutter="0"/>
          <w:pgBorders>
            <w:top w:val="none" w:sz="0" w:space="0"/>
            <w:left w:val="none" w:sz="0" w:space="0"/>
            <w:bottom w:val="none" w:sz="0" w:space="0"/>
            <w:right w:val="none" w:sz="0" w:space="0"/>
          </w:pgBorders>
          <w:pgNumType w:start="1"/>
          <w:cols w:space="425" w:num="1"/>
          <w:docGrid w:type="lines" w:linePitch="312" w:charSpace="0"/>
        </w:sectPr>
      </w:pPr>
    </w:p>
    <w:p w14:paraId="567CA4ED">
      <w:pPr>
        <w:pStyle w:val="3"/>
        <w:spacing w:before="0" w:after="0" w:line="576" w:lineRule="auto"/>
        <w:rPr>
          <w:rFonts w:hint="default" w:ascii="Times New Roman" w:hAnsi="Times New Roman" w:cs="Times New Roman"/>
          <w:b/>
          <w:color w:val="auto"/>
          <w:szCs w:val="28"/>
        </w:rPr>
      </w:pPr>
      <w:r>
        <w:rPr>
          <w:rFonts w:hint="default" w:ascii="Times New Roman" w:hAnsi="Times New Roman" w:cs="Times New Roman"/>
          <w:color w:val="auto"/>
          <w:sz w:val="28"/>
          <w:szCs w:val="28"/>
        </w:rPr>
        <w:t xml:space="preserve">建设项目拟采取的防治措施及预期治理效果                     </w:t>
      </w:r>
      <w:r>
        <w:rPr>
          <w:rFonts w:hint="default" w:ascii="Times New Roman" w:hAnsi="Times New Roman" w:cs="Times New Roman"/>
          <w:color w:val="auto"/>
          <w:sz w:val="28"/>
          <w:szCs w:val="28"/>
          <w:lang w:val="en-US" w:eastAsia="zh-CN"/>
        </w:rPr>
        <w:t xml:space="preserve">      </w:t>
      </w:r>
      <w:r>
        <w:rPr>
          <w:rFonts w:hint="default" w:ascii="Times New Roman" w:hAnsi="Times New Roman" w:cs="Times New Roman"/>
          <w:color w:val="auto"/>
          <w:sz w:val="28"/>
          <w:szCs w:val="28"/>
        </w:rPr>
        <w:t>（表八）</w:t>
      </w:r>
    </w:p>
    <w:tbl>
      <w:tblPr>
        <w:tblStyle w:val="24"/>
        <w:tblW w:w="101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14"/>
        <w:gridCol w:w="928"/>
        <w:gridCol w:w="1530"/>
        <w:gridCol w:w="2231"/>
        <w:gridCol w:w="3197"/>
        <w:gridCol w:w="1694"/>
      </w:tblGrid>
      <w:tr w14:paraId="633FDA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542" w:type="dxa"/>
            <w:gridSpan w:val="2"/>
            <w:tcBorders>
              <w:tl2br w:val="single" w:color="auto" w:sz="4" w:space="0"/>
            </w:tcBorders>
            <w:vAlign w:val="center"/>
          </w:tcPr>
          <w:p w14:paraId="66B83516">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 xml:space="preserve">  </w:t>
            </w:r>
            <w:r>
              <w:rPr>
                <w:rFonts w:hint="default"/>
                <w:color w:val="auto"/>
                <w:szCs w:val="21"/>
              </w:rPr>
              <w:t xml:space="preserve">     </w:t>
            </w:r>
            <w:r>
              <w:rPr>
                <w:rFonts w:hint="eastAsia"/>
                <w:color w:val="auto"/>
                <w:szCs w:val="21"/>
              </w:rPr>
              <w:t>内容</w:t>
            </w:r>
          </w:p>
          <w:p w14:paraId="7ADE5ABF">
            <w:pPr>
              <w:keepNext w:val="0"/>
              <w:keepLines w:val="0"/>
              <w:suppressLineNumbers w:val="0"/>
              <w:spacing w:before="0" w:beforeAutospacing="0" w:after="0" w:afterAutospacing="0" w:line="276" w:lineRule="auto"/>
              <w:ind w:left="0" w:right="0"/>
              <w:rPr>
                <w:rFonts w:hint="default"/>
                <w:color w:val="auto"/>
                <w:szCs w:val="21"/>
              </w:rPr>
            </w:pPr>
            <w:r>
              <w:rPr>
                <w:rFonts w:hint="eastAsia"/>
                <w:color w:val="auto"/>
                <w:szCs w:val="21"/>
              </w:rPr>
              <w:t>项目</w:t>
            </w:r>
          </w:p>
        </w:tc>
        <w:tc>
          <w:tcPr>
            <w:tcW w:w="1530" w:type="dxa"/>
            <w:vAlign w:val="center"/>
          </w:tcPr>
          <w:p w14:paraId="73A5A426">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排放源</w:t>
            </w:r>
          </w:p>
        </w:tc>
        <w:tc>
          <w:tcPr>
            <w:tcW w:w="2231" w:type="dxa"/>
            <w:vAlign w:val="center"/>
          </w:tcPr>
          <w:p w14:paraId="47EC9F4D">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污染物</w:t>
            </w:r>
            <w:r>
              <w:rPr>
                <w:rFonts w:hint="default"/>
                <w:color w:val="auto"/>
                <w:szCs w:val="21"/>
              </w:rPr>
              <w:t>名称</w:t>
            </w:r>
          </w:p>
        </w:tc>
        <w:tc>
          <w:tcPr>
            <w:tcW w:w="3197" w:type="dxa"/>
            <w:vAlign w:val="center"/>
          </w:tcPr>
          <w:p w14:paraId="3ABB345E">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防治措施</w:t>
            </w:r>
          </w:p>
        </w:tc>
        <w:tc>
          <w:tcPr>
            <w:tcW w:w="1694" w:type="dxa"/>
            <w:vAlign w:val="center"/>
          </w:tcPr>
          <w:p w14:paraId="1472D716">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预期</w:t>
            </w:r>
            <w:r>
              <w:rPr>
                <w:rFonts w:hint="default"/>
                <w:color w:val="auto"/>
                <w:szCs w:val="21"/>
              </w:rPr>
              <w:t>治理效果</w:t>
            </w:r>
          </w:p>
        </w:tc>
      </w:tr>
      <w:tr w14:paraId="1F623B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4" w:type="dxa"/>
            <w:vMerge w:val="restart"/>
            <w:vAlign w:val="center"/>
          </w:tcPr>
          <w:p w14:paraId="11AC8CD3">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废气</w:t>
            </w:r>
          </w:p>
        </w:tc>
        <w:tc>
          <w:tcPr>
            <w:tcW w:w="928" w:type="dxa"/>
            <w:vMerge w:val="restart"/>
            <w:vAlign w:val="center"/>
          </w:tcPr>
          <w:p w14:paraId="08F72B21">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施工期</w:t>
            </w:r>
          </w:p>
        </w:tc>
        <w:tc>
          <w:tcPr>
            <w:tcW w:w="1530" w:type="dxa"/>
            <w:vAlign w:val="center"/>
          </w:tcPr>
          <w:p w14:paraId="330D7D2E">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施工</w:t>
            </w:r>
            <w:r>
              <w:rPr>
                <w:rFonts w:hint="default"/>
                <w:color w:val="auto"/>
                <w:szCs w:val="21"/>
              </w:rPr>
              <w:t>场地</w:t>
            </w:r>
          </w:p>
        </w:tc>
        <w:tc>
          <w:tcPr>
            <w:tcW w:w="2231" w:type="dxa"/>
            <w:vAlign w:val="center"/>
          </w:tcPr>
          <w:p w14:paraId="22512DE1">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扬尘</w:t>
            </w:r>
          </w:p>
        </w:tc>
        <w:tc>
          <w:tcPr>
            <w:tcW w:w="3197" w:type="dxa"/>
            <w:vAlign w:val="center"/>
          </w:tcPr>
          <w:p w14:paraId="3C995C2C">
            <w:pPr>
              <w:keepNext w:val="0"/>
              <w:keepLines w:val="0"/>
              <w:suppressLineNumbers w:val="0"/>
              <w:spacing w:before="0" w:beforeAutospacing="0" w:after="0" w:afterAutospacing="0" w:line="276" w:lineRule="auto"/>
              <w:ind w:left="0" w:right="0"/>
              <w:jc w:val="center"/>
              <w:rPr>
                <w:rFonts w:hint="default"/>
                <w:b/>
                <w:color w:val="auto"/>
                <w:szCs w:val="21"/>
              </w:rPr>
            </w:pPr>
            <w:r>
              <w:rPr>
                <w:rFonts w:hint="default"/>
                <w:color w:val="auto"/>
                <w:szCs w:val="21"/>
              </w:rPr>
              <w:t>定期洒水等</w:t>
            </w:r>
          </w:p>
        </w:tc>
        <w:tc>
          <w:tcPr>
            <w:tcW w:w="1694" w:type="dxa"/>
            <w:vAlign w:val="center"/>
          </w:tcPr>
          <w:p w14:paraId="64CFA45E">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达标排放</w:t>
            </w:r>
          </w:p>
        </w:tc>
      </w:tr>
      <w:tr w14:paraId="4AAFF4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4" w:type="dxa"/>
            <w:vMerge w:val="continue"/>
            <w:vAlign w:val="center"/>
          </w:tcPr>
          <w:p w14:paraId="43DFF449">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continue"/>
            <w:vAlign w:val="center"/>
          </w:tcPr>
          <w:p w14:paraId="05276FE3">
            <w:pPr>
              <w:keepNext w:val="0"/>
              <w:keepLines w:val="0"/>
              <w:suppressLineNumbers w:val="0"/>
              <w:spacing w:before="0" w:beforeAutospacing="0" w:after="0" w:afterAutospacing="0" w:line="276" w:lineRule="auto"/>
              <w:ind w:left="0" w:right="0"/>
              <w:jc w:val="center"/>
              <w:rPr>
                <w:rFonts w:hint="default"/>
                <w:color w:val="auto"/>
                <w:szCs w:val="21"/>
              </w:rPr>
            </w:pPr>
          </w:p>
        </w:tc>
        <w:tc>
          <w:tcPr>
            <w:tcW w:w="1530" w:type="dxa"/>
            <w:vAlign w:val="center"/>
          </w:tcPr>
          <w:p w14:paraId="33EACF3E">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装修</w:t>
            </w:r>
          </w:p>
        </w:tc>
        <w:tc>
          <w:tcPr>
            <w:tcW w:w="2231" w:type="dxa"/>
            <w:vAlign w:val="center"/>
          </w:tcPr>
          <w:p w14:paraId="5424F326">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装修废气</w:t>
            </w:r>
          </w:p>
        </w:tc>
        <w:tc>
          <w:tcPr>
            <w:tcW w:w="3197" w:type="dxa"/>
            <w:vAlign w:val="center"/>
          </w:tcPr>
          <w:p w14:paraId="5581774B">
            <w:pPr>
              <w:keepNext w:val="0"/>
              <w:keepLines w:val="0"/>
              <w:suppressLineNumbers w:val="0"/>
              <w:spacing w:before="0" w:beforeAutospacing="0" w:after="0" w:afterAutospacing="0" w:line="276" w:lineRule="auto"/>
              <w:ind w:left="0" w:right="0"/>
              <w:jc w:val="center"/>
              <w:rPr>
                <w:rFonts w:hint="default"/>
                <w:b/>
                <w:color w:val="auto"/>
                <w:szCs w:val="21"/>
              </w:rPr>
            </w:pPr>
            <w:r>
              <w:rPr>
                <w:rFonts w:hint="eastAsia"/>
                <w:color w:val="auto"/>
                <w:szCs w:val="21"/>
              </w:rPr>
              <w:t>加强</w:t>
            </w:r>
            <w:r>
              <w:rPr>
                <w:rFonts w:hint="default"/>
                <w:color w:val="auto"/>
                <w:szCs w:val="21"/>
              </w:rPr>
              <w:t>通风</w:t>
            </w:r>
            <w:r>
              <w:rPr>
                <w:rFonts w:hint="eastAsia"/>
                <w:color w:val="auto"/>
                <w:szCs w:val="21"/>
              </w:rPr>
              <w:t>等</w:t>
            </w:r>
          </w:p>
        </w:tc>
        <w:tc>
          <w:tcPr>
            <w:tcW w:w="1694" w:type="dxa"/>
            <w:vAlign w:val="center"/>
          </w:tcPr>
          <w:p w14:paraId="75359E21">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达标排放</w:t>
            </w:r>
          </w:p>
        </w:tc>
      </w:tr>
      <w:tr w14:paraId="6FE5B0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4" w:type="dxa"/>
            <w:vMerge w:val="continue"/>
            <w:vAlign w:val="center"/>
          </w:tcPr>
          <w:p w14:paraId="79DE5499">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restart"/>
            <w:vAlign w:val="center"/>
          </w:tcPr>
          <w:p w14:paraId="4CE18B08">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营运期</w:t>
            </w:r>
          </w:p>
        </w:tc>
        <w:tc>
          <w:tcPr>
            <w:tcW w:w="1530" w:type="dxa"/>
            <w:vMerge w:val="restart"/>
            <w:vAlign w:val="center"/>
          </w:tcPr>
          <w:p w14:paraId="0608CB92">
            <w:pPr>
              <w:spacing w:line="276" w:lineRule="auto"/>
              <w:jc w:val="center"/>
              <w:rPr>
                <w:rFonts w:hint="eastAsia" w:eastAsia="宋体"/>
                <w:color w:val="auto"/>
                <w:szCs w:val="21"/>
                <w:lang w:val="en-US" w:eastAsia="zh-CN"/>
              </w:rPr>
            </w:pPr>
            <w:r>
              <w:rPr>
                <w:rFonts w:hint="eastAsia" w:cs="Times New Roman"/>
                <w:color w:val="auto"/>
                <w:szCs w:val="21"/>
                <w:lang w:val="en-US" w:eastAsia="zh-CN"/>
              </w:rPr>
              <w:t>1#车间</w:t>
            </w:r>
          </w:p>
        </w:tc>
        <w:tc>
          <w:tcPr>
            <w:tcW w:w="2231" w:type="dxa"/>
            <w:vAlign w:val="center"/>
          </w:tcPr>
          <w:p w14:paraId="277E99FE">
            <w:pPr>
              <w:spacing w:line="276" w:lineRule="auto"/>
              <w:jc w:val="center"/>
              <w:rPr>
                <w:rFonts w:hint="eastAsia"/>
                <w:color w:val="auto"/>
                <w:szCs w:val="21"/>
                <w:lang w:val="en-US" w:eastAsia="zh-CN"/>
              </w:rPr>
            </w:pPr>
            <w:r>
              <w:rPr>
                <w:rFonts w:hint="default" w:ascii="Times New Roman" w:hAnsi="Times New Roman" w:cs="Times New Roman"/>
                <w:color w:val="auto"/>
                <w:szCs w:val="21"/>
                <w:lang w:eastAsia="zh-CN"/>
              </w:rPr>
              <w:t>破碎</w:t>
            </w:r>
            <w:r>
              <w:rPr>
                <w:rFonts w:hint="default" w:ascii="Times New Roman" w:hAnsi="Times New Roman" w:cs="Times New Roman"/>
                <w:color w:val="auto"/>
                <w:szCs w:val="21"/>
              </w:rPr>
              <w:t>粉尘</w:t>
            </w:r>
          </w:p>
        </w:tc>
        <w:tc>
          <w:tcPr>
            <w:tcW w:w="3197" w:type="dxa"/>
            <w:vAlign w:val="center"/>
          </w:tcPr>
          <w:p w14:paraId="767EE17A">
            <w:pPr>
              <w:spacing w:line="276" w:lineRule="auto"/>
              <w:jc w:val="center"/>
              <w:rPr>
                <w:rFonts w:hint="default"/>
                <w:color w:val="auto"/>
                <w:szCs w:val="21"/>
              </w:rPr>
            </w:pPr>
            <w:r>
              <w:rPr>
                <w:rFonts w:hint="eastAsia" w:cs="Times New Roman"/>
                <w:color w:val="auto"/>
                <w:szCs w:val="21"/>
                <w:lang w:val="en-US" w:eastAsia="zh-CN"/>
              </w:rPr>
              <w:t>加强管理，密闭操作</w:t>
            </w:r>
          </w:p>
        </w:tc>
        <w:tc>
          <w:tcPr>
            <w:tcW w:w="1694" w:type="dxa"/>
            <w:vAlign w:val="center"/>
          </w:tcPr>
          <w:p w14:paraId="0302244F">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lang w:val="en-US" w:eastAsia="zh-CN"/>
              </w:rPr>
              <w:t>回收利用</w:t>
            </w:r>
          </w:p>
        </w:tc>
      </w:tr>
      <w:tr w14:paraId="664B2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4" w:type="dxa"/>
            <w:vMerge w:val="continue"/>
            <w:vAlign w:val="center"/>
          </w:tcPr>
          <w:p w14:paraId="5B0F4E69">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continue"/>
            <w:vAlign w:val="center"/>
          </w:tcPr>
          <w:p w14:paraId="38041B05">
            <w:pPr>
              <w:keepNext w:val="0"/>
              <w:keepLines w:val="0"/>
              <w:suppressLineNumbers w:val="0"/>
              <w:spacing w:before="0" w:beforeAutospacing="0" w:after="0" w:afterAutospacing="0" w:line="276" w:lineRule="auto"/>
              <w:ind w:left="0" w:right="0"/>
              <w:jc w:val="center"/>
              <w:rPr>
                <w:rFonts w:hint="eastAsia"/>
                <w:color w:val="auto"/>
                <w:szCs w:val="21"/>
              </w:rPr>
            </w:pPr>
          </w:p>
        </w:tc>
        <w:tc>
          <w:tcPr>
            <w:tcW w:w="1530" w:type="dxa"/>
            <w:vMerge w:val="continue"/>
            <w:vAlign w:val="center"/>
          </w:tcPr>
          <w:p w14:paraId="076E4307">
            <w:pPr>
              <w:spacing w:line="276" w:lineRule="auto"/>
              <w:jc w:val="center"/>
              <w:rPr>
                <w:rFonts w:hint="eastAsia" w:eastAsia="宋体"/>
                <w:color w:val="auto"/>
                <w:szCs w:val="21"/>
                <w:lang w:val="en-US" w:eastAsia="zh-CN"/>
              </w:rPr>
            </w:pPr>
          </w:p>
        </w:tc>
        <w:tc>
          <w:tcPr>
            <w:tcW w:w="2231" w:type="dxa"/>
            <w:vAlign w:val="center"/>
          </w:tcPr>
          <w:p w14:paraId="29302FB7">
            <w:pPr>
              <w:spacing w:line="276" w:lineRule="auto"/>
              <w:jc w:val="center"/>
              <w:rPr>
                <w:rFonts w:hint="eastAsia"/>
                <w:color w:val="auto"/>
                <w:szCs w:val="21"/>
                <w:lang w:val="en-US" w:eastAsia="zh-CN"/>
              </w:rPr>
            </w:pPr>
            <w:r>
              <w:rPr>
                <w:rFonts w:hint="eastAsia" w:cs="Times New Roman"/>
                <w:color w:val="auto"/>
                <w:szCs w:val="21"/>
                <w:lang w:val="en-US" w:eastAsia="zh-CN"/>
              </w:rPr>
              <w:t>有机废气</w:t>
            </w:r>
          </w:p>
        </w:tc>
        <w:tc>
          <w:tcPr>
            <w:tcW w:w="3197" w:type="dxa"/>
            <w:vMerge w:val="restart"/>
            <w:vAlign w:val="center"/>
          </w:tcPr>
          <w:p w14:paraId="3827D353">
            <w:pPr>
              <w:spacing w:line="276" w:lineRule="auto"/>
              <w:jc w:val="center"/>
              <w:rPr>
                <w:rFonts w:hint="eastAsia"/>
                <w:color w:val="auto"/>
                <w:szCs w:val="21"/>
                <w:lang w:val="en-US" w:eastAsia="zh-CN"/>
              </w:rPr>
            </w:pPr>
            <w:r>
              <w:rPr>
                <w:rFonts w:hint="default" w:ascii="Times New Roman" w:hAnsi="Times New Roman" w:cs="Times New Roman"/>
                <w:color w:val="auto"/>
                <w:szCs w:val="21"/>
                <w:lang w:val="en-US" w:eastAsia="zh-CN"/>
              </w:rPr>
              <w:t>集气罩+UV光催化+活性炭吸附系统+1根15m高排气筒</w:t>
            </w:r>
          </w:p>
        </w:tc>
        <w:tc>
          <w:tcPr>
            <w:tcW w:w="1694" w:type="dxa"/>
            <w:vAlign w:val="center"/>
          </w:tcPr>
          <w:p w14:paraId="626F69CC">
            <w:pPr>
              <w:keepNext w:val="0"/>
              <w:keepLines w:val="0"/>
              <w:suppressLineNumbers w:val="0"/>
              <w:spacing w:before="0" w:beforeAutospacing="0" w:after="0" w:afterAutospacing="0" w:line="276" w:lineRule="auto"/>
              <w:ind w:left="0" w:right="0"/>
              <w:jc w:val="center"/>
              <w:rPr>
                <w:rFonts w:hint="eastAsia"/>
                <w:color w:val="auto"/>
                <w:szCs w:val="21"/>
              </w:rPr>
            </w:pPr>
            <w:r>
              <w:rPr>
                <w:rFonts w:hint="eastAsia"/>
                <w:color w:val="auto"/>
                <w:szCs w:val="21"/>
              </w:rPr>
              <w:t>达标排放</w:t>
            </w:r>
          </w:p>
        </w:tc>
      </w:tr>
      <w:tr w14:paraId="13C843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4" w:type="dxa"/>
            <w:vMerge w:val="continue"/>
            <w:vAlign w:val="center"/>
          </w:tcPr>
          <w:p w14:paraId="406D2E04">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continue"/>
            <w:vAlign w:val="center"/>
          </w:tcPr>
          <w:p w14:paraId="58A6CC68">
            <w:pPr>
              <w:keepNext w:val="0"/>
              <w:keepLines w:val="0"/>
              <w:suppressLineNumbers w:val="0"/>
              <w:spacing w:before="0" w:beforeAutospacing="0" w:after="0" w:afterAutospacing="0" w:line="276" w:lineRule="auto"/>
              <w:ind w:left="0" w:right="0"/>
              <w:jc w:val="center"/>
              <w:rPr>
                <w:rFonts w:hint="default"/>
                <w:color w:val="auto"/>
                <w:szCs w:val="21"/>
              </w:rPr>
            </w:pPr>
          </w:p>
        </w:tc>
        <w:tc>
          <w:tcPr>
            <w:tcW w:w="1530" w:type="dxa"/>
            <w:vMerge w:val="restart"/>
            <w:vAlign w:val="center"/>
          </w:tcPr>
          <w:p w14:paraId="39565058">
            <w:pPr>
              <w:spacing w:line="276" w:lineRule="auto"/>
              <w:jc w:val="center"/>
              <w:rPr>
                <w:rFonts w:hint="eastAsia" w:eastAsia="宋体"/>
                <w:color w:val="auto"/>
                <w:szCs w:val="21"/>
                <w:lang w:val="en-US" w:eastAsia="zh-CN"/>
              </w:rPr>
            </w:pPr>
            <w:r>
              <w:rPr>
                <w:rFonts w:hint="eastAsia" w:cs="Times New Roman"/>
                <w:color w:val="auto"/>
                <w:szCs w:val="21"/>
                <w:lang w:val="en-US" w:eastAsia="zh-CN"/>
              </w:rPr>
              <w:t>2</w:t>
            </w:r>
            <w:r>
              <w:rPr>
                <w:rFonts w:hint="default" w:ascii="Times New Roman" w:hAnsi="Times New Roman" w:cs="Times New Roman"/>
                <w:color w:val="auto"/>
                <w:szCs w:val="21"/>
                <w:lang w:val="en-US" w:eastAsia="zh-CN"/>
              </w:rPr>
              <w:t>#车间</w:t>
            </w:r>
          </w:p>
        </w:tc>
        <w:tc>
          <w:tcPr>
            <w:tcW w:w="2231" w:type="dxa"/>
            <w:vAlign w:val="center"/>
          </w:tcPr>
          <w:p w14:paraId="17338FEC">
            <w:pPr>
              <w:spacing w:line="276" w:lineRule="auto"/>
              <w:jc w:val="center"/>
              <w:rPr>
                <w:rFonts w:hint="eastAsia" w:eastAsia="宋体"/>
                <w:color w:val="auto"/>
                <w:szCs w:val="21"/>
                <w:lang w:val="en-US" w:eastAsia="zh-CN"/>
              </w:rPr>
            </w:pPr>
            <w:r>
              <w:rPr>
                <w:rFonts w:hint="default" w:ascii="Times New Roman" w:hAnsi="Times New Roman" w:cs="Times New Roman"/>
                <w:color w:val="auto"/>
                <w:szCs w:val="21"/>
                <w:lang w:val="en-US" w:eastAsia="zh-CN"/>
              </w:rPr>
              <w:t>有机废气</w:t>
            </w:r>
          </w:p>
        </w:tc>
        <w:tc>
          <w:tcPr>
            <w:tcW w:w="3197" w:type="dxa"/>
            <w:vMerge w:val="continue"/>
            <w:vAlign w:val="center"/>
          </w:tcPr>
          <w:p w14:paraId="464247EB">
            <w:pPr>
              <w:spacing w:line="276" w:lineRule="auto"/>
              <w:jc w:val="center"/>
              <w:rPr>
                <w:rFonts w:hint="eastAsia" w:eastAsia="宋体"/>
                <w:color w:val="auto"/>
                <w:szCs w:val="21"/>
                <w:lang w:val="en-US" w:eastAsia="zh-CN"/>
              </w:rPr>
            </w:pPr>
          </w:p>
        </w:tc>
        <w:tc>
          <w:tcPr>
            <w:tcW w:w="1694" w:type="dxa"/>
            <w:vAlign w:val="center"/>
          </w:tcPr>
          <w:p w14:paraId="7DF2C3DC">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r>
              <w:rPr>
                <w:rFonts w:hint="eastAsia"/>
                <w:color w:val="auto"/>
                <w:szCs w:val="21"/>
              </w:rPr>
              <w:t>达标排放</w:t>
            </w:r>
          </w:p>
        </w:tc>
      </w:tr>
      <w:tr w14:paraId="4D3B18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4" w:type="dxa"/>
            <w:vMerge w:val="continue"/>
            <w:vAlign w:val="center"/>
          </w:tcPr>
          <w:p w14:paraId="4CD6AE15">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continue"/>
            <w:vAlign w:val="center"/>
          </w:tcPr>
          <w:p w14:paraId="4D7544A3">
            <w:pPr>
              <w:keepNext w:val="0"/>
              <w:keepLines w:val="0"/>
              <w:suppressLineNumbers w:val="0"/>
              <w:spacing w:before="0" w:beforeAutospacing="0" w:after="0" w:afterAutospacing="0" w:line="276" w:lineRule="auto"/>
              <w:ind w:left="0" w:right="0"/>
              <w:jc w:val="center"/>
              <w:rPr>
                <w:rFonts w:hint="default"/>
                <w:color w:val="auto"/>
                <w:szCs w:val="21"/>
              </w:rPr>
            </w:pPr>
          </w:p>
        </w:tc>
        <w:tc>
          <w:tcPr>
            <w:tcW w:w="1530" w:type="dxa"/>
            <w:vMerge w:val="continue"/>
            <w:vAlign w:val="center"/>
          </w:tcPr>
          <w:p w14:paraId="368DA044">
            <w:pPr>
              <w:spacing w:line="276" w:lineRule="auto"/>
              <w:jc w:val="center"/>
              <w:rPr>
                <w:rFonts w:hint="eastAsia" w:eastAsia="宋体"/>
                <w:color w:val="auto"/>
                <w:szCs w:val="21"/>
                <w:lang w:val="en-US" w:eastAsia="zh-CN"/>
              </w:rPr>
            </w:pPr>
          </w:p>
        </w:tc>
        <w:tc>
          <w:tcPr>
            <w:tcW w:w="2231" w:type="dxa"/>
            <w:vAlign w:val="center"/>
          </w:tcPr>
          <w:p w14:paraId="656EDD26">
            <w:pPr>
              <w:spacing w:line="276" w:lineRule="auto"/>
              <w:jc w:val="center"/>
              <w:rPr>
                <w:rFonts w:hint="eastAsia"/>
                <w:color w:val="auto"/>
                <w:szCs w:val="21"/>
                <w:lang w:val="en-US" w:eastAsia="zh-CN"/>
              </w:rPr>
            </w:pPr>
            <w:r>
              <w:rPr>
                <w:rFonts w:hint="eastAsia" w:cs="Times New Roman"/>
                <w:color w:val="auto"/>
                <w:szCs w:val="21"/>
                <w:lang w:val="en-US" w:eastAsia="zh-CN"/>
              </w:rPr>
              <w:t>焊接烟尘</w:t>
            </w:r>
          </w:p>
        </w:tc>
        <w:tc>
          <w:tcPr>
            <w:tcW w:w="3197" w:type="dxa"/>
            <w:vAlign w:val="center"/>
          </w:tcPr>
          <w:p w14:paraId="1E8A91A0">
            <w:pPr>
              <w:spacing w:line="276" w:lineRule="auto"/>
              <w:jc w:val="center"/>
              <w:rPr>
                <w:rFonts w:hint="eastAsia"/>
                <w:color w:val="auto"/>
                <w:szCs w:val="21"/>
                <w:lang w:val="en-US" w:eastAsia="zh-CN"/>
              </w:rPr>
            </w:pPr>
            <w:r>
              <w:rPr>
                <w:rFonts w:hint="eastAsia" w:cs="Times New Roman"/>
                <w:color w:val="auto"/>
                <w:szCs w:val="21"/>
                <w:lang w:val="en-US" w:eastAsia="zh-CN"/>
              </w:rPr>
              <w:t>集气罩+焊接烟尘净化器+15</w:t>
            </w:r>
            <w:r>
              <w:rPr>
                <w:rFonts w:hint="default" w:ascii="Times New Roman" w:hAnsi="Times New Roman" w:cs="Times New Roman"/>
                <w:color w:val="auto"/>
                <w:szCs w:val="21"/>
                <w:lang w:val="en-US" w:eastAsia="zh-CN"/>
              </w:rPr>
              <w:t>m高排气筒</w:t>
            </w:r>
          </w:p>
        </w:tc>
        <w:tc>
          <w:tcPr>
            <w:tcW w:w="1694" w:type="dxa"/>
            <w:vAlign w:val="center"/>
          </w:tcPr>
          <w:p w14:paraId="3926D928">
            <w:pPr>
              <w:keepNext w:val="0"/>
              <w:keepLines w:val="0"/>
              <w:suppressLineNumbers w:val="0"/>
              <w:spacing w:before="0" w:beforeAutospacing="0" w:after="0" w:afterAutospacing="0" w:line="276" w:lineRule="auto"/>
              <w:ind w:left="0" w:right="0"/>
              <w:jc w:val="center"/>
              <w:rPr>
                <w:rFonts w:hint="eastAsia"/>
                <w:color w:val="auto"/>
                <w:szCs w:val="21"/>
                <w:lang w:val="en-US" w:eastAsia="zh-CN"/>
              </w:rPr>
            </w:pPr>
            <w:r>
              <w:rPr>
                <w:rFonts w:hint="eastAsia"/>
                <w:color w:val="auto"/>
                <w:szCs w:val="21"/>
              </w:rPr>
              <w:t>达标排放</w:t>
            </w:r>
          </w:p>
        </w:tc>
      </w:tr>
      <w:tr w14:paraId="61078A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4" w:type="dxa"/>
            <w:vMerge w:val="continue"/>
            <w:vAlign w:val="center"/>
          </w:tcPr>
          <w:p w14:paraId="3DA352E0">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continue"/>
            <w:vAlign w:val="center"/>
          </w:tcPr>
          <w:p w14:paraId="75F02D26">
            <w:pPr>
              <w:keepNext w:val="0"/>
              <w:keepLines w:val="0"/>
              <w:suppressLineNumbers w:val="0"/>
              <w:spacing w:before="0" w:beforeAutospacing="0" w:after="0" w:afterAutospacing="0" w:line="276" w:lineRule="auto"/>
              <w:ind w:left="0" w:right="0"/>
              <w:jc w:val="center"/>
              <w:rPr>
                <w:rFonts w:hint="default"/>
                <w:color w:val="auto"/>
                <w:szCs w:val="21"/>
              </w:rPr>
            </w:pPr>
          </w:p>
        </w:tc>
        <w:tc>
          <w:tcPr>
            <w:tcW w:w="1530" w:type="dxa"/>
            <w:vAlign w:val="center"/>
          </w:tcPr>
          <w:p w14:paraId="7A1F26FD">
            <w:pPr>
              <w:spacing w:line="276" w:lineRule="auto"/>
              <w:jc w:val="center"/>
              <w:rPr>
                <w:rFonts w:hint="eastAsia" w:eastAsia="宋体"/>
                <w:color w:val="auto"/>
                <w:szCs w:val="21"/>
                <w:lang w:val="en-US" w:eastAsia="zh-CN"/>
              </w:rPr>
            </w:pPr>
            <w:r>
              <w:rPr>
                <w:rFonts w:hint="default" w:ascii="Times New Roman" w:hAnsi="Times New Roman" w:cs="Times New Roman"/>
                <w:color w:val="auto"/>
                <w:szCs w:val="21"/>
                <w:lang w:eastAsia="zh-CN"/>
              </w:rPr>
              <w:t>食堂</w:t>
            </w:r>
          </w:p>
        </w:tc>
        <w:tc>
          <w:tcPr>
            <w:tcW w:w="2231" w:type="dxa"/>
            <w:vAlign w:val="center"/>
          </w:tcPr>
          <w:p w14:paraId="10C62F79">
            <w:pPr>
              <w:spacing w:line="276" w:lineRule="auto"/>
              <w:jc w:val="center"/>
              <w:rPr>
                <w:rFonts w:hint="eastAsia"/>
                <w:color w:val="auto"/>
                <w:szCs w:val="21"/>
                <w:lang w:val="en-US" w:eastAsia="zh-CN"/>
              </w:rPr>
            </w:pPr>
            <w:r>
              <w:rPr>
                <w:rFonts w:hint="default" w:ascii="Times New Roman" w:hAnsi="Times New Roman" w:cs="Times New Roman"/>
                <w:color w:val="auto"/>
                <w:szCs w:val="21"/>
                <w:lang w:eastAsia="zh-CN"/>
              </w:rPr>
              <w:t>食堂油烟</w:t>
            </w:r>
          </w:p>
        </w:tc>
        <w:tc>
          <w:tcPr>
            <w:tcW w:w="3197" w:type="dxa"/>
            <w:vAlign w:val="center"/>
          </w:tcPr>
          <w:p w14:paraId="1F20A81C">
            <w:pPr>
              <w:spacing w:line="276" w:lineRule="auto"/>
              <w:jc w:val="center"/>
              <w:rPr>
                <w:rFonts w:hint="eastAsia"/>
                <w:color w:val="auto"/>
                <w:szCs w:val="21"/>
                <w:lang w:val="en-US" w:eastAsia="zh-CN"/>
              </w:rPr>
            </w:pPr>
            <w:r>
              <w:rPr>
                <w:rFonts w:hint="default" w:ascii="Times New Roman" w:hAnsi="Times New Roman" w:cs="Times New Roman"/>
                <w:color w:val="auto"/>
                <w:szCs w:val="21"/>
                <w:lang w:eastAsia="zh-CN"/>
              </w:rPr>
              <w:t>油烟净化装置</w:t>
            </w:r>
          </w:p>
        </w:tc>
        <w:tc>
          <w:tcPr>
            <w:tcW w:w="1694" w:type="dxa"/>
            <w:vAlign w:val="center"/>
          </w:tcPr>
          <w:p w14:paraId="4D97E94B">
            <w:pPr>
              <w:keepNext w:val="0"/>
              <w:keepLines w:val="0"/>
              <w:suppressLineNumbers w:val="0"/>
              <w:spacing w:before="0" w:beforeAutospacing="0" w:after="0" w:afterAutospacing="0" w:line="276" w:lineRule="auto"/>
              <w:ind w:left="0" w:right="0"/>
              <w:jc w:val="center"/>
              <w:rPr>
                <w:rFonts w:hint="eastAsia"/>
                <w:color w:val="auto"/>
                <w:szCs w:val="21"/>
                <w:lang w:val="en-US" w:eastAsia="zh-CN"/>
              </w:rPr>
            </w:pPr>
            <w:r>
              <w:rPr>
                <w:rFonts w:hint="eastAsia"/>
                <w:color w:val="auto"/>
                <w:szCs w:val="21"/>
              </w:rPr>
              <w:t>达标排放</w:t>
            </w:r>
          </w:p>
        </w:tc>
      </w:tr>
      <w:tr w14:paraId="5BD574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614" w:type="dxa"/>
            <w:vMerge w:val="restart"/>
            <w:vAlign w:val="center"/>
          </w:tcPr>
          <w:p w14:paraId="44D936BD">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废水</w:t>
            </w:r>
          </w:p>
        </w:tc>
        <w:tc>
          <w:tcPr>
            <w:tcW w:w="928" w:type="dxa"/>
            <w:vAlign w:val="center"/>
          </w:tcPr>
          <w:p w14:paraId="5F0BFB44">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施工期</w:t>
            </w:r>
          </w:p>
        </w:tc>
        <w:tc>
          <w:tcPr>
            <w:tcW w:w="1530" w:type="dxa"/>
            <w:vAlign w:val="center"/>
          </w:tcPr>
          <w:p w14:paraId="0551D095">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生活污水</w:t>
            </w:r>
          </w:p>
        </w:tc>
        <w:tc>
          <w:tcPr>
            <w:tcW w:w="2231" w:type="dxa"/>
            <w:vAlign w:val="center"/>
          </w:tcPr>
          <w:p w14:paraId="47B6084A">
            <w:pPr>
              <w:keepNext w:val="0"/>
              <w:keepLines w:val="0"/>
              <w:suppressLineNumbers w:val="0"/>
              <w:spacing w:before="0" w:beforeAutospacing="0" w:after="0" w:afterAutospacing="0" w:line="276" w:lineRule="auto"/>
              <w:ind w:left="0" w:right="0"/>
              <w:rPr>
                <w:rFonts w:hint="default"/>
                <w:color w:val="auto"/>
                <w:szCs w:val="21"/>
              </w:rPr>
            </w:pPr>
            <w:r>
              <w:rPr>
                <w:rFonts w:hint="eastAsia"/>
                <w:color w:val="auto"/>
                <w:szCs w:val="21"/>
              </w:rPr>
              <w:t>COD</w:t>
            </w:r>
            <w:r>
              <w:rPr>
                <w:rFonts w:hint="default"/>
                <w:color w:val="auto"/>
                <w:szCs w:val="21"/>
              </w:rPr>
              <w:t>、</w:t>
            </w:r>
            <w:r>
              <w:rPr>
                <w:rFonts w:hint="eastAsia"/>
                <w:color w:val="auto"/>
                <w:szCs w:val="21"/>
              </w:rPr>
              <w:t>SS</w:t>
            </w:r>
            <w:r>
              <w:rPr>
                <w:rFonts w:hint="default"/>
                <w:color w:val="auto"/>
                <w:szCs w:val="21"/>
              </w:rPr>
              <w:t>、BOD</w:t>
            </w:r>
            <w:r>
              <w:rPr>
                <w:rFonts w:hint="default"/>
                <w:color w:val="auto"/>
                <w:szCs w:val="21"/>
                <w:vertAlign w:val="subscript"/>
              </w:rPr>
              <w:t>5</w:t>
            </w:r>
            <w:r>
              <w:rPr>
                <w:rFonts w:hint="default"/>
                <w:color w:val="auto"/>
                <w:szCs w:val="21"/>
              </w:rPr>
              <w:t>、NH</w:t>
            </w:r>
            <w:r>
              <w:rPr>
                <w:rFonts w:hint="default"/>
                <w:color w:val="auto"/>
                <w:szCs w:val="21"/>
                <w:vertAlign w:val="subscript"/>
              </w:rPr>
              <w:t>3</w:t>
            </w:r>
            <w:r>
              <w:rPr>
                <w:rFonts w:hint="default"/>
                <w:color w:val="auto"/>
                <w:szCs w:val="21"/>
              </w:rPr>
              <w:t xml:space="preserve">-N </w:t>
            </w:r>
          </w:p>
        </w:tc>
        <w:tc>
          <w:tcPr>
            <w:tcW w:w="3197" w:type="dxa"/>
            <w:vAlign w:val="center"/>
          </w:tcPr>
          <w:p w14:paraId="5F6F5FDE">
            <w:pPr>
              <w:keepNext w:val="0"/>
              <w:keepLines w:val="0"/>
              <w:suppressLineNumbers w:val="0"/>
              <w:spacing w:before="0" w:beforeAutospacing="0" w:after="0" w:afterAutospacing="0" w:line="276" w:lineRule="auto"/>
              <w:ind w:left="0" w:right="0"/>
              <w:rPr>
                <w:rFonts w:hint="default"/>
                <w:color w:val="auto"/>
                <w:szCs w:val="21"/>
              </w:rPr>
            </w:pPr>
            <w:r>
              <w:rPr>
                <w:rFonts w:hint="eastAsia"/>
                <w:color w:val="auto"/>
                <w:szCs w:val="21"/>
              </w:rPr>
              <w:t>由市政管网</w:t>
            </w:r>
            <w:r>
              <w:rPr>
                <w:rFonts w:hint="default"/>
                <w:color w:val="auto"/>
                <w:szCs w:val="21"/>
              </w:rPr>
              <w:t>排入</w:t>
            </w:r>
            <w:r>
              <w:rPr>
                <w:rFonts w:hint="eastAsia"/>
                <w:color w:val="auto"/>
                <w:szCs w:val="21"/>
                <w:lang w:val="en-US" w:eastAsia="zh-CN"/>
              </w:rPr>
              <w:t>安居龙眼井</w:t>
            </w:r>
            <w:r>
              <w:rPr>
                <w:rFonts w:hint="eastAsia"/>
                <w:color w:val="auto"/>
                <w:szCs w:val="21"/>
              </w:rPr>
              <w:t>污水</w:t>
            </w:r>
            <w:r>
              <w:rPr>
                <w:rFonts w:hint="default"/>
                <w:color w:val="auto"/>
                <w:szCs w:val="21"/>
              </w:rPr>
              <w:t>处理厂</w:t>
            </w:r>
            <w:r>
              <w:rPr>
                <w:rFonts w:hint="eastAsia"/>
                <w:color w:val="auto"/>
                <w:szCs w:val="21"/>
              </w:rPr>
              <w:t>进</w:t>
            </w:r>
            <w:r>
              <w:rPr>
                <w:rFonts w:hint="default"/>
                <w:color w:val="auto"/>
                <w:szCs w:val="21"/>
              </w:rPr>
              <w:t>处理后排至</w:t>
            </w:r>
            <w:r>
              <w:rPr>
                <w:rFonts w:hint="eastAsia"/>
                <w:color w:val="auto"/>
                <w:szCs w:val="21"/>
                <w:lang w:val="en-US" w:eastAsia="zh-CN"/>
              </w:rPr>
              <w:t>琼</w:t>
            </w:r>
            <w:r>
              <w:rPr>
                <w:rFonts w:hint="eastAsia"/>
                <w:color w:val="auto"/>
                <w:szCs w:val="21"/>
              </w:rPr>
              <w:t>江</w:t>
            </w:r>
          </w:p>
        </w:tc>
        <w:tc>
          <w:tcPr>
            <w:tcW w:w="1694" w:type="dxa"/>
            <w:vAlign w:val="center"/>
          </w:tcPr>
          <w:p w14:paraId="0019605A">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达标排放</w:t>
            </w:r>
          </w:p>
        </w:tc>
      </w:tr>
      <w:tr w14:paraId="3D4EF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9" w:hRule="atLeast"/>
        </w:trPr>
        <w:tc>
          <w:tcPr>
            <w:tcW w:w="614" w:type="dxa"/>
            <w:vMerge w:val="continue"/>
            <w:vAlign w:val="center"/>
          </w:tcPr>
          <w:p w14:paraId="77DFFD84">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Align w:val="center"/>
          </w:tcPr>
          <w:p w14:paraId="63ADBDFF">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营运期</w:t>
            </w:r>
          </w:p>
        </w:tc>
        <w:tc>
          <w:tcPr>
            <w:tcW w:w="1530" w:type="dxa"/>
            <w:vAlign w:val="center"/>
          </w:tcPr>
          <w:p w14:paraId="427A0BBA">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生活</w:t>
            </w:r>
            <w:r>
              <w:rPr>
                <w:rFonts w:hint="default"/>
                <w:color w:val="auto"/>
                <w:szCs w:val="21"/>
              </w:rPr>
              <w:t>污水</w:t>
            </w:r>
          </w:p>
        </w:tc>
        <w:tc>
          <w:tcPr>
            <w:tcW w:w="2231" w:type="dxa"/>
            <w:vAlign w:val="center"/>
          </w:tcPr>
          <w:p w14:paraId="6682A436">
            <w:pPr>
              <w:keepNext w:val="0"/>
              <w:keepLines w:val="0"/>
              <w:suppressLineNumbers w:val="0"/>
              <w:spacing w:before="0" w:beforeAutospacing="0" w:after="0" w:afterAutospacing="0" w:line="276" w:lineRule="auto"/>
              <w:ind w:left="0" w:right="0"/>
              <w:rPr>
                <w:rFonts w:hint="default"/>
                <w:color w:val="auto"/>
                <w:szCs w:val="21"/>
              </w:rPr>
            </w:pPr>
            <w:r>
              <w:rPr>
                <w:rFonts w:hint="eastAsia"/>
                <w:color w:val="auto"/>
                <w:szCs w:val="21"/>
              </w:rPr>
              <w:t>COD、</w:t>
            </w:r>
            <w:r>
              <w:rPr>
                <w:rFonts w:hint="default"/>
                <w:color w:val="auto"/>
                <w:szCs w:val="21"/>
              </w:rPr>
              <w:t>BOD</w:t>
            </w:r>
            <w:r>
              <w:rPr>
                <w:rFonts w:hint="default"/>
                <w:color w:val="auto"/>
                <w:szCs w:val="21"/>
                <w:vertAlign w:val="subscript"/>
              </w:rPr>
              <w:t>5</w:t>
            </w:r>
            <w:r>
              <w:rPr>
                <w:rFonts w:hint="default"/>
                <w:color w:val="auto"/>
                <w:szCs w:val="21"/>
              </w:rPr>
              <w:t>、</w:t>
            </w:r>
            <w:r>
              <w:rPr>
                <w:rFonts w:hint="eastAsia"/>
                <w:color w:val="auto"/>
                <w:szCs w:val="21"/>
              </w:rPr>
              <w:t>SS</w:t>
            </w:r>
            <w:r>
              <w:rPr>
                <w:rFonts w:hint="default"/>
                <w:color w:val="auto"/>
                <w:szCs w:val="21"/>
              </w:rPr>
              <w:t>、NH</w:t>
            </w:r>
            <w:r>
              <w:rPr>
                <w:rFonts w:hint="default"/>
                <w:color w:val="auto"/>
                <w:szCs w:val="21"/>
                <w:vertAlign w:val="subscript"/>
              </w:rPr>
              <w:t>3</w:t>
            </w:r>
            <w:r>
              <w:rPr>
                <w:rFonts w:hint="default"/>
                <w:color w:val="auto"/>
                <w:szCs w:val="21"/>
              </w:rPr>
              <w:t>-N</w:t>
            </w:r>
          </w:p>
        </w:tc>
        <w:tc>
          <w:tcPr>
            <w:tcW w:w="3197" w:type="dxa"/>
            <w:vAlign w:val="center"/>
          </w:tcPr>
          <w:p w14:paraId="4A213601">
            <w:pPr>
              <w:keepNext w:val="0"/>
              <w:keepLines w:val="0"/>
              <w:suppressLineNumbers w:val="0"/>
              <w:spacing w:before="0" w:beforeAutospacing="0" w:after="0" w:afterAutospacing="0" w:line="276" w:lineRule="auto"/>
              <w:ind w:left="0" w:right="0"/>
              <w:rPr>
                <w:rFonts w:hint="eastAsia" w:eastAsia="宋体"/>
                <w:color w:val="auto"/>
                <w:szCs w:val="21"/>
                <w:lang w:val="en-US" w:eastAsia="zh-CN"/>
              </w:rPr>
            </w:pPr>
            <w:r>
              <w:rPr>
                <w:rFonts w:hint="eastAsia"/>
                <w:lang w:val="en-US" w:eastAsia="zh-CN"/>
              </w:rPr>
              <w:t>食堂废水经</w:t>
            </w:r>
            <w:r>
              <w:rPr>
                <w:rFonts w:hint="default"/>
                <w:lang w:eastAsia="zh-CN"/>
              </w:rPr>
              <w:t>隔油池</w:t>
            </w:r>
            <w:r>
              <w:rPr>
                <w:rFonts w:hint="default"/>
              </w:rPr>
              <w:t>处理</w:t>
            </w:r>
            <w:r>
              <w:rPr>
                <w:rFonts w:hint="default"/>
                <w:lang w:eastAsia="zh-CN"/>
              </w:rPr>
              <w:t>后</w:t>
            </w:r>
            <w:r>
              <w:rPr>
                <w:rFonts w:hint="eastAsia"/>
                <w:lang w:val="en-US" w:eastAsia="zh-CN"/>
              </w:rPr>
              <w:t>同生活污水一并由化粪池处理后，</w:t>
            </w:r>
            <w:r>
              <w:rPr>
                <w:rFonts w:hint="default"/>
                <w:lang w:eastAsia="zh-CN"/>
              </w:rPr>
              <w:t>排入园区污水管网</w:t>
            </w:r>
            <w:r>
              <w:rPr>
                <w:rFonts w:hint="eastAsia"/>
                <w:color w:val="auto"/>
                <w:szCs w:val="21"/>
              </w:rPr>
              <w:t>，经</w:t>
            </w:r>
            <w:r>
              <w:rPr>
                <w:rFonts w:hint="eastAsia"/>
                <w:color w:val="auto"/>
                <w:szCs w:val="21"/>
                <w:lang w:val="en-US" w:eastAsia="zh-CN"/>
              </w:rPr>
              <w:t>安居区龙眼井</w:t>
            </w:r>
            <w:r>
              <w:rPr>
                <w:rFonts w:hint="default"/>
                <w:color w:val="auto"/>
                <w:szCs w:val="21"/>
              </w:rPr>
              <w:t>污水处理厂处理达标后排至</w:t>
            </w:r>
            <w:r>
              <w:rPr>
                <w:rFonts w:hint="eastAsia"/>
                <w:color w:val="auto"/>
                <w:szCs w:val="21"/>
                <w:lang w:val="en-US" w:eastAsia="zh-CN"/>
              </w:rPr>
              <w:t>琼江</w:t>
            </w:r>
          </w:p>
        </w:tc>
        <w:tc>
          <w:tcPr>
            <w:tcW w:w="1694" w:type="dxa"/>
            <w:vAlign w:val="center"/>
          </w:tcPr>
          <w:p w14:paraId="76F586E1">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达标排放</w:t>
            </w:r>
          </w:p>
        </w:tc>
      </w:tr>
      <w:tr w14:paraId="44534C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614" w:type="dxa"/>
            <w:vMerge w:val="restart"/>
            <w:vAlign w:val="center"/>
          </w:tcPr>
          <w:p w14:paraId="74CAB70B">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噪声</w:t>
            </w:r>
          </w:p>
        </w:tc>
        <w:tc>
          <w:tcPr>
            <w:tcW w:w="928" w:type="dxa"/>
            <w:vAlign w:val="center"/>
          </w:tcPr>
          <w:p w14:paraId="021B3ECA">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施工期</w:t>
            </w:r>
          </w:p>
        </w:tc>
        <w:tc>
          <w:tcPr>
            <w:tcW w:w="1530" w:type="dxa"/>
            <w:vAlign w:val="center"/>
          </w:tcPr>
          <w:p w14:paraId="65F754AC">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机械设备</w:t>
            </w:r>
          </w:p>
        </w:tc>
        <w:tc>
          <w:tcPr>
            <w:tcW w:w="2231" w:type="dxa"/>
            <w:vAlign w:val="center"/>
          </w:tcPr>
          <w:p w14:paraId="43F6A7AF">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设备</w:t>
            </w:r>
            <w:r>
              <w:rPr>
                <w:rFonts w:hint="default"/>
                <w:color w:val="auto"/>
                <w:szCs w:val="21"/>
              </w:rPr>
              <w:t>噪声</w:t>
            </w:r>
          </w:p>
        </w:tc>
        <w:tc>
          <w:tcPr>
            <w:tcW w:w="3197" w:type="dxa"/>
            <w:vAlign w:val="center"/>
          </w:tcPr>
          <w:p w14:paraId="0CFBC45F">
            <w:pPr>
              <w:keepNext w:val="0"/>
              <w:keepLines w:val="0"/>
              <w:suppressLineNumbers w:val="0"/>
              <w:spacing w:before="0" w:beforeAutospacing="0" w:after="0" w:afterAutospacing="0" w:line="276" w:lineRule="auto"/>
              <w:ind w:left="0" w:right="0"/>
              <w:jc w:val="center"/>
              <w:rPr>
                <w:rFonts w:hint="default"/>
                <w:color w:val="auto"/>
                <w:szCs w:val="21"/>
              </w:rPr>
            </w:pPr>
            <w:r>
              <w:rPr>
                <w:rFonts w:hint="default"/>
                <w:color w:val="auto"/>
                <w:szCs w:val="21"/>
              </w:rPr>
              <w:t>合理安排施工时间，加强</w:t>
            </w:r>
            <w:r>
              <w:rPr>
                <w:rFonts w:hint="eastAsia"/>
                <w:color w:val="auto"/>
                <w:szCs w:val="21"/>
              </w:rPr>
              <w:t>施工管理</w:t>
            </w:r>
          </w:p>
        </w:tc>
        <w:tc>
          <w:tcPr>
            <w:tcW w:w="1694" w:type="dxa"/>
            <w:vAlign w:val="center"/>
          </w:tcPr>
          <w:p w14:paraId="17A699C1">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达标排放</w:t>
            </w:r>
          </w:p>
        </w:tc>
      </w:tr>
      <w:tr w14:paraId="57E2B7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614" w:type="dxa"/>
            <w:vMerge w:val="continue"/>
            <w:vAlign w:val="center"/>
          </w:tcPr>
          <w:p w14:paraId="7B50DC82">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Align w:val="center"/>
          </w:tcPr>
          <w:p w14:paraId="62AB0FD8">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营运期</w:t>
            </w:r>
          </w:p>
        </w:tc>
        <w:tc>
          <w:tcPr>
            <w:tcW w:w="1530" w:type="dxa"/>
            <w:vAlign w:val="center"/>
          </w:tcPr>
          <w:p w14:paraId="7E5B9358">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生产设备</w:t>
            </w:r>
          </w:p>
        </w:tc>
        <w:tc>
          <w:tcPr>
            <w:tcW w:w="2231" w:type="dxa"/>
            <w:vAlign w:val="center"/>
          </w:tcPr>
          <w:p w14:paraId="3EEF17CA">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设备</w:t>
            </w:r>
            <w:r>
              <w:rPr>
                <w:rFonts w:hint="default"/>
                <w:color w:val="auto"/>
                <w:szCs w:val="21"/>
              </w:rPr>
              <w:t>噪声</w:t>
            </w:r>
          </w:p>
        </w:tc>
        <w:tc>
          <w:tcPr>
            <w:tcW w:w="3197" w:type="dxa"/>
            <w:vAlign w:val="center"/>
          </w:tcPr>
          <w:p w14:paraId="2535E384">
            <w:pPr>
              <w:keepNext w:val="0"/>
              <w:keepLines w:val="0"/>
              <w:suppressLineNumbers w:val="0"/>
              <w:spacing w:before="0" w:beforeAutospacing="0" w:after="0" w:afterAutospacing="0" w:line="276" w:lineRule="auto"/>
              <w:ind w:left="0" w:right="0"/>
              <w:jc w:val="center"/>
              <w:rPr>
                <w:rFonts w:hint="default"/>
                <w:color w:val="auto"/>
                <w:szCs w:val="21"/>
              </w:rPr>
            </w:pPr>
            <w:r>
              <w:rPr>
                <w:rFonts w:hint="default"/>
                <w:color w:val="auto"/>
                <w:szCs w:val="21"/>
              </w:rPr>
              <w:t>厂房隔声，</w:t>
            </w:r>
            <w:r>
              <w:rPr>
                <w:rFonts w:hint="eastAsia"/>
                <w:color w:val="auto"/>
                <w:szCs w:val="21"/>
              </w:rPr>
              <w:t>采取</w:t>
            </w:r>
            <w:r>
              <w:rPr>
                <w:rFonts w:hint="default"/>
                <w:color w:val="auto"/>
                <w:szCs w:val="21"/>
              </w:rPr>
              <w:t>减振、消音</w:t>
            </w:r>
            <w:r>
              <w:rPr>
                <w:rFonts w:hint="eastAsia"/>
                <w:color w:val="auto"/>
                <w:szCs w:val="21"/>
              </w:rPr>
              <w:t>措施</w:t>
            </w:r>
          </w:p>
        </w:tc>
        <w:tc>
          <w:tcPr>
            <w:tcW w:w="1694" w:type="dxa"/>
            <w:vAlign w:val="center"/>
          </w:tcPr>
          <w:p w14:paraId="54C72468">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达标排放</w:t>
            </w:r>
          </w:p>
        </w:tc>
      </w:tr>
      <w:tr w14:paraId="6918F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614" w:type="dxa"/>
            <w:vMerge w:val="restart"/>
            <w:vAlign w:val="center"/>
          </w:tcPr>
          <w:p w14:paraId="1DC247E1">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固体</w:t>
            </w:r>
          </w:p>
          <w:p w14:paraId="649710FA">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废物</w:t>
            </w:r>
          </w:p>
        </w:tc>
        <w:tc>
          <w:tcPr>
            <w:tcW w:w="928" w:type="dxa"/>
            <w:vMerge w:val="restart"/>
            <w:vAlign w:val="center"/>
          </w:tcPr>
          <w:p w14:paraId="10000D51">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施工期</w:t>
            </w:r>
          </w:p>
        </w:tc>
        <w:tc>
          <w:tcPr>
            <w:tcW w:w="1530" w:type="dxa"/>
            <w:vAlign w:val="center"/>
          </w:tcPr>
          <w:p w14:paraId="068BDDBF">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设备</w:t>
            </w:r>
            <w:r>
              <w:rPr>
                <w:rFonts w:hint="default"/>
                <w:color w:val="auto"/>
                <w:szCs w:val="21"/>
              </w:rPr>
              <w:t>安装和调试</w:t>
            </w:r>
          </w:p>
        </w:tc>
        <w:tc>
          <w:tcPr>
            <w:tcW w:w="2231" w:type="dxa"/>
            <w:vAlign w:val="center"/>
          </w:tcPr>
          <w:p w14:paraId="564469D9">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废包装</w:t>
            </w:r>
            <w:r>
              <w:rPr>
                <w:rFonts w:hint="default"/>
                <w:color w:val="auto"/>
                <w:szCs w:val="21"/>
              </w:rPr>
              <w:t>材料和边角料</w:t>
            </w:r>
          </w:p>
        </w:tc>
        <w:tc>
          <w:tcPr>
            <w:tcW w:w="3197" w:type="dxa"/>
            <w:vAlign w:val="center"/>
          </w:tcPr>
          <w:p w14:paraId="7E479FED">
            <w:pPr>
              <w:keepNext w:val="0"/>
              <w:keepLines w:val="0"/>
              <w:suppressLineNumbers w:val="0"/>
              <w:spacing w:before="0" w:beforeAutospacing="0" w:after="0" w:afterAutospacing="0" w:line="276" w:lineRule="auto"/>
              <w:ind w:left="0" w:right="0"/>
              <w:jc w:val="center"/>
              <w:rPr>
                <w:rFonts w:hint="default"/>
                <w:color w:val="auto"/>
                <w:szCs w:val="21"/>
              </w:rPr>
            </w:pPr>
            <w:r>
              <w:rPr>
                <w:rFonts w:hint="default"/>
                <w:color w:val="auto"/>
                <w:szCs w:val="21"/>
              </w:rPr>
              <w:t>外售给</w:t>
            </w:r>
            <w:r>
              <w:rPr>
                <w:rFonts w:hint="eastAsia"/>
                <w:color w:val="auto"/>
                <w:szCs w:val="21"/>
              </w:rPr>
              <w:t>废旧</w:t>
            </w:r>
            <w:r>
              <w:rPr>
                <w:rFonts w:hint="default"/>
                <w:color w:val="auto"/>
                <w:szCs w:val="21"/>
              </w:rPr>
              <w:t>物资回收</w:t>
            </w:r>
            <w:r>
              <w:rPr>
                <w:rFonts w:hint="eastAsia"/>
                <w:color w:val="auto"/>
                <w:szCs w:val="21"/>
              </w:rPr>
              <w:t>单位</w:t>
            </w:r>
          </w:p>
        </w:tc>
        <w:tc>
          <w:tcPr>
            <w:tcW w:w="1694" w:type="dxa"/>
            <w:vAlign w:val="center"/>
          </w:tcPr>
          <w:p w14:paraId="4AC98B52">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达标排放</w:t>
            </w:r>
          </w:p>
        </w:tc>
      </w:tr>
      <w:tr w14:paraId="5D5352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614" w:type="dxa"/>
            <w:vMerge w:val="continue"/>
            <w:vAlign w:val="center"/>
          </w:tcPr>
          <w:p w14:paraId="709AD6F9">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continue"/>
            <w:vAlign w:val="center"/>
          </w:tcPr>
          <w:p w14:paraId="1C763519">
            <w:pPr>
              <w:keepNext w:val="0"/>
              <w:keepLines w:val="0"/>
              <w:suppressLineNumbers w:val="0"/>
              <w:spacing w:before="0" w:beforeAutospacing="0" w:after="0" w:afterAutospacing="0" w:line="276" w:lineRule="auto"/>
              <w:ind w:left="0" w:right="0"/>
              <w:jc w:val="center"/>
              <w:rPr>
                <w:rFonts w:hint="default"/>
                <w:color w:val="auto"/>
                <w:szCs w:val="21"/>
              </w:rPr>
            </w:pPr>
          </w:p>
        </w:tc>
        <w:tc>
          <w:tcPr>
            <w:tcW w:w="1530" w:type="dxa"/>
            <w:vAlign w:val="center"/>
          </w:tcPr>
          <w:p w14:paraId="6B054D2C">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施工人员</w:t>
            </w:r>
          </w:p>
        </w:tc>
        <w:tc>
          <w:tcPr>
            <w:tcW w:w="2231" w:type="dxa"/>
            <w:vAlign w:val="center"/>
          </w:tcPr>
          <w:p w14:paraId="09CA86DC">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生活垃圾</w:t>
            </w:r>
          </w:p>
        </w:tc>
        <w:tc>
          <w:tcPr>
            <w:tcW w:w="3197" w:type="dxa"/>
            <w:vAlign w:val="center"/>
          </w:tcPr>
          <w:p w14:paraId="03E6D085">
            <w:pPr>
              <w:keepNext w:val="0"/>
              <w:keepLines w:val="0"/>
              <w:suppressLineNumbers w:val="0"/>
              <w:spacing w:before="0" w:beforeAutospacing="0" w:after="0" w:afterAutospacing="0" w:line="276" w:lineRule="auto"/>
              <w:ind w:left="0" w:right="0"/>
              <w:jc w:val="center"/>
              <w:rPr>
                <w:rFonts w:hint="default"/>
                <w:color w:val="auto"/>
                <w:szCs w:val="21"/>
              </w:rPr>
            </w:pPr>
            <w:r>
              <w:rPr>
                <w:rFonts w:hint="default"/>
                <w:color w:val="auto"/>
                <w:szCs w:val="21"/>
              </w:rPr>
              <w:t>交环卫部门处理</w:t>
            </w:r>
          </w:p>
        </w:tc>
        <w:tc>
          <w:tcPr>
            <w:tcW w:w="1694" w:type="dxa"/>
            <w:vAlign w:val="center"/>
          </w:tcPr>
          <w:p w14:paraId="380AF41D">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达标排放</w:t>
            </w:r>
          </w:p>
        </w:tc>
      </w:tr>
      <w:tr w14:paraId="6A710B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trPr>
        <w:tc>
          <w:tcPr>
            <w:tcW w:w="614" w:type="dxa"/>
            <w:vMerge w:val="continue"/>
            <w:vAlign w:val="center"/>
          </w:tcPr>
          <w:p w14:paraId="23EF29B5">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restart"/>
            <w:vAlign w:val="center"/>
          </w:tcPr>
          <w:p w14:paraId="080252A9">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营运期</w:t>
            </w:r>
          </w:p>
        </w:tc>
        <w:tc>
          <w:tcPr>
            <w:tcW w:w="1530" w:type="dxa"/>
            <w:vMerge w:val="restart"/>
            <w:vAlign w:val="center"/>
          </w:tcPr>
          <w:p w14:paraId="2F8D0223">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r>
              <w:rPr>
                <w:rFonts w:hint="eastAsia"/>
                <w:color w:val="auto"/>
                <w:szCs w:val="21"/>
                <w:lang w:val="en-US" w:eastAsia="zh-CN"/>
              </w:rPr>
              <w:t>生产车间</w:t>
            </w:r>
          </w:p>
        </w:tc>
        <w:tc>
          <w:tcPr>
            <w:tcW w:w="2231" w:type="dxa"/>
            <w:vAlign w:val="center"/>
          </w:tcPr>
          <w:p w14:paraId="2CBB2ED7">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r>
              <w:rPr>
                <w:rFonts w:hint="eastAsia"/>
                <w:color w:val="auto"/>
                <w:szCs w:val="21"/>
                <w:lang w:val="en-US" w:eastAsia="zh-CN"/>
              </w:rPr>
              <w:t>金属废料、包装弃料</w:t>
            </w:r>
          </w:p>
        </w:tc>
        <w:tc>
          <w:tcPr>
            <w:tcW w:w="3197" w:type="dxa"/>
            <w:vAlign w:val="center"/>
          </w:tcPr>
          <w:p w14:paraId="775332CC">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r>
              <w:rPr>
                <w:rFonts w:hint="eastAsia"/>
                <w:color w:val="auto"/>
                <w:szCs w:val="21"/>
                <w:lang w:val="en-US" w:eastAsia="zh-CN"/>
              </w:rPr>
              <w:t>外卖废品收购站</w:t>
            </w:r>
          </w:p>
        </w:tc>
        <w:tc>
          <w:tcPr>
            <w:tcW w:w="1694" w:type="dxa"/>
            <w:vAlign w:val="center"/>
          </w:tcPr>
          <w:p w14:paraId="3CF72A59">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无害化处置</w:t>
            </w:r>
          </w:p>
        </w:tc>
      </w:tr>
      <w:tr w14:paraId="040BF2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trPr>
        <w:tc>
          <w:tcPr>
            <w:tcW w:w="614" w:type="dxa"/>
            <w:vMerge w:val="continue"/>
            <w:vAlign w:val="center"/>
          </w:tcPr>
          <w:p w14:paraId="4EBC00FB">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continue"/>
            <w:vAlign w:val="center"/>
          </w:tcPr>
          <w:p w14:paraId="684C70BE">
            <w:pPr>
              <w:keepNext w:val="0"/>
              <w:keepLines w:val="0"/>
              <w:suppressLineNumbers w:val="0"/>
              <w:spacing w:before="0" w:beforeAutospacing="0" w:after="0" w:afterAutospacing="0" w:line="276" w:lineRule="auto"/>
              <w:ind w:left="0" w:right="0"/>
              <w:jc w:val="center"/>
              <w:rPr>
                <w:rFonts w:hint="eastAsia"/>
                <w:color w:val="auto"/>
                <w:szCs w:val="21"/>
              </w:rPr>
            </w:pPr>
          </w:p>
        </w:tc>
        <w:tc>
          <w:tcPr>
            <w:tcW w:w="1530" w:type="dxa"/>
            <w:vMerge w:val="continue"/>
            <w:vAlign w:val="center"/>
          </w:tcPr>
          <w:p w14:paraId="1A161349">
            <w:pPr>
              <w:keepNext w:val="0"/>
              <w:keepLines w:val="0"/>
              <w:suppressLineNumbers w:val="0"/>
              <w:spacing w:before="0" w:beforeAutospacing="0" w:after="0" w:afterAutospacing="0" w:line="276" w:lineRule="auto"/>
              <w:ind w:left="0" w:right="0"/>
              <w:jc w:val="center"/>
              <w:rPr>
                <w:rFonts w:hint="eastAsia"/>
                <w:color w:val="auto"/>
                <w:szCs w:val="21"/>
                <w:lang w:val="en-US" w:eastAsia="zh-CN"/>
              </w:rPr>
            </w:pPr>
          </w:p>
        </w:tc>
        <w:tc>
          <w:tcPr>
            <w:tcW w:w="2231" w:type="dxa"/>
            <w:vAlign w:val="center"/>
          </w:tcPr>
          <w:p w14:paraId="72574C92">
            <w:pPr>
              <w:keepNext w:val="0"/>
              <w:keepLines w:val="0"/>
              <w:suppressLineNumbers w:val="0"/>
              <w:spacing w:before="0" w:beforeAutospacing="0" w:after="0" w:afterAutospacing="0" w:line="276" w:lineRule="auto"/>
              <w:ind w:left="0" w:right="0"/>
              <w:jc w:val="center"/>
              <w:rPr>
                <w:rFonts w:hint="eastAsia"/>
                <w:color w:val="auto"/>
                <w:szCs w:val="21"/>
                <w:lang w:val="en-US" w:eastAsia="zh-CN"/>
              </w:rPr>
            </w:pPr>
            <w:r>
              <w:rPr>
                <w:rFonts w:hint="eastAsia"/>
                <w:color w:val="auto"/>
                <w:szCs w:val="21"/>
                <w:lang w:val="en-US" w:eastAsia="zh-CN"/>
              </w:rPr>
              <w:t>吹塑、注塑残次品</w:t>
            </w:r>
          </w:p>
        </w:tc>
        <w:tc>
          <w:tcPr>
            <w:tcW w:w="3197" w:type="dxa"/>
            <w:vMerge w:val="restart"/>
            <w:vAlign w:val="center"/>
          </w:tcPr>
          <w:p w14:paraId="059DBF91">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r>
              <w:rPr>
                <w:rFonts w:hint="eastAsia"/>
                <w:color w:val="auto"/>
                <w:szCs w:val="21"/>
                <w:lang w:val="en-US" w:eastAsia="zh-CN"/>
              </w:rPr>
              <w:t>回收利用</w:t>
            </w:r>
          </w:p>
        </w:tc>
        <w:tc>
          <w:tcPr>
            <w:tcW w:w="1694" w:type="dxa"/>
            <w:vMerge w:val="restart"/>
            <w:vAlign w:val="center"/>
          </w:tcPr>
          <w:p w14:paraId="109CA466">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r>
              <w:rPr>
                <w:rFonts w:hint="eastAsia"/>
                <w:color w:val="auto"/>
                <w:szCs w:val="21"/>
                <w:lang w:val="en-US" w:eastAsia="zh-CN"/>
              </w:rPr>
              <w:t>不外排</w:t>
            </w:r>
          </w:p>
        </w:tc>
      </w:tr>
      <w:tr w14:paraId="22AB58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trPr>
        <w:tc>
          <w:tcPr>
            <w:tcW w:w="614" w:type="dxa"/>
            <w:vMerge w:val="continue"/>
            <w:vAlign w:val="center"/>
          </w:tcPr>
          <w:p w14:paraId="080CF359">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continue"/>
            <w:vAlign w:val="center"/>
          </w:tcPr>
          <w:p w14:paraId="74714F21">
            <w:pPr>
              <w:keepNext w:val="0"/>
              <w:keepLines w:val="0"/>
              <w:suppressLineNumbers w:val="0"/>
              <w:spacing w:before="0" w:beforeAutospacing="0" w:after="0" w:afterAutospacing="0" w:line="276" w:lineRule="auto"/>
              <w:ind w:left="0" w:right="0"/>
              <w:jc w:val="center"/>
              <w:rPr>
                <w:rFonts w:hint="default"/>
                <w:color w:val="auto"/>
                <w:szCs w:val="21"/>
              </w:rPr>
            </w:pPr>
          </w:p>
        </w:tc>
        <w:tc>
          <w:tcPr>
            <w:tcW w:w="1530" w:type="dxa"/>
            <w:vMerge w:val="continue"/>
            <w:vAlign w:val="center"/>
          </w:tcPr>
          <w:p w14:paraId="1E8DDE16">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p>
        </w:tc>
        <w:tc>
          <w:tcPr>
            <w:tcW w:w="2231" w:type="dxa"/>
            <w:vAlign w:val="center"/>
          </w:tcPr>
          <w:p w14:paraId="0A6600E3">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r>
              <w:rPr>
                <w:rFonts w:hint="eastAsia"/>
                <w:color w:val="auto"/>
                <w:szCs w:val="21"/>
                <w:lang w:val="en-US" w:eastAsia="zh-CN"/>
              </w:rPr>
              <w:t>切割塑料品</w:t>
            </w:r>
          </w:p>
        </w:tc>
        <w:tc>
          <w:tcPr>
            <w:tcW w:w="3197" w:type="dxa"/>
            <w:vMerge w:val="continue"/>
            <w:vAlign w:val="center"/>
          </w:tcPr>
          <w:p w14:paraId="451C7852">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p>
        </w:tc>
        <w:tc>
          <w:tcPr>
            <w:tcW w:w="1694" w:type="dxa"/>
            <w:vMerge w:val="continue"/>
            <w:vAlign w:val="center"/>
          </w:tcPr>
          <w:p w14:paraId="79507946">
            <w:pPr>
              <w:keepNext w:val="0"/>
              <w:keepLines w:val="0"/>
              <w:suppressLineNumbers w:val="0"/>
              <w:spacing w:before="0" w:beforeAutospacing="0" w:after="0" w:afterAutospacing="0" w:line="276" w:lineRule="auto"/>
              <w:ind w:left="0" w:right="0"/>
              <w:jc w:val="center"/>
              <w:rPr>
                <w:rFonts w:hint="default"/>
                <w:color w:val="auto"/>
                <w:szCs w:val="21"/>
              </w:rPr>
            </w:pPr>
          </w:p>
        </w:tc>
      </w:tr>
      <w:tr w14:paraId="2B320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4" w:type="dxa"/>
            <w:vMerge w:val="continue"/>
            <w:vAlign w:val="center"/>
          </w:tcPr>
          <w:p w14:paraId="37E11149">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continue"/>
            <w:vAlign w:val="center"/>
          </w:tcPr>
          <w:p w14:paraId="3521368F">
            <w:pPr>
              <w:keepNext w:val="0"/>
              <w:keepLines w:val="0"/>
              <w:suppressLineNumbers w:val="0"/>
              <w:spacing w:before="0" w:beforeAutospacing="0" w:after="0" w:afterAutospacing="0" w:line="276" w:lineRule="auto"/>
              <w:ind w:left="0" w:right="0"/>
              <w:jc w:val="center"/>
              <w:rPr>
                <w:rFonts w:hint="default"/>
                <w:color w:val="auto"/>
                <w:szCs w:val="21"/>
              </w:rPr>
            </w:pPr>
          </w:p>
        </w:tc>
        <w:tc>
          <w:tcPr>
            <w:tcW w:w="1530" w:type="dxa"/>
            <w:vAlign w:val="center"/>
          </w:tcPr>
          <w:p w14:paraId="3A387502">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r>
              <w:rPr>
                <w:rFonts w:hint="eastAsia"/>
                <w:color w:val="auto"/>
                <w:szCs w:val="21"/>
                <w:lang w:val="en-US" w:eastAsia="zh-CN"/>
              </w:rPr>
              <w:t>食堂</w:t>
            </w:r>
          </w:p>
        </w:tc>
        <w:tc>
          <w:tcPr>
            <w:tcW w:w="2231" w:type="dxa"/>
            <w:vAlign w:val="center"/>
          </w:tcPr>
          <w:p w14:paraId="51FE8105">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r>
              <w:rPr>
                <w:rFonts w:hint="eastAsia"/>
                <w:color w:val="auto"/>
                <w:szCs w:val="21"/>
                <w:lang w:val="en-US" w:eastAsia="zh-CN"/>
              </w:rPr>
              <w:t>隔油池废油</w:t>
            </w:r>
          </w:p>
        </w:tc>
        <w:tc>
          <w:tcPr>
            <w:tcW w:w="3197" w:type="dxa"/>
            <w:vAlign w:val="center"/>
          </w:tcPr>
          <w:p w14:paraId="4B1AFA17">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r>
              <w:rPr>
                <w:rFonts w:hint="default" w:ascii="Times New Roman" w:hAnsi="Times New Roman" w:cs="Times New Roman"/>
                <w:color w:val="auto"/>
                <w:lang w:val="en-US" w:eastAsia="zh-CN"/>
              </w:rPr>
              <w:t>交由取得经营许可的餐厨垃圾收运单位清运处理</w:t>
            </w:r>
          </w:p>
        </w:tc>
        <w:tc>
          <w:tcPr>
            <w:tcW w:w="1694" w:type="dxa"/>
            <w:vAlign w:val="center"/>
          </w:tcPr>
          <w:p w14:paraId="52FBE7C3">
            <w:pPr>
              <w:keepNext w:val="0"/>
              <w:keepLines w:val="0"/>
              <w:suppressLineNumbers w:val="0"/>
              <w:spacing w:before="0" w:beforeAutospacing="0" w:after="0" w:afterAutospacing="0" w:line="276" w:lineRule="auto"/>
              <w:ind w:left="0" w:right="0"/>
              <w:jc w:val="center"/>
              <w:rPr>
                <w:rFonts w:hint="eastAsia"/>
                <w:color w:val="auto"/>
                <w:szCs w:val="21"/>
              </w:rPr>
            </w:pPr>
            <w:r>
              <w:rPr>
                <w:rFonts w:hint="eastAsia"/>
                <w:color w:val="auto"/>
                <w:szCs w:val="21"/>
              </w:rPr>
              <w:t>无害化处置</w:t>
            </w:r>
          </w:p>
        </w:tc>
      </w:tr>
      <w:tr w14:paraId="72B488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4" w:type="dxa"/>
            <w:vMerge w:val="continue"/>
            <w:vAlign w:val="center"/>
          </w:tcPr>
          <w:p w14:paraId="10BE635F">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continue"/>
            <w:vAlign w:val="center"/>
          </w:tcPr>
          <w:p w14:paraId="7D80B066">
            <w:pPr>
              <w:keepNext w:val="0"/>
              <w:keepLines w:val="0"/>
              <w:suppressLineNumbers w:val="0"/>
              <w:spacing w:before="0" w:beforeAutospacing="0" w:after="0" w:afterAutospacing="0" w:line="276" w:lineRule="auto"/>
              <w:ind w:left="0" w:right="0"/>
              <w:jc w:val="center"/>
              <w:rPr>
                <w:rFonts w:hint="default"/>
                <w:color w:val="auto"/>
                <w:szCs w:val="21"/>
              </w:rPr>
            </w:pPr>
          </w:p>
        </w:tc>
        <w:tc>
          <w:tcPr>
            <w:tcW w:w="1530" w:type="dxa"/>
            <w:vMerge w:val="restart"/>
            <w:vAlign w:val="center"/>
          </w:tcPr>
          <w:p w14:paraId="51322DE8">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厂区</w:t>
            </w:r>
            <w:r>
              <w:rPr>
                <w:rFonts w:hint="default"/>
                <w:color w:val="auto"/>
                <w:szCs w:val="21"/>
              </w:rPr>
              <w:t>员工</w:t>
            </w:r>
          </w:p>
        </w:tc>
        <w:tc>
          <w:tcPr>
            <w:tcW w:w="2231" w:type="dxa"/>
            <w:vAlign w:val="center"/>
          </w:tcPr>
          <w:p w14:paraId="5425434A">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生活垃圾</w:t>
            </w:r>
          </w:p>
        </w:tc>
        <w:tc>
          <w:tcPr>
            <w:tcW w:w="3197" w:type="dxa"/>
            <w:vMerge w:val="restart"/>
            <w:vAlign w:val="center"/>
          </w:tcPr>
          <w:p w14:paraId="5D9239B6">
            <w:pPr>
              <w:keepNext w:val="0"/>
              <w:keepLines w:val="0"/>
              <w:suppressLineNumbers w:val="0"/>
              <w:spacing w:before="0" w:beforeAutospacing="0" w:after="0" w:afterAutospacing="0" w:line="276" w:lineRule="auto"/>
              <w:ind w:left="0" w:right="0"/>
              <w:jc w:val="center"/>
              <w:rPr>
                <w:rFonts w:hint="default"/>
                <w:color w:val="auto"/>
                <w:szCs w:val="21"/>
              </w:rPr>
            </w:pPr>
            <w:r>
              <w:rPr>
                <w:rFonts w:hint="default"/>
                <w:color w:val="auto"/>
                <w:szCs w:val="21"/>
              </w:rPr>
              <w:t>环卫部门清运处理</w:t>
            </w:r>
          </w:p>
        </w:tc>
        <w:tc>
          <w:tcPr>
            <w:tcW w:w="1694" w:type="dxa"/>
            <w:vMerge w:val="restart"/>
            <w:vAlign w:val="center"/>
          </w:tcPr>
          <w:p w14:paraId="1EC8FA41">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无害化处置</w:t>
            </w:r>
          </w:p>
        </w:tc>
      </w:tr>
      <w:tr w14:paraId="4D7074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4" w:type="dxa"/>
            <w:vMerge w:val="continue"/>
            <w:vAlign w:val="center"/>
          </w:tcPr>
          <w:p w14:paraId="5D698BE1">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continue"/>
            <w:vAlign w:val="center"/>
          </w:tcPr>
          <w:p w14:paraId="29241C0E">
            <w:pPr>
              <w:keepNext w:val="0"/>
              <w:keepLines w:val="0"/>
              <w:suppressLineNumbers w:val="0"/>
              <w:spacing w:before="0" w:beforeAutospacing="0" w:after="0" w:afterAutospacing="0" w:line="276" w:lineRule="auto"/>
              <w:ind w:left="0" w:right="0"/>
              <w:jc w:val="center"/>
              <w:rPr>
                <w:rFonts w:hint="default"/>
                <w:color w:val="auto"/>
                <w:szCs w:val="21"/>
              </w:rPr>
            </w:pPr>
          </w:p>
        </w:tc>
        <w:tc>
          <w:tcPr>
            <w:tcW w:w="1530" w:type="dxa"/>
            <w:vMerge w:val="continue"/>
            <w:vAlign w:val="center"/>
          </w:tcPr>
          <w:p w14:paraId="11E7580F">
            <w:pPr>
              <w:keepNext w:val="0"/>
              <w:keepLines w:val="0"/>
              <w:suppressLineNumbers w:val="0"/>
              <w:spacing w:before="0" w:beforeAutospacing="0" w:after="0" w:afterAutospacing="0" w:line="276" w:lineRule="auto"/>
              <w:ind w:left="0" w:right="0"/>
              <w:jc w:val="center"/>
              <w:rPr>
                <w:rFonts w:hint="eastAsia"/>
                <w:color w:val="auto"/>
                <w:szCs w:val="21"/>
              </w:rPr>
            </w:pPr>
          </w:p>
        </w:tc>
        <w:tc>
          <w:tcPr>
            <w:tcW w:w="2231" w:type="dxa"/>
            <w:vAlign w:val="center"/>
          </w:tcPr>
          <w:p w14:paraId="3392C2E7">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r>
              <w:rPr>
                <w:rFonts w:hint="eastAsia"/>
                <w:color w:val="auto"/>
                <w:szCs w:val="21"/>
                <w:lang w:val="en-US" w:eastAsia="zh-CN"/>
              </w:rPr>
              <w:t>预处理池污泥</w:t>
            </w:r>
          </w:p>
        </w:tc>
        <w:tc>
          <w:tcPr>
            <w:tcW w:w="3197" w:type="dxa"/>
            <w:vMerge w:val="continue"/>
            <w:vAlign w:val="center"/>
          </w:tcPr>
          <w:p w14:paraId="177C56F7">
            <w:pPr>
              <w:keepNext w:val="0"/>
              <w:keepLines w:val="0"/>
              <w:suppressLineNumbers w:val="0"/>
              <w:spacing w:before="0" w:beforeAutospacing="0" w:after="0" w:afterAutospacing="0" w:line="276" w:lineRule="auto"/>
              <w:ind w:left="0" w:right="0"/>
              <w:jc w:val="center"/>
              <w:rPr>
                <w:rFonts w:hint="default"/>
                <w:color w:val="auto"/>
                <w:szCs w:val="21"/>
              </w:rPr>
            </w:pPr>
          </w:p>
        </w:tc>
        <w:tc>
          <w:tcPr>
            <w:tcW w:w="1694" w:type="dxa"/>
            <w:vMerge w:val="continue"/>
            <w:vAlign w:val="center"/>
          </w:tcPr>
          <w:p w14:paraId="086A4C2B">
            <w:pPr>
              <w:keepNext w:val="0"/>
              <w:keepLines w:val="0"/>
              <w:suppressLineNumbers w:val="0"/>
              <w:spacing w:before="0" w:beforeAutospacing="0" w:after="0" w:afterAutospacing="0" w:line="276" w:lineRule="auto"/>
              <w:ind w:left="0" w:right="0"/>
              <w:jc w:val="center"/>
              <w:rPr>
                <w:rFonts w:hint="eastAsia"/>
                <w:color w:val="auto"/>
                <w:szCs w:val="21"/>
              </w:rPr>
            </w:pPr>
          </w:p>
        </w:tc>
      </w:tr>
      <w:tr w14:paraId="643AF4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4" w:type="dxa"/>
            <w:vMerge w:val="continue"/>
            <w:vAlign w:val="center"/>
          </w:tcPr>
          <w:p w14:paraId="2FCFDEC6">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continue"/>
            <w:vAlign w:val="center"/>
          </w:tcPr>
          <w:p w14:paraId="17A6AFE7">
            <w:pPr>
              <w:keepNext w:val="0"/>
              <w:keepLines w:val="0"/>
              <w:suppressLineNumbers w:val="0"/>
              <w:spacing w:before="0" w:beforeAutospacing="0" w:after="0" w:afterAutospacing="0" w:line="276" w:lineRule="auto"/>
              <w:ind w:left="0" w:right="0"/>
              <w:jc w:val="center"/>
              <w:rPr>
                <w:rFonts w:hint="default"/>
                <w:color w:val="auto"/>
                <w:szCs w:val="21"/>
              </w:rPr>
            </w:pPr>
          </w:p>
        </w:tc>
        <w:tc>
          <w:tcPr>
            <w:tcW w:w="1530" w:type="dxa"/>
            <w:vAlign w:val="center"/>
          </w:tcPr>
          <w:p w14:paraId="0ACA97ED">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r>
              <w:rPr>
                <w:rFonts w:hint="eastAsia"/>
                <w:color w:val="auto"/>
                <w:szCs w:val="21"/>
                <w:lang w:val="en-US" w:eastAsia="zh-CN"/>
              </w:rPr>
              <w:t>生产过程</w:t>
            </w:r>
          </w:p>
        </w:tc>
        <w:tc>
          <w:tcPr>
            <w:tcW w:w="2231" w:type="dxa"/>
            <w:vAlign w:val="center"/>
          </w:tcPr>
          <w:p w14:paraId="05A1ADED">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r>
              <w:rPr>
                <w:rFonts w:hint="eastAsia"/>
                <w:color w:val="auto"/>
                <w:szCs w:val="21"/>
                <w:lang w:val="en-US" w:eastAsia="zh-CN"/>
              </w:rPr>
              <w:t>废A、B桶、废液压油、废润滑油</w:t>
            </w:r>
          </w:p>
        </w:tc>
        <w:tc>
          <w:tcPr>
            <w:tcW w:w="3197" w:type="dxa"/>
            <w:vMerge w:val="restart"/>
            <w:vAlign w:val="center"/>
          </w:tcPr>
          <w:p w14:paraId="44486186">
            <w:pPr>
              <w:keepNext w:val="0"/>
              <w:keepLines w:val="0"/>
              <w:suppressLineNumbers w:val="0"/>
              <w:spacing w:before="0" w:beforeAutospacing="0" w:after="0" w:afterAutospacing="0" w:line="276" w:lineRule="auto"/>
              <w:ind w:left="0" w:right="0"/>
              <w:jc w:val="center"/>
              <w:rPr>
                <w:rFonts w:hint="default"/>
                <w:b/>
                <w:color w:val="auto"/>
                <w:szCs w:val="21"/>
              </w:rPr>
            </w:pPr>
            <w:r>
              <w:rPr>
                <w:rFonts w:hint="eastAsia"/>
                <w:color w:val="auto"/>
                <w:szCs w:val="21"/>
              </w:rPr>
              <w:t>交由有资质</w:t>
            </w:r>
            <w:r>
              <w:rPr>
                <w:rFonts w:hint="default"/>
                <w:color w:val="auto"/>
                <w:szCs w:val="21"/>
              </w:rPr>
              <w:t>的单位进行</w:t>
            </w:r>
            <w:r>
              <w:rPr>
                <w:rFonts w:hint="eastAsia"/>
                <w:color w:val="auto"/>
                <w:szCs w:val="21"/>
              </w:rPr>
              <w:t>处理</w:t>
            </w:r>
          </w:p>
        </w:tc>
        <w:tc>
          <w:tcPr>
            <w:tcW w:w="1694" w:type="dxa"/>
            <w:vAlign w:val="center"/>
          </w:tcPr>
          <w:p w14:paraId="1E72D37A">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无害化处置</w:t>
            </w:r>
          </w:p>
        </w:tc>
      </w:tr>
      <w:tr w14:paraId="0DF53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4" w:type="dxa"/>
            <w:vMerge w:val="continue"/>
            <w:vAlign w:val="center"/>
          </w:tcPr>
          <w:p w14:paraId="55928EEB">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continue"/>
            <w:vAlign w:val="center"/>
          </w:tcPr>
          <w:p w14:paraId="200D47C5">
            <w:pPr>
              <w:keepNext w:val="0"/>
              <w:keepLines w:val="0"/>
              <w:suppressLineNumbers w:val="0"/>
              <w:spacing w:before="0" w:beforeAutospacing="0" w:after="0" w:afterAutospacing="0" w:line="276" w:lineRule="auto"/>
              <w:ind w:left="0" w:right="0"/>
              <w:jc w:val="center"/>
              <w:rPr>
                <w:rFonts w:hint="default"/>
                <w:color w:val="auto"/>
                <w:szCs w:val="21"/>
              </w:rPr>
            </w:pPr>
          </w:p>
        </w:tc>
        <w:tc>
          <w:tcPr>
            <w:tcW w:w="1530" w:type="dxa"/>
            <w:vAlign w:val="center"/>
          </w:tcPr>
          <w:p w14:paraId="4346C185">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有机废气</w:t>
            </w:r>
            <w:r>
              <w:rPr>
                <w:rFonts w:hint="default"/>
                <w:color w:val="auto"/>
                <w:szCs w:val="21"/>
              </w:rPr>
              <w:t>处理</w:t>
            </w:r>
          </w:p>
        </w:tc>
        <w:tc>
          <w:tcPr>
            <w:tcW w:w="2231" w:type="dxa"/>
            <w:vAlign w:val="center"/>
          </w:tcPr>
          <w:p w14:paraId="2288CC34">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废活性炭</w:t>
            </w:r>
          </w:p>
        </w:tc>
        <w:tc>
          <w:tcPr>
            <w:tcW w:w="3197" w:type="dxa"/>
            <w:vMerge w:val="continue"/>
            <w:vAlign w:val="center"/>
          </w:tcPr>
          <w:p w14:paraId="3D2F3B94">
            <w:pPr>
              <w:keepNext w:val="0"/>
              <w:keepLines w:val="0"/>
              <w:suppressLineNumbers w:val="0"/>
              <w:spacing w:before="0" w:beforeAutospacing="0" w:after="0" w:afterAutospacing="0" w:line="276" w:lineRule="auto"/>
              <w:ind w:left="0" w:right="0"/>
              <w:jc w:val="center"/>
              <w:rPr>
                <w:rFonts w:hint="default"/>
                <w:color w:val="auto"/>
                <w:szCs w:val="21"/>
              </w:rPr>
            </w:pPr>
          </w:p>
        </w:tc>
        <w:tc>
          <w:tcPr>
            <w:tcW w:w="1694" w:type="dxa"/>
            <w:vAlign w:val="center"/>
          </w:tcPr>
          <w:p w14:paraId="576E6541">
            <w:pPr>
              <w:keepNext w:val="0"/>
              <w:keepLines w:val="0"/>
              <w:suppressLineNumbers w:val="0"/>
              <w:spacing w:before="0" w:beforeAutospacing="0" w:after="0" w:afterAutospacing="0" w:line="276" w:lineRule="auto"/>
              <w:ind w:left="0" w:right="0"/>
              <w:jc w:val="center"/>
              <w:rPr>
                <w:rFonts w:hint="default"/>
                <w:color w:val="auto"/>
                <w:szCs w:val="21"/>
              </w:rPr>
            </w:pPr>
            <w:r>
              <w:rPr>
                <w:rFonts w:hint="eastAsia"/>
                <w:color w:val="auto"/>
                <w:szCs w:val="21"/>
              </w:rPr>
              <w:t>无害化处置</w:t>
            </w:r>
          </w:p>
        </w:tc>
      </w:tr>
      <w:tr w14:paraId="34ECCA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14" w:type="dxa"/>
            <w:vMerge w:val="continue"/>
            <w:vAlign w:val="center"/>
          </w:tcPr>
          <w:p w14:paraId="480806FB">
            <w:pPr>
              <w:keepNext w:val="0"/>
              <w:keepLines w:val="0"/>
              <w:suppressLineNumbers w:val="0"/>
              <w:spacing w:before="0" w:beforeAutospacing="0" w:after="0" w:afterAutospacing="0" w:line="276" w:lineRule="auto"/>
              <w:ind w:left="0" w:right="0"/>
              <w:jc w:val="center"/>
              <w:rPr>
                <w:rFonts w:hint="default"/>
                <w:color w:val="auto"/>
                <w:szCs w:val="21"/>
              </w:rPr>
            </w:pPr>
          </w:p>
        </w:tc>
        <w:tc>
          <w:tcPr>
            <w:tcW w:w="928" w:type="dxa"/>
            <w:vMerge w:val="continue"/>
            <w:vAlign w:val="center"/>
          </w:tcPr>
          <w:p w14:paraId="39B8E60A">
            <w:pPr>
              <w:keepNext w:val="0"/>
              <w:keepLines w:val="0"/>
              <w:suppressLineNumbers w:val="0"/>
              <w:spacing w:before="0" w:beforeAutospacing="0" w:after="0" w:afterAutospacing="0" w:line="276" w:lineRule="auto"/>
              <w:ind w:left="0" w:right="0"/>
              <w:jc w:val="center"/>
              <w:rPr>
                <w:rFonts w:hint="default"/>
                <w:color w:val="auto"/>
                <w:szCs w:val="21"/>
              </w:rPr>
            </w:pPr>
          </w:p>
        </w:tc>
        <w:tc>
          <w:tcPr>
            <w:tcW w:w="1530" w:type="dxa"/>
            <w:vAlign w:val="center"/>
          </w:tcPr>
          <w:p w14:paraId="26A86B3E">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r>
              <w:rPr>
                <w:rFonts w:hint="eastAsia"/>
                <w:color w:val="auto"/>
                <w:szCs w:val="21"/>
                <w:lang w:val="en-US" w:eastAsia="zh-CN"/>
              </w:rPr>
              <w:t>生产车间</w:t>
            </w:r>
          </w:p>
        </w:tc>
        <w:tc>
          <w:tcPr>
            <w:tcW w:w="2231" w:type="dxa"/>
            <w:vAlign w:val="center"/>
          </w:tcPr>
          <w:p w14:paraId="497A6461">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r>
              <w:rPr>
                <w:rFonts w:hint="eastAsia"/>
                <w:color w:val="auto"/>
                <w:szCs w:val="21"/>
                <w:lang w:val="en-US" w:eastAsia="zh-CN"/>
              </w:rPr>
              <w:t>废弃的含油棉纱手套</w:t>
            </w:r>
          </w:p>
        </w:tc>
        <w:tc>
          <w:tcPr>
            <w:tcW w:w="3197" w:type="dxa"/>
            <w:vMerge w:val="continue"/>
            <w:vAlign w:val="center"/>
          </w:tcPr>
          <w:p w14:paraId="11490AE5">
            <w:pPr>
              <w:keepNext w:val="0"/>
              <w:keepLines w:val="0"/>
              <w:suppressLineNumbers w:val="0"/>
              <w:spacing w:before="0" w:beforeAutospacing="0" w:after="0" w:afterAutospacing="0" w:line="276" w:lineRule="auto"/>
              <w:ind w:left="0" w:right="0"/>
              <w:jc w:val="center"/>
              <w:rPr>
                <w:rFonts w:hint="eastAsia" w:eastAsia="宋体"/>
                <w:color w:val="auto"/>
                <w:szCs w:val="21"/>
                <w:lang w:val="en-US" w:eastAsia="zh-CN"/>
              </w:rPr>
            </w:pPr>
          </w:p>
        </w:tc>
        <w:tc>
          <w:tcPr>
            <w:tcW w:w="1694" w:type="dxa"/>
            <w:vAlign w:val="center"/>
          </w:tcPr>
          <w:p w14:paraId="6A5484AD">
            <w:pPr>
              <w:keepNext w:val="0"/>
              <w:keepLines w:val="0"/>
              <w:suppressLineNumbers w:val="0"/>
              <w:spacing w:before="0" w:beforeAutospacing="0" w:after="0" w:afterAutospacing="0" w:line="276" w:lineRule="auto"/>
              <w:ind w:left="0" w:right="0"/>
              <w:jc w:val="center"/>
              <w:rPr>
                <w:rFonts w:hint="eastAsia"/>
                <w:color w:val="auto"/>
                <w:szCs w:val="21"/>
              </w:rPr>
            </w:pPr>
            <w:r>
              <w:rPr>
                <w:rFonts w:hint="eastAsia"/>
                <w:color w:val="auto"/>
                <w:szCs w:val="21"/>
              </w:rPr>
              <w:t>无害化处置</w:t>
            </w:r>
          </w:p>
        </w:tc>
      </w:tr>
      <w:tr w14:paraId="6DB1A7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94" w:type="dxa"/>
            <w:gridSpan w:val="6"/>
            <w:vAlign w:val="center"/>
          </w:tcPr>
          <w:p w14:paraId="73C5A053">
            <w:pPr>
              <w:keepNext w:val="0"/>
              <w:keepLines w:val="0"/>
              <w:suppressLineNumbers w:val="0"/>
              <w:spacing w:before="0" w:beforeAutospacing="0" w:after="0" w:afterAutospacing="0" w:line="360" w:lineRule="auto"/>
              <w:ind w:left="0" w:right="0"/>
              <w:rPr>
                <w:rFonts w:hint="default"/>
                <w:b/>
                <w:bCs/>
                <w:sz w:val="24"/>
                <w:szCs w:val="24"/>
              </w:rPr>
            </w:pPr>
            <w:r>
              <w:rPr>
                <w:rFonts w:hint="eastAsia"/>
                <w:b/>
                <w:bCs/>
                <w:sz w:val="24"/>
                <w:szCs w:val="24"/>
              </w:rPr>
              <w:t>主要</w:t>
            </w:r>
            <w:r>
              <w:rPr>
                <w:rFonts w:hint="default"/>
                <w:b/>
                <w:bCs/>
                <w:sz w:val="24"/>
                <w:szCs w:val="24"/>
              </w:rPr>
              <w:t>生态影响、保护措施及预期效果</w:t>
            </w:r>
          </w:p>
          <w:p w14:paraId="31D24982">
            <w:pPr>
              <w:spacing w:line="360" w:lineRule="auto"/>
              <w:ind w:firstLine="480" w:firstLineChars="200"/>
              <w:rPr>
                <w:rFonts w:hint="default"/>
                <w:b w:val="0"/>
                <w:bCs w:val="0"/>
                <w:sz w:val="24"/>
                <w:szCs w:val="24"/>
                <w:lang w:val="en-US" w:eastAsia="zh-CN"/>
              </w:rPr>
            </w:pPr>
            <w:r>
              <w:rPr>
                <w:rFonts w:hint="default"/>
                <w:b w:val="0"/>
                <w:bCs w:val="0"/>
                <w:sz w:val="24"/>
                <w:szCs w:val="24"/>
                <w:lang w:val="en-US" w:eastAsia="zh-CN"/>
              </w:rPr>
              <w:t>本项目用地为空地</w:t>
            </w:r>
            <w:r>
              <w:rPr>
                <w:rFonts w:hint="eastAsia"/>
                <w:b w:val="0"/>
                <w:bCs w:val="0"/>
                <w:sz w:val="24"/>
                <w:szCs w:val="24"/>
                <w:lang w:val="en-US" w:eastAsia="zh-CN"/>
              </w:rPr>
              <w:t>，</w:t>
            </w:r>
            <w:r>
              <w:rPr>
                <w:rFonts w:hint="default"/>
                <w:b w:val="0"/>
                <w:bCs w:val="0"/>
                <w:sz w:val="24"/>
                <w:szCs w:val="24"/>
                <w:lang w:val="en-US" w:eastAsia="zh-CN"/>
              </w:rPr>
              <w:t>位于</w:t>
            </w:r>
            <w:r>
              <w:rPr>
                <w:rFonts w:hint="eastAsia"/>
                <w:b w:val="0"/>
                <w:bCs w:val="0"/>
                <w:sz w:val="24"/>
                <w:szCs w:val="24"/>
                <w:lang w:val="en-US" w:eastAsia="zh-CN"/>
              </w:rPr>
              <w:t>遂宁市安居区汽摩产业园内</w:t>
            </w:r>
            <w:r>
              <w:rPr>
                <w:rFonts w:hint="default"/>
                <w:b w:val="0"/>
                <w:bCs w:val="0"/>
                <w:sz w:val="24"/>
                <w:szCs w:val="24"/>
                <w:lang w:val="en-US" w:eastAsia="zh-CN"/>
              </w:rPr>
              <w:t>，项目所在区域为工业用地，周边均以</w:t>
            </w:r>
            <w:r>
              <w:rPr>
                <w:rFonts w:hint="eastAsia"/>
                <w:b w:val="0"/>
                <w:bCs w:val="0"/>
                <w:sz w:val="24"/>
                <w:szCs w:val="24"/>
                <w:lang w:val="en-US" w:eastAsia="zh-CN"/>
              </w:rPr>
              <w:t>汽车零部件</w:t>
            </w:r>
            <w:r>
              <w:rPr>
                <w:rFonts w:hint="default"/>
                <w:b w:val="0"/>
                <w:bCs w:val="0"/>
                <w:sz w:val="24"/>
                <w:szCs w:val="24"/>
                <w:lang w:val="en-US" w:eastAsia="zh-CN"/>
              </w:rPr>
              <w:t>生产企业为主，其自然生态环境已很大程度上受到人类干扰，周围无生态敏感点，不涉及野生动植物。项目建成后，在</w:t>
            </w:r>
            <w:r>
              <w:rPr>
                <w:rFonts w:hint="eastAsia"/>
                <w:b w:val="0"/>
                <w:bCs w:val="0"/>
                <w:sz w:val="24"/>
                <w:szCs w:val="24"/>
                <w:lang w:val="en-US" w:eastAsia="zh-CN"/>
              </w:rPr>
              <w:t>厂区内</w:t>
            </w:r>
            <w:r>
              <w:rPr>
                <w:rFonts w:hint="default"/>
                <w:b w:val="0"/>
                <w:bCs w:val="0"/>
                <w:sz w:val="24"/>
                <w:szCs w:val="24"/>
                <w:lang w:val="en-US" w:eastAsia="zh-CN"/>
              </w:rPr>
              <w:t>适当进行绿化，不仅</w:t>
            </w:r>
            <w:r>
              <w:rPr>
                <w:rFonts w:hint="eastAsia"/>
                <w:b w:val="0"/>
                <w:bCs w:val="0"/>
                <w:sz w:val="24"/>
                <w:szCs w:val="24"/>
                <w:lang w:val="en-US" w:eastAsia="zh-CN"/>
              </w:rPr>
              <w:t>对厂区内的生态环境进行补偿、维护和美化环境</w:t>
            </w:r>
            <w:r>
              <w:rPr>
                <w:rFonts w:hint="default"/>
                <w:b w:val="0"/>
                <w:bCs w:val="0"/>
                <w:sz w:val="24"/>
                <w:szCs w:val="24"/>
                <w:lang w:val="en-US" w:eastAsia="zh-CN"/>
              </w:rPr>
              <w:t>，而且也可以在一定程度上减缓生产期间的噪声对周围环境的影响。因此，项目建设不会对区域生态环境产生不良影响，无须特殊的生态保护措施。</w:t>
            </w:r>
          </w:p>
          <w:p w14:paraId="45A34426">
            <w:pPr>
              <w:pStyle w:val="2"/>
              <w:rPr>
                <w:rFonts w:hint="default"/>
                <w:b w:val="0"/>
                <w:bCs w:val="0"/>
                <w:sz w:val="24"/>
                <w:szCs w:val="24"/>
                <w:lang w:val="en-US" w:eastAsia="zh-CN"/>
              </w:rPr>
            </w:pPr>
          </w:p>
          <w:p w14:paraId="3A450360">
            <w:pPr>
              <w:pStyle w:val="2"/>
              <w:rPr>
                <w:rFonts w:hint="default"/>
                <w:b w:val="0"/>
                <w:bCs w:val="0"/>
                <w:sz w:val="24"/>
                <w:szCs w:val="24"/>
                <w:lang w:val="en-US" w:eastAsia="zh-CN"/>
              </w:rPr>
            </w:pPr>
          </w:p>
          <w:p w14:paraId="179E3678">
            <w:pPr>
              <w:pStyle w:val="2"/>
              <w:rPr>
                <w:rFonts w:hint="default"/>
                <w:b w:val="0"/>
                <w:bCs w:val="0"/>
                <w:sz w:val="24"/>
                <w:szCs w:val="24"/>
                <w:lang w:val="en-US" w:eastAsia="zh-CN"/>
              </w:rPr>
            </w:pPr>
          </w:p>
          <w:p w14:paraId="627AAB05">
            <w:pPr>
              <w:pStyle w:val="2"/>
              <w:rPr>
                <w:rFonts w:hint="default"/>
                <w:b w:val="0"/>
                <w:bCs w:val="0"/>
                <w:sz w:val="24"/>
                <w:szCs w:val="24"/>
                <w:lang w:val="en-US" w:eastAsia="zh-CN"/>
              </w:rPr>
            </w:pPr>
          </w:p>
          <w:p w14:paraId="1D9D619F">
            <w:pPr>
              <w:pStyle w:val="2"/>
              <w:rPr>
                <w:rFonts w:hint="default"/>
                <w:b w:val="0"/>
                <w:bCs w:val="0"/>
                <w:sz w:val="24"/>
                <w:szCs w:val="24"/>
                <w:lang w:val="en-US" w:eastAsia="zh-CN"/>
              </w:rPr>
            </w:pPr>
          </w:p>
          <w:p w14:paraId="1B8C92E3">
            <w:pPr>
              <w:pStyle w:val="2"/>
              <w:rPr>
                <w:rFonts w:hint="default"/>
                <w:b w:val="0"/>
                <w:bCs w:val="0"/>
                <w:sz w:val="24"/>
                <w:szCs w:val="24"/>
                <w:lang w:val="en-US" w:eastAsia="zh-CN"/>
              </w:rPr>
            </w:pPr>
          </w:p>
          <w:p w14:paraId="463DDCB4">
            <w:pPr>
              <w:pStyle w:val="2"/>
              <w:rPr>
                <w:rFonts w:hint="default"/>
                <w:b w:val="0"/>
                <w:bCs w:val="0"/>
                <w:sz w:val="24"/>
                <w:szCs w:val="24"/>
                <w:lang w:val="en-US" w:eastAsia="zh-CN"/>
              </w:rPr>
            </w:pPr>
          </w:p>
          <w:p w14:paraId="39C7A294">
            <w:pPr>
              <w:pStyle w:val="2"/>
              <w:rPr>
                <w:rFonts w:hint="default"/>
                <w:b w:val="0"/>
                <w:bCs w:val="0"/>
                <w:sz w:val="24"/>
                <w:szCs w:val="24"/>
                <w:lang w:val="en-US" w:eastAsia="zh-CN"/>
              </w:rPr>
            </w:pPr>
          </w:p>
          <w:p w14:paraId="381FFFEE">
            <w:pPr>
              <w:pStyle w:val="2"/>
              <w:rPr>
                <w:rFonts w:hint="default"/>
                <w:b w:val="0"/>
                <w:bCs w:val="0"/>
                <w:sz w:val="24"/>
                <w:szCs w:val="24"/>
                <w:lang w:val="en-US" w:eastAsia="zh-CN"/>
              </w:rPr>
            </w:pPr>
          </w:p>
          <w:p w14:paraId="3A9B5826">
            <w:pPr>
              <w:pStyle w:val="2"/>
              <w:rPr>
                <w:rFonts w:hint="default"/>
                <w:b w:val="0"/>
                <w:bCs w:val="0"/>
                <w:sz w:val="24"/>
                <w:szCs w:val="24"/>
                <w:lang w:val="en-US" w:eastAsia="zh-CN"/>
              </w:rPr>
            </w:pPr>
          </w:p>
          <w:p w14:paraId="1A5A38BA">
            <w:pPr>
              <w:pStyle w:val="2"/>
              <w:rPr>
                <w:rFonts w:hint="default"/>
                <w:b w:val="0"/>
                <w:bCs w:val="0"/>
                <w:sz w:val="24"/>
                <w:szCs w:val="24"/>
                <w:lang w:val="en-US" w:eastAsia="zh-CN"/>
              </w:rPr>
            </w:pPr>
          </w:p>
          <w:p w14:paraId="6FD35EF6">
            <w:pPr>
              <w:pStyle w:val="2"/>
              <w:rPr>
                <w:rFonts w:hint="default"/>
                <w:b w:val="0"/>
                <w:bCs w:val="0"/>
                <w:sz w:val="24"/>
                <w:szCs w:val="24"/>
                <w:lang w:val="en-US" w:eastAsia="zh-CN"/>
              </w:rPr>
            </w:pPr>
          </w:p>
          <w:p w14:paraId="30803832">
            <w:pPr>
              <w:pStyle w:val="2"/>
              <w:rPr>
                <w:rFonts w:hint="default"/>
                <w:b w:val="0"/>
                <w:bCs w:val="0"/>
                <w:sz w:val="24"/>
                <w:szCs w:val="24"/>
                <w:lang w:val="en-US" w:eastAsia="zh-CN"/>
              </w:rPr>
            </w:pPr>
          </w:p>
          <w:p w14:paraId="785C43F6">
            <w:pPr>
              <w:pStyle w:val="2"/>
              <w:rPr>
                <w:rFonts w:hint="default"/>
                <w:b w:val="0"/>
                <w:bCs w:val="0"/>
                <w:sz w:val="24"/>
                <w:szCs w:val="24"/>
                <w:lang w:val="en-US" w:eastAsia="zh-CN"/>
              </w:rPr>
            </w:pPr>
          </w:p>
          <w:p w14:paraId="016E1B1A">
            <w:pPr>
              <w:pStyle w:val="2"/>
              <w:rPr>
                <w:rFonts w:hint="default"/>
                <w:b w:val="0"/>
                <w:bCs w:val="0"/>
                <w:sz w:val="24"/>
                <w:szCs w:val="24"/>
                <w:lang w:val="en-US" w:eastAsia="zh-CN"/>
              </w:rPr>
            </w:pPr>
          </w:p>
          <w:p w14:paraId="28F7C0DE">
            <w:pPr>
              <w:pStyle w:val="2"/>
              <w:rPr>
                <w:rFonts w:hint="default"/>
                <w:b w:val="0"/>
                <w:bCs w:val="0"/>
                <w:sz w:val="24"/>
                <w:szCs w:val="24"/>
                <w:lang w:val="en-US" w:eastAsia="zh-CN"/>
              </w:rPr>
            </w:pPr>
          </w:p>
          <w:p w14:paraId="003E63EB">
            <w:pPr>
              <w:pStyle w:val="2"/>
              <w:rPr>
                <w:rFonts w:hint="default"/>
                <w:b w:val="0"/>
                <w:bCs w:val="0"/>
                <w:sz w:val="24"/>
                <w:szCs w:val="24"/>
                <w:lang w:val="en-US" w:eastAsia="zh-CN"/>
              </w:rPr>
            </w:pPr>
          </w:p>
          <w:p w14:paraId="44BD1B05">
            <w:pPr>
              <w:pStyle w:val="2"/>
              <w:rPr>
                <w:rFonts w:hint="default"/>
                <w:b w:val="0"/>
                <w:bCs w:val="0"/>
                <w:sz w:val="24"/>
                <w:szCs w:val="24"/>
                <w:lang w:val="en-US" w:eastAsia="zh-CN"/>
              </w:rPr>
            </w:pPr>
          </w:p>
          <w:p w14:paraId="5D8F2C98">
            <w:pPr>
              <w:pStyle w:val="2"/>
              <w:rPr>
                <w:rFonts w:hint="default"/>
                <w:b w:val="0"/>
                <w:bCs w:val="0"/>
                <w:sz w:val="24"/>
                <w:szCs w:val="24"/>
                <w:lang w:val="en-US" w:eastAsia="zh-CN"/>
              </w:rPr>
            </w:pPr>
          </w:p>
          <w:p w14:paraId="273F870E">
            <w:pPr>
              <w:pStyle w:val="2"/>
              <w:rPr>
                <w:rFonts w:hint="default"/>
                <w:b w:val="0"/>
                <w:bCs w:val="0"/>
                <w:sz w:val="24"/>
                <w:szCs w:val="24"/>
                <w:lang w:val="en-US" w:eastAsia="zh-CN"/>
              </w:rPr>
            </w:pPr>
          </w:p>
          <w:p w14:paraId="447EDCFE">
            <w:pPr>
              <w:pStyle w:val="2"/>
              <w:rPr>
                <w:rFonts w:hint="default"/>
                <w:b w:val="0"/>
                <w:bCs w:val="0"/>
                <w:sz w:val="24"/>
                <w:szCs w:val="24"/>
                <w:lang w:val="en-US" w:eastAsia="zh-CN"/>
              </w:rPr>
            </w:pPr>
          </w:p>
          <w:p w14:paraId="238013EF">
            <w:pPr>
              <w:pStyle w:val="2"/>
              <w:rPr>
                <w:rFonts w:hint="default"/>
                <w:b w:val="0"/>
                <w:bCs w:val="0"/>
                <w:sz w:val="24"/>
                <w:szCs w:val="24"/>
                <w:lang w:val="en-US" w:eastAsia="zh-CN"/>
              </w:rPr>
            </w:pPr>
          </w:p>
          <w:p w14:paraId="0FC3A944">
            <w:pPr>
              <w:pStyle w:val="2"/>
              <w:rPr>
                <w:rFonts w:hint="default"/>
                <w:b w:val="0"/>
                <w:bCs w:val="0"/>
                <w:sz w:val="24"/>
                <w:szCs w:val="24"/>
                <w:lang w:val="en-US" w:eastAsia="zh-CN"/>
              </w:rPr>
            </w:pPr>
          </w:p>
          <w:p w14:paraId="2A2A3B1C">
            <w:pPr>
              <w:pStyle w:val="2"/>
              <w:rPr>
                <w:rFonts w:hint="default"/>
                <w:b w:val="0"/>
                <w:bCs w:val="0"/>
                <w:sz w:val="24"/>
                <w:szCs w:val="24"/>
                <w:lang w:val="en-US" w:eastAsia="zh-CN"/>
              </w:rPr>
            </w:pPr>
          </w:p>
          <w:p w14:paraId="6719BEF6">
            <w:pPr>
              <w:pStyle w:val="2"/>
              <w:rPr>
                <w:rFonts w:hint="default"/>
                <w:b w:val="0"/>
                <w:bCs w:val="0"/>
                <w:sz w:val="24"/>
                <w:szCs w:val="24"/>
                <w:lang w:val="en-US" w:eastAsia="zh-CN"/>
              </w:rPr>
            </w:pPr>
          </w:p>
          <w:p w14:paraId="6A108C74">
            <w:pPr>
              <w:pStyle w:val="2"/>
              <w:rPr>
                <w:rFonts w:hint="default"/>
                <w:b w:val="0"/>
                <w:bCs w:val="0"/>
                <w:sz w:val="24"/>
                <w:szCs w:val="24"/>
                <w:lang w:val="en-US" w:eastAsia="zh-CN"/>
              </w:rPr>
            </w:pPr>
          </w:p>
          <w:p w14:paraId="5BF4D7DA">
            <w:pPr>
              <w:pStyle w:val="2"/>
              <w:rPr>
                <w:rFonts w:hint="default"/>
                <w:b w:val="0"/>
                <w:bCs w:val="0"/>
                <w:sz w:val="24"/>
                <w:szCs w:val="24"/>
                <w:lang w:val="en-US" w:eastAsia="zh-CN"/>
              </w:rPr>
            </w:pPr>
          </w:p>
          <w:p w14:paraId="262CA64F">
            <w:pPr>
              <w:pStyle w:val="2"/>
              <w:rPr>
                <w:rFonts w:hint="default"/>
                <w:b w:val="0"/>
                <w:bCs w:val="0"/>
                <w:sz w:val="24"/>
                <w:szCs w:val="24"/>
                <w:lang w:val="en-US" w:eastAsia="zh-CN"/>
              </w:rPr>
            </w:pPr>
          </w:p>
          <w:p w14:paraId="2BD4B2A5">
            <w:pPr>
              <w:pStyle w:val="2"/>
              <w:rPr>
                <w:rFonts w:hint="default"/>
                <w:b w:val="0"/>
                <w:bCs w:val="0"/>
                <w:sz w:val="24"/>
                <w:szCs w:val="24"/>
                <w:lang w:val="en-US" w:eastAsia="zh-CN"/>
              </w:rPr>
            </w:pPr>
          </w:p>
          <w:p w14:paraId="536C2FD4">
            <w:pPr>
              <w:pStyle w:val="2"/>
              <w:rPr>
                <w:rFonts w:hint="default"/>
                <w:b w:val="0"/>
                <w:bCs w:val="0"/>
                <w:sz w:val="24"/>
                <w:szCs w:val="24"/>
                <w:lang w:val="en-US" w:eastAsia="zh-CN"/>
              </w:rPr>
            </w:pPr>
          </w:p>
          <w:p w14:paraId="7186642D">
            <w:pPr>
              <w:pStyle w:val="2"/>
              <w:rPr>
                <w:rFonts w:hint="default"/>
                <w:b w:val="0"/>
                <w:bCs w:val="0"/>
                <w:sz w:val="24"/>
                <w:szCs w:val="24"/>
                <w:lang w:val="en-US" w:eastAsia="zh-CN"/>
              </w:rPr>
            </w:pPr>
          </w:p>
          <w:p w14:paraId="6606BA90">
            <w:pPr>
              <w:pStyle w:val="2"/>
              <w:rPr>
                <w:rFonts w:hint="default"/>
                <w:b w:val="0"/>
                <w:bCs w:val="0"/>
                <w:sz w:val="24"/>
                <w:szCs w:val="24"/>
                <w:lang w:val="en-US" w:eastAsia="zh-CN"/>
              </w:rPr>
            </w:pPr>
          </w:p>
          <w:p w14:paraId="08AFEAD6">
            <w:pPr>
              <w:pStyle w:val="2"/>
              <w:rPr>
                <w:rFonts w:hint="default"/>
                <w:b w:val="0"/>
                <w:bCs w:val="0"/>
                <w:sz w:val="24"/>
                <w:szCs w:val="24"/>
                <w:lang w:val="en-US" w:eastAsia="zh-CN"/>
              </w:rPr>
            </w:pPr>
          </w:p>
          <w:p w14:paraId="090C11CD">
            <w:pPr>
              <w:pStyle w:val="2"/>
              <w:rPr>
                <w:rFonts w:hint="default"/>
                <w:b w:val="0"/>
                <w:bCs w:val="0"/>
                <w:sz w:val="24"/>
                <w:szCs w:val="24"/>
                <w:lang w:val="en-US" w:eastAsia="zh-CN"/>
              </w:rPr>
            </w:pPr>
          </w:p>
          <w:p w14:paraId="4E79FDCF">
            <w:pPr>
              <w:pStyle w:val="2"/>
              <w:rPr>
                <w:rFonts w:hint="default"/>
                <w:b w:val="0"/>
                <w:bCs w:val="0"/>
                <w:sz w:val="24"/>
                <w:szCs w:val="24"/>
                <w:lang w:val="en-US" w:eastAsia="zh-CN"/>
              </w:rPr>
            </w:pPr>
          </w:p>
          <w:p w14:paraId="6F251317">
            <w:pPr>
              <w:pStyle w:val="2"/>
              <w:rPr>
                <w:rFonts w:hint="default"/>
                <w:b w:val="0"/>
                <w:bCs w:val="0"/>
                <w:sz w:val="24"/>
                <w:szCs w:val="24"/>
                <w:lang w:val="en-US" w:eastAsia="zh-CN"/>
              </w:rPr>
            </w:pPr>
          </w:p>
          <w:p w14:paraId="7CE70860">
            <w:pPr>
              <w:pStyle w:val="2"/>
              <w:rPr>
                <w:rFonts w:hint="default"/>
                <w:b w:val="0"/>
                <w:bCs w:val="0"/>
                <w:sz w:val="24"/>
                <w:szCs w:val="24"/>
                <w:lang w:val="en-US" w:eastAsia="zh-CN"/>
              </w:rPr>
            </w:pPr>
          </w:p>
          <w:p w14:paraId="4661AD51">
            <w:pPr>
              <w:spacing w:line="360" w:lineRule="auto"/>
              <w:ind w:firstLine="420" w:firstLineChars="200"/>
              <w:rPr>
                <w:rFonts w:hint="default"/>
              </w:rPr>
            </w:pPr>
          </w:p>
        </w:tc>
      </w:tr>
    </w:tbl>
    <w:p w14:paraId="462EE465">
      <w:pPr>
        <w:pStyle w:val="3"/>
        <w:spacing w:before="0" w:after="0" w:line="480" w:lineRule="auto"/>
        <w:rPr>
          <w:rFonts w:hint="default" w:ascii="Times New Roman" w:hAnsi="Times New Roman" w:cs="Times New Roman"/>
          <w:color w:val="auto"/>
          <w:szCs w:val="24"/>
        </w:rPr>
      </w:pPr>
      <w:r>
        <w:rPr>
          <w:rFonts w:hint="default" w:ascii="Times New Roman" w:hAnsi="Times New Roman" w:cs="Times New Roman"/>
          <w:color w:val="auto"/>
          <w:sz w:val="28"/>
          <w:szCs w:val="28"/>
        </w:rPr>
        <w:t xml:space="preserve">结论与建议                                                 </w:t>
      </w:r>
      <w:r>
        <w:rPr>
          <w:rFonts w:hint="default" w:ascii="Times New Roman" w:hAnsi="Times New Roman" w:cs="Times New Roman"/>
          <w:color w:val="auto"/>
          <w:sz w:val="28"/>
          <w:szCs w:val="28"/>
          <w:lang w:val="en-US" w:eastAsia="zh-CN"/>
        </w:rPr>
        <w:t xml:space="preserve">       </w:t>
      </w:r>
      <w:r>
        <w:rPr>
          <w:rFonts w:hint="default" w:ascii="Times New Roman" w:hAnsi="Times New Roman" w:cs="Times New Roman"/>
          <w:color w:val="auto"/>
          <w:sz w:val="28"/>
          <w:szCs w:val="28"/>
        </w:rPr>
        <w:t>（表九）</w:t>
      </w:r>
    </w:p>
    <w:tbl>
      <w:tblPr>
        <w:tblStyle w:val="23"/>
        <w:tblW w:w="101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94"/>
      </w:tblGrid>
      <w:tr w14:paraId="0BDF0D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194" w:type="dxa"/>
            <w:shd w:val="clear" w:color="auto" w:fill="auto"/>
          </w:tcPr>
          <w:p w14:paraId="11375964">
            <w:pPr>
              <w:spacing w:line="360" w:lineRule="auto"/>
              <w:outlineLvl w:val="0"/>
              <w:rPr>
                <w:rFonts w:hint="default" w:ascii="Times New Roman" w:hAnsi="Times New Roman" w:cs="Times New Roman"/>
                <w:b/>
                <w:bCs/>
                <w:sz w:val="28"/>
                <w:szCs w:val="28"/>
              </w:rPr>
            </w:pPr>
            <w:r>
              <w:rPr>
                <w:rFonts w:hint="default" w:ascii="Times New Roman" w:hAnsi="Times New Roman" w:cs="Times New Roman"/>
                <w:b/>
                <w:bCs/>
                <w:sz w:val="28"/>
                <w:szCs w:val="28"/>
              </w:rPr>
              <w:t>一、结论</w:t>
            </w:r>
          </w:p>
          <w:p w14:paraId="258A6F4E">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 xml:space="preserve"> </w:t>
            </w:r>
            <w:r>
              <w:rPr>
                <w:rFonts w:hint="default" w:ascii="Times New Roman" w:hAnsi="Times New Roman" w:cs="Times New Roman"/>
                <w:sz w:val="24"/>
                <w:szCs w:val="24"/>
                <w:lang w:val="en-US" w:eastAsia="zh-CN"/>
              </w:rPr>
              <w:t>四川亿利汽车零部件有限公司</w:t>
            </w:r>
            <w:r>
              <w:rPr>
                <w:rFonts w:hint="eastAsia" w:ascii="Times New Roman" w:hAnsi="Times New Roman" w:cs="Times New Roman"/>
                <w:sz w:val="24"/>
                <w:szCs w:val="24"/>
                <w:lang w:eastAsia="zh-CN"/>
              </w:rPr>
              <w:t>“</w:t>
            </w:r>
            <w:r>
              <w:rPr>
                <w:rFonts w:hint="default" w:ascii="Times New Roman" w:hAnsi="Times New Roman" w:cs="Times New Roman"/>
                <w:sz w:val="24"/>
                <w:szCs w:val="24"/>
                <w:lang w:val="en-US" w:eastAsia="zh-CN"/>
              </w:rPr>
              <w:t>汽车进排气系统生产项目</w:t>
            </w:r>
            <w:r>
              <w:rPr>
                <w:rFonts w:hint="eastAsia" w:ascii="Times New Roman" w:hAnsi="Times New Roman" w:cs="Times New Roman"/>
                <w:sz w:val="24"/>
                <w:szCs w:val="24"/>
                <w:lang w:eastAsia="zh-CN"/>
              </w:rPr>
              <w:t>”</w:t>
            </w:r>
            <w:r>
              <w:rPr>
                <w:rFonts w:hint="default" w:ascii="Times New Roman" w:hAnsi="Times New Roman" w:cs="Times New Roman"/>
                <w:sz w:val="24"/>
                <w:szCs w:val="24"/>
              </w:rPr>
              <w:t>位于</w:t>
            </w:r>
            <w:r>
              <w:rPr>
                <w:rFonts w:hint="default" w:ascii="Times New Roman" w:hAnsi="Times New Roman" w:cs="Times New Roman"/>
                <w:sz w:val="24"/>
                <w:szCs w:val="24"/>
                <w:lang w:eastAsia="zh-CN"/>
              </w:rPr>
              <w:t>遂宁市安居区工业集中发展区汽摩产业园</w:t>
            </w:r>
            <w:r>
              <w:rPr>
                <w:rFonts w:hint="default" w:ascii="Times New Roman" w:hAnsi="Times New Roman" w:cs="Times New Roman"/>
                <w:sz w:val="24"/>
                <w:szCs w:val="24"/>
                <w:lang w:val="en-US" w:eastAsia="zh-CN"/>
              </w:rPr>
              <w:t>，项目总占地面积31806.17m</w:t>
            </w:r>
            <w:r>
              <w:rPr>
                <w:rFonts w:hint="default" w:ascii="Times New Roman" w:hAnsi="Times New Roman" w:cs="Times New Roman"/>
                <w:sz w:val="24"/>
                <w:szCs w:val="24"/>
                <w:vertAlign w:val="superscript"/>
                <w:lang w:val="en-US" w:eastAsia="zh-CN"/>
              </w:rPr>
              <w:t>2</w:t>
            </w:r>
            <w:r>
              <w:rPr>
                <w:rFonts w:hint="default" w:ascii="Times New Roman" w:hAnsi="Times New Roman" w:cs="Times New Roman"/>
                <w:sz w:val="24"/>
                <w:szCs w:val="24"/>
                <w:lang w:val="en-US" w:eastAsia="zh-CN"/>
              </w:rPr>
              <w:t>，约47.71亩，建筑占地面积为16082.1m</w:t>
            </w:r>
            <w:r>
              <w:rPr>
                <w:rFonts w:hint="default" w:ascii="Times New Roman" w:hAnsi="Times New Roman" w:cs="Times New Roman"/>
                <w:sz w:val="24"/>
                <w:szCs w:val="24"/>
                <w:vertAlign w:val="superscript"/>
                <w:lang w:val="en-US" w:eastAsia="zh-CN"/>
              </w:rPr>
              <w:t>2</w:t>
            </w:r>
            <w:r>
              <w:rPr>
                <w:rFonts w:hint="default" w:ascii="Times New Roman" w:hAnsi="Times New Roman" w:cs="Times New Roman"/>
                <w:sz w:val="24"/>
                <w:szCs w:val="24"/>
                <w:lang w:val="en-US" w:eastAsia="zh-CN"/>
              </w:rPr>
              <w:t>，总建筑面积为19330.38m</w:t>
            </w:r>
            <w:r>
              <w:rPr>
                <w:rFonts w:hint="default" w:ascii="Times New Roman" w:hAnsi="Times New Roman" w:cs="Times New Roman"/>
                <w:sz w:val="24"/>
                <w:szCs w:val="24"/>
                <w:vertAlign w:val="superscript"/>
                <w:lang w:val="en-US" w:eastAsia="zh-CN"/>
              </w:rPr>
              <w:t>2</w:t>
            </w:r>
            <w:r>
              <w:rPr>
                <w:rFonts w:hint="default" w:ascii="Times New Roman" w:hAnsi="Times New Roman" w:cs="Times New Roman"/>
                <w:sz w:val="24"/>
                <w:szCs w:val="24"/>
                <w:lang w:val="en-US" w:eastAsia="zh-CN"/>
              </w:rPr>
              <w:t>，其中1号车间建筑面积7256.6m</w:t>
            </w:r>
            <w:r>
              <w:rPr>
                <w:rFonts w:hint="default" w:ascii="Times New Roman" w:hAnsi="Times New Roman" w:cs="Times New Roman"/>
                <w:sz w:val="24"/>
                <w:szCs w:val="24"/>
                <w:vertAlign w:val="superscript"/>
                <w:lang w:val="en-US" w:eastAsia="zh-CN"/>
              </w:rPr>
              <w:t>2</w:t>
            </w:r>
            <w:r>
              <w:rPr>
                <w:rFonts w:hint="default" w:ascii="Times New Roman" w:hAnsi="Times New Roman" w:cs="Times New Roman"/>
                <w:sz w:val="24"/>
                <w:szCs w:val="24"/>
                <w:lang w:val="en-US" w:eastAsia="zh-CN"/>
              </w:rPr>
              <w:t>的车间，2号车间建筑面积7728m</w:t>
            </w:r>
            <w:r>
              <w:rPr>
                <w:rFonts w:hint="default" w:ascii="Times New Roman" w:hAnsi="Times New Roman" w:cs="Times New Roman"/>
                <w:sz w:val="24"/>
                <w:szCs w:val="24"/>
                <w:vertAlign w:val="superscript"/>
                <w:lang w:val="en-US" w:eastAsia="zh-CN"/>
              </w:rPr>
              <w:t>2</w:t>
            </w:r>
            <w:r>
              <w:rPr>
                <w:rFonts w:hint="default" w:ascii="Times New Roman" w:hAnsi="Times New Roman" w:cs="Times New Roman"/>
                <w:sz w:val="24"/>
                <w:szCs w:val="24"/>
                <w:lang w:val="en-US" w:eastAsia="zh-CN"/>
              </w:rPr>
              <w:t>的车间，办公楼建筑面积1016.42m</w:t>
            </w:r>
            <w:r>
              <w:rPr>
                <w:rFonts w:hint="default" w:ascii="Times New Roman" w:hAnsi="Times New Roman" w:cs="Times New Roman"/>
                <w:sz w:val="24"/>
                <w:szCs w:val="24"/>
                <w:vertAlign w:val="superscript"/>
                <w:lang w:val="en-US" w:eastAsia="zh-CN"/>
              </w:rPr>
              <w:t>2</w:t>
            </w:r>
            <w:r>
              <w:rPr>
                <w:rFonts w:hint="default" w:ascii="Times New Roman" w:hAnsi="Times New Roman" w:cs="Times New Roman"/>
                <w:sz w:val="24"/>
                <w:szCs w:val="24"/>
                <w:lang w:val="en-US" w:eastAsia="zh-CN"/>
              </w:rPr>
              <w:t>。项目建成后将达到年产汽车进排气系统（空滤器、进气道、尿素管、SCR以及进排气系统辅助用件）各20万套的生产规模</w:t>
            </w:r>
            <w:r>
              <w:rPr>
                <w:rFonts w:hint="default" w:ascii="Times New Roman" w:hAnsi="Times New Roman" w:cs="Times New Roman"/>
                <w:sz w:val="24"/>
                <w:szCs w:val="24"/>
              </w:rPr>
              <w:t>。</w:t>
            </w:r>
            <w:r>
              <w:rPr>
                <w:rFonts w:hint="default" w:ascii="Times New Roman" w:hAnsi="Times New Roman" w:cs="Times New Roman"/>
                <w:color w:val="auto"/>
                <w:sz w:val="24"/>
                <w:szCs w:val="24"/>
              </w:rPr>
              <w:t>项目总投资</w:t>
            </w:r>
            <w:r>
              <w:rPr>
                <w:rFonts w:hint="eastAsia" w:cs="Times New Roman"/>
                <w:color w:val="auto"/>
                <w:sz w:val="24"/>
                <w:szCs w:val="24"/>
                <w:lang w:val="en-US" w:eastAsia="zh-CN"/>
              </w:rPr>
              <w:t>15000</w:t>
            </w:r>
            <w:r>
              <w:rPr>
                <w:rFonts w:hint="default" w:ascii="Times New Roman" w:hAnsi="Times New Roman" w:cs="Times New Roman"/>
                <w:color w:val="auto"/>
                <w:sz w:val="24"/>
                <w:szCs w:val="24"/>
              </w:rPr>
              <w:t>万元，环保投资</w:t>
            </w:r>
            <w:r>
              <w:rPr>
                <w:rFonts w:hint="eastAsia" w:cs="Times New Roman"/>
                <w:color w:val="auto"/>
                <w:sz w:val="24"/>
                <w:szCs w:val="24"/>
                <w:lang w:val="en-US" w:eastAsia="zh-CN"/>
              </w:rPr>
              <w:t>79</w:t>
            </w:r>
            <w:r>
              <w:rPr>
                <w:rFonts w:hint="default" w:ascii="Times New Roman" w:hAnsi="Times New Roman" w:cs="Times New Roman"/>
                <w:color w:val="auto"/>
                <w:sz w:val="24"/>
                <w:szCs w:val="24"/>
              </w:rPr>
              <w:t>万元，占总投资的</w:t>
            </w:r>
            <w:r>
              <w:rPr>
                <w:rFonts w:hint="eastAsia" w:cs="Times New Roman"/>
                <w:color w:val="auto"/>
                <w:sz w:val="24"/>
                <w:szCs w:val="24"/>
                <w:lang w:val="en-US" w:eastAsia="zh-CN"/>
              </w:rPr>
              <w:t>0.53</w:t>
            </w:r>
            <w:r>
              <w:rPr>
                <w:rFonts w:hint="default" w:ascii="Times New Roman" w:hAnsi="Times New Roman" w:cs="Times New Roman"/>
                <w:color w:val="auto"/>
                <w:sz w:val="24"/>
                <w:szCs w:val="24"/>
              </w:rPr>
              <w:t>%。</w:t>
            </w:r>
            <w:r>
              <w:rPr>
                <w:rFonts w:hint="eastAsia" w:cs="Times New Roman"/>
                <w:color w:val="auto"/>
                <w:sz w:val="24"/>
                <w:szCs w:val="24"/>
                <w:lang w:val="en-US" w:eastAsia="zh-CN"/>
              </w:rPr>
              <w:t>项目建设分三期建设，一期建设内容：1#车间、临时办公楼（活动板房）、配电房、门卫室、预处理池等相关附属设施，新建商用车空滤器、进气道、尿素罐生产线，达到年产商用车空滤器、进气道各15万套，尿素罐20万套的生产能力；二期建设内容：2#车间、办公楼、食堂、倒班房等相关附属设施，新建乘用车空滤器、进气道生产线，达到年产乘用车空滤器、进气道各5万套的生产能力；三期建设内容：新建SCR排气处理系统生产线，达到年产商用车SCR排气处理系统20套生产能力。</w:t>
            </w:r>
          </w:p>
          <w:p w14:paraId="2242D212">
            <w:pPr>
              <w:spacing w:line="360" w:lineRule="auto"/>
              <w:ind w:firstLine="480"/>
              <w:rPr>
                <w:rFonts w:hint="default" w:ascii="Times New Roman" w:hAnsi="Times New Roman" w:cs="Times New Roman"/>
                <w:b/>
                <w:bCs/>
                <w:sz w:val="24"/>
                <w:szCs w:val="24"/>
              </w:rPr>
            </w:pPr>
            <w:r>
              <w:rPr>
                <w:rFonts w:hint="default" w:ascii="Times New Roman" w:hAnsi="Times New Roman" w:cs="Times New Roman"/>
                <w:b/>
                <w:bCs/>
                <w:sz w:val="24"/>
                <w:szCs w:val="24"/>
              </w:rPr>
              <w:t>1、产业政策符合性</w:t>
            </w:r>
          </w:p>
          <w:p w14:paraId="2FCED41D">
            <w:pPr>
              <w:autoSpaceDE w:val="0"/>
              <w:autoSpaceDN w:val="0"/>
              <w:adjustRightInd w:val="0"/>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本项目属于汽车零部件及配件制造项目，根据《产业结构调整指导目录（2011 年本）》（修正）（2011 年 3 月 27 日国家发展和改革委员会第 9 号令公布，并根据 2013 年2 月 16 日国家发展和改革委员会第 21 号令公布的《国家发展改革委关于修改&lt;产业结构调整指导目录（2011 年本）有关条款的决定》（修正），本项目不属于鼓励类、限制类及淘汰类项目，根据《国务院关于发布实施&lt;促进产业结构调整暂行规定&gt;的决定》（国发[2005]40 号），“《产业结构调整指导目录》由鼓励、限制和淘汰三类目录组成。不属于鼓励类、限制类和淘汰类，且符合国家有关法律、法规和政策规定的，为允许类”。因此本项目属于允许类项目。同时，本项目采用的生产设备不属于淘汰类、限制类设备。</w:t>
            </w:r>
            <w:r>
              <w:rPr>
                <w:rFonts w:hint="default" w:ascii="Times New Roman" w:hAnsi="Times New Roman" w:cs="Times New Roman"/>
                <w:sz w:val="24"/>
                <w:szCs w:val="24"/>
                <w:lang w:val="en-US" w:eastAsia="zh-CN"/>
              </w:rPr>
              <w:t>项目经安居</w:t>
            </w:r>
            <w:r>
              <w:rPr>
                <w:rFonts w:hint="default" w:ascii="Times New Roman" w:hAnsi="Times New Roman" w:cs="Times New Roman"/>
                <w:sz w:val="24"/>
                <w:szCs w:val="24"/>
              </w:rPr>
              <w:t>区发展和改革局以“川投资备[</w:t>
            </w:r>
            <w:r>
              <w:rPr>
                <w:rFonts w:hint="default" w:ascii="Times New Roman" w:hAnsi="Times New Roman" w:cs="Times New Roman"/>
                <w:sz w:val="24"/>
                <w:szCs w:val="24"/>
                <w:lang w:val="en-US" w:eastAsia="zh-CN"/>
              </w:rPr>
              <w:t>2018-510904-36-03-241478</w:t>
            </w:r>
            <w:r>
              <w:rPr>
                <w:rFonts w:hint="default" w:ascii="Times New Roman" w:hAnsi="Times New Roman" w:cs="Times New Roman"/>
                <w:sz w:val="24"/>
                <w:szCs w:val="24"/>
              </w:rPr>
              <w:t>]FGQB-0</w:t>
            </w:r>
            <w:r>
              <w:rPr>
                <w:rFonts w:hint="default" w:ascii="Times New Roman" w:hAnsi="Times New Roman" w:cs="Times New Roman"/>
                <w:sz w:val="24"/>
                <w:szCs w:val="24"/>
                <w:lang w:val="en-US" w:eastAsia="zh-CN"/>
              </w:rPr>
              <w:t>002</w:t>
            </w:r>
            <w:r>
              <w:rPr>
                <w:rFonts w:hint="default" w:ascii="Times New Roman" w:hAnsi="Times New Roman" w:cs="Times New Roman"/>
                <w:sz w:val="24"/>
                <w:szCs w:val="24"/>
              </w:rPr>
              <w:t xml:space="preserve"> 号”文备案登记。</w:t>
            </w:r>
          </w:p>
          <w:p w14:paraId="0D7E9B2F">
            <w:pPr>
              <w:autoSpaceDE w:val="0"/>
              <w:autoSpaceDN w:val="0"/>
              <w:adjustRightInd w:val="0"/>
              <w:spacing w:line="360" w:lineRule="auto"/>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rPr>
              <w:t>因此，本项目建设符合国家及地方相关产业政策。</w:t>
            </w:r>
          </w:p>
          <w:p w14:paraId="13B37DE9">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lang w:val="en-US" w:eastAsia="zh-CN"/>
              </w:rPr>
              <w:t>2、</w:t>
            </w:r>
            <w:r>
              <w:rPr>
                <w:rFonts w:hint="default" w:ascii="Times New Roman" w:hAnsi="Times New Roman" w:cs="Times New Roman"/>
                <w:b/>
                <w:bCs/>
                <w:sz w:val="24"/>
                <w:szCs w:val="24"/>
              </w:rPr>
              <w:t>规划符合性</w:t>
            </w:r>
          </w:p>
          <w:p w14:paraId="3C92EE04">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（1）与安居区工业集中发展区化工工业园规划的符合性</w:t>
            </w:r>
          </w:p>
          <w:p w14:paraId="5E45E8E9">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 xml:space="preserve">四川省环境保护科学研究院已编制《遂宁市安居区化工工业园规划环境影响报告书》，并经四川省环境保护厅(局)分别以川环建函【2008】941号文批复。 </w:t>
            </w:r>
          </w:p>
          <w:p w14:paraId="425F113F">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遂宁市安居区化工工业园简介：为推动安居区工业发展，解决第二产业在国民经济中所占的比重低、工业基础薄弱问题，安居区政府于2007年9月召开的政府工作常务会议中，将工业发展的推进列为重要内容进行讨论并形成会议纪要（区人民政府二届七次常务会议纪要），确定“设立安居区化工工业园（即龙眼井化工工业园），并要求相关部门启动化工工业园的前期工作”。2008年4月，重庆大学城市规划与设计研究院编制完成了“遂宁市安居区化工工业园控制性详细规划”，确定的规划区位于安居城区东南部，西靠琼江，北到遂内高速公路连接线，东部边缘有遂内高速公路斜穿基地，规划总用地面积5.75km2。</w:t>
            </w:r>
          </w:p>
          <w:p w14:paraId="4CF4E8A2">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遂宁市安居区化工工业园规划定位为：以大中型骨干化工企业为龙头，以发展天然气化工、盐化工及各类精细化工下游产品为主的化工工业园。</w:t>
            </w:r>
          </w:p>
          <w:p w14:paraId="1558B5A9">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根据遂宁市安居区人民政府出具的遂安府函【2013】56号文件《关于调整遂宁市安居区工业集中发展区规划区域的通知》（见附件）：将原规划的遂宁市安居区工业集中发展区占地10平方公里的龙眼井精细化工园整体调整布局至西眉镇龙崩村周边，新规划的精细化工园占地面积约15平方公里，辖西眉镇竹林村、卧龙村、龙崩村、天宫村、桥亭村、矮店村、回龙村共7个村54个社。原龙眼井精细化工园用地作为汽摩机械产业拓展区。遂宁市安居区工业集中发展主要发展汽摩机械、天然气化工、服装纺织、生物食品等产业。</w:t>
            </w:r>
          </w:p>
          <w:p w14:paraId="5FBF53AA">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 xml:space="preserve">根据遂宁市安居区人民政府出具的遂安府函【2013】56号文件《关于调整遂宁市安居区工业集中发展区规划区域的通知》（见附件），本项目所在地为调整规划后的遂宁市安居区工业工业集中汽摩产业园拓展区。因此，本项目作为汽车零部件及配件制造项目入驻该园区，符合遂宁市安居区工业园区的总体规划和产业定位。 </w:t>
            </w:r>
          </w:p>
          <w:p w14:paraId="33B7AA1E">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（2）与用地规划的符合性</w:t>
            </w:r>
          </w:p>
          <w:p w14:paraId="521E8EF3">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本项目租赁安东大道南段C-03-14a地块（租赁协议见附件），位于安居区工业集中发展区汽摩产业园内，根据遂宁市安居区分区规划（2010-2030）（见附图）可知项目地规划用途为“工业用地”，本项目为国民经济行业分类里C3670 汽车零部件及配件制造，符合遂宁市安居区分区规划（2010-2030）中的用地性质规划。因此，项目在此建设，符合区域用地规划要求。</w:t>
            </w:r>
          </w:p>
          <w:p w14:paraId="368E28A7">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（3）与琼江翘嘴红鲌省级水产种植资源保护区的相容性</w:t>
            </w:r>
          </w:p>
          <w:p w14:paraId="731B307F">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项目依托的龙眼井污水处理厂尾水排口位于琼江翘嘴红鲌省级水产种植资源保护区实验区内。2008年11月，四川省环保厅以川环建[2008]941号文对四川省环境保护科学研究院编制的《遂宁市安居区化工工业园规划环境影响报告书》予以批复，其中明确规划建设园区污水处理厂（龙眼井污水处理厂），规模约1.6万m3/d，用以处理入园项目的生产废水和生活污水。因此，龙眼井污水处理厂排口设立时间在琼江翘嘴红鲌省级水产种植资源保护区设立之前，不属于新建排污口。2010年12月，四川省环保厅以川环审批[2010]203号文对龙眼井污水处理厂的环境影响报告予以批复。</w:t>
            </w:r>
          </w:p>
          <w:p w14:paraId="18DF33E7">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因此，项目的建设与琼江翘嘴红鲌省级水产种植资源保护区相容。</w:t>
            </w:r>
          </w:p>
          <w:p w14:paraId="3E6E0AA6">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（4）本项目三线一单情况分析</w:t>
            </w:r>
          </w:p>
          <w:p w14:paraId="767057F9">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a、</w:t>
            </w:r>
            <w:r>
              <w:rPr>
                <w:rFonts w:hint="default" w:ascii="Times New Roman" w:hAnsi="Times New Roman" w:cs="Times New Roman"/>
                <w:sz w:val="24"/>
                <w:szCs w:val="24"/>
                <w:lang w:val="en-US" w:eastAsia="zh-CN"/>
              </w:rPr>
              <w:t>与生态保护红线符合性分析，根据《四川省生态保护红线分布图》，本项目位于遂宁市安居区工业集中发展区汽摩产业园，不在生态红线范围内。</w:t>
            </w:r>
          </w:p>
          <w:p w14:paraId="1E6ACCD0">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b、</w:t>
            </w:r>
            <w:r>
              <w:rPr>
                <w:rFonts w:hint="default" w:ascii="Times New Roman" w:hAnsi="Times New Roman" w:cs="Times New Roman"/>
                <w:sz w:val="24"/>
                <w:szCs w:val="24"/>
                <w:lang w:val="en-US" w:eastAsia="zh-CN"/>
              </w:rPr>
              <w:t>与“环境质量底线”符合性分析，四川省中晟环保科技有限公司于2016年12月1日~12月7日、四川衡测监测股份有限公司于2018年 3月 20日~3月 21日和2018年 6月6日~6月 7日对项目所在地区进行的环境质量现状监测结果表明，项目区环境质量较好，不存在环境质量恶化的情况。</w:t>
            </w:r>
          </w:p>
          <w:p w14:paraId="5BD5B510">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c、</w:t>
            </w:r>
            <w:r>
              <w:rPr>
                <w:rFonts w:hint="default" w:ascii="Times New Roman" w:hAnsi="Times New Roman" w:cs="Times New Roman"/>
                <w:sz w:val="24"/>
                <w:szCs w:val="24"/>
                <w:lang w:val="en-US" w:eastAsia="zh-CN"/>
              </w:rPr>
              <w:t>与“资源利用上线”符合性分析，本项目属于汽车零部件及配件制造，所用土地为工业用地，由于项目生产用地属租用，因此未有新征用地。施工期涉及的水、电、原材料等材料均取自当地，不存在项目区资源过度使用的情况。</w:t>
            </w:r>
          </w:p>
          <w:p w14:paraId="41F25994">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d、</w:t>
            </w:r>
            <w:r>
              <w:rPr>
                <w:rFonts w:hint="default" w:ascii="Times New Roman" w:hAnsi="Times New Roman" w:cs="Times New Roman"/>
                <w:sz w:val="24"/>
                <w:szCs w:val="24"/>
                <w:lang w:val="en-US" w:eastAsia="zh-CN"/>
              </w:rPr>
              <w:t>环境准入负面清单，本项目属于C3670 汽车零部件及配件制造，项目不属于《产业结构调整目录（2011年本）2013修正本》中的鼓励类、限制类和淘汰类，属于允许类。该行业不属于当地环境准入负面清单行业内容。</w:t>
            </w:r>
          </w:p>
          <w:p w14:paraId="290C8332">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（5）与《中华人民共和国大气污染防治法》符合性</w:t>
            </w:r>
          </w:p>
          <w:p w14:paraId="42E4FD63">
            <w:pPr>
              <w:pStyle w:val="64"/>
              <w:numPr>
                <w:ilvl w:val="0"/>
                <w:numId w:val="0"/>
              </w:numPr>
              <w:tabs>
                <w:tab w:val="left" w:pos="1295"/>
              </w:tabs>
              <w:spacing w:before="0" w:after="0" w:line="360" w:lineRule="auto"/>
              <w:ind w:right="0" w:rightChars="0" w:firstLine="480" w:firstLineChars="200"/>
              <w:jc w:val="left"/>
              <w:rPr>
                <w:rFonts w:hint="eastAsia"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根据《中华人民共和国大气污染防治法》“第四章 大气污染防治措施/第二节工业污染防治”的相关要求，本项目</w:t>
            </w:r>
            <w:r>
              <w:rPr>
                <w:rFonts w:hint="eastAsia" w:ascii="Times New Roman" w:hAnsi="Times New Roman" w:cs="Times New Roman"/>
                <w:sz w:val="24"/>
                <w:szCs w:val="24"/>
                <w:lang w:val="en-US" w:eastAsia="zh-CN"/>
              </w:rPr>
              <w:t>所用原料挥发性有机物含量符合标准，并按要求采取了相关措施减少废气排放。</w:t>
            </w:r>
          </w:p>
          <w:p w14:paraId="30213702">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（6）与《重点区域大气污染防治“十二五”规划四川省实施方案》（川府函〔2013〕181号）符合性</w:t>
            </w:r>
          </w:p>
          <w:p w14:paraId="7D1A094E">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重点区域大气污染防治“十二五”规划四川省实施方案》要求：“新、改、扩建项目排放挥发性有机物的车间有机废气的收集率应大于90%，安装废气回收/净化装置；排放挥发性有机物的生产工序要在密闭空间或设备中实施，产生的含挥发性有机物废气需进行净化处理，净化效率不低于90%”。本项目注塑、吹塑和注胶工序上方设置集气罩，采用多级阶梯式活性炭吸附处理，其处理效率90%，符合《重点区域大气污染防治“十二五”规划四川省实施方案》（川府函〔2013181号）中有关要求。</w:t>
            </w:r>
          </w:p>
          <w:p w14:paraId="684140EE">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7）与《挥发性有机物（VOCs）污染防治技术政策》（环境保护部公告2013年第31号）、《四川省人民政府办公厅关于加强灰霾污染防治的通知》（川办发〔2013〕32号）、《四川省灰霾污染防治办法》（四川省人民政府令第288号）符合性。</w:t>
            </w:r>
          </w:p>
          <w:p w14:paraId="24B05634">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①《挥发性有机物（VOCs）污染防治技术政策》（环境保护部公告2013年第31号）要求：“含VOCs产品的使用过程中，应采取废气收集措施，提高废气收集效率，减少废气的无组织排放与逸散，并对收集后的废气进行回收或处理后达标排放…”。本项目注塑、吹塑和注胶工序在设备上方设置集气罩以减少无组织废气排放，收集的有机废气采取多级阶梯式活性炭吸附处理，处理效率90%，符合《挥发性有机物（VOCs）污染防治技术政策》（环境保护部公告2013年第31号）中相关要求。</w:t>
            </w:r>
          </w:p>
          <w:p w14:paraId="58CD5AA2">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②《四川省人民政府办公厅关于加强灰霾污染防治的通知》（川办发〔2013〕32号）指出：“加强重点行业污染治理。...突出抓好脱硫、脱硝、除尘、挥发性有机污染物等治理任务...大力削减挥发性有机物排放。”本项目生产过程中产生的挥发性有机废气均采取措施进行有效削减，符合《四川省人民政府办公厅关于加强灰霾污染防治的通知》（川办发〔2013〕32号）相关要求。</w:t>
            </w:r>
          </w:p>
          <w:p w14:paraId="0A79396C">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③《四川省灰霾污染防治办法》（四川省人民政府令第288号）要求：“生产、销售、使用含有挥发性有机物的原材料和产品的，其挥发性有机物含量应当符合规定的限值标准；…使用挥发性有机物应当在密闭环境中进行作业，并安装污染治理设备和废气收集系统，保证其正常使用。”本项目使用的注胶AB料等的挥发有机物含量均符合相应标准，搅拌罐上方设置集气罩进行收集废气，并安装活性炭吸附装置，符合《四川省灰霾污染防治实施方案》（四川省人民政府令第288号）相关要求。</w:t>
            </w:r>
          </w:p>
          <w:p w14:paraId="41906EC4">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（8）与《“十三五”挥发性有机物污染防治工作方案》的符合性分析</w:t>
            </w:r>
          </w:p>
          <w:p w14:paraId="4231A249">
            <w:pPr>
              <w:pStyle w:val="64"/>
              <w:numPr>
                <w:ilvl w:val="0"/>
                <w:numId w:val="0"/>
              </w:numPr>
              <w:tabs>
                <w:tab w:val="left" w:pos="1295"/>
              </w:tabs>
              <w:spacing w:before="0" w:after="0" w:line="360" w:lineRule="auto"/>
              <w:ind w:right="0" w:rightChars="0" w:firstLine="480" w:firstLineChars="200"/>
              <w:jc w:val="left"/>
              <w:rPr>
                <w:rFonts w:hint="default" w:ascii="Times New Roman" w:hAnsi="Times New Roman" w:cs="Times New Roman"/>
                <w:sz w:val="24"/>
                <w:szCs w:val="24"/>
              </w:rPr>
            </w:pPr>
            <w:r>
              <w:rPr>
                <w:rFonts w:hint="default" w:ascii="Times New Roman" w:hAnsi="Times New Roman" w:cs="Times New Roman"/>
                <w:sz w:val="24"/>
                <w:szCs w:val="24"/>
                <w:lang w:val="en-US" w:eastAsia="zh-CN"/>
              </w:rPr>
              <w:t>2017年9月4日国家环境保护部发布了《“十三五”挥发性有机物污染防治工作方案》其中提到：涉VOCs排放的“散乱污”企业主要为涂料、油墨、合成革、橡胶制品、塑料制品、化纤生产等化工企业，使用溶剂型涂料、油墨、胶粘剂和其他有机溶剂的印刷、家具、钢结构、人造板、注塑等制造加工企业，以及露天喷涂汽车维修作业等。本项目为汽车零部件加工项目，且为新建项目，生产过程中使用有注胶AB料，本次建设设有有机废气的收集处理装置，评价要求企业严格管理项目废气治理措施，严禁企业“散排”、“乱排”，符合《“十三五”挥发性有机物污染防治工作方案》中加快推进“散乱污”企业综合整治工作。</w:t>
            </w:r>
          </w:p>
          <w:p w14:paraId="52CBC241">
            <w:pPr>
              <w:numPr>
                <w:ilvl w:val="0"/>
                <w:numId w:val="3"/>
              </w:numPr>
              <w:snapToGrid w:val="0"/>
              <w:spacing w:line="360" w:lineRule="auto"/>
              <w:ind w:left="0" w:leftChars="0" w:firstLine="480" w:firstLineChars="0"/>
              <w:rPr>
                <w:rFonts w:hint="default" w:ascii="Times New Roman" w:hAnsi="Times New Roman" w:cs="Times New Roman"/>
                <w:b/>
                <w:bCs/>
                <w:sz w:val="24"/>
                <w:szCs w:val="24"/>
              </w:rPr>
            </w:pPr>
            <w:r>
              <w:rPr>
                <w:rFonts w:hint="default" w:ascii="Times New Roman" w:hAnsi="Times New Roman" w:cs="Times New Roman"/>
                <w:b/>
                <w:bCs/>
                <w:sz w:val="24"/>
                <w:szCs w:val="24"/>
              </w:rPr>
              <w:t>选址合理性及外环境相容性</w:t>
            </w:r>
          </w:p>
          <w:p w14:paraId="73B00142">
            <w:pPr>
              <w:spacing w:line="360" w:lineRule="auto"/>
              <w:ind w:firstLine="480" w:firstLineChars="200"/>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本项目位于安居区工业集中发展区汽摩产业园内，园区配套的给水、排水、供电、供气设施完善，且周边交通便利，为项目建设提供了良好的基础条件。</w:t>
            </w:r>
          </w:p>
          <w:p w14:paraId="31FB1DC0">
            <w:pPr>
              <w:spacing w:line="360" w:lineRule="auto"/>
              <w:ind w:firstLine="480" w:firstLineChars="200"/>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本项目选址于园区的工业用地上，符合用地规划。</w:t>
            </w:r>
          </w:p>
          <w:p w14:paraId="2A4E9646">
            <w:pPr>
              <w:spacing w:line="360" w:lineRule="auto"/>
              <w:ind w:firstLine="480" w:firstLineChars="200"/>
              <w:rPr>
                <w:rFonts w:hint="default" w:ascii="Times New Roman" w:hAnsi="Times New Roman" w:cs="Times New Roman"/>
                <w:sz w:val="24"/>
                <w:szCs w:val="24"/>
              </w:rPr>
            </w:pPr>
            <w:r>
              <w:rPr>
                <w:rFonts w:hint="eastAsia" w:cs="Times New Roman"/>
                <w:b w:val="0"/>
                <w:bCs w:val="0"/>
                <w:color w:val="auto"/>
                <w:sz w:val="24"/>
                <w:szCs w:val="24"/>
                <w:lang w:val="en-US" w:eastAsia="zh-CN"/>
              </w:rPr>
              <w:t>从项目外环境看，地块周边</w:t>
            </w:r>
            <w:r>
              <w:rPr>
                <w:rFonts w:hint="default" w:ascii="Times New Roman" w:hAnsi="Times New Roman" w:cs="Times New Roman"/>
                <w:b w:val="0"/>
                <w:bCs w:val="0"/>
                <w:color w:val="auto"/>
                <w:sz w:val="24"/>
                <w:szCs w:val="24"/>
                <w:lang w:val="en-US" w:eastAsia="zh-CN"/>
              </w:rPr>
              <w:t>分布有</w:t>
            </w:r>
            <w:r>
              <w:rPr>
                <w:rFonts w:hint="eastAsia" w:cs="Times New Roman"/>
                <w:b w:val="0"/>
                <w:bCs w:val="0"/>
                <w:color w:val="auto"/>
                <w:sz w:val="24"/>
                <w:szCs w:val="24"/>
                <w:lang w:val="en-US" w:eastAsia="zh-CN"/>
              </w:rPr>
              <w:t>四川讴神机械制造有限公司</w:t>
            </w:r>
            <w:r>
              <w:rPr>
                <w:rFonts w:hint="default" w:ascii="Times New Roman" w:hAnsi="Times New Roman" w:cs="Times New Roman"/>
                <w:b w:val="0"/>
                <w:bCs w:val="0"/>
                <w:color w:val="auto"/>
                <w:sz w:val="24"/>
                <w:szCs w:val="24"/>
                <w:lang w:val="en-US" w:eastAsia="zh-CN"/>
              </w:rPr>
              <w:t>、</w:t>
            </w:r>
            <w:r>
              <w:rPr>
                <w:rFonts w:hint="eastAsia" w:cs="Times New Roman"/>
                <w:b w:val="0"/>
                <w:bCs w:val="0"/>
                <w:color w:val="auto"/>
                <w:sz w:val="24"/>
                <w:szCs w:val="24"/>
                <w:lang w:val="en-US" w:eastAsia="zh-CN"/>
              </w:rPr>
              <w:t>四川丰科汽车部件有限公司</w:t>
            </w:r>
            <w:r>
              <w:rPr>
                <w:rFonts w:hint="default" w:ascii="Times New Roman" w:hAnsi="Times New Roman" w:cs="Times New Roman"/>
                <w:b w:val="0"/>
                <w:bCs w:val="0"/>
                <w:color w:val="auto"/>
                <w:sz w:val="24"/>
                <w:szCs w:val="24"/>
                <w:lang w:val="en-US" w:eastAsia="zh-CN"/>
              </w:rPr>
              <w:t>、</w:t>
            </w:r>
            <w:r>
              <w:rPr>
                <w:rFonts w:hint="eastAsia" w:cs="Times New Roman"/>
                <w:b w:val="0"/>
                <w:bCs w:val="0"/>
                <w:color w:val="auto"/>
                <w:sz w:val="24"/>
                <w:szCs w:val="24"/>
                <w:lang w:val="en-US" w:eastAsia="zh-CN"/>
              </w:rPr>
              <w:t>江淮汽车</w:t>
            </w:r>
            <w:r>
              <w:rPr>
                <w:rFonts w:hint="default" w:ascii="Times New Roman" w:hAnsi="Times New Roman" w:cs="Times New Roman"/>
                <w:b w:val="0"/>
                <w:bCs w:val="0"/>
                <w:color w:val="auto"/>
                <w:sz w:val="24"/>
                <w:szCs w:val="24"/>
                <w:lang w:val="en-US" w:eastAsia="zh-CN"/>
              </w:rPr>
              <w:t>、</w:t>
            </w:r>
            <w:r>
              <w:rPr>
                <w:rFonts w:hint="eastAsia" w:cs="Times New Roman"/>
                <w:b w:val="0"/>
                <w:bCs w:val="0"/>
                <w:color w:val="auto"/>
                <w:sz w:val="24"/>
                <w:szCs w:val="24"/>
                <w:lang w:val="en-US" w:eastAsia="zh-CN"/>
              </w:rPr>
              <w:t>云内</w:t>
            </w:r>
            <w:r>
              <w:rPr>
                <w:rFonts w:hint="default" w:ascii="Times New Roman" w:hAnsi="Times New Roman" w:cs="Times New Roman"/>
                <w:b w:val="0"/>
                <w:bCs w:val="0"/>
                <w:color w:val="auto"/>
                <w:sz w:val="24"/>
                <w:szCs w:val="24"/>
                <w:lang w:val="en-US" w:eastAsia="zh-CN"/>
              </w:rPr>
              <w:t>机械等已建企业以及规划工业用地，均属于汽车及汽车用零部件生产企业，属于</w:t>
            </w:r>
            <w:r>
              <w:rPr>
                <w:rFonts w:hint="eastAsia" w:cs="Times New Roman"/>
                <w:b w:val="0"/>
                <w:bCs w:val="0"/>
                <w:color w:val="auto"/>
                <w:sz w:val="24"/>
                <w:szCs w:val="24"/>
                <w:lang w:val="en-US" w:eastAsia="zh-CN"/>
              </w:rPr>
              <w:t>汽车制造</w:t>
            </w:r>
            <w:r>
              <w:rPr>
                <w:rFonts w:hint="default" w:ascii="Times New Roman" w:hAnsi="Times New Roman" w:cs="Times New Roman"/>
                <w:b w:val="0"/>
                <w:bCs w:val="0"/>
                <w:color w:val="auto"/>
                <w:sz w:val="24"/>
                <w:szCs w:val="24"/>
                <w:lang w:val="en-US" w:eastAsia="zh-CN"/>
              </w:rPr>
              <w:t>行业，彼此之间对环境无特殊要求。本项目西侧为紧邻园区道路；西侧</w:t>
            </w:r>
            <w:r>
              <w:rPr>
                <w:rFonts w:hint="eastAsia" w:cs="Times New Roman"/>
                <w:b w:val="0"/>
                <w:bCs w:val="0"/>
                <w:color w:val="auto"/>
                <w:sz w:val="24"/>
                <w:szCs w:val="24"/>
                <w:lang w:val="en-US" w:eastAsia="zh-CN"/>
              </w:rPr>
              <w:t>750</w:t>
            </w:r>
            <w:r>
              <w:rPr>
                <w:rFonts w:hint="default" w:ascii="Times New Roman" w:hAnsi="Times New Roman" w:cs="Times New Roman"/>
                <w:b w:val="0"/>
                <w:bCs w:val="0"/>
                <w:color w:val="auto"/>
                <w:sz w:val="24"/>
                <w:szCs w:val="24"/>
                <w:lang w:val="en-US" w:eastAsia="zh-CN"/>
              </w:rPr>
              <w:t>m处为琼江，属于琼江翘嘴红鲌省级水产种植资源保护区实验区</w:t>
            </w:r>
            <w:r>
              <w:rPr>
                <w:rFonts w:hint="eastAsia" w:cs="Times New Roman"/>
                <w:b w:val="0"/>
                <w:bCs w:val="0"/>
                <w:color w:val="auto"/>
                <w:sz w:val="24"/>
                <w:szCs w:val="24"/>
                <w:lang w:val="en-US" w:eastAsia="zh-CN"/>
              </w:rPr>
              <w:t>。</w:t>
            </w:r>
            <w:r>
              <w:rPr>
                <w:rFonts w:hint="default" w:ascii="Times New Roman" w:hAnsi="Times New Roman" w:cs="Times New Roman"/>
                <w:b w:val="0"/>
                <w:bCs w:val="0"/>
                <w:color w:val="auto"/>
                <w:sz w:val="24"/>
                <w:szCs w:val="24"/>
                <w:lang w:val="en-US" w:eastAsia="zh-CN"/>
              </w:rPr>
              <w:t>由附图2本项目外环境关系图及附图3厂区平面布置图可知，目前项目周围企业以汽车零部件制造企业为主，项目地块周边 200m 范围内无居民集中居住点、学校、医院、文物保护、风景名胜等环境敏感目标存在。本项目选址与园区发展规划相符，与周围环境具有相容性。</w:t>
            </w:r>
          </w:p>
          <w:p w14:paraId="73D1E5B5">
            <w:pPr>
              <w:spacing w:line="360" w:lineRule="auto"/>
              <w:ind w:firstLine="482" w:firstLineChars="200"/>
              <w:rPr>
                <w:rFonts w:hint="default" w:ascii="Times New Roman" w:hAnsi="Times New Roman" w:cs="Times New Roman"/>
                <w:b/>
                <w:bCs/>
                <w:sz w:val="24"/>
                <w:szCs w:val="24"/>
              </w:rPr>
            </w:pPr>
            <w:r>
              <w:rPr>
                <w:rFonts w:hint="default" w:ascii="Times New Roman" w:hAnsi="Times New Roman" w:cs="Times New Roman"/>
                <w:b/>
                <w:bCs/>
                <w:sz w:val="24"/>
                <w:szCs w:val="24"/>
              </w:rPr>
              <w:t>4、环境质量现状结论</w:t>
            </w:r>
          </w:p>
          <w:p w14:paraId="070BB08A">
            <w:pPr>
              <w:spacing w:line="360" w:lineRule="auto"/>
              <w:ind w:firstLine="360" w:firstLineChars="150"/>
              <w:rPr>
                <w:rFonts w:hint="default" w:ascii="Times New Roman" w:hAnsi="Times New Roman" w:cs="Times New Roman"/>
                <w:sz w:val="24"/>
                <w:szCs w:val="24"/>
              </w:rPr>
            </w:pPr>
            <w:r>
              <w:rPr>
                <w:rFonts w:hint="default" w:ascii="Times New Roman" w:hAnsi="Times New Roman" w:cs="Times New Roman"/>
                <w:sz w:val="24"/>
                <w:szCs w:val="24"/>
              </w:rPr>
              <w:t>（1）大气环境质量</w:t>
            </w:r>
          </w:p>
          <w:p w14:paraId="3964CD3B">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项目所在区域环境空气中SO</w:t>
            </w:r>
            <w:r>
              <w:rPr>
                <w:rFonts w:hint="default" w:ascii="Times New Roman" w:hAnsi="Times New Roman" w:cs="Times New Roman"/>
                <w:sz w:val="24"/>
                <w:szCs w:val="24"/>
                <w:vertAlign w:val="subscript"/>
              </w:rPr>
              <w:t>2</w:t>
            </w:r>
            <w:r>
              <w:rPr>
                <w:rFonts w:hint="default" w:ascii="Times New Roman" w:hAnsi="Times New Roman" w:cs="Times New Roman"/>
                <w:sz w:val="24"/>
                <w:szCs w:val="24"/>
              </w:rPr>
              <w:t>、NO</w:t>
            </w:r>
            <w:r>
              <w:rPr>
                <w:rFonts w:hint="default" w:ascii="Times New Roman" w:hAnsi="Times New Roman" w:cs="Times New Roman"/>
                <w:sz w:val="24"/>
                <w:szCs w:val="24"/>
                <w:vertAlign w:val="subscript"/>
              </w:rPr>
              <w:t>2</w:t>
            </w: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PM10、甲苯、二甲苯、TVOC</w:t>
            </w:r>
            <w:r>
              <w:rPr>
                <w:rFonts w:hint="default" w:ascii="Times New Roman" w:hAnsi="Times New Roman" w:cs="Times New Roman"/>
                <w:sz w:val="24"/>
                <w:szCs w:val="24"/>
              </w:rPr>
              <w:t>标准指数均小于1.0，超标率为0，可以达到《环境空气质量标准》（GB3095-2012）二级标准</w:t>
            </w:r>
            <w:r>
              <w:rPr>
                <w:rFonts w:hint="default" w:ascii="Times New Roman" w:hAnsi="Times New Roman" w:cs="Times New Roman"/>
                <w:sz w:val="24"/>
                <w:szCs w:val="24"/>
                <w:lang w:val="en-US" w:eastAsia="zh-CN"/>
              </w:rPr>
              <w:t>以及《室内空气质量标准》（GB-T18883-2002）</w:t>
            </w:r>
            <w:r>
              <w:rPr>
                <w:rFonts w:hint="default" w:ascii="Times New Roman" w:hAnsi="Times New Roman" w:cs="Times New Roman"/>
                <w:sz w:val="24"/>
                <w:szCs w:val="24"/>
              </w:rPr>
              <w:t>。因此，项目所在地环境空气质量良好。</w:t>
            </w:r>
          </w:p>
          <w:p w14:paraId="52E394E5">
            <w:pPr>
              <w:spacing w:line="360" w:lineRule="auto"/>
              <w:ind w:firstLine="360" w:firstLineChars="150"/>
              <w:rPr>
                <w:rFonts w:hint="default" w:ascii="Times New Roman" w:hAnsi="Times New Roman" w:cs="Times New Roman"/>
                <w:sz w:val="24"/>
                <w:szCs w:val="24"/>
              </w:rPr>
            </w:pPr>
            <w:r>
              <w:rPr>
                <w:rFonts w:hint="default" w:ascii="Times New Roman" w:hAnsi="Times New Roman" w:cs="Times New Roman"/>
                <w:sz w:val="24"/>
                <w:szCs w:val="24"/>
              </w:rPr>
              <w:t>（2）地表水环境质量</w:t>
            </w:r>
          </w:p>
          <w:p w14:paraId="1718578E">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评价河段各监测断面各监测项目均未出现超标，单项指数值均小于等于1，满足《地表水环境质量标准》（GB3838-2002）Ⅲ类水域标准。</w:t>
            </w:r>
          </w:p>
          <w:p w14:paraId="5AD6CCAA">
            <w:pPr>
              <w:spacing w:line="360" w:lineRule="auto"/>
              <w:ind w:firstLine="360" w:firstLineChars="150"/>
              <w:rPr>
                <w:rFonts w:hint="default" w:ascii="Times New Roman" w:hAnsi="Times New Roman" w:cs="Times New Roman"/>
                <w:sz w:val="24"/>
                <w:szCs w:val="24"/>
              </w:rPr>
            </w:pPr>
            <w:r>
              <w:rPr>
                <w:rFonts w:hint="default" w:ascii="Times New Roman" w:hAnsi="Times New Roman" w:cs="Times New Roman"/>
                <w:sz w:val="24"/>
                <w:szCs w:val="24"/>
              </w:rPr>
              <w:t>（3）声环境质量</w:t>
            </w:r>
          </w:p>
          <w:p w14:paraId="5F4529DF">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本项目厂界噪声均能达到《工业企业厂界环境噪声排放标准》（GB12348-2008）3类标准，可以实现达标排放，项目所在地声环境质量良好。</w:t>
            </w:r>
          </w:p>
          <w:p w14:paraId="475B0BF5">
            <w:pPr>
              <w:keepNext w:val="0"/>
              <w:keepLines w:val="0"/>
              <w:suppressLineNumbers w:val="0"/>
              <w:spacing w:before="0" w:beforeAutospacing="0" w:after="0" w:afterAutospacing="0" w:line="360" w:lineRule="auto"/>
              <w:ind w:left="0" w:right="0" w:firstLine="482" w:firstLineChars="200"/>
              <w:rPr>
                <w:rFonts w:hint="default" w:ascii="宋体" w:hAnsi="宋体"/>
                <w:b/>
                <w:color w:val="auto"/>
                <w:sz w:val="24"/>
              </w:rPr>
            </w:pPr>
            <w:r>
              <w:rPr>
                <w:rFonts w:hint="default"/>
                <w:b/>
                <w:color w:val="auto"/>
                <w:sz w:val="24"/>
              </w:rPr>
              <w:t>5</w:t>
            </w:r>
            <w:r>
              <w:rPr>
                <w:rFonts w:hint="eastAsia"/>
                <w:b/>
                <w:color w:val="auto"/>
                <w:sz w:val="24"/>
              </w:rPr>
              <w:t>、</w:t>
            </w:r>
            <w:r>
              <w:rPr>
                <w:rFonts w:hint="default" w:ascii="宋体" w:hAnsi="宋体"/>
                <w:b/>
                <w:color w:val="auto"/>
                <w:sz w:val="24"/>
              </w:rPr>
              <w:t>污染治理措施的合理性和有效性</w:t>
            </w:r>
          </w:p>
          <w:p w14:paraId="613A83BF">
            <w:pPr>
              <w:keepNext w:val="0"/>
              <w:keepLines w:val="0"/>
              <w:suppressLineNumbers w:val="0"/>
              <w:spacing w:before="0" w:beforeAutospacing="0" w:after="0" w:afterAutospacing="0" w:line="360" w:lineRule="auto"/>
              <w:ind w:left="0" w:right="0" w:firstLine="361" w:firstLineChars="150"/>
              <w:rPr>
                <w:rFonts w:hint="default"/>
                <w:b/>
                <w:color w:val="auto"/>
                <w:sz w:val="24"/>
                <w:szCs w:val="24"/>
              </w:rPr>
            </w:pPr>
            <w:r>
              <w:rPr>
                <w:rFonts w:hint="eastAsia"/>
                <w:b/>
                <w:color w:val="auto"/>
                <w:sz w:val="24"/>
                <w:szCs w:val="24"/>
              </w:rPr>
              <w:t>（</w:t>
            </w:r>
            <w:r>
              <w:rPr>
                <w:rFonts w:hint="default"/>
                <w:b/>
                <w:color w:val="auto"/>
                <w:sz w:val="24"/>
                <w:szCs w:val="24"/>
              </w:rPr>
              <w:t>1</w:t>
            </w:r>
            <w:r>
              <w:rPr>
                <w:rFonts w:hint="eastAsia"/>
                <w:b/>
                <w:color w:val="auto"/>
                <w:sz w:val="24"/>
                <w:szCs w:val="24"/>
              </w:rPr>
              <w:t>）施工期</w:t>
            </w:r>
          </w:p>
          <w:p w14:paraId="57F19715">
            <w:pPr>
              <w:keepNext w:val="0"/>
              <w:keepLines w:val="0"/>
              <w:suppressLineNumbers w:val="0"/>
              <w:autoSpaceDE w:val="0"/>
              <w:autoSpaceDN w:val="0"/>
              <w:spacing w:before="0" w:beforeAutospacing="0" w:after="0" w:afterAutospacing="0" w:line="360" w:lineRule="auto"/>
              <w:ind w:left="0" w:right="0" w:firstLine="482" w:firstLineChars="200"/>
              <w:rPr>
                <w:rFonts w:hint="default"/>
                <w:b/>
                <w:color w:val="auto"/>
                <w:sz w:val="24"/>
                <w:szCs w:val="24"/>
              </w:rPr>
            </w:pPr>
            <w:r>
              <w:rPr>
                <w:rFonts w:hint="eastAsia"/>
                <w:b/>
                <w:color w:val="auto"/>
                <w:sz w:val="24"/>
                <w:szCs w:val="24"/>
              </w:rPr>
              <w:t>①大气环境影响分析</w:t>
            </w:r>
          </w:p>
          <w:p w14:paraId="26BD12A1">
            <w:pPr>
              <w:keepNext w:val="0"/>
              <w:keepLines w:val="0"/>
              <w:suppressLineNumbers w:val="0"/>
              <w:spacing w:before="0" w:beforeAutospacing="0" w:after="0" w:afterAutospacing="0" w:line="360" w:lineRule="auto"/>
              <w:ind w:left="0" w:right="0" w:firstLine="480" w:firstLineChars="200"/>
              <w:rPr>
                <w:rFonts w:hint="default"/>
                <w:color w:val="auto"/>
                <w:sz w:val="24"/>
                <w:szCs w:val="24"/>
              </w:rPr>
            </w:pPr>
            <w:r>
              <w:rPr>
                <w:rFonts w:hint="eastAsia"/>
                <w:color w:val="auto"/>
                <w:sz w:val="24"/>
                <w:szCs w:val="24"/>
              </w:rPr>
              <w:t>施工过程制定合理的施工方案，严格做到文明施工，定期对地面洒水，采取湿法作业等</w:t>
            </w:r>
            <w:r>
              <w:rPr>
                <w:rFonts w:hint="default" w:ascii="宋体" w:hAnsi="宋体"/>
                <w:color w:val="auto"/>
                <w:sz w:val="24"/>
                <w:szCs w:val="24"/>
              </w:rPr>
              <w:t>防治措施，加强</w:t>
            </w:r>
            <w:r>
              <w:rPr>
                <w:rFonts w:hint="eastAsia" w:ascii="宋体" w:hAnsi="宋体"/>
                <w:color w:val="auto"/>
                <w:sz w:val="24"/>
                <w:szCs w:val="24"/>
              </w:rPr>
              <w:t>施工管理，</w:t>
            </w:r>
            <w:r>
              <w:rPr>
                <w:rFonts w:hint="eastAsia"/>
                <w:color w:val="auto"/>
                <w:sz w:val="24"/>
                <w:szCs w:val="24"/>
              </w:rPr>
              <w:t>将</w:t>
            </w:r>
            <w:r>
              <w:rPr>
                <w:rFonts w:hint="default"/>
                <w:color w:val="auto"/>
                <w:sz w:val="24"/>
                <w:szCs w:val="24"/>
              </w:rPr>
              <w:t>有效抑制扬尘</w:t>
            </w:r>
            <w:r>
              <w:rPr>
                <w:rFonts w:hint="eastAsia"/>
                <w:color w:val="auto"/>
                <w:sz w:val="24"/>
                <w:szCs w:val="24"/>
              </w:rPr>
              <w:t>产生</w:t>
            </w:r>
            <w:r>
              <w:rPr>
                <w:rFonts w:hint="default"/>
                <w:color w:val="auto"/>
                <w:sz w:val="24"/>
                <w:szCs w:val="24"/>
              </w:rPr>
              <w:t>，防止</w:t>
            </w:r>
            <w:r>
              <w:rPr>
                <w:rFonts w:hint="eastAsia"/>
                <w:color w:val="auto"/>
                <w:sz w:val="24"/>
                <w:szCs w:val="24"/>
              </w:rPr>
              <w:t>施工扬尘</w:t>
            </w:r>
            <w:r>
              <w:rPr>
                <w:rFonts w:hint="default"/>
                <w:color w:val="auto"/>
                <w:sz w:val="24"/>
                <w:szCs w:val="24"/>
              </w:rPr>
              <w:t>对</w:t>
            </w:r>
            <w:r>
              <w:rPr>
                <w:rFonts w:hint="eastAsia"/>
                <w:color w:val="auto"/>
                <w:sz w:val="24"/>
                <w:szCs w:val="24"/>
              </w:rPr>
              <w:t>区域</w:t>
            </w:r>
            <w:r>
              <w:rPr>
                <w:rFonts w:hint="default"/>
                <w:color w:val="auto"/>
                <w:sz w:val="24"/>
                <w:szCs w:val="24"/>
              </w:rPr>
              <w:t>大气环境</w:t>
            </w:r>
            <w:r>
              <w:rPr>
                <w:rFonts w:hint="eastAsia"/>
                <w:color w:val="auto"/>
                <w:sz w:val="24"/>
                <w:szCs w:val="24"/>
              </w:rPr>
              <w:t>的</w:t>
            </w:r>
            <w:r>
              <w:rPr>
                <w:rFonts w:hint="default"/>
                <w:color w:val="auto"/>
                <w:sz w:val="24"/>
                <w:szCs w:val="24"/>
              </w:rPr>
              <w:t>影响。</w:t>
            </w:r>
          </w:p>
          <w:p w14:paraId="7A7C5B17">
            <w:pPr>
              <w:keepNext w:val="0"/>
              <w:keepLines w:val="0"/>
              <w:suppressLineNumbers w:val="0"/>
              <w:spacing w:before="0" w:beforeAutospacing="0" w:after="0" w:afterAutospacing="0" w:line="360" w:lineRule="auto"/>
              <w:ind w:left="0" w:right="0" w:firstLine="480" w:firstLineChars="200"/>
              <w:rPr>
                <w:rFonts w:hint="default"/>
                <w:color w:val="auto"/>
                <w:sz w:val="24"/>
                <w:szCs w:val="24"/>
              </w:rPr>
            </w:pPr>
            <w:r>
              <w:rPr>
                <w:rFonts w:hint="eastAsia"/>
                <w:color w:val="auto"/>
                <w:sz w:val="24"/>
                <w:szCs w:val="24"/>
              </w:rPr>
              <w:t>装修废气主要产生于室外装修阶段，由于其排放周期短，作业点分散，加强室内的通风换气，对</w:t>
            </w:r>
            <w:r>
              <w:rPr>
                <w:rFonts w:hint="default"/>
                <w:color w:val="auto"/>
                <w:sz w:val="24"/>
                <w:szCs w:val="24"/>
              </w:rPr>
              <w:t>周围环境的影响很小。</w:t>
            </w:r>
          </w:p>
          <w:p w14:paraId="74E9A4DF">
            <w:pPr>
              <w:keepNext w:val="0"/>
              <w:keepLines w:val="0"/>
              <w:suppressLineNumbers w:val="0"/>
              <w:autoSpaceDE w:val="0"/>
              <w:autoSpaceDN w:val="0"/>
              <w:spacing w:before="0" w:beforeAutospacing="0" w:after="0" w:afterAutospacing="0" w:line="360" w:lineRule="auto"/>
              <w:ind w:left="0" w:right="0" w:firstLine="482" w:firstLineChars="200"/>
              <w:rPr>
                <w:rFonts w:hint="default"/>
                <w:b/>
                <w:color w:val="auto"/>
                <w:sz w:val="24"/>
                <w:szCs w:val="24"/>
              </w:rPr>
            </w:pPr>
            <w:r>
              <w:rPr>
                <w:rFonts w:hint="eastAsia"/>
                <w:b/>
                <w:color w:val="auto"/>
                <w:sz w:val="24"/>
                <w:szCs w:val="24"/>
              </w:rPr>
              <w:t>②地表水环境影响分析</w:t>
            </w:r>
          </w:p>
          <w:p w14:paraId="15D7B8D8">
            <w:pPr>
              <w:pStyle w:val="61"/>
              <w:keepNext w:val="0"/>
              <w:keepLines w:val="0"/>
              <w:suppressLineNumbers w:val="0"/>
              <w:tabs>
                <w:tab w:val="left" w:pos="7085"/>
              </w:tabs>
              <w:spacing w:before="0" w:beforeAutospacing="0" w:after="0" w:afterAutospacing="0" w:line="360" w:lineRule="auto"/>
              <w:ind w:left="0" w:right="0" w:firstLine="480" w:firstLineChars="200"/>
              <w:rPr>
                <w:rFonts w:hint="default" w:ascii="Times New Roman" w:eastAsia="宋体"/>
                <w:b w:val="0"/>
                <w:color w:val="auto"/>
                <w:kern w:val="2"/>
                <w:sz w:val="24"/>
                <w:szCs w:val="24"/>
              </w:rPr>
            </w:pPr>
            <w:r>
              <w:rPr>
                <w:rFonts w:hint="eastAsia" w:ascii="Times New Roman" w:eastAsia="宋体"/>
                <w:b w:val="0"/>
                <w:color w:val="auto"/>
                <w:kern w:val="2"/>
                <w:sz w:val="24"/>
                <w:szCs w:val="24"/>
              </w:rPr>
              <w:t>施工期</w:t>
            </w:r>
            <w:r>
              <w:rPr>
                <w:rFonts w:hint="default" w:ascii="Times New Roman" w:eastAsia="宋体"/>
                <w:b w:val="0"/>
                <w:color w:val="auto"/>
                <w:kern w:val="2"/>
                <w:sz w:val="24"/>
                <w:szCs w:val="24"/>
              </w:rPr>
              <w:t>生活污水</w:t>
            </w:r>
            <w:r>
              <w:rPr>
                <w:rFonts w:hint="eastAsia" w:ascii="Times New Roman" w:eastAsia="宋体"/>
                <w:b w:val="0"/>
                <w:color w:val="auto"/>
                <w:kern w:val="2"/>
                <w:sz w:val="24"/>
                <w:szCs w:val="24"/>
              </w:rPr>
              <w:t>经厂区预处理池处理后排入</w:t>
            </w:r>
            <w:r>
              <w:rPr>
                <w:rFonts w:hint="default" w:ascii="Times New Roman" w:eastAsia="宋体"/>
                <w:b w:val="0"/>
                <w:color w:val="auto"/>
                <w:kern w:val="2"/>
                <w:sz w:val="24"/>
                <w:szCs w:val="24"/>
              </w:rPr>
              <w:t>园区污水管网</w:t>
            </w:r>
            <w:r>
              <w:rPr>
                <w:rFonts w:hint="eastAsia" w:ascii="Times New Roman" w:eastAsia="宋体"/>
                <w:b w:val="0"/>
                <w:color w:val="auto"/>
                <w:kern w:val="2"/>
                <w:sz w:val="24"/>
                <w:szCs w:val="24"/>
              </w:rPr>
              <w:t>。采取</w:t>
            </w:r>
            <w:r>
              <w:rPr>
                <w:rFonts w:hint="default" w:ascii="Times New Roman" w:eastAsia="宋体"/>
                <w:b w:val="0"/>
                <w:color w:val="auto"/>
                <w:kern w:val="2"/>
                <w:sz w:val="24"/>
                <w:szCs w:val="24"/>
              </w:rPr>
              <w:t>上述治理措施后，施工期废水可实现达标排放，不会对地表水环境造成影响。</w:t>
            </w:r>
          </w:p>
          <w:p w14:paraId="66E5CECF">
            <w:pPr>
              <w:keepNext w:val="0"/>
              <w:keepLines w:val="0"/>
              <w:suppressLineNumbers w:val="0"/>
              <w:autoSpaceDE w:val="0"/>
              <w:autoSpaceDN w:val="0"/>
              <w:spacing w:before="0" w:beforeAutospacing="0" w:after="0" w:afterAutospacing="0" w:line="360" w:lineRule="auto"/>
              <w:ind w:left="0" w:right="0" w:firstLine="482" w:firstLineChars="200"/>
              <w:rPr>
                <w:rFonts w:hint="default"/>
                <w:b/>
                <w:color w:val="auto"/>
                <w:sz w:val="24"/>
                <w:szCs w:val="24"/>
              </w:rPr>
            </w:pPr>
            <w:r>
              <w:rPr>
                <w:rFonts w:hint="eastAsia"/>
                <w:b/>
                <w:color w:val="auto"/>
                <w:sz w:val="24"/>
                <w:szCs w:val="24"/>
              </w:rPr>
              <w:t>③声环境影响分析</w:t>
            </w:r>
          </w:p>
          <w:p w14:paraId="3F28A540">
            <w:pPr>
              <w:pStyle w:val="61"/>
              <w:keepNext w:val="0"/>
              <w:keepLines w:val="0"/>
              <w:suppressLineNumbers w:val="0"/>
              <w:tabs>
                <w:tab w:val="left" w:pos="7085"/>
              </w:tabs>
              <w:spacing w:before="0" w:beforeAutospacing="0" w:after="0" w:afterAutospacing="0" w:line="360" w:lineRule="auto"/>
              <w:ind w:left="0" w:right="0" w:firstLine="480" w:firstLineChars="200"/>
              <w:rPr>
                <w:rFonts w:hint="default" w:ascii="Times New Roman" w:eastAsia="宋体"/>
                <w:b w:val="0"/>
                <w:color w:val="auto"/>
                <w:kern w:val="2"/>
                <w:sz w:val="24"/>
                <w:szCs w:val="24"/>
                <w:highlight w:val="cyan"/>
              </w:rPr>
            </w:pPr>
            <w:r>
              <w:rPr>
                <w:rFonts w:hint="default" w:ascii="Times New Roman" w:eastAsia="宋体"/>
                <w:b w:val="0"/>
                <w:color w:val="auto"/>
                <w:kern w:val="2"/>
                <w:sz w:val="24"/>
                <w:szCs w:val="24"/>
              </w:rPr>
              <w:t>本项目施工阶段</w:t>
            </w:r>
            <w:r>
              <w:rPr>
                <w:rFonts w:hint="eastAsia" w:ascii="Times New Roman" w:eastAsia="宋体"/>
                <w:b w:val="0"/>
                <w:color w:val="auto"/>
                <w:kern w:val="2"/>
                <w:sz w:val="24"/>
                <w:szCs w:val="24"/>
              </w:rPr>
              <w:t>采取相关</w:t>
            </w:r>
            <w:r>
              <w:rPr>
                <w:rFonts w:hint="default" w:ascii="Times New Roman" w:eastAsia="宋体"/>
                <w:b w:val="0"/>
                <w:color w:val="auto"/>
                <w:kern w:val="2"/>
                <w:sz w:val="24"/>
                <w:szCs w:val="24"/>
              </w:rPr>
              <w:t>噪声防治措施</w:t>
            </w:r>
            <w:r>
              <w:rPr>
                <w:rFonts w:hint="eastAsia" w:ascii="Times New Roman" w:eastAsia="宋体"/>
                <w:b w:val="0"/>
                <w:color w:val="auto"/>
                <w:kern w:val="2"/>
                <w:sz w:val="24"/>
                <w:szCs w:val="24"/>
              </w:rPr>
              <w:t>后</w:t>
            </w:r>
            <w:r>
              <w:rPr>
                <w:rFonts w:hint="default" w:ascii="Times New Roman" w:eastAsia="宋体"/>
                <w:b w:val="0"/>
                <w:color w:val="auto"/>
                <w:kern w:val="2"/>
                <w:sz w:val="24"/>
                <w:szCs w:val="24"/>
              </w:rPr>
              <w:t>，</w:t>
            </w:r>
            <w:r>
              <w:rPr>
                <w:rFonts w:hint="default" w:ascii="Times New Roman" w:eastAsia="宋体" w:cs="Calibri"/>
                <w:b w:val="0"/>
                <w:color w:val="auto"/>
                <w:kern w:val="2"/>
                <w:sz w:val="24"/>
                <w:szCs w:val="24"/>
              </w:rPr>
              <w:t>场界噪声</w:t>
            </w:r>
            <w:r>
              <w:rPr>
                <w:rFonts w:hint="eastAsia" w:ascii="Times New Roman" w:eastAsia="宋体" w:cs="Calibri"/>
                <w:b w:val="0"/>
                <w:color w:val="auto"/>
                <w:kern w:val="2"/>
                <w:sz w:val="24"/>
                <w:szCs w:val="24"/>
              </w:rPr>
              <w:t>可</w:t>
            </w:r>
            <w:r>
              <w:rPr>
                <w:rFonts w:hint="default" w:ascii="Times New Roman" w:eastAsia="宋体" w:cs="Calibri"/>
                <w:b w:val="0"/>
                <w:color w:val="auto"/>
                <w:kern w:val="2"/>
                <w:sz w:val="24"/>
                <w:szCs w:val="24"/>
              </w:rPr>
              <w:t>达到《建筑施工场界环境噪声排放标准》（GB12523-2011）规定的限值，实现达标排放</w:t>
            </w:r>
            <w:r>
              <w:rPr>
                <w:rFonts w:hint="eastAsia" w:ascii="Times New Roman" w:eastAsia="宋体"/>
                <w:b w:val="0"/>
                <w:color w:val="auto"/>
                <w:kern w:val="2"/>
                <w:sz w:val="24"/>
                <w:szCs w:val="24"/>
              </w:rPr>
              <w:t>，</w:t>
            </w:r>
            <w:r>
              <w:rPr>
                <w:rFonts w:hint="default" w:ascii="Times New Roman" w:eastAsia="宋体"/>
                <w:b w:val="0"/>
                <w:color w:val="auto"/>
                <w:kern w:val="2"/>
                <w:sz w:val="24"/>
                <w:szCs w:val="24"/>
              </w:rPr>
              <w:t>对周围环境</w:t>
            </w:r>
            <w:r>
              <w:rPr>
                <w:rFonts w:hint="eastAsia" w:ascii="Times New Roman" w:eastAsia="宋体"/>
                <w:b w:val="0"/>
                <w:color w:val="auto"/>
                <w:kern w:val="2"/>
                <w:sz w:val="24"/>
                <w:szCs w:val="24"/>
              </w:rPr>
              <w:t>的</w:t>
            </w:r>
            <w:r>
              <w:rPr>
                <w:rFonts w:hint="default" w:ascii="Times New Roman" w:eastAsia="宋体"/>
                <w:b w:val="0"/>
                <w:color w:val="auto"/>
                <w:kern w:val="2"/>
                <w:sz w:val="24"/>
                <w:szCs w:val="24"/>
              </w:rPr>
              <w:t>影响</w:t>
            </w:r>
            <w:r>
              <w:rPr>
                <w:rFonts w:hint="eastAsia" w:ascii="Times New Roman" w:eastAsia="宋体"/>
                <w:b w:val="0"/>
                <w:color w:val="auto"/>
                <w:kern w:val="2"/>
                <w:sz w:val="24"/>
                <w:szCs w:val="24"/>
              </w:rPr>
              <w:t>甚微</w:t>
            </w:r>
            <w:r>
              <w:rPr>
                <w:rFonts w:hint="default" w:ascii="Times New Roman" w:eastAsia="宋体"/>
                <w:b w:val="0"/>
                <w:color w:val="auto"/>
                <w:kern w:val="2"/>
                <w:sz w:val="24"/>
                <w:szCs w:val="24"/>
              </w:rPr>
              <w:t>。</w:t>
            </w:r>
          </w:p>
          <w:p w14:paraId="0F971D72">
            <w:pPr>
              <w:keepNext w:val="0"/>
              <w:keepLines w:val="0"/>
              <w:suppressLineNumbers w:val="0"/>
              <w:autoSpaceDE w:val="0"/>
              <w:autoSpaceDN w:val="0"/>
              <w:spacing w:before="0" w:beforeAutospacing="0" w:after="0" w:afterAutospacing="0" w:line="360" w:lineRule="auto"/>
              <w:ind w:left="0" w:right="0" w:firstLine="482" w:firstLineChars="200"/>
              <w:rPr>
                <w:rFonts w:hint="default"/>
                <w:b/>
                <w:color w:val="auto"/>
                <w:sz w:val="24"/>
                <w:szCs w:val="24"/>
              </w:rPr>
            </w:pPr>
            <w:r>
              <w:rPr>
                <w:rFonts w:hint="eastAsia"/>
                <w:b/>
                <w:color w:val="auto"/>
                <w:sz w:val="24"/>
                <w:szCs w:val="24"/>
              </w:rPr>
              <w:t>④固体废物环境影响分析</w:t>
            </w:r>
          </w:p>
          <w:p w14:paraId="03FF68AF">
            <w:pPr>
              <w:pStyle w:val="46"/>
              <w:keepNext w:val="0"/>
              <w:keepLines w:val="0"/>
              <w:suppressLineNumbers w:val="0"/>
              <w:spacing w:before="0" w:beforeAutospacing="0" w:after="0" w:afterAutospacing="0"/>
              <w:ind w:left="0" w:right="0"/>
              <w:rPr>
                <w:rFonts w:hint="default"/>
                <w:color w:val="auto"/>
              </w:rPr>
            </w:pPr>
            <w:r>
              <w:rPr>
                <w:rFonts w:hint="default"/>
                <w:color w:val="auto"/>
                <w:szCs w:val="22"/>
              </w:rPr>
              <w:t>本项目施工期</w:t>
            </w:r>
            <w:r>
              <w:rPr>
                <w:rFonts w:hint="eastAsia"/>
                <w:color w:val="auto"/>
                <w:szCs w:val="22"/>
              </w:rPr>
              <w:t>建筑</w:t>
            </w:r>
            <w:r>
              <w:rPr>
                <w:rFonts w:hint="default"/>
                <w:color w:val="auto"/>
                <w:szCs w:val="22"/>
              </w:rPr>
              <w:t>废物</w:t>
            </w:r>
            <w:r>
              <w:rPr>
                <w:rFonts w:hint="default"/>
                <w:color w:val="auto"/>
              </w:rPr>
              <w:t>分类</w:t>
            </w:r>
            <w:r>
              <w:rPr>
                <w:rFonts w:hint="eastAsia"/>
                <w:color w:val="auto"/>
              </w:rPr>
              <w:t>收集、</w:t>
            </w:r>
            <w:r>
              <w:rPr>
                <w:rFonts w:hint="default"/>
                <w:color w:val="auto"/>
              </w:rPr>
              <w:t>及时清运</w:t>
            </w:r>
            <w:r>
              <w:rPr>
                <w:rFonts w:hint="eastAsia"/>
                <w:color w:val="auto"/>
              </w:rPr>
              <w:t>；</w:t>
            </w:r>
            <w:r>
              <w:rPr>
                <w:rFonts w:hint="default"/>
                <w:color w:val="auto"/>
                <w:szCs w:val="22"/>
              </w:rPr>
              <w:t>生活垃圾由环卫部门清运处理</w:t>
            </w:r>
            <w:r>
              <w:rPr>
                <w:rFonts w:hint="eastAsia"/>
                <w:color w:val="auto"/>
                <w:szCs w:val="22"/>
              </w:rPr>
              <w:t>。</w:t>
            </w:r>
            <w:r>
              <w:rPr>
                <w:rFonts w:hint="default"/>
                <w:color w:val="auto"/>
                <w:szCs w:val="22"/>
              </w:rPr>
              <w:t>采取</w:t>
            </w:r>
            <w:r>
              <w:rPr>
                <w:rFonts w:hint="eastAsia"/>
                <w:color w:val="auto"/>
                <w:szCs w:val="22"/>
              </w:rPr>
              <w:t>上述措施</w:t>
            </w:r>
            <w:r>
              <w:rPr>
                <w:rFonts w:hint="default"/>
                <w:color w:val="auto"/>
                <w:szCs w:val="22"/>
              </w:rPr>
              <w:t>后，施工期固体废物可实现资源化利用或无害化处置，不会对周围环境造成二次污染。</w:t>
            </w:r>
          </w:p>
          <w:p w14:paraId="646D97CA">
            <w:pPr>
              <w:keepNext w:val="0"/>
              <w:keepLines w:val="0"/>
              <w:suppressLineNumbers w:val="0"/>
              <w:spacing w:before="0" w:beforeAutospacing="0" w:after="0" w:afterAutospacing="0" w:line="360" w:lineRule="auto"/>
              <w:ind w:left="0" w:right="0" w:firstLine="361" w:firstLineChars="150"/>
              <w:rPr>
                <w:rFonts w:hint="default"/>
                <w:b/>
                <w:color w:val="auto"/>
                <w:sz w:val="24"/>
                <w:szCs w:val="24"/>
              </w:rPr>
            </w:pPr>
            <w:r>
              <w:rPr>
                <w:rFonts w:hint="eastAsia"/>
                <w:b/>
                <w:color w:val="auto"/>
                <w:sz w:val="24"/>
                <w:szCs w:val="24"/>
              </w:rPr>
              <w:t>（</w:t>
            </w:r>
            <w:r>
              <w:rPr>
                <w:rFonts w:hint="default"/>
                <w:b/>
                <w:color w:val="auto"/>
                <w:sz w:val="24"/>
                <w:szCs w:val="24"/>
              </w:rPr>
              <w:t>2</w:t>
            </w:r>
            <w:r>
              <w:rPr>
                <w:rFonts w:hint="eastAsia"/>
                <w:b/>
                <w:color w:val="auto"/>
                <w:sz w:val="24"/>
                <w:szCs w:val="24"/>
              </w:rPr>
              <w:t>）营运期</w:t>
            </w:r>
          </w:p>
          <w:p w14:paraId="4071850D">
            <w:pPr>
              <w:keepNext w:val="0"/>
              <w:keepLines w:val="0"/>
              <w:suppressLineNumbers w:val="0"/>
              <w:spacing w:before="0" w:beforeAutospacing="0" w:after="0" w:afterAutospacing="0" w:line="360" w:lineRule="auto"/>
              <w:ind w:left="0" w:right="0" w:firstLine="482" w:firstLineChars="200"/>
              <w:rPr>
                <w:rFonts w:hint="default"/>
                <w:b/>
                <w:color w:val="auto"/>
                <w:sz w:val="24"/>
                <w:szCs w:val="24"/>
              </w:rPr>
            </w:pPr>
            <w:r>
              <w:rPr>
                <w:rFonts w:hint="eastAsia"/>
                <w:b/>
                <w:color w:val="auto"/>
                <w:sz w:val="24"/>
                <w:szCs w:val="24"/>
              </w:rPr>
              <w:t>①大气</w:t>
            </w:r>
            <w:r>
              <w:rPr>
                <w:rFonts w:hint="default"/>
                <w:b/>
                <w:color w:val="auto"/>
                <w:sz w:val="24"/>
                <w:szCs w:val="24"/>
              </w:rPr>
              <w:t>污染物治理措施</w:t>
            </w:r>
          </w:p>
          <w:p w14:paraId="67D1BB0C">
            <w:pPr>
              <w:keepNext w:val="0"/>
              <w:keepLines w:val="0"/>
              <w:suppressLineNumbers w:val="0"/>
              <w:spacing w:before="0" w:beforeAutospacing="0" w:after="0" w:afterAutospacing="0" w:line="360" w:lineRule="auto"/>
              <w:ind w:left="0" w:right="0" w:firstLine="480"/>
              <w:rPr>
                <w:rFonts w:hint="eastAsia" w:eastAsia="宋体"/>
                <w:color w:val="auto"/>
                <w:sz w:val="24"/>
                <w:szCs w:val="24"/>
                <w:lang w:eastAsia="zh-CN"/>
              </w:rPr>
            </w:pPr>
            <w:r>
              <w:rPr>
                <w:rFonts w:hint="eastAsia"/>
                <w:color w:val="auto"/>
                <w:sz w:val="24"/>
                <w:szCs w:val="24"/>
              </w:rPr>
              <w:t>本项目</w:t>
            </w:r>
            <w:r>
              <w:rPr>
                <w:rFonts w:hint="eastAsia"/>
                <w:color w:val="auto"/>
                <w:sz w:val="24"/>
                <w:szCs w:val="24"/>
                <w:lang w:val="en-US" w:eastAsia="zh-CN"/>
              </w:rPr>
              <w:t>产生的1、2#车间有机废气拟采取2套“集气罩+UV光催化装置+</w:t>
            </w:r>
            <w:r>
              <w:rPr>
                <w:rFonts w:hint="eastAsia"/>
                <w:color w:val="auto"/>
                <w:sz w:val="24"/>
                <w:szCs w:val="24"/>
              </w:rPr>
              <w:t>活性炭吸附</w:t>
            </w:r>
            <w:r>
              <w:rPr>
                <w:rFonts w:hint="eastAsia"/>
                <w:color w:val="auto"/>
                <w:sz w:val="24"/>
                <w:szCs w:val="24"/>
                <w:lang w:val="en-US" w:eastAsia="zh-CN"/>
              </w:rPr>
              <w:t>”处理</w:t>
            </w:r>
            <w:r>
              <w:rPr>
                <w:rFonts w:hint="default"/>
                <w:color w:val="auto"/>
                <w:sz w:val="24"/>
                <w:szCs w:val="24"/>
              </w:rPr>
              <w:t>，</w:t>
            </w:r>
            <w:r>
              <w:rPr>
                <w:rFonts w:hint="eastAsia"/>
                <w:color w:val="auto"/>
                <w:sz w:val="24"/>
                <w:szCs w:val="24"/>
              </w:rPr>
              <w:t>处理后的</w:t>
            </w:r>
            <w:r>
              <w:rPr>
                <w:rFonts w:hint="default"/>
                <w:color w:val="auto"/>
                <w:sz w:val="24"/>
                <w:szCs w:val="24"/>
              </w:rPr>
              <w:t>气体</w:t>
            </w:r>
            <w:r>
              <w:rPr>
                <w:rFonts w:hint="eastAsia"/>
                <w:color w:val="auto"/>
                <w:sz w:val="24"/>
                <w:szCs w:val="24"/>
              </w:rPr>
              <w:t>通过</w:t>
            </w:r>
            <w:r>
              <w:rPr>
                <w:rFonts w:hint="eastAsia"/>
                <w:color w:val="auto"/>
                <w:sz w:val="24"/>
                <w:szCs w:val="24"/>
                <w:lang w:val="en-US" w:eastAsia="zh-CN"/>
              </w:rPr>
              <w:t>2</w:t>
            </w:r>
            <w:r>
              <w:rPr>
                <w:rFonts w:hint="eastAsia"/>
                <w:color w:val="auto"/>
                <w:sz w:val="24"/>
                <w:szCs w:val="24"/>
              </w:rPr>
              <w:t>根15m高排气筒排放</w:t>
            </w:r>
            <w:r>
              <w:rPr>
                <w:rFonts w:hint="eastAsia"/>
                <w:color w:val="auto"/>
                <w:sz w:val="24"/>
                <w:szCs w:val="24"/>
                <w:lang w:eastAsia="zh-CN"/>
              </w:rPr>
              <w:t>；</w:t>
            </w:r>
            <w:r>
              <w:rPr>
                <w:rFonts w:hint="eastAsia"/>
                <w:color w:val="auto"/>
                <w:sz w:val="24"/>
                <w:szCs w:val="24"/>
                <w:lang w:val="en-US" w:eastAsia="zh-CN"/>
              </w:rPr>
              <w:t>1#车间产生的粉尘采取密闭房间收集粉尘后回收利用，不外排；2#车间产生的焊接烟尘采取集气罩+焊接烟尘净化器处理后的气体通过1</w:t>
            </w:r>
            <w:r>
              <w:rPr>
                <w:rFonts w:hint="eastAsia"/>
                <w:color w:val="auto"/>
                <w:sz w:val="24"/>
                <w:szCs w:val="24"/>
              </w:rPr>
              <w:t>根15m高排气筒排放</w:t>
            </w:r>
            <w:r>
              <w:rPr>
                <w:rFonts w:hint="eastAsia"/>
                <w:color w:val="auto"/>
                <w:sz w:val="24"/>
                <w:szCs w:val="24"/>
                <w:lang w:eastAsia="zh-CN"/>
              </w:rPr>
              <w:t>；</w:t>
            </w:r>
            <w:r>
              <w:rPr>
                <w:rFonts w:hint="eastAsia"/>
                <w:color w:val="auto"/>
                <w:sz w:val="24"/>
                <w:szCs w:val="24"/>
                <w:lang w:val="en-US" w:eastAsia="zh-CN"/>
              </w:rPr>
              <w:t>食堂油烟通过油烟净化器处理后楼顶排放。</w:t>
            </w:r>
            <w:r>
              <w:rPr>
                <w:rFonts w:hint="eastAsia"/>
                <w:color w:val="auto"/>
                <w:sz w:val="24"/>
                <w:szCs w:val="24"/>
              </w:rPr>
              <w:t>采取</w:t>
            </w:r>
            <w:r>
              <w:rPr>
                <w:rFonts w:hint="default"/>
                <w:color w:val="auto"/>
                <w:sz w:val="24"/>
                <w:szCs w:val="24"/>
              </w:rPr>
              <w:t>上述治理措施后，营运期大气污染物可实现达标排放，不会对区域大气环境造成影响</w:t>
            </w:r>
            <w:r>
              <w:rPr>
                <w:rFonts w:hint="eastAsia"/>
                <w:color w:val="auto"/>
                <w:sz w:val="24"/>
                <w:szCs w:val="24"/>
                <w:lang w:eastAsia="zh-CN"/>
              </w:rPr>
              <w:t>。</w:t>
            </w:r>
          </w:p>
          <w:p w14:paraId="14BC6D28">
            <w:pPr>
              <w:keepNext w:val="0"/>
              <w:keepLines w:val="0"/>
              <w:suppressLineNumbers w:val="0"/>
              <w:spacing w:before="0" w:beforeAutospacing="0" w:after="0" w:afterAutospacing="0" w:line="360" w:lineRule="auto"/>
              <w:ind w:left="0" w:right="0" w:firstLine="480"/>
              <w:rPr>
                <w:rFonts w:hint="default" w:ascii="宋体" w:hAnsi="宋体"/>
                <w:b/>
                <w:color w:val="auto"/>
                <w:sz w:val="24"/>
                <w:szCs w:val="24"/>
              </w:rPr>
            </w:pPr>
            <w:r>
              <w:rPr>
                <w:rFonts w:hint="eastAsia" w:ascii="宋体" w:hAnsi="宋体"/>
                <w:b/>
                <w:color w:val="auto"/>
                <w:sz w:val="24"/>
                <w:szCs w:val="24"/>
              </w:rPr>
              <w:t>②</w:t>
            </w:r>
            <w:r>
              <w:rPr>
                <w:rFonts w:hint="eastAsia"/>
                <w:b/>
                <w:color w:val="auto"/>
                <w:sz w:val="24"/>
                <w:szCs w:val="24"/>
              </w:rPr>
              <w:t>水</w:t>
            </w:r>
            <w:r>
              <w:rPr>
                <w:rFonts w:hint="default"/>
                <w:b/>
                <w:color w:val="auto"/>
                <w:sz w:val="24"/>
                <w:szCs w:val="24"/>
              </w:rPr>
              <w:t>污染物治理措施</w:t>
            </w:r>
          </w:p>
          <w:p w14:paraId="0CE3500D">
            <w:pPr>
              <w:keepNext w:val="0"/>
              <w:keepLines w:val="0"/>
              <w:suppressLineNumbers w:val="0"/>
              <w:spacing w:before="0" w:beforeAutospacing="0" w:after="0" w:afterAutospacing="0" w:line="360" w:lineRule="auto"/>
              <w:ind w:left="0" w:right="0" w:firstLine="480"/>
              <w:rPr>
                <w:rFonts w:hint="default"/>
                <w:color w:val="auto"/>
                <w:sz w:val="24"/>
                <w:szCs w:val="24"/>
              </w:rPr>
            </w:pPr>
            <w:r>
              <w:rPr>
                <w:rFonts w:hint="default"/>
                <w:color w:val="auto"/>
                <w:sz w:val="24"/>
                <w:szCs w:val="24"/>
              </w:rPr>
              <w:t>本项目排水采用雨、污分流制，污水经</w:t>
            </w:r>
            <w:r>
              <w:rPr>
                <w:rFonts w:hint="eastAsia"/>
                <w:color w:val="auto"/>
                <w:sz w:val="24"/>
                <w:szCs w:val="24"/>
              </w:rPr>
              <w:t>预处理池</w:t>
            </w:r>
            <w:r>
              <w:rPr>
                <w:rFonts w:hint="default"/>
                <w:color w:val="auto"/>
                <w:sz w:val="24"/>
                <w:szCs w:val="24"/>
              </w:rPr>
              <w:t>处理</w:t>
            </w:r>
            <w:r>
              <w:rPr>
                <w:rFonts w:hint="eastAsia"/>
                <w:color w:val="auto"/>
                <w:sz w:val="24"/>
                <w:szCs w:val="24"/>
              </w:rPr>
              <w:t>达</w:t>
            </w:r>
            <w:r>
              <w:rPr>
                <w:rFonts w:hint="default"/>
                <w:color w:val="auto"/>
                <w:sz w:val="24"/>
                <w:szCs w:val="24"/>
              </w:rPr>
              <w:t>《污水综合排放标准》</w:t>
            </w:r>
            <w:r>
              <w:rPr>
                <w:rFonts w:hint="eastAsia"/>
                <w:color w:val="auto"/>
                <w:sz w:val="24"/>
                <w:szCs w:val="24"/>
              </w:rPr>
              <w:t>（GB</w:t>
            </w:r>
            <w:r>
              <w:rPr>
                <w:rFonts w:hint="default"/>
                <w:color w:val="auto"/>
                <w:sz w:val="24"/>
                <w:szCs w:val="24"/>
              </w:rPr>
              <w:t>8978-1996</w:t>
            </w:r>
            <w:r>
              <w:rPr>
                <w:rFonts w:hint="eastAsia"/>
                <w:color w:val="auto"/>
                <w:sz w:val="24"/>
                <w:szCs w:val="24"/>
              </w:rPr>
              <w:t>）三级标准</w:t>
            </w:r>
            <w:r>
              <w:rPr>
                <w:rFonts w:hint="default"/>
                <w:color w:val="auto"/>
                <w:sz w:val="24"/>
                <w:szCs w:val="24"/>
              </w:rPr>
              <w:t>后</w:t>
            </w:r>
            <w:r>
              <w:rPr>
                <w:rFonts w:hint="eastAsia"/>
                <w:color w:val="auto"/>
                <w:sz w:val="24"/>
                <w:szCs w:val="24"/>
              </w:rPr>
              <w:t>排</w:t>
            </w:r>
            <w:r>
              <w:rPr>
                <w:rFonts w:hint="default"/>
                <w:color w:val="auto"/>
                <w:sz w:val="24"/>
                <w:szCs w:val="24"/>
              </w:rPr>
              <w:t>入</w:t>
            </w:r>
            <w:r>
              <w:rPr>
                <w:rFonts w:hint="eastAsia"/>
                <w:color w:val="auto"/>
                <w:sz w:val="24"/>
                <w:szCs w:val="24"/>
              </w:rPr>
              <w:t>园区</w:t>
            </w:r>
            <w:r>
              <w:rPr>
                <w:rFonts w:hint="default"/>
                <w:color w:val="auto"/>
                <w:sz w:val="24"/>
                <w:szCs w:val="24"/>
              </w:rPr>
              <w:t>污水管网，</w:t>
            </w:r>
            <w:r>
              <w:rPr>
                <w:rFonts w:hint="eastAsia"/>
                <w:color w:val="auto"/>
                <w:sz w:val="24"/>
                <w:szCs w:val="24"/>
              </w:rPr>
              <w:t>经</w:t>
            </w:r>
            <w:r>
              <w:rPr>
                <w:rFonts w:hint="eastAsia"/>
                <w:color w:val="auto"/>
                <w:sz w:val="24"/>
                <w:szCs w:val="24"/>
                <w:lang w:val="en-US" w:eastAsia="zh-CN"/>
              </w:rPr>
              <w:t>安居龙眼井</w:t>
            </w:r>
            <w:r>
              <w:rPr>
                <w:rFonts w:hint="eastAsia"/>
                <w:color w:val="auto"/>
                <w:sz w:val="24"/>
                <w:szCs w:val="24"/>
              </w:rPr>
              <w:t>污水处理厂处理达《城镇污水处理厂污染物排放标准》（GB18918-2002）一级A标准后</w:t>
            </w:r>
            <w:r>
              <w:rPr>
                <w:rFonts w:hint="default"/>
                <w:color w:val="auto"/>
                <w:sz w:val="24"/>
                <w:szCs w:val="24"/>
              </w:rPr>
              <w:t>排至</w:t>
            </w:r>
            <w:r>
              <w:rPr>
                <w:rFonts w:hint="eastAsia"/>
                <w:color w:val="auto"/>
                <w:sz w:val="24"/>
                <w:szCs w:val="24"/>
                <w:lang w:val="en-US" w:eastAsia="zh-CN"/>
              </w:rPr>
              <w:t>琼</w:t>
            </w:r>
            <w:r>
              <w:rPr>
                <w:rFonts w:hint="eastAsia"/>
                <w:color w:val="auto"/>
                <w:sz w:val="24"/>
                <w:szCs w:val="24"/>
              </w:rPr>
              <w:t>江。</w:t>
            </w:r>
          </w:p>
          <w:p w14:paraId="107A9753">
            <w:pPr>
              <w:keepNext w:val="0"/>
              <w:keepLines w:val="0"/>
              <w:suppressLineNumbers w:val="0"/>
              <w:spacing w:before="0" w:beforeAutospacing="0" w:after="0" w:afterAutospacing="0" w:line="360" w:lineRule="auto"/>
              <w:ind w:left="0" w:right="0" w:firstLine="480"/>
              <w:rPr>
                <w:rFonts w:hint="default"/>
                <w:color w:val="auto"/>
                <w:sz w:val="24"/>
                <w:szCs w:val="24"/>
              </w:rPr>
            </w:pPr>
            <w:r>
              <w:rPr>
                <w:rFonts w:hint="eastAsia"/>
                <w:color w:val="auto"/>
                <w:sz w:val="24"/>
                <w:szCs w:val="24"/>
              </w:rPr>
              <w:t>采取</w:t>
            </w:r>
            <w:r>
              <w:rPr>
                <w:rFonts w:hint="default"/>
                <w:color w:val="auto"/>
                <w:sz w:val="24"/>
                <w:szCs w:val="24"/>
              </w:rPr>
              <w:t>上述治理措施后，本项目外排废水可实现达标排放，不会对地表水</w:t>
            </w:r>
            <w:r>
              <w:rPr>
                <w:rFonts w:hint="eastAsia"/>
                <w:color w:val="auto"/>
                <w:sz w:val="24"/>
                <w:szCs w:val="24"/>
              </w:rPr>
              <w:t>环境</w:t>
            </w:r>
            <w:r>
              <w:rPr>
                <w:rFonts w:hint="default"/>
                <w:color w:val="auto"/>
                <w:sz w:val="24"/>
                <w:szCs w:val="24"/>
              </w:rPr>
              <w:t>造成影响。</w:t>
            </w:r>
          </w:p>
          <w:p w14:paraId="673C8460">
            <w:pPr>
              <w:keepNext w:val="0"/>
              <w:keepLines w:val="0"/>
              <w:suppressLineNumbers w:val="0"/>
              <w:spacing w:before="0" w:beforeAutospacing="0" w:after="0" w:afterAutospacing="0" w:line="360" w:lineRule="auto"/>
              <w:ind w:left="0" w:right="0" w:firstLine="480"/>
              <w:rPr>
                <w:rFonts w:hint="default" w:ascii="宋体" w:hAnsi="宋体"/>
                <w:b/>
                <w:color w:val="auto"/>
                <w:sz w:val="24"/>
                <w:szCs w:val="24"/>
              </w:rPr>
            </w:pPr>
            <w:r>
              <w:rPr>
                <w:rFonts w:hint="eastAsia"/>
                <w:b/>
                <w:color w:val="auto"/>
                <w:sz w:val="24"/>
                <w:szCs w:val="24"/>
              </w:rPr>
              <w:t>③噪声</w:t>
            </w:r>
            <w:r>
              <w:rPr>
                <w:rFonts w:hint="default"/>
                <w:b/>
                <w:color w:val="auto"/>
                <w:sz w:val="24"/>
                <w:szCs w:val="24"/>
              </w:rPr>
              <w:t>治理措施</w:t>
            </w:r>
          </w:p>
          <w:p w14:paraId="2C385E42">
            <w:pPr>
              <w:keepNext w:val="0"/>
              <w:keepLines w:val="0"/>
              <w:suppressLineNumbers w:val="0"/>
              <w:spacing w:before="0" w:beforeAutospacing="0" w:after="0" w:afterAutospacing="0" w:line="360" w:lineRule="auto"/>
              <w:ind w:left="0" w:right="0" w:firstLine="480"/>
              <w:rPr>
                <w:rFonts w:hint="default"/>
                <w:color w:val="auto"/>
                <w:kern w:val="24"/>
                <w:sz w:val="24"/>
                <w:szCs w:val="20"/>
              </w:rPr>
            </w:pPr>
            <w:r>
              <w:rPr>
                <w:rFonts w:hint="eastAsia"/>
                <w:color w:val="auto"/>
                <w:sz w:val="24"/>
                <w:szCs w:val="24"/>
              </w:rPr>
              <w:t>本项目</w:t>
            </w:r>
            <w:r>
              <w:rPr>
                <w:rFonts w:hint="default"/>
                <w:color w:val="auto"/>
                <w:sz w:val="24"/>
                <w:szCs w:val="24"/>
              </w:rPr>
              <w:t>选用低噪声设备</w:t>
            </w:r>
            <w:r>
              <w:rPr>
                <w:rFonts w:hint="eastAsia"/>
                <w:color w:val="auto"/>
                <w:sz w:val="24"/>
                <w:szCs w:val="24"/>
              </w:rPr>
              <w:t>，各</w:t>
            </w:r>
            <w:r>
              <w:rPr>
                <w:rFonts w:hint="default"/>
                <w:color w:val="auto"/>
                <w:sz w:val="24"/>
                <w:szCs w:val="24"/>
              </w:rPr>
              <w:t>设备均布置在车间，利用墙体隔声，</w:t>
            </w:r>
            <w:r>
              <w:rPr>
                <w:rFonts w:hint="eastAsia"/>
                <w:color w:val="auto"/>
                <w:sz w:val="24"/>
                <w:szCs w:val="24"/>
              </w:rPr>
              <w:t>采取减振</w:t>
            </w:r>
            <w:r>
              <w:rPr>
                <w:rFonts w:hint="default"/>
                <w:color w:val="auto"/>
                <w:sz w:val="24"/>
                <w:szCs w:val="24"/>
              </w:rPr>
              <w:t>措施</w:t>
            </w:r>
            <w:r>
              <w:rPr>
                <w:rFonts w:hint="eastAsia"/>
                <w:color w:val="auto"/>
                <w:sz w:val="24"/>
                <w:szCs w:val="24"/>
              </w:rPr>
              <w:t>；</w:t>
            </w:r>
            <w:r>
              <w:rPr>
                <w:rFonts w:hint="default"/>
                <w:color w:val="auto"/>
                <w:sz w:val="24"/>
                <w:szCs w:val="24"/>
              </w:rPr>
              <w:t>定期进行</w:t>
            </w:r>
            <w:r>
              <w:rPr>
                <w:rFonts w:hint="eastAsia"/>
                <w:color w:val="auto"/>
                <w:sz w:val="24"/>
                <w:szCs w:val="24"/>
              </w:rPr>
              <w:t>调试</w:t>
            </w:r>
            <w:r>
              <w:rPr>
                <w:rFonts w:hint="default"/>
                <w:color w:val="auto"/>
                <w:sz w:val="24"/>
                <w:szCs w:val="24"/>
              </w:rPr>
              <w:t>和检修</w:t>
            </w:r>
            <w:r>
              <w:rPr>
                <w:rFonts w:hint="eastAsia"/>
                <w:color w:val="auto"/>
                <w:sz w:val="24"/>
                <w:szCs w:val="24"/>
              </w:rPr>
              <w:t>，维持设备</w:t>
            </w:r>
            <w:r>
              <w:rPr>
                <w:rFonts w:hint="default"/>
                <w:color w:val="auto"/>
                <w:sz w:val="24"/>
                <w:szCs w:val="24"/>
              </w:rPr>
              <w:t>运行在良好的状态下</w:t>
            </w:r>
            <w:r>
              <w:rPr>
                <w:rFonts w:hint="eastAsia"/>
                <w:color w:val="auto"/>
                <w:sz w:val="24"/>
                <w:szCs w:val="24"/>
                <w:lang w:eastAsia="zh-CN"/>
              </w:rPr>
              <w:t>。</w:t>
            </w:r>
            <w:r>
              <w:rPr>
                <w:rFonts w:hint="default"/>
                <w:color w:val="auto"/>
                <w:kern w:val="24"/>
                <w:sz w:val="24"/>
                <w:szCs w:val="20"/>
              </w:rPr>
              <w:t>。</w:t>
            </w:r>
          </w:p>
          <w:p w14:paraId="40144B30">
            <w:pPr>
              <w:keepNext w:val="0"/>
              <w:keepLines w:val="0"/>
              <w:suppressLineNumbers w:val="0"/>
              <w:spacing w:before="0" w:beforeAutospacing="0" w:after="0" w:afterAutospacing="0" w:line="360" w:lineRule="auto"/>
              <w:ind w:left="0" w:right="0" w:firstLine="480" w:firstLineChars="200"/>
              <w:rPr>
                <w:rFonts w:hint="default"/>
                <w:color w:val="auto"/>
                <w:sz w:val="24"/>
                <w:szCs w:val="24"/>
              </w:rPr>
            </w:pPr>
            <w:r>
              <w:rPr>
                <w:rFonts w:hint="eastAsia"/>
                <w:color w:val="auto"/>
                <w:sz w:val="24"/>
                <w:szCs w:val="24"/>
              </w:rPr>
              <w:t>采取</w:t>
            </w:r>
            <w:r>
              <w:rPr>
                <w:rFonts w:hint="default"/>
                <w:color w:val="auto"/>
                <w:sz w:val="24"/>
                <w:szCs w:val="24"/>
              </w:rPr>
              <w:t>上述治理措施后</w:t>
            </w:r>
            <w:r>
              <w:rPr>
                <w:rFonts w:hint="eastAsia"/>
                <w:color w:val="auto"/>
                <w:sz w:val="24"/>
                <w:szCs w:val="24"/>
              </w:rPr>
              <w:t>可</w:t>
            </w:r>
            <w:r>
              <w:rPr>
                <w:rFonts w:hint="default"/>
                <w:color w:val="auto"/>
                <w:sz w:val="24"/>
                <w:szCs w:val="24"/>
              </w:rPr>
              <w:t>实现噪声达标排放，治理措施有效。</w:t>
            </w:r>
          </w:p>
          <w:p w14:paraId="51818FE7">
            <w:pPr>
              <w:keepNext w:val="0"/>
              <w:keepLines w:val="0"/>
              <w:suppressLineNumbers w:val="0"/>
              <w:spacing w:before="0" w:beforeAutospacing="0" w:after="0" w:afterAutospacing="0" w:line="360" w:lineRule="auto"/>
              <w:ind w:left="0" w:right="0" w:firstLine="480"/>
              <w:rPr>
                <w:rFonts w:hint="default"/>
                <w:b/>
                <w:color w:val="auto"/>
                <w:sz w:val="24"/>
                <w:szCs w:val="24"/>
              </w:rPr>
            </w:pPr>
            <w:r>
              <w:rPr>
                <w:rFonts w:hint="eastAsia"/>
                <w:b/>
                <w:color w:val="auto"/>
                <w:sz w:val="24"/>
                <w:szCs w:val="24"/>
              </w:rPr>
              <w:t>④固体废物治理措施</w:t>
            </w:r>
          </w:p>
          <w:p w14:paraId="23CB892F">
            <w:pPr>
              <w:keepNext w:val="0"/>
              <w:keepLines w:val="0"/>
              <w:suppressLineNumbers w:val="0"/>
              <w:spacing w:before="0" w:beforeAutospacing="0" w:after="0" w:afterAutospacing="0" w:line="360" w:lineRule="auto"/>
              <w:ind w:left="0" w:right="0" w:firstLine="480"/>
              <w:rPr>
                <w:rFonts w:hint="eastAsia"/>
                <w:color w:val="auto"/>
                <w:sz w:val="24"/>
                <w:szCs w:val="24"/>
                <w:lang w:eastAsia="zh-CN"/>
              </w:rPr>
            </w:pPr>
            <w:r>
              <w:rPr>
                <w:rFonts w:hint="eastAsia"/>
                <w:color w:val="auto"/>
                <w:sz w:val="24"/>
                <w:szCs w:val="24"/>
              </w:rPr>
              <w:t>本项目生产过程中会产生一定量的</w:t>
            </w:r>
            <w:r>
              <w:rPr>
                <w:rFonts w:hint="eastAsia"/>
                <w:color w:val="auto"/>
                <w:sz w:val="24"/>
                <w:szCs w:val="24"/>
                <w:lang w:val="en-US" w:eastAsia="zh-CN"/>
              </w:rPr>
              <w:t>不合格产品和切割废料经收集破碎后回收利用；金属废料、包装弃料等</w:t>
            </w:r>
            <w:r>
              <w:rPr>
                <w:rFonts w:hint="eastAsia"/>
                <w:color w:val="auto"/>
                <w:sz w:val="24"/>
                <w:szCs w:val="24"/>
              </w:rPr>
              <w:t>，经过收集后</w:t>
            </w:r>
            <w:r>
              <w:rPr>
                <w:rFonts w:hint="eastAsia"/>
                <w:color w:val="auto"/>
                <w:sz w:val="24"/>
                <w:szCs w:val="24"/>
                <w:lang w:val="en-US" w:eastAsia="zh-CN"/>
              </w:rPr>
              <w:t>外卖给废品收购站</w:t>
            </w:r>
            <w:r>
              <w:rPr>
                <w:rFonts w:hint="eastAsia"/>
                <w:color w:val="auto"/>
                <w:sz w:val="24"/>
                <w:szCs w:val="24"/>
              </w:rPr>
              <w:t>；生活垃圾经分类收集后存放于厂区内垃圾桶内，</w:t>
            </w:r>
            <w:r>
              <w:rPr>
                <w:rFonts w:hint="eastAsia"/>
                <w:color w:val="auto"/>
                <w:sz w:val="24"/>
                <w:szCs w:val="24"/>
                <w:lang w:val="en-US" w:eastAsia="zh-CN"/>
              </w:rPr>
              <w:t>和预处理池污泥</w:t>
            </w:r>
            <w:r>
              <w:rPr>
                <w:rFonts w:hint="eastAsia"/>
                <w:color w:val="auto"/>
                <w:sz w:val="24"/>
                <w:szCs w:val="24"/>
              </w:rPr>
              <w:t>交由环卫部门进行处理</w:t>
            </w:r>
            <w:r>
              <w:rPr>
                <w:rFonts w:hint="eastAsia"/>
                <w:color w:val="auto"/>
                <w:sz w:val="24"/>
                <w:szCs w:val="24"/>
                <w:lang w:eastAsia="zh-CN"/>
              </w:rPr>
              <w:t>；</w:t>
            </w:r>
            <w:r>
              <w:rPr>
                <w:rFonts w:hint="eastAsia"/>
                <w:color w:val="auto"/>
                <w:sz w:val="24"/>
                <w:szCs w:val="24"/>
                <w:lang w:val="en-US" w:eastAsia="zh-CN"/>
              </w:rPr>
              <w:t>隔油池废油和餐饮垃圾</w:t>
            </w:r>
            <w:r>
              <w:rPr>
                <w:rFonts w:hint="default" w:ascii="Times New Roman" w:hAnsi="Times New Roman" w:cs="Times New Roman"/>
                <w:color w:val="auto"/>
                <w:sz w:val="24"/>
                <w:szCs w:val="24"/>
                <w:lang w:val="en-US" w:eastAsia="zh-CN"/>
              </w:rPr>
              <w:t>交由取得经营许可的餐厨垃圾收运单位清运处理</w:t>
            </w:r>
            <w:r>
              <w:rPr>
                <w:rFonts w:hint="eastAsia"/>
                <w:color w:val="auto"/>
                <w:sz w:val="24"/>
                <w:szCs w:val="24"/>
                <w:lang w:eastAsia="zh-CN"/>
              </w:rPr>
              <w:t>。</w:t>
            </w:r>
          </w:p>
          <w:p w14:paraId="63DCEB5C">
            <w:pPr>
              <w:numPr>
                <w:ilvl w:val="0"/>
                <w:numId w:val="0"/>
              </w:numPr>
              <w:spacing w:line="360" w:lineRule="auto"/>
              <w:ind w:firstLine="480" w:firstLineChars="200"/>
              <w:rPr>
                <w:rFonts w:hint="eastAsia"/>
                <w:color w:val="auto"/>
                <w:sz w:val="24"/>
                <w:szCs w:val="24"/>
              </w:rPr>
            </w:pPr>
            <w:r>
              <w:rPr>
                <w:rFonts w:hint="eastAsia"/>
                <w:color w:val="auto"/>
                <w:sz w:val="24"/>
                <w:szCs w:val="24"/>
              </w:rPr>
              <w:t>营运期对机械设备维护</w:t>
            </w:r>
            <w:r>
              <w:rPr>
                <w:rFonts w:hint="eastAsia"/>
                <w:color w:val="auto"/>
                <w:sz w:val="24"/>
                <w:szCs w:val="24"/>
                <w:lang w:eastAsia="zh-CN"/>
              </w:rPr>
              <w:t>、</w:t>
            </w:r>
            <w:r>
              <w:rPr>
                <w:rFonts w:hint="eastAsia"/>
                <w:color w:val="auto"/>
                <w:sz w:val="24"/>
                <w:szCs w:val="24"/>
              </w:rPr>
              <w:t>检修</w:t>
            </w:r>
            <w:r>
              <w:rPr>
                <w:rFonts w:hint="eastAsia"/>
                <w:color w:val="auto"/>
                <w:sz w:val="24"/>
                <w:szCs w:val="24"/>
                <w:lang w:val="en-US" w:eastAsia="zh-CN"/>
              </w:rPr>
              <w:t>和生产时</w:t>
            </w:r>
            <w:r>
              <w:rPr>
                <w:rFonts w:hint="eastAsia"/>
                <w:color w:val="auto"/>
                <w:sz w:val="24"/>
                <w:szCs w:val="24"/>
              </w:rPr>
              <w:t>产生的</w:t>
            </w:r>
            <w:r>
              <w:rPr>
                <w:rFonts w:hint="default" w:ascii="Times New Roman" w:hAnsi="Times New Roman" w:cs="Times New Roman"/>
                <w:color w:val="auto"/>
                <w:sz w:val="24"/>
                <w:szCs w:val="24"/>
                <w:lang w:val="en-US" w:eastAsia="zh-CN"/>
              </w:rPr>
              <w:t>废</w:t>
            </w:r>
            <w:r>
              <w:rPr>
                <w:rFonts w:hint="eastAsia" w:cs="Times New Roman"/>
                <w:color w:val="auto"/>
                <w:sz w:val="24"/>
                <w:szCs w:val="24"/>
                <w:lang w:val="en-US" w:eastAsia="zh-CN"/>
              </w:rPr>
              <w:t>润滑油</w:t>
            </w:r>
            <w:r>
              <w:rPr>
                <w:rFonts w:hint="default" w:ascii="Times New Roman" w:hAnsi="Times New Roman" w:cs="Times New Roman"/>
                <w:color w:val="auto"/>
                <w:sz w:val="24"/>
                <w:szCs w:val="24"/>
                <w:lang w:val="en-US" w:eastAsia="zh-CN"/>
              </w:rPr>
              <w:t>、废液压油、废含油手套抹布、废原料桶等分别属于《国家危险废物名录》中“HW08废矿物油与含矿物油废物/非特定行业/900-214-08</w:t>
            </w:r>
            <w:r>
              <w:rPr>
                <w:rFonts w:hint="eastAsia" w:cs="Times New Roman"/>
                <w:color w:val="auto"/>
                <w:sz w:val="24"/>
                <w:szCs w:val="24"/>
                <w:lang w:val="en-US" w:eastAsia="zh-CN"/>
              </w:rPr>
              <w:t xml:space="preserve"> 900-218-08</w:t>
            </w:r>
            <w:r>
              <w:rPr>
                <w:rFonts w:hint="default" w:ascii="Times New Roman" w:hAnsi="Times New Roman" w:cs="Times New Roman"/>
                <w:color w:val="auto"/>
                <w:sz w:val="24"/>
                <w:szCs w:val="24"/>
                <w:lang w:val="en-US" w:eastAsia="zh-CN"/>
              </w:rPr>
              <w:t>”、“HW49 其他废物/非特定行业/900-041-49 ”，应分类收集后暂存于危废暂存间，交由有资质的单位进行处理；废活性炭属于《国家危险废物名录》中“HW49其他废物/非特定行业/900-041-49 含有或直接沾染危险废物的废弃包装物、容器、清洗杂物”，经分类收集后暂存于危废暂存间，定期交由有资质的单位进行处置。</w:t>
            </w:r>
          </w:p>
          <w:p w14:paraId="49A85F7A">
            <w:pPr>
              <w:keepNext w:val="0"/>
              <w:keepLines w:val="0"/>
              <w:suppressLineNumbers w:val="0"/>
              <w:spacing w:before="0" w:beforeAutospacing="0" w:after="0" w:afterAutospacing="0" w:line="360" w:lineRule="auto"/>
              <w:ind w:left="0" w:right="0" w:firstLine="480"/>
              <w:rPr>
                <w:rFonts w:hint="default" w:ascii="Times New Roman" w:hAnsi="Times New Roman" w:cs="Times New Roman"/>
                <w:sz w:val="24"/>
                <w:szCs w:val="24"/>
              </w:rPr>
            </w:pPr>
            <w:r>
              <w:rPr>
                <w:rFonts w:hint="eastAsia"/>
                <w:color w:val="auto"/>
                <w:sz w:val="24"/>
                <w:szCs w:val="24"/>
              </w:rPr>
              <w:t>综上所述</w:t>
            </w:r>
            <w:r>
              <w:rPr>
                <w:rFonts w:hint="default"/>
                <w:color w:val="auto"/>
                <w:sz w:val="24"/>
                <w:szCs w:val="24"/>
              </w:rPr>
              <w:t>，采取本环评提出的</w:t>
            </w:r>
            <w:r>
              <w:rPr>
                <w:rFonts w:hint="eastAsia"/>
                <w:color w:val="auto"/>
                <w:sz w:val="24"/>
                <w:szCs w:val="24"/>
              </w:rPr>
              <w:t>上述处置措施</w:t>
            </w:r>
            <w:r>
              <w:rPr>
                <w:rFonts w:hint="default"/>
                <w:color w:val="auto"/>
                <w:sz w:val="24"/>
                <w:szCs w:val="24"/>
              </w:rPr>
              <w:t>后，</w:t>
            </w:r>
            <w:r>
              <w:rPr>
                <w:rFonts w:hint="eastAsia"/>
                <w:color w:val="auto"/>
                <w:sz w:val="24"/>
                <w:szCs w:val="24"/>
              </w:rPr>
              <w:t>本项目</w:t>
            </w:r>
            <w:r>
              <w:rPr>
                <w:rFonts w:hint="default"/>
                <w:color w:val="auto"/>
                <w:sz w:val="24"/>
                <w:szCs w:val="24"/>
              </w:rPr>
              <w:t>产生的固体废物</w:t>
            </w:r>
            <w:r>
              <w:rPr>
                <w:rFonts w:hint="eastAsia"/>
                <w:color w:val="auto"/>
                <w:sz w:val="24"/>
                <w:szCs w:val="24"/>
              </w:rPr>
              <w:t>去向</w:t>
            </w:r>
            <w:r>
              <w:rPr>
                <w:rFonts w:hint="default"/>
                <w:color w:val="auto"/>
                <w:sz w:val="24"/>
                <w:szCs w:val="24"/>
              </w:rPr>
              <w:t>明确，</w:t>
            </w:r>
            <w:r>
              <w:rPr>
                <w:rFonts w:hint="eastAsia"/>
                <w:color w:val="auto"/>
                <w:sz w:val="24"/>
                <w:szCs w:val="24"/>
              </w:rPr>
              <w:t>可实现</w:t>
            </w:r>
            <w:r>
              <w:rPr>
                <w:rFonts w:hint="default"/>
                <w:color w:val="auto"/>
                <w:sz w:val="24"/>
                <w:szCs w:val="24"/>
              </w:rPr>
              <w:t>资源化或无害化处置，</w:t>
            </w:r>
            <w:r>
              <w:rPr>
                <w:rFonts w:hint="eastAsia"/>
                <w:color w:val="auto"/>
                <w:sz w:val="24"/>
                <w:szCs w:val="24"/>
              </w:rPr>
              <w:t>不会</w:t>
            </w:r>
            <w:r>
              <w:rPr>
                <w:rFonts w:hint="default"/>
                <w:color w:val="auto"/>
                <w:sz w:val="24"/>
                <w:szCs w:val="24"/>
              </w:rPr>
              <w:t>对环境造成二次污染采取</w:t>
            </w:r>
            <w:r>
              <w:rPr>
                <w:rFonts w:hint="eastAsia"/>
                <w:color w:val="auto"/>
                <w:sz w:val="24"/>
                <w:szCs w:val="24"/>
              </w:rPr>
              <w:t>以上</w:t>
            </w:r>
            <w:r>
              <w:rPr>
                <w:rFonts w:hint="default"/>
                <w:color w:val="auto"/>
                <w:sz w:val="24"/>
                <w:szCs w:val="24"/>
              </w:rPr>
              <w:t>治理措施后，</w:t>
            </w:r>
            <w:r>
              <w:rPr>
                <w:rFonts w:hint="eastAsia"/>
                <w:color w:val="auto"/>
                <w:sz w:val="24"/>
                <w:szCs w:val="24"/>
              </w:rPr>
              <w:t>各类</w:t>
            </w:r>
            <w:r>
              <w:rPr>
                <w:rFonts w:hint="default"/>
                <w:color w:val="auto"/>
                <w:sz w:val="24"/>
                <w:szCs w:val="24"/>
              </w:rPr>
              <w:t>固体废物处置得当，去</w:t>
            </w:r>
            <w:r>
              <w:rPr>
                <w:rFonts w:hint="eastAsia"/>
                <w:color w:val="auto"/>
                <w:sz w:val="24"/>
                <w:szCs w:val="24"/>
              </w:rPr>
              <w:t>向</w:t>
            </w:r>
            <w:r>
              <w:rPr>
                <w:rFonts w:hint="default"/>
                <w:color w:val="auto"/>
                <w:sz w:val="24"/>
                <w:szCs w:val="24"/>
              </w:rPr>
              <w:t>明确</w:t>
            </w:r>
            <w:r>
              <w:rPr>
                <w:rFonts w:hint="eastAsia"/>
                <w:color w:val="auto"/>
                <w:sz w:val="24"/>
                <w:szCs w:val="24"/>
              </w:rPr>
              <w:t>，</w:t>
            </w:r>
            <w:r>
              <w:rPr>
                <w:rFonts w:hint="default"/>
                <w:color w:val="auto"/>
                <w:sz w:val="24"/>
                <w:szCs w:val="24"/>
              </w:rPr>
              <w:t>可实现资源化利用或无害化处置，不会对环境造成二次污染。</w:t>
            </w:r>
          </w:p>
          <w:p w14:paraId="68220FF4">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6、环境风险结论</w:t>
            </w:r>
          </w:p>
          <w:p w14:paraId="0A0E4A2E">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本项目不构成重大危险源，在做好各项环境风险防范措施，建立环保机构，制定环境风险应急预案后，可将风险程度降至最低，达到可接受水平。</w:t>
            </w:r>
          </w:p>
          <w:p w14:paraId="4A8B234D">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7、环境影响评价结论</w:t>
            </w:r>
          </w:p>
          <w:p w14:paraId="029160AF">
            <w:pPr>
              <w:spacing w:line="360" w:lineRule="auto"/>
              <w:ind w:firstLine="48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（1）大气环境的影响：本项目废气排放量较小，且采取相应治理措施后可实现达标排放，加之项目所在区域大气环境质量良好，因此，本项目废气排放不会对项目所在区域大气环境质量造成明显不利影响。</w:t>
            </w:r>
          </w:p>
          <w:p w14:paraId="700160CC">
            <w:pPr>
              <w:spacing w:line="360" w:lineRule="auto"/>
              <w:ind w:firstLine="48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（2）地表水的影响：项目无生产废水产生，生活污水经厂区总排口进入园区市政污水管网，纳入龙眼井污水处理厂处理达《城镇污水处理厂污染物排放标准》（GB18918-2002）一级A标准后排至琼江。</w:t>
            </w:r>
          </w:p>
          <w:p w14:paraId="06612D78">
            <w:pPr>
              <w:spacing w:line="360" w:lineRule="auto"/>
              <w:ind w:firstLine="480"/>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（3）声学环境的影响：生产过程中设备的运行噪声经隔声减振等措施处理后，实现达标排放，达到《工业企业厂界环境噪声排放标准》（GB12348-2008）3类标准限值要求，对声环境影响较小。</w:t>
            </w:r>
          </w:p>
          <w:p w14:paraId="6AC19EFF">
            <w:pPr>
              <w:spacing w:line="360" w:lineRule="auto"/>
              <w:ind w:firstLine="480"/>
              <w:rPr>
                <w:rFonts w:hint="default" w:ascii="Times New Roman" w:hAnsi="Times New Roman" w:cs="Times New Roman"/>
                <w:color w:val="auto"/>
                <w:sz w:val="24"/>
                <w:szCs w:val="24"/>
              </w:rPr>
            </w:pPr>
            <w:r>
              <w:rPr>
                <w:rFonts w:hint="default" w:ascii="Times New Roman" w:hAnsi="Times New Roman" w:cs="Times New Roman"/>
                <w:color w:val="auto"/>
                <w:sz w:val="24"/>
                <w:szCs w:val="24"/>
                <w:lang w:val="en-US" w:eastAsia="zh-CN"/>
              </w:rPr>
              <w:t>（4）固体废物的影响：本项目各项固废处置措施可行，只要在工作中，将各项措施严格落实到实处认真执行，就能将本项目固废对环境的影响降低到最低程度。</w:t>
            </w:r>
          </w:p>
          <w:p w14:paraId="7ACB9666">
            <w:pPr>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8、清洁生产</w:t>
            </w:r>
          </w:p>
          <w:p w14:paraId="405A13FC">
            <w:pPr>
              <w:pStyle w:val="28"/>
              <w:spacing w:line="360" w:lineRule="auto"/>
              <w:ind w:firstLine="480" w:firstLineChars="200"/>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项目采用先进设备，提高能源利用率，节约资源，从源头上大大减少了污染物的产生</w:t>
            </w:r>
          </w:p>
          <w:p w14:paraId="2E83986C">
            <w:pPr>
              <w:pStyle w:val="28"/>
              <w:spacing w:line="360" w:lineRule="auto"/>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和排放；经营时所使用的能源主要是电能，其为清洁能源；对产生的废水、废气和噪声采取了合理有效的防治措施，可实现废水、废气和厂界噪声的达标排放；对产生的固体废弃物采取了妥善的处置方式，不会造成二次污染。</w:t>
            </w:r>
          </w:p>
          <w:p w14:paraId="68748B00">
            <w:pPr>
              <w:pStyle w:val="28"/>
              <w:spacing w:line="360" w:lineRule="auto"/>
              <w:ind w:firstLine="480" w:firstLineChars="200"/>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因此，本评价认为，项目贯彻了清洁生产原则。</w:t>
            </w:r>
          </w:p>
          <w:p w14:paraId="72D49032">
            <w:pPr>
              <w:numPr>
                <w:ilvl w:val="0"/>
                <w:numId w:val="5"/>
              </w:numPr>
              <w:spacing w:line="360" w:lineRule="auto"/>
              <w:ind w:firstLine="480" w:firstLineChars="200"/>
              <w:rPr>
                <w:rFonts w:hint="eastAsia" w:cs="Times New Roman"/>
                <w:kern w:val="2"/>
                <w:sz w:val="24"/>
                <w:szCs w:val="24"/>
                <w:lang w:val="en-US" w:eastAsia="zh-CN" w:bidi="ar-SA"/>
              </w:rPr>
            </w:pPr>
            <w:r>
              <w:rPr>
                <w:rFonts w:hint="eastAsia" w:cs="Times New Roman"/>
                <w:kern w:val="2"/>
                <w:sz w:val="24"/>
                <w:szCs w:val="24"/>
                <w:lang w:val="en-US" w:eastAsia="zh-CN" w:bidi="ar-SA"/>
              </w:rPr>
              <w:t>总量控制</w:t>
            </w:r>
          </w:p>
          <w:p w14:paraId="27593D87">
            <w:pPr>
              <w:pStyle w:val="28"/>
              <w:numPr>
                <w:ilvl w:val="0"/>
                <w:numId w:val="0"/>
              </w:numPr>
              <w:spacing w:line="360" w:lineRule="auto"/>
              <w:ind w:firstLine="480" w:firstLineChars="200"/>
              <w:rPr>
                <w:rFonts w:hint="default"/>
                <w:lang w:val="en-US" w:eastAsia="zh-CN"/>
              </w:rPr>
            </w:pPr>
            <w:r>
              <w:rPr>
                <w:rFonts w:hint="default"/>
                <w:lang w:val="en-US" w:eastAsia="zh-CN"/>
              </w:rPr>
              <w:t>本项目涉及的总量控制指标为CODcr、NH</w:t>
            </w:r>
            <w:r>
              <w:rPr>
                <w:rFonts w:hint="default"/>
                <w:vertAlign w:val="subscript"/>
                <w:lang w:val="en-US" w:eastAsia="zh-CN"/>
              </w:rPr>
              <w:t>3</w:t>
            </w:r>
            <w:r>
              <w:rPr>
                <w:rFonts w:hint="default"/>
                <w:lang w:val="en-US" w:eastAsia="zh-CN"/>
              </w:rPr>
              <w:t>-N、VOCs，由当地环境保护区调剂解决，本次评价仅就污染物总量控制给出计算数据。</w:t>
            </w:r>
          </w:p>
          <w:p w14:paraId="60AF4D10">
            <w:pPr>
              <w:pStyle w:val="28"/>
              <w:numPr>
                <w:ilvl w:val="0"/>
                <w:numId w:val="0"/>
              </w:numPr>
              <w:spacing w:line="360" w:lineRule="auto"/>
              <w:jc w:val="center"/>
              <w:rPr>
                <w:rFonts w:hint="default"/>
                <w:b/>
                <w:bCs/>
                <w:sz w:val="21"/>
                <w:szCs w:val="21"/>
                <w:lang w:val="en-US" w:eastAsia="zh-CN"/>
              </w:rPr>
            </w:pPr>
            <w:r>
              <w:rPr>
                <w:rFonts w:hint="default"/>
                <w:b/>
                <w:bCs/>
                <w:sz w:val="21"/>
                <w:szCs w:val="21"/>
                <w:lang w:val="en-US" w:eastAsia="zh-CN"/>
              </w:rPr>
              <w:t>表</w:t>
            </w:r>
            <w:r>
              <w:rPr>
                <w:rFonts w:hint="eastAsia"/>
                <w:b/>
                <w:bCs/>
                <w:sz w:val="21"/>
                <w:szCs w:val="21"/>
                <w:lang w:val="en-US" w:eastAsia="zh-CN"/>
              </w:rPr>
              <w:t>9</w:t>
            </w:r>
            <w:r>
              <w:rPr>
                <w:rFonts w:hint="default"/>
                <w:b/>
                <w:bCs/>
                <w:sz w:val="21"/>
                <w:szCs w:val="21"/>
                <w:lang w:val="en-US" w:eastAsia="zh-CN"/>
              </w:rPr>
              <w:t>-1  总量控制指标一览表</w:t>
            </w:r>
          </w:p>
          <w:tbl>
            <w:tblPr>
              <w:tblStyle w:val="23"/>
              <w:tblW w:w="99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5"/>
              <w:gridCol w:w="1483"/>
              <w:gridCol w:w="1142"/>
              <w:gridCol w:w="3347"/>
              <w:gridCol w:w="3281"/>
            </w:tblGrid>
            <w:tr w14:paraId="2E508C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5" w:type="dxa"/>
                  <w:vMerge w:val="restart"/>
                  <w:shd w:val="clear" w:color="auto" w:fill="auto"/>
                  <w:vAlign w:val="center"/>
                </w:tcPr>
                <w:p w14:paraId="3B511BBF">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序号</w:t>
                  </w:r>
                </w:p>
              </w:tc>
              <w:tc>
                <w:tcPr>
                  <w:tcW w:w="1483" w:type="dxa"/>
                  <w:vMerge w:val="restart"/>
                  <w:vAlign w:val="center"/>
                </w:tcPr>
                <w:p w14:paraId="6DA08256">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类别</w:t>
                  </w:r>
                </w:p>
              </w:tc>
              <w:tc>
                <w:tcPr>
                  <w:tcW w:w="1142" w:type="dxa"/>
                  <w:vMerge w:val="restart"/>
                  <w:vAlign w:val="center"/>
                </w:tcPr>
                <w:p w14:paraId="352AF058">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控制指标</w:t>
                  </w:r>
                </w:p>
              </w:tc>
              <w:tc>
                <w:tcPr>
                  <w:tcW w:w="6628" w:type="dxa"/>
                  <w:gridSpan w:val="2"/>
                </w:tcPr>
                <w:p w14:paraId="568F0F23">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总量控制</w:t>
                  </w:r>
                </w:p>
              </w:tc>
            </w:tr>
            <w:tr w14:paraId="24561A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5" w:type="dxa"/>
                  <w:vMerge w:val="continue"/>
                  <w:shd w:val="clear" w:color="auto" w:fill="auto"/>
                  <w:vAlign w:val="center"/>
                </w:tcPr>
                <w:p w14:paraId="53559C1F">
                  <w:pPr>
                    <w:spacing w:line="276" w:lineRule="auto"/>
                    <w:jc w:val="center"/>
                    <w:rPr>
                      <w:rFonts w:hint="default" w:ascii="Times New Roman" w:hAnsi="Times New Roman" w:cs="Times New Roman"/>
                      <w:color w:val="auto"/>
                      <w:szCs w:val="21"/>
                      <w:lang w:val="en-US" w:eastAsia="zh-CN"/>
                    </w:rPr>
                  </w:pPr>
                </w:p>
              </w:tc>
              <w:tc>
                <w:tcPr>
                  <w:tcW w:w="1483" w:type="dxa"/>
                  <w:vMerge w:val="continue"/>
                  <w:vAlign w:val="center"/>
                </w:tcPr>
                <w:p w14:paraId="0FE14C0C">
                  <w:pPr>
                    <w:spacing w:line="276" w:lineRule="auto"/>
                    <w:jc w:val="center"/>
                    <w:rPr>
                      <w:rFonts w:hint="default" w:ascii="Times New Roman" w:hAnsi="Times New Roman" w:cs="Times New Roman"/>
                      <w:color w:val="auto"/>
                      <w:szCs w:val="21"/>
                      <w:lang w:val="en-US" w:eastAsia="zh-CN"/>
                    </w:rPr>
                  </w:pPr>
                </w:p>
              </w:tc>
              <w:tc>
                <w:tcPr>
                  <w:tcW w:w="1142" w:type="dxa"/>
                  <w:vMerge w:val="continue"/>
                  <w:vAlign w:val="center"/>
                </w:tcPr>
                <w:p w14:paraId="723CB5E4">
                  <w:pPr>
                    <w:spacing w:line="276" w:lineRule="auto"/>
                    <w:jc w:val="center"/>
                    <w:rPr>
                      <w:rFonts w:hint="default" w:ascii="Times New Roman" w:hAnsi="Times New Roman" w:cs="Times New Roman"/>
                      <w:color w:val="auto"/>
                      <w:szCs w:val="21"/>
                      <w:lang w:val="en-US" w:eastAsia="zh-CN"/>
                    </w:rPr>
                  </w:pPr>
                </w:p>
              </w:tc>
              <w:tc>
                <w:tcPr>
                  <w:tcW w:w="3347" w:type="dxa"/>
                  <w:shd w:val="clear" w:color="auto" w:fill="auto"/>
                  <w:vAlign w:val="center"/>
                </w:tcPr>
                <w:p w14:paraId="510ABBCD">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化粪池处理后总量</w:t>
                  </w:r>
                </w:p>
              </w:tc>
              <w:tc>
                <w:tcPr>
                  <w:tcW w:w="3281" w:type="dxa"/>
                  <w:shd w:val="clear" w:color="auto" w:fill="auto"/>
                  <w:vAlign w:val="center"/>
                </w:tcPr>
                <w:p w14:paraId="5130CBDF">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污水处理厂处理后总量</w:t>
                  </w:r>
                </w:p>
              </w:tc>
            </w:tr>
            <w:tr w14:paraId="5E5992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5" w:type="dxa"/>
                  <w:vMerge w:val="restart"/>
                  <w:shd w:val="clear" w:color="auto" w:fill="auto"/>
                  <w:vAlign w:val="center"/>
                </w:tcPr>
                <w:p w14:paraId="0DA82CB3">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1</w:t>
                  </w:r>
                </w:p>
              </w:tc>
              <w:tc>
                <w:tcPr>
                  <w:tcW w:w="1483" w:type="dxa"/>
                  <w:vMerge w:val="restart"/>
                  <w:vAlign w:val="center"/>
                </w:tcPr>
                <w:p w14:paraId="166BEA58">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水污染物</w:t>
                  </w:r>
                </w:p>
              </w:tc>
              <w:tc>
                <w:tcPr>
                  <w:tcW w:w="1142" w:type="dxa"/>
                  <w:vAlign w:val="center"/>
                </w:tcPr>
                <w:p w14:paraId="16CE6E87">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CODcr</w:t>
                  </w:r>
                </w:p>
              </w:tc>
              <w:tc>
                <w:tcPr>
                  <w:tcW w:w="3347" w:type="dxa"/>
                  <w:shd w:val="clear" w:color="auto" w:fill="auto"/>
                  <w:vAlign w:val="center"/>
                </w:tcPr>
                <w:p w14:paraId="769BCB41">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1.062t/a</w:t>
                  </w:r>
                </w:p>
              </w:tc>
              <w:tc>
                <w:tcPr>
                  <w:tcW w:w="3281" w:type="dxa"/>
                  <w:shd w:val="clear" w:color="auto" w:fill="auto"/>
                  <w:vAlign w:val="center"/>
                </w:tcPr>
                <w:p w14:paraId="6AA3ACDE">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0.1062t/a</w:t>
                  </w:r>
                </w:p>
              </w:tc>
            </w:tr>
            <w:tr w14:paraId="55863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5" w:type="dxa"/>
                  <w:vMerge w:val="continue"/>
                  <w:shd w:val="clear" w:color="auto" w:fill="auto"/>
                  <w:vAlign w:val="center"/>
                </w:tcPr>
                <w:p w14:paraId="1024955D">
                  <w:pPr>
                    <w:spacing w:line="276" w:lineRule="auto"/>
                    <w:jc w:val="center"/>
                    <w:rPr>
                      <w:rFonts w:hint="default" w:ascii="Times New Roman" w:hAnsi="Times New Roman" w:cs="Times New Roman"/>
                      <w:color w:val="auto"/>
                      <w:szCs w:val="21"/>
                      <w:lang w:val="en-US" w:eastAsia="zh-CN"/>
                    </w:rPr>
                  </w:pPr>
                </w:p>
              </w:tc>
              <w:tc>
                <w:tcPr>
                  <w:tcW w:w="1483" w:type="dxa"/>
                  <w:vMerge w:val="continue"/>
                  <w:vAlign w:val="center"/>
                </w:tcPr>
                <w:p w14:paraId="4F3D7501">
                  <w:pPr>
                    <w:spacing w:line="276" w:lineRule="auto"/>
                    <w:jc w:val="center"/>
                    <w:rPr>
                      <w:rFonts w:hint="default" w:ascii="Times New Roman" w:hAnsi="Times New Roman" w:cs="Times New Roman"/>
                      <w:color w:val="auto"/>
                      <w:szCs w:val="21"/>
                      <w:lang w:val="en-US" w:eastAsia="zh-CN"/>
                    </w:rPr>
                  </w:pPr>
                </w:p>
              </w:tc>
              <w:tc>
                <w:tcPr>
                  <w:tcW w:w="1142" w:type="dxa"/>
                  <w:vAlign w:val="center"/>
                </w:tcPr>
                <w:p w14:paraId="02BE07C3">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NH3-N</w:t>
                  </w:r>
                </w:p>
              </w:tc>
              <w:tc>
                <w:tcPr>
                  <w:tcW w:w="3347" w:type="dxa"/>
                  <w:shd w:val="clear" w:color="auto" w:fill="auto"/>
                  <w:vAlign w:val="center"/>
                </w:tcPr>
                <w:p w14:paraId="0C6BAA08">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0.0956t/a</w:t>
                  </w:r>
                </w:p>
              </w:tc>
              <w:tc>
                <w:tcPr>
                  <w:tcW w:w="3281" w:type="dxa"/>
                  <w:shd w:val="clear" w:color="auto" w:fill="auto"/>
                  <w:vAlign w:val="center"/>
                </w:tcPr>
                <w:p w14:paraId="39D952D5">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0.0106t/a</w:t>
                  </w:r>
                </w:p>
              </w:tc>
            </w:tr>
            <w:tr w14:paraId="2EF8BB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 w:hRule="atLeast"/>
                <w:jc w:val="center"/>
              </w:trPr>
              <w:tc>
                <w:tcPr>
                  <w:tcW w:w="715" w:type="dxa"/>
                  <w:shd w:val="clear" w:color="auto" w:fill="auto"/>
                  <w:vAlign w:val="center"/>
                </w:tcPr>
                <w:p w14:paraId="430EE6DC">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2</w:t>
                  </w:r>
                </w:p>
              </w:tc>
              <w:tc>
                <w:tcPr>
                  <w:tcW w:w="1483" w:type="dxa"/>
                  <w:vAlign w:val="center"/>
                </w:tcPr>
                <w:p w14:paraId="596C0F37">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大气污染物</w:t>
                  </w:r>
                </w:p>
              </w:tc>
              <w:tc>
                <w:tcPr>
                  <w:tcW w:w="1142" w:type="dxa"/>
                  <w:vAlign w:val="center"/>
                </w:tcPr>
                <w:p w14:paraId="3E0A4D88">
                  <w:pPr>
                    <w:spacing w:line="276"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VOCs</w:t>
                  </w:r>
                </w:p>
              </w:tc>
              <w:tc>
                <w:tcPr>
                  <w:tcW w:w="6628" w:type="dxa"/>
                  <w:gridSpan w:val="2"/>
                </w:tcPr>
                <w:p w14:paraId="45E0BA89">
                  <w:pPr>
                    <w:spacing w:line="276" w:lineRule="auto"/>
                    <w:jc w:val="center"/>
                    <w:rPr>
                      <w:rFonts w:hint="default" w:ascii="Times New Roman" w:hAnsi="Times New Roman" w:cs="Times New Roman"/>
                      <w:color w:val="auto"/>
                      <w:szCs w:val="21"/>
                      <w:lang w:val="en-US" w:eastAsia="zh-CN"/>
                    </w:rPr>
                  </w:pPr>
                  <w:r>
                    <w:rPr>
                      <w:szCs w:val="21"/>
                    </w:rPr>
                    <w:t>5.5</w:t>
                  </w:r>
                  <w:r>
                    <w:rPr>
                      <w:rFonts w:hint="default" w:ascii="Times New Roman" w:hAnsi="Times New Roman" w:cs="Times New Roman"/>
                      <w:color w:val="auto"/>
                      <w:szCs w:val="21"/>
                      <w:lang w:val="en-US" w:eastAsia="zh-CN"/>
                    </w:rPr>
                    <w:t>kg/a</w:t>
                  </w:r>
                </w:p>
              </w:tc>
            </w:tr>
          </w:tbl>
          <w:p w14:paraId="7AC08CA8">
            <w:pPr>
              <w:pStyle w:val="28"/>
              <w:numPr>
                <w:ilvl w:val="0"/>
                <w:numId w:val="0"/>
              </w:numPr>
              <w:rPr>
                <w:rFonts w:hint="default"/>
                <w:lang w:val="en-US" w:eastAsia="zh-CN"/>
              </w:rPr>
            </w:pPr>
          </w:p>
          <w:p w14:paraId="75E828D9">
            <w:pPr>
              <w:spacing w:line="360" w:lineRule="auto"/>
              <w:ind w:firstLine="480" w:firstLineChars="200"/>
              <w:rPr>
                <w:rFonts w:hint="default" w:ascii="Times New Roman" w:hAnsi="Times New Roman" w:eastAsia="宋体" w:cs="Times New Roman"/>
                <w:kern w:val="2"/>
                <w:sz w:val="24"/>
                <w:szCs w:val="24"/>
                <w:lang w:val="en-US" w:eastAsia="zh-CN" w:bidi="ar-SA"/>
              </w:rPr>
            </w:pPr>
            <w:r>
              <w:rPr>
                <w:rFonts w:hint="eastAsia" w:cs="Times New Roman"/>
                <w:kern w:val="2"/>
                <w:sz w:val="24"/>
                <w:szCs w:val="24"/>
                <w:lang w:val="en-US" w:eastAsia="zh-CN" w:bidi="ar-SA"/>
              </w:rPr>
              <w:t>10</w:t>
            </w:r>
            <w:r>
              <w:rPr>
                <w:rFonts w:hint="default" w:ascii="Times New Roman" w:hAnsi="Times New Roman" w:eastAsia="宋体" w:cs="Times New Roman"/>
                <w:kern w:val="2"/>
                <w:sz w:val="24"/>
                <w:szCs w:val="24"/>
                <w:lang w:val="en-US" w:eastAsia="zh-CN" w:bidi="ar-SA"/>
              </w:rPr>
              <w:t>、建设项目环境可行性结论</w:t>
            </w:r>
          </w:p>
          <w:p w14:paraId="43AA2D4F">
            <w:pPr>
              <w:spacing w:line="360" w:lineRule="auto"/>
              <w:ind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本项目建设符合国家相关产业政策，与项目所在地城市发展规划相符，选址合理。贯彻了“清洁生产、总量控制和达标排放”的原则；</w:t>
            </w:r>
            <w:r>
              <w:rPr>
                <w:rFonts w:hint="default" w:ascii="Times New Roman" w:hAnsi="Times New Roman" w:cs="Times New Roman"/>
                <w:sz w:val="24"/>
                <w:szCs w:val="24"/>
                <w:lang w:eastAsia="zh-CN"/>
              </w:rPr>
              <w:t>拟</w:t>
            </w:r>
            <w:r>
              <w:rPr>
                <w:rFonts w:hint="default" w:ascii="Times New Roman" w:hAnsi="Times New Roman" w:cs="Times New Roman"/>
                <w:sz w:val="24"/>
                <w:szCs w:val="24"/>
              </w:rPr>
              <w:t>采取的“三废”治理措施经济可行，只要认真落实报告表中所提出的各项污染防治措施和环境风险防范措施，实现环境保护措施的有效运行，并加强内部环境管理和安全生产运行管理，从环境角度来看，无明显环境制约因素，因此本项目建设是可行的。</w:t>
            </w:r>
          </w:p>
          <w:p w14:paraId="6DBFF616">
            <w:pPr>
              <w:numPr>
                <w:ilvl w:val="0"/>
                <w:numId w:val="6"/>
              </w:numPr>
              <w:spacing w:line="360" w:lineRule="auto"/>
              <w:outlineLvl w:val="0"/>
              <w:rPr>
                <w:rFonts w:hint="default" w:ascii="Times New Roman" w:hAnsi="Times New Roman" w:cs="Times New Roman"/>
                <w:b/>
                <w:bCs/>
                <w:sz w:val="28"/>
                <w:szCs w:val="28"/>
              </w:rPr>
            </w:pPr>
            <w:r>
              <w:rPr>
                <w:rFonts w:hint="default" w:ascii="Times New Roman" w:hAnsi="Times New Roman" w:cs="Times New Roman"/>
                <w:b/>
                <w:bCs/>
                <w:sz w:val="28"/>
                <w:szCs w:val="28"/>
              </w:rPr>
              <w:t>要求与建议</w:t>
            </w:r>
          </w:p>
          <w:p w14:paraId="346AB2C2">
            <w:pPr>
              <w:spacing w:line="360" w:lineRule="auto"/>
              <w:outlineLvl w:val="0"/>
              <w:rPr>
                <w:sz w:val="24"/>
                <w:szCs w:val="24"/>
              </w:rPr>
            </w:pPr>
            <w:r>
              <w:rPr>
                <w:rFonts w:hint="default" w:ascii="Times New Roman" w:hAnsi="Times New Roman" w:cs="Times New Roman"/>
                <w:sz w:val="24"/>
                <w:szCs w:val="24"/>
                <w:lang w:val="en-US" w:eastAsia="zh-CN"/>
              </w:rPr>
              <w:t xml:space="preserve">    </w:t>
            </w:r>
            <w:r>
              <w:rPr>
                <w:sz w:val="24"/>
                <w:szCs w:val="24"/>
              </w:rPr>
              <w:t xml:space="preserve"> 1、项目在建设过程中应确保足够的环保资金，确保污染物治理措施落实到位，并定期对环保设施进行检修，保证其正常运转，若出现非正常情况，必须立即停止生产。</w:t>
            </w:r>
          </w:p>
          <w:p w14:paraId="18D9D58E">
            <w:pPr>
              <w:spacing w:line="360" w:lineRule="auto"/>
              <w:ind w:firstLine="480" w:firstLineChars="200"/>
              <w:rPr>
                <w:sz w:val="24"/>
                <w:szCs w:val="24"/>
              </w:rPr>
            </w:pPr>
            <w:r>
              <w:rPr>
                <w:sz w:val="24"/>
                <w:szCs w:val="24"/>
              </w:rPr>
              <w:t>2、建设单位应认真贯彻执行国家和地方各项环保法规和方针政策，建立环保机构，制定一套完善的</w:t>
            </w:r>
            <w:r>
              <w:rPr>
                <w:rFonts w:hint="eastAsia"/>
                <w:sz w:val="24"/>
                <w:szCs w:val="24"/>
              </w:rPr>
              <w:t>“</w:t>
            </w:r>
            <w:r>
              <w:rPr>
                <w:sz w:val="24"/>
                <w:szCs w:val="24"/>
              </w:rPr>
              <w:t>环境管理手册</w:t>
            </w:r>
            <w:r>
              <w:rPr>
                <w:rFonts w:hint="eastAsia"/>
                <w:sz w:val="24"/>
                <w:szCs w:val="24"/>
              </w:rPr>
              <w:t>”</w:t>
            </w:r>
            <w:r>
              <w:rPr>
                <w:sz w:val="24"/>
                <w:szCs w:val="24"/>
              </w:rPr>
              <w:t>，落实环境管理规章制度，强化管理。</w:t>
            </w:r>
          </w:p>
          <w:p w14:paraId="2EC33475">
            <w:pPr>
              <w:pStyle w:val="11"/>
              <w:spacing w:before="48" w:line="360" w:lineRule="auto"/>
              <w:ind w:firstLine="480" w:firstLineChars="200"/>
              <w:rPr>
                <w:sz w:val="24"/>
              </w:rPr>
            </w:pPr>
            <w:r>
              <w:rPr>
                <w:sz w:val="24"/>
              </w:rPr>
              <w:t>3、</w:t>
            </w:r>
            <w:r>
              <w:rPr>
                <w:rFonts w:hint="eastAsia"/>
                <w:sz w:val="24"/>
              </w:rPr>
              <w:t>加强生产、生活过程中的固废管理，分类存放，</w:t>
            </w:r>
            <w:r>
              <w:rPr>
                <w:sz w:val="24"/>
              </w:rPr>
              <w:t>做好记录。</w:t>
            </w:r>
          </w:p>
          <w:p w14:paraId="6B644AD6">
            <w:pPr>
              <w:spacing w:line="360" w:lineRule="auto"/>
              <w:ind w:firstLine="480"/>
              <w:rPr>
                <w:sz w:val="24"/>
                <w:szCs w:val="24"/>
              </w:rPr>
            </w:pPr>
            <w:r>
              <w:rPr>
                <w:sz w:val="24"/>
              </w:rPr>
              <w:t>4、</w:t>
            </w:r>
            <w:r>
              <w:rPr>
                <w:sz w:val="24"/>
                <w:szCs w:val="24"/>
              </w:rPr>
              <w:t>加强废气处理设备</w:t>
            </w:r>
            <w:r>
              <w:rPr>
                <w:rFonts w:hint="eastAsia"/>
                <w:sz w:val="24"/>
                <w:szCs w:val="24"/>
              </w:rPr>
              <w:t>和</w:t>
            </w:r>
            <w:r>
              <w:rPr>
                <w:sz w:val="24"/>
                <w:szCs w:val="24"/>
              </w:rPr>
              <w:t>管理维护，</w:t>
            </w:r>
            <w:r>
              <w:rPr>
                <w:rFonts w:hint="eastAsia"/>
                <w:sz w:val="24"/>
                <w:szCs w:val="24"/>
              </w:rPr>
              <w:t>严格</w:t>
            </w:r>
            <w:r>
              <w:rPr>
                <w:sz w:val="24"/>
                <w:szCs w:val="24"/>
              </w:rPr>
              <w:t>落实活性炭更换周期要求，建立更换</w:t>
            </w:r>
            <w:r>
              <w:rPr>
                <w:rFonts w:hint="eastAsia"/>
                <w:sz w:val="24"/>
                <w:szCs w:val="24"/>
              </w:rPr>
              <w:t>记录</w:t>
            </w:r>
            <w:r>
              <w:rPr>
                <w:sz w:val="24"/>
                <w:szCs w:val="24"/>
              </w:rPr>
              <w:t>。</w:t>
            </w:r>
          </w:p>
          <w:p w14:paraId="46EB4274">
            <w:pPr>
              <w:pStyle w:val="11"/>
              <w:spacing w:before="109" w:line="360" w:lineRule="auto"/>
              <w:ind w:firstLine="480" w:firstLineChars="200"/>
              <w:rPr>
                <w:sz w:val="24"/>
              </w:rPr>
            </w:pPr>
            <w:r>
              <w:rPr>
                <w:rFonts w:hint="eastAsia"/>
                <w:sz w:val="24"/>
              </w:rPr>
              <w:t>5</w:t>
            </w:r>
            <w:r>
              <w:rPr>
                <w:sz w:val="24"/>
              </w:rPr>
              <w:t>、加强职工的职业卫生防护。</w:t>
            </w:r>
          </w:p>
          <w:p w14:paraId="646A7677">
            <w:pPr>
              <w:pStyle w:val="11"/>
              <w:spacing w:before="109" w:line="360" w:lineRule="auto"/>
              <w:ind w:firstLine="480" w:firstLineChars="200"/>
              <w:rPr>
                <w:rFonts w:hint="default"/>
                <w:sz w:val="24"/>
              </w:rPr>
            </w:pPr>
          </w:p>
          <w:p w14:paraId="7B4CCB8B">
            <w:pPr>
              <w:rPr>
                <w:rFonts w:hint="default" w:ascii="Times New Roman" w:hAnsi="Times New Roman" w:cs="Times New Roman"/>
              </w:rPr>
            </w:pPr>
          </w:p>
          <w:p w14:paraId="19073A06">
            <w:pPr>
              <w:pStyle w:val="2"/>
              <w:rPr>
                <w:rFonts w:hint="default" w:ascii="Times New Roman" w:hAnsi="Times New Roman" w:cs="Times New Roman"/>
              </w:rPr>
            </w:pPr>
          </w:p>
          <w:p w14:paraId="5C92FD02">
            <w:pPr>
              <w:pStyle w:val="2"/>
              <w:rPr>
                <w:rFonts w:hint="default" w:ascii="Times New Roman" w:hAnsi="Times New Roman" w:cs="Times New Roman"/>
              </w:rPr>
            </w:pPr>
          </w:p>
          <w:p w14:paraId="7406BB9B">
            <w:pPr>
              <w:pStyle w:val="2"/>
              <w:rPr>
                <w:rFonts w:hint="default" w:ascii="Times New Roman" w:hAnsi="Times New Roman" w:cs="Times New Roman"/>
              </w:rPr>
            </w:pPr>
          </w:p>
          <w:p w14:paraId="3A2EA03F">
            <w:pPr>
              <w:pStyle w:val="2"/>
              <w:rPr>
                <w:rFonts w:hint="default" w:ascii="Times New Roman" w:hAnsi="Times New Roman" w:cs="Times New Roman"/>
              </w:rPr>
            </w:pPr>
          </w:p>
          <w:p w14:paraId="5DD01EEC">
            <w:pPr>
              <w:pStyle w:val="2"/>
              <w:rPr>
                <w:rFonts w:hint="default" w:ascii="Times New Roman" w:hAnsi="Times New Roman" w:cs="Times New Roman"/>
              </w:rPr>
            </w:pPr>
          </w:p>
          <w:p w14:paraId="6278E1EC">
            <w:pPr>
              <w:pStyle w:val="2"/>
              <w:rPr>
                <w:rFonts w:hint="default" w:ascii="Times New Roman" w:hAnsi="Times New Roman" w:cs="Times New Roman"/>
              </w:rPr>
            </w:pPr>
          </w:p>
          <w:p w14:paraId="2C236794">
            <w:pPr>
              <w:pStyle w:val="2"/>
              <w:rPr>
                <w:rFonts w:hint="default" w:ascii="Times New Roman" w:hAnsi="Times New Roman" w:cs="Times New Roman"/>
              </w:rPr>
            </w:pPr>
          </w:p>
          <w:p w14:paraId="48783967">
            <w:pPr>
              <w:pStyle w:val="2"/>
              <w:rPr>
                <w:rFonts w:hint="default" w:ascii="Times New Roman" w:hAnsi="Times New Roman" w:cs="Times New Roman"/>
              </w:rPr>
            </w:pPr>
          </w:p>
          <w:p w14:paraId="2979AFD0">
            <w:pPr>
              <w:pStyle w:val="2"/>
              <w:rPr>
                <w:rFonts w:hint="default" w:ascii="Times New Roman" w:hAnsi="Times New Roman" w:cs="Times New Roman"/>
              </w:rPr>
            </w:pPr>
          </w:p>
          <w:p w14:paraId="22B99AED">
            <w:pPr>
              <w:pStyle w:val="2"/>
              <w:rPr>
                <w:rFonts w:hint="default" w:ascii="Times New Roman" w:hAnsi="Times New Roman" w:cs="Times New Roman"/>
              </w:rPr>
            </w:pPr>
          </w:p>
          <w:p w14:paraId="11C23F3B">
            <w:pPr>
              <w:pStyle w:val="2"/>
              <w:rPr>
                <w:rFonts w:hint="default" w:ascii="Times New Roman" w:hAnsi="Times New Roman" w:cs="Times New Roman"/>
              </w:rPr>
            </w:pPr>
          </w:p>
          <w:p w14:paraId="4E89F5B1">
            <w:pPr>
              <w:pStyle w:val="2"/>
              <w:rPr>
                <w:rFonts w:hint="default" w:ascii="Times New Roman" w:hAnsi="Times New Roman" w:cs="Times New Roman"/>
              </w:rPr>
            </w:pPr>
          </w:p>
          <w:p w14:paraId="54C4C936">
            <w:pPr>
              <w:pStyle w:val="2"/>
              <w:rPr>
                <w:rFonts w:hint="default" w:ascii="Times New Roman" w:hAnsi="Times New Roman" w:cs="Times New Roman"/>
              </w:rPr>
            </w:pPr>
          </w:p>
          <w:p w14:paraId="5483C29B">
            <w:pPr>
              <w:pStyle w:val="3"/>
              <w:rPr>
                <w:rFonts w:hint="default" w:ascii="Times New Roman" w:hAnsi="Times New Roman" w:cs="Times New Roman"/>
              </w:rPr>
            </w:pPr>
          </w:p>
          <w:p w14:paraId="2E734684">
            <w:pPr>
              <w:rPr>
                <w:rFonts w:hint="default" w:ascii="Times New Roman" w:hAnsi="Times New Roman" w:cs="Times New Roman"/>
              </w:rPr>
            </w:pPr>
          </w:p>
          <w:p w14:paraId="57F983A9">
            <w:pPr>
              <w:rPr>
                <w:rFonts w:hint="default" w:ascii="Times New Roman" w:hAnsi="Times New Roman" w:cs="Times New Roman"/>
              </w:rPr>
            </w:pPr>
          </w:p>
        </w:tc>
      </w:tr>
      <w:tr w14:paraId="62FC5C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194" w:type="dxa"/>
            <w:shd w:val="clear" w:color="auto" w:fill="auto"/>
          </w:tcPr>
          <w:p w14:paraId="61730F9B">
            <w:pPr>
              <w:spacing w:line="360" w:lineRule="auto"/>
              <w:jc w:val="center"/>
              <w:rPr>
                <w:rFonts w:hint="default" w:ascii="Times New Roman" w:hAnsi="Times New Roman" w:eastAsia="黑体" w:cs="Times New Roman"/>
                <w:color w:val="auto"/>
                <w:sz w:val="32"/>
                <w:szCs w:val="32"/>
              </w:rPr>
            </w:pPr>
          </w:p>
          <w:p w14:paraId="5B8C8F47">
            <w:pPr>
              <w:spacing w:line="360" w:lineRule="auto"/>
              <w:jc w:val="center"/>
              <w:rPr>
                <w:rFonts w:hint="default" w:ascii="Times New Roman" w:hAnsi="Times New Roman" w:eastAsia="黑体" w:cs="Times New Roman"/>
                <w:color w:val="auto"/>
                <w:sz w:val="32"/>
                <w:szCs w:val="32"/>
              </w:rPr>
            </w:pPr>
            <w:r>
              <w:rPr>
                <w:rFonts w:hint="default" w:ascii="Times New Roman" w:hAnsi="Times New Roman" w:eastAsia="黑体" w:cs="Times New Roman"/>
                <w:color w:val="auto"/>
                <w:sz w:val="32"/>
                <w:szCs w:val="32"/>
              </w:rPr>
              <w:t>注 释</w:t>
            </w:r>
          </w:p>
          <w:p w14:paraId="4DDF28F9">
            <w:pPr>
              <w:spacing w:line="360" w:lineRule="auto"/>
              <w:jc w:val="left"/>
              <w:rPr>
                <w:rFonts w:hint="default" w:ascii="Times New Roman" w:hAnsi="Times New Roman" w:cs="Times New Roman"/>
                <w:b/>
                <w:color w:val="auto"/>
                <w:sz w:val="28"/>
                <w:szCs w:val="28"/>
              </w:rPr>
            </w:pPr>
          </w:p>
          <w:p w14:paraId="7CA457F3">
            <w:pPr>
              <w:spacing w:line="360" w:lineRule="auto"/>
              <w:jc w:val="left"/>
              <w:rPr>
                <w:rFonts w:hint="default" w:ascii="Times New Roman" w:hAnsi="Times New Roman" w:cs="Times New Roman"/>
                <w:b/>
                <w:color w:val="auto"/>
                <w:sz w:val="28"/>
                <w:szCs w:val="28"/>
              </w:rPr>
            </w:pPr>
            <w:r>
              <w:rPr>
                <w:rFonts w:hint="default" w:ascii="Times New Roman" w:hAnsi="Times New Roman" w:cs="Times New Roman"/>
                <w:b/>
                <w:color w:val="auto"/>
                <w:sz w:val="28"/>
                <w:szCs w:val="28"/>
              </w:rPr>
              <w:t>一、本报告表应附以下附图、附件：</w:t>
            </w:r>
          </w:p>
          <w:p w14:paraId="0C5450F2">
            <w:pPr>
              <w:spacing w:line="360" w:lineRule="auto"/>
              <w:ind w:firstLine="480"/>
              <w:jc w:val="left"/>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附图：</w:t>
            </w:r>
          </w:p>
          <w:p w14:paraId="57FDB437">
            <w:pPr>
              <w:spacing w:line="360" w:lineRule="auto"/>
              <w:ind w:firstLine="480"/>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附图</w:t>
            </w:r>
            <w:r>
              <w:rPr>
                <w:rFonts w:hint="default" w:ascii="Times New Roman" w:hAnsi="Times New Roman" w:cs="Times New Roman"/>
                <w:color w:val="auto"/>
                <w:sz w:val="24"/>
                <w:szCs w:val="24"/>
                <w:lang w:val="en-US" w:eastAsia="zh-CN"/>
              </w:rPr>
              <w:t>1</w:t>
            </w:r>
            <w:r>
              <w:rPr>
                <w:rFonts w:hint="default" w:ascii="Times New Roman" w:hAnsi="Times New Roman" w:cs="Times New Roman"/>
                <w:color w:val="auto"/>
                <w:sz w:val="24"/>
                <w:szCs w:val="24"/>
              </w:rPr>
              <w:t xml:space="preserve">  地理位置图</w:t>
            </w:r>
          </w:p>
          <w:p w14:paraId="15D7D582">
            <w:pPr>
              <w:spacing w:line="360" w:lineRule="auto"/>
              <w:ind w:firstLine="480"/>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附图2  与本项目有关的附图</w:t>
            </w:r>
          </w:p>
          <w:p w14:paraId="6A8ACF01">
            <w:pPr>
              <w:spacing w:line="360" w:lineRule="auto"/>
              <w:jc w:val="left"/>
              <w:rPr>
                <w:rFonts w:hint="default" w:ascii="Times New Roman" w:hAnsi="Times New Roman" w:cs="Times New Roman"/>
                <w:color w:val="auto"/>
                <w:sz w:val="24"/>
                <w:szCs w:val="24"/>
              </w:rPr>
            </w:pPr>
          </w:p>
          <w:p w14:paraId="6954C2A3">
            <w:pPr>
              <w:spacing w:line="360" w:lineRule="auto"/>
              <w:jc w:val="left"/>
              <w:rPr>
                <w:rFonts w:hint="default" w:ascii="Times New Roman" w:hAnsi="Times New Roman" w:cs="Times New Roman"/>
                <w:color w:val="auto"/>
                <w:sz w:val="24"/>
                <w:szCs w:val="24"/>
              </w:rPr>
            </w:pPr>
          </w:p>
          <w:p w14:paraId="4A82D987">
            <w:pPr>
              <w:spacing w:line="360" w:lineRule="auto"/>
              <w:ind w:firstLine="480"/>
              <w:jc w:val="left"/>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附件：</w:t>
            </w:r>
          </w:p>
          <w:p w14:paraId="0742A2B1">
            <w:pPr>
              <w:spacing w:line="360" w:lineRule="auto"/>
              <w:ind w:firstLine="480"/>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附件1  立项文件</w:t>
            </w:r>
          </w:p>
          <w:p w14:paraId="1EE680B1">
            <w:pPr>
              <w:spacing w:line="360" w:lineRule="auto"/>
              <w:ind w:firstLine="480"/>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附件2  与本项目环评相关的其他文件</w:t>
            </w:r>
          </w:p>
          <w:p w14:paraId="2F02A9D4">
            <w:pPr>
              <w:spacing w:line="360" w:lineRule="auto"/>
              <w:jc w:val="left"/>
              <w:rPr>
                <w:rFonts w:hint="default" w:ascii="Times New Roman" w:hAnsi="Times New Roman" w:cs="Times New Roman"/>
                <w:color w:val="auto"/>
                <w:sz w:val="24"/>
                <w:szCs w:val="24"/>
              </w:rPr>
            </w:pPr>
          </w:p>
          <w:p w14:paraId="326DB054">
            <w:pPr>
              <w:spacing w:line="360" w:lineRule="auto"/>
              <w:jc w:val="left"/>
              <w:rPr>
                <w:rFonts w:hint="default" w:ascii="Times New Roman" w:hAnsi="Times New Roman" w:cs="Times New Roman"/>
                <w:color w:val="auto"/>
                <w:sz w:val="24"/>
                <w:szCs w:val="24"/>
              </w:rPr>
            </w:pPr>
          </w:p>
          <w:p w14:paraId="49137966">
            <w:pPr>
              <w:spacing w:line="360" w:lineRule="auto"/>
              <w:jc w:val="left"/>
              <w:rPr>
                <w:rFonts w:hint="default" w:ascii="Times New Roman" w:hAnsi="Times New Roman" w:cs="Times New Roman"/>
                <w:b/>
                <w:color w:val="auto"/>
                <w:sz w:val="28"/>
                <w:szCs w:val="28"/>
              </w:rPr>
            </w:pPr>
            <w:r>
              <w:rPr>
                <w:rFonts w:hint="default" w:ascii="Times New Roman" w:hAnsi="Times New Roman" w:cs="Times New Roman"/>
                <w:b/>
                <w:color w:val="auto"/>
                <w:sz w:val="28"/>
                <w:szCs w:val="28"/>
              </w:rPr>
              <w:t>二、如果本报告表不能说明项目产生的污染及对环境造成的影响，应进行专项评价。根据建设项目的特点和当地环境特征，应选下列1-2项进行专项评价。</w:t>
            </w:r>
          </w:p>
          <w:p w14:paraId="69323C35">
            <w:pPr>
              <w:spacing w:line="360" w:lineRule="auto"/>
              <w:ind w:firstLine="480" w:firstLineChars="200"/>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1、大气环境影响专项评价</w:t>
            </w:r>
          </w:p>
          <w:p w14:paraId="3DA2436B">
            <w:pPr>
              <w:spacing w:line="360" w:lineRule="auto"/>
              <w:ind w:firstLine="480" w:firstLineChars="200"/>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2、水环境影响专项评价（包括地表水和地下水）</w:t>
            </w:r>
          </w:p>
          <w:p w14:paraId="0860DC47">
            <w:pPr>
              <w:spacing w:line="360" w:lineRule="auto"/>
              <w:ind w:firstLine="480" w:firstLineChars="200"/>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3、生态环境影响专项评价</w:t>
            </w:r>
          </w:p>
          <w:p w14:paraId="46FF1EF6">
            <w:pPr>
              <w:spacing w:line="360" w:lineRule="auto"/>
              <w:ind w:firstLine="480" w:firstLineChars="200"/>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4、声环境影响专项评价</w:t>
            </w:r>
          </w:p>
          <w:p w14:paraId="09359DB4">
            <w:pPr>
              <w:spacing w:line="360" w:lineRule="auto"/>
              <w:ind w:firstLine="480" w:firstLineChars="200"/>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5、土壤环境影响专项评价</w:t>
            </w:r>
          </w:p>
          <w:p w14:paraId="3747EEE2">
            <w:pPr>
              <w:spacing w:line="360" w:lineRule="auto"/>
              <w:ind w:firstLine="480" w:firstLineChars="200"/>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6、固体废弃物环境影响专项评价</w:t>
            </w:r>
          </w:p>
          <w:p w14:paraId="08CEE90E">
            <w:pPr>
              <w:spacing w:line="360" w:lineRule="auto"/>
              <w:ind w:firstLine="480" w:firstLineChars="200"/>
              <w:jc w:val="left"/>
              <w:rPr>
                <w:rFonts w:hint="default" w:ascii="Times New Roman" w:hAnsi="Times New Roman" w:cs="Times New Roman"/>
                <w:color w:val="auto"/>
                <w:sz w:val="24"/>
                <w:szCs w:val="24"/>
              </w:rPr>
            </w:pPr>
            <w:r>
              <w:rPr>
                <w:rFonts w:hint="default" w:ascii="Times New Roman" w:hAnsi="Times New Roman" w:cs="Times New Roman"/>
                <w:color w:val="auto"/>
                <w:sz w:val="24"/>
                <w:szCs w:val="24"/>
              </w:rPr>
              <w:t>以上专项评价未包括的可另列专项，专项评价按照《环境影响评价技术导则》中的要求进行。</w:t>
            </w:r>
          </w:p>
          <w:p w14:paraId="301B9F05">
            <w:pPr>
              <w:spacing w:line="360" w:lineRule="auto"/>
              <w:jc w:val="left"/>
              <w:rPr>
                <w:rFonts w:hint="default" w:ascii="Times New Roman" w:hAnsi="Times New Roman" w:cs="Times New Roman"/>
                <w:color w:val="auto"/>
                <w:sz w:val="24"/>
                <w:szCs w:val="24"/>
              </w:rPr>
            </w:pPr>
          </w:p>
        </w:tc>
      </w:tr>
    </w:tbl>
    <w:p w14:paraId="2291DC5D">
      <w:pPr>
        <w:rPr>
          <w:rFonts w:hint="default" w:ascii="Times New Roman" w:hAnsi="Times New Roman" w:cs="Times New Roman"/>
          <w:color w:val="auto"/>
          <w:sz w:val="24"/>
          <w:szCs w:val="24"/>
        </w:rPr>
      </w:pPr>
    </w:p>
    <w:sectPr>
      <w:footerReference r:id="rId4" w:type="default"/>
      <w:pgSz w:w="11906" w:h="16838"/>
      <w:pgMar w:top="1134" w:right="851" w:bottom="1134" w:left="851" w:header="851" w:footer="992" w:gutter="0"/>
      <w:pgBorders>
        <w:top w:val="none" w:sz="0" w:space="0"/>
        <w:left w:val="none" w:sz="0" w:space="0"/>
        <w:bottom w:val="none" w:sz="0" w:space="0"/>
        <w:right w:val="none" w:sz="0" w:space="0"/>
      </w:pgBorders>
      <w:pgNumType w:start="74"/>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_GB2312">
    <w:altName w:val="仿宋"/>
    <w:panose1 w:val="02010609030101010101"/>
    <w:charset w:val="86"/>
    <w:family w:val="auto"/>
    <w:pitch w:val="default"/>
    <w:sig w:usb0="00000000" w:usb1="00000000" w:usb2="00000000" w:usb3="00000000" w:csb0="00040000" w:csb1="00000000"/>
  </w:font>
  <w:font w:name="TimesNewRoman">
    <w:altName w:val="Times New Roman"/>
    <w:panose1 w:val="00000000000000000000"/>
    <w:charset w:val="00"/>
    <w:family w:val="roman"/>
    <w:pitch w:val="default"/>
    <w:sig w:usb0="00000000" w:usb1="00000000" w:usb2="00000000" w:usb3="00000000" w:csb0="00000001" w:csb1="00000000"/>
  </w:font>
  <w:font w:name="华文中宋">
    <w:panose1 w:val="02010600040101010101"/>
    <w:charset w:val="86"/>
    <w:family w:val="auto"/>
    <w:pitch w:val="default"/>
    <w:sig w:usb0="00000287" w:usb1="080F0000" w:usb2="00000000" w:usb3="00000000" w:csb0="0004009F" w:csb1="DFD70000"/>
  </w:font>
  <w:font w:name="Microsoft YaHei UI">
    <w:altName w:val="宋体"/>
    <w:panose1 w:val="020B0503020204020204"/>
    <w:charset w:val="86"/>
    <w:family w:val="swiss"/>
    <w:pitch w:val="default"/>
    <w:sig w:usb0="00000000" w:usb1="00000000" w:usb2="00000016" w:usb3="00000000" w:csb0="0004001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7F58ED">
    <w:pPr>
      <w:pStyle w:val="17"/>
      <w:jc w:val="center"/>
    </w:pPr>
    <w:r>
      <w:fldChar w:fldCharType="begin"/>
    </w:r>
    <w:r>
      <w:instrText xml:space="preserve">PAGE   \* MERGEFORMAT</w:instrText>
    </w:r>
    <w:r>
      <w:fldChar w:fldCharType="separate"/>
    </w:r>
    <w:r>
      <w:rPr>
        <w:lang w:val="zh-CN"/>
      </w:rPr>
      <w:t>55</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11C24D">
    <w:pPr>
      <w:pStyle w:val="17"/>
      <w:jc w:val="center"/>
    </w:pPr>
    <w:r>
      <w:fldChar w:fldCharType="begin"/>
    </w:r>
    <w:r>
      <w:instrText xml:space="preserve">PAGE   \* MERGEFORMAT</w:instrText>
    </w:r>
    <w:r>
      <w:fldChar w:fldCharType="separate"/>
    </w:r>
    <w:r>
      <w:rPr>
        <w:lang w:val="zh-CN"/>
      </w:rPr>
      <w:t>55</w:t>
    </w:r>
    <w: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8388DB8"/>
    <w:multiLevelType w:val="singleLevel"/>
    <w:tmpl w:val="88388DB8"/>
    <w:lvl w:ilvl="0" w:tentative="0">
      <w:start w:val="2"/>
      <w:numFmt w:val="decimal"/>
      <w:suff w:val="nothing"/>
      <w:lvlText w:val="%1、"/>
      <w:lvlJc w:val="left"/>
    </w:lvl>
  </w:abstractNum>
  <w:abstractNum w:abstractNumId="1">
    <w:nsid w:val="8949A39A"/>
    <w:multiLevelType w:val="singleLevel"/>
    <w:tmpl w:val="8949A39A"/>
    <w:lvl w:ilvl="0" w:tentative="0">
      <w:start w:val="9"/>
      <w:numFmt w:val="decimal"/>
      <w:suff w:val="nothing"/>
      <w:lvlText w:val="%1、"/>
      <w:lvlJc w:val="left"/>
    </w:lvl>
  </w:abstractNum>
  <w:abstractNum w:abstractNumId="2">
    <w:nsid w:val="C701C93F"/>
    <w:multiLevelType w:val="singleLevel"/>
    <w:tmpl w:val="C701C93F"/>
    <w:lvl w:ilvl="0" w:tentative="0">
      <w:start w:val="1"/>
      <w:numFmt w:val="decimal"/>
      <w:suff w:val="nothing"/>
      <w:lvlText w:val="%1、"/>
      <w:lvlJc w:val="left"/>
    </w:lvl>
  </w:abstractNum>
  <w:abstractNum w:abstractNumId="3">
    <w:nsid w:val="22BEFFE3"/>
    <w:multiLevelType w:val="singleLevel"/>
    <w:tmpl w:val="22BEFFE3"/>
    <w:lvl w:ilvl="0" w:tentative="0">
      <w:start w:val="3"/>
      <w:numFmt w:val="decimal"/>
      <w:suff w:val="nothing"/>
      <w:lvlText w:val="%1、"/>
      <w:lvlJc w:val="left"/>
    </w:lvl>
  </w:abstractNum>
  <w:abstractNum w:abstractNumId="4">
    <w:nsid w:val="28394897"/>
    <w:multiLevelType w:val="multilevel"/>
    <w:tmpl w:val="28394897"/>
    <w:lvl w:ilvl="0" w:tentative="0">
      <w:start w:val="1"/>
      <w:numFmt w:val="decimal"/>
      <w:pStyle w:val="50"/>
      <w:lvlText w:val="%1."/>
      <w:lvlJc w:val="left"/>
      <w:pPr>
        <w:tabs>
          <w:tab w:val="left" w:pos="720"/>
        </w:tabs>
        <w:ind w:left="720" w:hanging="720"/>
      </w:pPr>
    </w:lvl>
    <w:lvl w:ilvl="1" w:tentative="0">
      <w:start w:val="1"/>
      <w:numFmt w:val="decimal"/>
      <w:lvlText w:val="%2."/>
      <w:lvlJc w:val="left"/>
      <w:pPr>
        <w:tabs>
          <w:tab w:val="left" w:pos="1440"/>
        </w:tabs>
        <w:ind w:left="1440" w:hanging="720"/>
      </w:pPr>
    </w:lvl>
    <w:lvl w:ilvl="2" w:tentative="0">
      <w:start w:val="1"/>
      <w:numFmt w:val="decimal"/>
      <w:lvlText w:val="%3."/>
      <w:lvlJc w:val="left"/>
      <w:pPr>
        <w:tabs>
          <w:tab w:val="left" w:pos="2160"/>
        </w:tabs>
        <w:ind w:left="2160" w:hanging="720"/>
      </w:pPr>
    </w:lvl>
    <w:lvl w:ilvl="3" w:tentative="0">
      <w:start w:val="1"/>
      <w:numFmt w:val="decimal"/>
      <w:lvlText w:val="%4."/>
      <w:lvlJc w:val="left"/>
      <w:pPr>
        <w:tabs>
          <w:tab w:val="left" w:pos="2880"/>
        </w:tabs>
        <w:ind w:left="2880" w:hanging="720"/>
      </w:pPr>
    </w:lvl>
    <w:lvl w:ilvl="4" w:tentative="0">
      <w:start w:val="1"/>
      <w:numFmt w:val="decimal"/>
      <w:lvlText w:val="%5."/>
      <w:lvlJc w:val="left"/>
      <w:pPr>
        <w:tabs>
          <w:tab w:val="left" w:pos="3600"/>
        </w:tabs>
        <w:ind w:left="3600" w:hanging="720"/>
      </w:pPr>
    </w:lvl>
    <w:lvl w:ilvl="5" w:tentative="0">
      <w:start w:val="1"/>
      <w:numFmt w:val="decimal"/>
      <w:lvlText w:val="%6."/>
      <w:lvlJc w:val="left"/>
      <w:pPr>
        <w:tabs>
          <w:tab w:val="left" w:pos="4320"/>
        </w:tabs>
        <w:ind w:left="4320" w:hanging="720"/>
      </w:pPr>
    </w:lvl>
    <w:lvl w:ilvl="6" w:tentative="0">
      <w:start w:val="1"/>
      <w:numFmt w:val="decimal"/>
      <w:lvlText w:val="%7."/>
      <w:lvlJc w:val="left"/>
      <w:pPr>
        <w:tabs>
          <w:tab w:val="left" w:pos="5040"/>
        </w:tabs>
        <w:ind w:left="5040" w:hanging="720"/>
      </w:pPr>
    </w:lvl>
    <w:lvl w:ilvl="7" w:tentative="0">
      <w:start w:val="1"/>
      <w:numFmt w:val="decimal"/>
      <w:lvlText w:val="%8."/>
      <w:lvlJc w:val="left"/>
      <w:pPr>
        <w:tabs>
          <w:tab w:val="left" w:pos="5760"/>
        </w:tabs>
        <w:ind w:left="5760" w:hanging="720"/>
      </w:pPr>
    </w:lvl>
    <w:lvl w:ilvl="8" w:tentative="0">
      <w:start w:val="1"/>
      <w:numFmt w:val="decimal"/>
      <w:lvlText w:val="%9."/>
      <w:lvlJc w:val="left"/>
      <w:pPr>
        <w:tabs>
          <w:tab w:val="left" w:pos="6480"/>
        </w:tabs>
        <w:ind w:left="6480" w:hanging="720"/>
      </w:pPr>
    </w:lvl>
  </w:abstractNum>
  <w:abstractNum w:abstractNumId="5">
    <w:nsid w:val="402BFF11"/>
    <w:multiLevelType w:val="singleLevel"/>
    <w:tmpl w:val="402BFF11"/>
    <w:lvl w:ilvl="0" w:tentative="0">
      <w:start w:val="2"/>
      <w:numFmt w:val="chineseCounting"/>
      <w:suff w:val="nothing"/>
      <w:lvlText w:val="%1、"/>
      <w:lvlJc w:val="left"/>
      <w:rPr>
        <w:rFonts w:hint="eastAsia"/>
      </w:rPr>
    </w:lvl>
  </w:abstractNum>
  <w:num w:numId="1">
    <w:abstractNumId w:val="4"/>
  </w:num>
  <w:num w:numId="2">
    <w:abstractNumId w:val="3"/>
  </w:num>
  <w:num w:numId="3">
    <w:abstractNumId w:val="0"/>
  </w:num>
  <w:num w:numId="4">
    <w:abstractNumId w:val="2"/>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hideSpellingErrors/>
  <w:documentProtection w:enforcement="0"/>
  <w:defaultTabStop w:val="420"/>
  <w:drawingGridHorizontalSpacing w:val="105"/>
  <w:drawingGridVerticalSpacing w:val="159"/>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33A9"/>
    <w:rsid w:val="0000145A"/>
    <w:rsid w:val="000017E0"/>
    <w:rsid w:val="00001D75"/>
    <w:rsid w:val="00004D41"/>
    <w:rsid w:val="00005C70"/>
    <w:rsid w:val="00005E76"/>
    <w:rsid w:val="00005FC4"/>
    <w:rsid w:val="00006994"/>
    <w:rsid w:val="00006AAE"/>
    <w:rsid w:val="00006F6D"/>
    <w:rsid w:val="0000705D"/>
    <w:rsid w:val="000103A1"/>
    <w:rsid w:val="00011133"/>
    <w:rsid w:val="00011661"/>
    <w:rsid w:val="00012A70"/>
    <w:rsid w:val="0001347D"/>
    <w:rsid w:val="000141F7"/>
    <w:rsid w:val="00014485"/>
    <w:rsid w:val="00014B36"/>
    <w:rsid w:val="00015932"/>
    <w:rsid w:val="00016DE9"/>
    <w:rsid w:val="00017773"/>
    <w:rsid w:val="00017C63"/>
    <w:rsid w:val="00020CD1"/>
    <w:rsid w:val="00020DB8"/>
    <w:rsid w:val="00020F83"/>
    <w:rsid w:val="00021C67"/>
    <w:rsid w:val="000223D9"/>
    <w:rsid w:val="00022E8D"/>
    <w:rsid w:val="00023C53"/>
    <w:rsid w:val="000254CD"/>
    <w:rsid w:val="00025684"/>
    <w:rsid w:val="0002579B"/>
    <w:rsid w:val="00025F59"/>
    <w:rsid w:val="000269D3"/>
    <w:rsid w:val="00026FAF"/>
    <w:rsid w:val="0003091B"/>
    <w:rsid w:val="00030FA0"/>
    <w:rsid w:val="000345AE"/>
    <w:rsid w:val="00034C0A"/>
    <w:rsid w:val="00034DCC"/>
    <w:rsid w:val="000351BF"/>
    <w:rsid w:val="00035B51"/>
    <w:rsid w:val="00036271"/>
    <w:rsid w:val="00036995"/>
    <w:rsid w:val="00036C39"/>
    <w:rsid w:val="00036CEE"/>
    <w:rsid w:val="00036DB4"/>
    <w:rsid w:val="0004013E"/>
    <w:rsid w:val="00040F01"/>
    <w:rsid w:val="00040F85"/>
    <w:rsid w:val="00042757"/>
    <w:rsid w:val="0004283A"/>
    <w:rsid w:val="00042AB0"/>
    <w:rsid w:val="00042C56"/>
    <w:rsid w:val="00042FCA"/>
    <w:rsid w:val="000438A9"/>
    <w:rsid w:val="00044598"/>
    <w:rsid w:val="000454EA"/>
    <w:rsid w:val="00045994"/>
    <w:rsid w:val="00045C69"/>
    <w:rsid w:val="000460CF"/>
    <w:rsid w:val="00046509"/>
    <w:rsid w:val="00046B9D"/>
    <w:rsid w:val="0004719A"/>
    <w:rsid w:val="000471D9"/>
    <w:rsid w:val="00050028"/>
    <w:rsid w:val="00051A5C"/>
    <w:rsid w:val="00051FC3"/>
    <w:rsid w:val="0005209E"/>
    <w:rsid w:val="00054D01"/>
    <w:rsid w:val="000557FA"/>
    <w:rsid w:val="00055D3C"/>
    <w:rsid w:val="00057CDF"/>
    <w:rsid w:val="0006111E"/>
    <w:rsid w:val="00062AA9"/>
    <w:rsid w:val="00062AD2"/>
    <w:rsid w:val="0006394C"/>
    <w:rsid w:val="00064195"/>
    <w:rsid w:val="00064532"/>
    <w:rsid w:val="000704BC"/>
    <w:rsid w:val="000716BB"/>
    <w:rsid w:val="00072C74"/>
    <w:rsid w:val="00074289"/>
    <w:rsid w:val="00074583"/>
    <w:rsid w:val="00074FAC"/>
    <w:rsid w:val="00075941"/>
    <w:rsid w:val="00075953"/>
    <w:rsid w:val="00075A4D"/>
    <w:rsid w:val="00076CFC"/>
    <w:rsid w:val="00076D5A"/>
    <w:rsid w:val="00077A47"/>
    <w:rsid w:val="00080179"/>
    <w:rsid w:val="00080ED2"/>
    <w:rsid w:val="00082237"/>
    <w:rsid w:val="00082789"/>
    <w:rsid w:val="000828D7"/>
    <w:rsid w:val="00082A95"/>
    <w:rsid w:val="00082C05"/>
    <w:rsid w:val="00083180"/>
    <w:rsid w:val="00083C11"/>
    <w:rsid w:val="000854C8"/>
    <w:rsid w:val="000856C5"/>
    <w:rsid w:val="000857FF"/>
    <w:rsid w:val="00085830"/>
    <w:rsid w:val="00086F1C"/>
    <w:rsid w:val="00086FF7"/>
    <w:rsid w:val="00087538"/>
    <w:rsid w:val="0008757A"/>
    <w:rsid w:val="00087CE7"/>
    <w:rsid w:val="00090038"/>
    <w:rsid w:val="000903FB"/>
    <w:rsid w:val="00091A1F"/>
    <w:rsid w:val="000925F9"/>
    <w:rsid w:val="0009304D"/>
    <w:rsid w:val="00093207"/>
    <w:rsid w:val="00094052"/>
    <w:rsid w:val="00094812"/>
    <w:rsid w:val="00095CED"/>
    <w:rsid w:val="0009675C"/>
    <w:rsid w:val="000A04D3"/>
    <w:rsid w:val="000A07F3"/>
    <w:rsid w:val="000A107E"/>
    <w:rsid w:val="000A1AFD"/>
    <w:rsid w:val="000A1F7B"/>
    <w:rsid w:val="000A2886"/>
    <w:rsid w:val="000A35F2"/>
    <w:rsid w:val="000A4DC5"/>
    <w:rsid w:val="000A6ED3"/>
    <w:rsid w:val="000A7E23"/>
    <w:rsid w:val="000B0EA8"/>
    <w:rsid w:val="000B1D02"/>
    <w:rsid w:val="000B22FC"/>
    <w:rsid w:val="000B29A5"/>
    <w:rsid w:val="000B32A0"/>
    <w:rsid w:val="000B4240"/>
    <w:rsid w:val="000B4E03"/>
    <w:rsid w:val="000B514B"/>
    <w:rsid w:val="000B584D"/>
    <w:rsid w:val="000B7ADD"/>
    <w:rsid w:val="000C0548"/>
    <w:rsid w:val="000C0C1F"/>
    <w:rsid w:val="000C20D5"/>
    <w:rsid w:val="000C2B3B"/>
    <w:rsid w:val="000C5F14"/>
    <w:rsid w:val="000C652D"/>
    <w:rsid w:val="000C6988"/>
    <w:rsid w:val="000C762D"/>
    <w:rsid w:val="000D0D69"/>
    <w:rsid w:val="000D1D47"/>
    <w:rsid w:val="000D1EFB"/>
    <w:rsid w:val="000D254B"/>
    <w:rsid w:val="000D2DA5"/>
    <w:rsid w:val="000D3D7B"/>
    <w:rsid w:val="000D45DA"/>
    <w:rsid w:val="000D45F6"/>
    <w:rsid w:val="000D4822"/>
    <w:rsid w:val="000D4ED0"/>
    <w:rsid w:val="000D501E"/>
    <w:rsid w:val="000D5B04"/>
    <w:rsid w:val="000D63BA"/>
    <w:rsid w:val="000D67DF"/>
    <w:rsid w:val="000D6817"/>
    <w:rsid w:val="000D7548"/>
    <w:rsid w:val="000D75D4"/>
    <w:rsid w:val="000E0369"/>
    <w:rsid w:val="000E1159"/>
    <w:rsid w:val="000E203F"/>
    <w:rsid w:val="000E217B"/>
    <w:rsid w:val="000E3348"/>
    <w:rsid w:val="000E4649"/>
    <w:rsid w:val="000E4D3F"/>
    <w:rsid w:val="000E5678"/>
    <w:rsid w:val="000E56AA"/>
    <w:rsid w:val="000E5E7F"/>
    <w:rsid w:val="000E60A7"/>
    <w:rsid w:val="000E6368"/>
    <w:rsid w:val="000E67B3"/>
    <w:rsid w:val="000E6F77"/>
    <w:rsid w:val="000E7840"/>
    <w:rsid w:val="000F2FE6"/>
    <w:rsid w:val="000F3FCC"/>
    <w:rsid w:val="000F48F2"/>
    <w:rsid w:val="000F4E19"/>
    <w:rsid w:val="000F57C8"/>
    <w:rsid w:val="000F5CFD"/>
    <w:rsid w:val="000F64DA"/>
    <w:rsid w:val="000F7259"/>
    <w:rsid w:val="000F727D"/>
    <w:rsid w:val="000F740D"/>
    <w:rsid w:val="000F7BBF"/>
    <w:rsid w:val="00101306"/>
    <w:rsid w:val="001016FD"/>
    <w:rsid w:val="00102769"/>
    <w:rsid w:val="00103902"/>
    <w:rsid w:val="001039C6"/>
    <w:rsid w:val="00104754"/>
    <w:rsid w:val="00104855"/>
    <w:rsid w:val="001058B1"/>
    <w:rsid w:val="001063C7"/>
    <w:rsid w:val="001063E0"/>
    <w:rsid w:val="0010739C"/>
    <w:rsid w:val="00107A21"/>
    <w:rsid w:val="00111576"/>
    <w:rsid w:val="0011196F"/>
    <w:rsid w:val="00111C6B"/>
    <w:rsid w:val="00111D01"/>
    <w:rsid w:val="00112779"/>
    <w:rsid w:val="00112ED9"/>
    <w:rsid w:val="00115017"/>
    <w:rsid w:val="00115A13"/>
    <w:rsid w:val="00115AF8"/>
    <w:rsid w:val="001163BB"/>
    <w:rsid w:val="00116617"/>
    <w:rsid w:val="00117177"/>
    <w:rsid w:val="00117B04"/>
    <w:rsid w:val="0012069E"/>
    <w:rsid w:val="001216B6"/>
    <w:rsid w:val="001216F2"/>
    <w:rsid w:val="001217B6"/>
    <w:rsid w:val="001219EE"/>
    <w:rsid w:val="00121CF6"/>
    <w:rsid w:val="00121E1B"/>
    <w:rsid w:val="00122560"/>
    <w:rsid w:val="0012319E"/>
    <w:rsid w:val="0012332C"/>
    <w:rsid w:val="001234A6"/>
    <w:rsid w:val="001237A5"/>
    <w:rsid w:val="0012387C"/>
    <w:rsid w:val="00124673"/>
    <w:rsid w:val="00126192"/>
    <w:rsid w:val="0012703A"/>
    <w:rsid w:val="001273D8"/>
    <w:rsid w:val="00130AE2"/>
    <w:rsid w:val="00130F8E"/>
    <w:rsid w:val="00131998"/>
    <w:rsid w:val="00131B52"/>
    <w:rsid w:val="001328DE"/>
    <w:rsid w:val="00134083"/>
    <w:rsid w:val="00135254"/>
    <w:rsid w:val="001368FA"/>
    <w:rsid w:val="00137552"/>
    <w:rsid w:val="00137868"/>
    <w:rsid w:val="00141D4F"/>
    <w:rsid w:val="001420F3"/>
    <w:rsid w:val="001430E8"/>
    <w:rsid w:val="00143358"/>
    <w:rsid w:val="00143963"/>
    <w:rsid w:val="00144ABF"/>
    <w:rsid w:val="001456E8"/>
    <w:rsid w:val="00145C49"/>
    <w:rsid w:val="00145FD1"/>
    <w:rsid w:val="001467CC"/>
    <w:rsid w:val="00146B38"/>
    <w:rsid w:val="00150B21"/>
    <w:rsid w:val="001533D1"/>
    <w:rsid w:val="0015344E"/>
    <w:rsid w:val="0015410C"/>
    <w:rsid w:val="0015455D"/>
    <w:rsid w:val="001548E4"/>
    <w:rsid w:val="00154AE8"/>
    <w:rsid w:val="00154C14"/>
    <w:rsid w:val="0015512B"/>
    <w:rsid w:val="00155A79"/>
    <w:rsid w:val="0015675E"/>
    <w:rsid w:val="00156ABF"/>
    <w:rsid w:val="00156CED"/>
    <w:rsid w:val="00156F89"/>
    <w:rsid w:val="001570E4"/>
    <w:rsid w:val="00157434"/>
    <w:rsid w:val="00157618"/>
    <w:rsid w:val="00157973"/>
    <w:rsid w:val="00157D07"/>
    <w:rsid w:val="00160DED"/>
    <w:rsid w:val="00162619"/>
    <w:rsid w:val="00162D9D"/>
    <w:rsid w:val="00162EF9"/>
    <w:rsid w:val="00164850"/>
    <w:rsid w:val="00164EEA"/>
    <w:rsid w:val="00166F69"/>
    <w:rsid w:val="0017058A"/>
    <w:rsid w:val="00170DEB"/>
    <w:rsid w:val="001719C5"/>
    <w:rsid w:val="00174387"/>
    <w:rsid w:val="001743C2"/>
    <w:rsid w:val="0017445E"/>
    <w:rsid w:val="0017505E"/>
    <w:rsid w:val="00177F85"/>
    <w:rsid w:val="00177FA3"/>
    <w:rsid w:val="00180D66"/>
    <w:rsid w:val="00181485"/>
    <w:rsid w:val="00182C0A"/>
    <w:rsid w:val="00182F8C"/>
    <w:rsid w:val="00183003"/>
    <w:rsid w:val="001839D7"/>
    <w:rsid w:val="0018557D"/>
    <w:rsid w:val="001863AB"/>
    <w:rsid w:val="001867EA"/>
    <w:rsid w:val="001868C6"/>
    <w:rsid w:val="001900EA"/>
    <w:rsid w:val="0019027C"/>
    <w:rsid w:val="001910C7"/>
    <w:rsid w:val="001917E8"/>
    <w:rsid w:val="00192950"/>
    <w:rsid w:val="00192C27"/>
    <w:rsid w:val="001934A5"/>
    <w:rsid w:val="00194744"/>
    <w:rsid w:val="0019584C"/>
    <w:rsid w:val="00195F09"/>
    <w:rsid w:val="0019617E"/>
    <w:rsid w:val="00196584"/>
    <w:rsid w:val="00196E05"/>
    <w:rsid w:val="001A0FDE"/>
    <w:rsid w:val="001A16A8"/>
    <w:rsid w:val="001A21E9"/>
    <w:rsid w:val="001A2957"/>
    <w:rsid w:val="001A3215"/>
    <w:rsid w:val="001A35D7"/>
    <w:rsid w:val="001A3C26"/>
    <w:rsid w:val="001A494A"/>
    <w:rsid w:val="001A524A"/>
    <w:rsid w:val="001A5B64"/>
    <w:rsid w:val="001A6F4B"/>
    <w:rsid w:val="001A70F5"/>
    <w:rsid w:val="001A7542"/>
    <w:rsid w:val="001A7732"/>
    <w:rsid w:val="001B00D1"/>
    <w:rsid w:val="001B1071"/>
    <w:rsid w:val="001B1535"/>
    <w:rsid w:val="001B179F"/>
    <w:rsid w:val="001B1D96"/>
    <w:rsid w:val="001B1FA0"/>
    <w:rsid w:val="001B2C2C"/>
    <w:rsid w:val="001B300F"/>
    <w:rsid w:val="001B3944"/>
    <w:rsid w:val="001B3DD2"/>
    <w:rsid w:val="001B418F"/>
    <w:rsid w:val="001B463C"/>
    <w:rsid w:val="001B48DC"/>
    <w:rsid w:val="001B4AC6"/>
    <w:rsid w:val="001B6C94"/>
    <w:rsid w:val="001B6D7B"/>
    <w:rsid w:val="001B705F"/>
    <w:rsid w:val="001B71CB"/>
    <w:rsid w:val="001B7702"/>
    <w:rsid w:val="001C0CAA"/>
    <w:rsid w:val="001C2132"/>
    <w:rsid w:val="001C2775"/>
    <w:rsid w:val="001C27B1"/>
    <w:rsid w:val="001C3714"/>
    <w:rsid w:val="001C38D4"/>
    <w:rsid w:val="001C459E"/>
    <w:rsid w:val="001C4BDC"/>
    <w:rsid w:val="001C5E53"/>
    <w:rsid w:val="001C60FB"/>
    <w:rsid w:val="001C63DA"/>
    <w:rsid w:val="001C783A"/>
    <w:rsid w:val="001D0710"/>
    <w:rsid w:val="001D2608"/>
    <w:rsid w:val="001D2E9D"/>
    <w:rsid w:val="001D3174"/>
    <w:rsid w:val="001D33BE"/>
    <w:rsid w:val="001D3739"/>
    <w:rsid w:val="001D41AA"/>
    <w:rsid w:val="001D4692"/>
    <w:rsid w:val="001D5BA1"/>
    <w:rsid w:val="001D5E4B"/>
    <w:rsid w:val="001D5FC3"/>
    <w:rsid w:val="001D64F4"/>
    <w:rsid w:val="001D677B"/>
    <w:rsid w:val="001D6A78"/>
    <w:rsid w:val="001D752F"/>
    <w:rsid w:val="001E2B87"/>
    <w:rsid w:val="001E3384"/>
    <w:rsid w:val="001E34C4"/>
    <w:rsid w:val="001E3A23"/>
    <w:rsid w:val="001E4977"/>
    <w:rsid w:val="001E4E40"/>
    <w:rsid w:val="001E5DF4"/>
    <w:rsid w:val="001E637F"/>
    <w:rsid w:val="001E71E0"/>
    <w:rsid w:val="001E7B38"/>
    <w:rsid w:val="001F0468"/>
    <w:rsid w:val="001F0A4A"/>
    <w:rsid w:val="001F0F83"/>
    <w:rsid w:val="001F16AB"/>
    <w:rsid w:val="001F16C3"/>
    <w:rsid w:val="001F1BC7"/>
    <w:rsid w:val="001F1E2A"/>
    <w:rsid w:val="001F1F47"/>
    <w:rsid w:val="001F207C"/>
    <w:rsid w:val="001F27F4"/>
    <w:rsid w:val="001F3970"/>
    <w:rsid w:val="001F493A"/>
    <w:rsid w:val="001F5816"/>
    <w:rsid w:val="001F5E94"/>
    <w:rsid w:val="001F6051"/>
    <w:rsid w:val="001F6F47"/>
    <w:rsid w:val="00200A6C"/>
    <w:rsid w:val="00201AD6"/>
    <w:rsid w:val="00202C0D"/>
    <w:rsid w:val="0020383F"/>
    <w:rsid w:val="002048C8"/>
    <w:rsid w:val="00211394"/>
    <w:rsid w:val="00211434"/>
    <w:rsid w:val="00214C5A"/>
    <w:rsid w:val="00215F11"/>
    <w:rsid w:val="00217F06"/>
    <w:rsid w:val="00217FB0"/>
    <w:rsid w:val="00220E4A"/>
    <w:rsid w:val="00223AEE"/>
    <w:rsid w:val="002249DA"/>
    <w:rsid w:val="00225074"/>
    <w:rsid w:val="00225582"/>
    <w:rsid w:val="00226978"/>
    <w:rsid w:val="00226CB0"/>
    <w:rsid w:val="002275AC"/>
    <w:rsid w:val="00230920"/>
    <w:rsid w:val="00231404"/>
    <w:rsid w:val="00231D88"/>
    <w:rsid w:val="00232871"/>
    <w:rsid w:val="00232CB7"/>
    <w:rsid w:val="00232EF3"/>
    <w:rsid w:val="0023393B"/>
    <w:rsid w:val="0023476C"/>
    <w:rsid w:val="0023485D"/>
    <w:rsid w:val="002355D6"/>
    <w:rsid w:val="00235CE2"/>
    <w:rsid w:val="002361F6"/>
    <w:rsid w:val="002363C6"/>
    <w:rsid w:val="00236A51"/>
    <w:rsid w:val="00236B96"/>
    <w:rsid w:val="00237BE4"/>
    <w:rsid w:val="00237E1D"/>
    <w:rsid w:val="002414E7"/>
    <w:rsid w:val="00241BF7"/>
    <w:rsid w:val="00241F09"/>
    <w:rsid w:val="0024237A"/>
    <w:rsid w:val="002425EC"/>
    <w:rsid w:val="00242BFD"/>
    <w:rsid w:val="00242E7A"/>
    <w:rsid w:val="00243C8C"/>
    <w:rsid w:val="0024483E"/>
    <w:rsid w:val="00245224"/>
    <w:rsid w:val="00247EE6"/>
    <w:rsid w:val="0025022B"/>
    <w:rsid w:val="0025058D"/>
    <w:rsid w:val="002511AD"/>
    <w:rsid w:val="0025122C"/>
    <w:rsid w:val="00251355"/>
    <w:rsid w:val="00251839"/>
    <w:rsid w:val="00251B71"/>
    <w:rsid w:val="0025231E"/>
    <w:rsid w:val="00253583"/>
    <w:rsid w:val="00253989"/>
    <w:rsid w:val="002543D1"/>
    <w:rsid w:val="00254706"/>
    <w:rsid w:val="00254784"/>
    <w:rsid w:val="00254A40"/>
    <w:rsid w:val="00255450"/>
    <w:rsid w:val="00255844"/>
    <w:rsid w:val="00255C20"/>
    <w:rsid w:val="00255E19"/>
    <w:rsid w:val="00255F0F"/>
    <w:rsid w:val="00256008"/>
    <w:rsid w:val="00256857"/>
    <w:rsid w:val="00256AAC"/>
    <w:rsid w:val="00256D85"/>
    <w:rsid w:val="00257558"/>
    <w:rsid w:val="002578BB"/>
    <w:rsid w:val="00257B88"/>
    <w:rsid w:val="00257CD5"/>
    <w:rsid w:val="00260E55"/>
    <w:rsid w:val="002616CE"/>
    <w:rsid w:val="00261B4B"/>
    <w:rsid w:val="00262F44"/>
    <w:rsid w:val="0026320A"/>
    <w:rsid w:val="00265335"/>
    <w:rsid w:val="002653C1"/>
    <w:rsid w:val="0026601E"/>
    <w:rsid w:val="002669A3"/>
    <w:rsid w:val="00267154"/>
    <w:rsid w:val="00267A77"/>
    <w:rsid w:val="002702F9"/>
    <w:rsid w:val="002706F3"/>
    <w:rsid w:val="00271EC2"/>
    <w:rsid w:val="00272526"/>
    <w:rsid w:val="00273C80"/>
    <w:rsid w:val="00273F02"/>
    <w:rsid w:val="00274175"/>
    <w:rsid w:val="00274BFF"/>
    <w:rsid w:val="00274DD2"/>
    <w:rsid w:val="0027621B"/>
    <w:rsid w:val="0027665B"/>
    <w:rsid w:val="00276A00"/>
    <w:rsid w:val="00276E73"/>
    <w:rsid w:val="00276F51"/>
    <w:rsid w:val="00277FE3"/>
    <w:rsid w:val="00277FEC"/>
    <w:rsid w:val="00280849"/>
    <w:rsid w:val="00280B8D"/>
    <w:rsid w:val="002823FD"/>
    <w:rsid w:val="0028263D"/>
    <w:rsid w:val="002834AA"/>
    <w:rsid w:val="002847A4"/>
    <w:rsid w:val="00285325"/>
    <w:rsid w:val="00285DE5"/>
    <w:rsid w:val="00285E00"/>
    <w:rsid w:val="00285F8E"/>
    <w:rsid w:val="00287811"/>
    <w:rsid w:val="00287AF1"/>
    <w:rsid w:val="0029124B"/>
    <w:rsid w:val="00291477"/>
    <w:rsid w:val="002931C9"/>
    <w:rsid w:val="00293934"/>
    <w:rsid w:val="00293ACA"/>
    <w:rsid w:val="00294037"/>
    <w:rsid w:val="00294049"/>
    <w:rsid w:val="002940A7"/>
    <w:rsid w:val="00295053"/>
    <w:rsid w:val="00295387"/>
    <w:rsid w:val="00296A2D"/>
    <w:rsid w:val="00297383"/>
    <w:rsid w:val="00297974"/>
    <w:rsid w:val="002A0073"/>
    <w:rsid w:val="002A0978"/>
    <w:rsid w:val="002A37EB"/>
    <w:rsid w:val="002A49C2"/>
    <w:rsid w:val="002A581E"/>
    <w:rsid w:val="002A5E1F"/>
    <w:rsid w:val="002A6DDD"/>
    <w:rsid w:val="002A78AF"/>
    <w:rsid w:val="002B1277"/>
    <w:rsid w:val="002B1824"/>
    <w:rsid w:val="002B2FC4"/>
    <w:rsid w:val="002B4301"/>
    <w:rsid w:val="002B458F"/>
    <w:rsid w:val="002B4B65"/>
    <w:rsid w:val="002B57C6"/>
    <w:rsid w:val="002B608D"/>
    <w:rsid w:val="002B6E62"/>
    <w:rsid w:val="002B770C"/>
    <w:rsid w:val="002C0AEF"/>
    <w:rsid w:val="002C12A0"/>
    <w:rsid w:val="002C1353"/>
    <w:rsid w:val="002C1576"/>
    <w:rsid w:val="002C3340"/>
    <w:rsid w:val="002C38A4"/>
    <w:rsid w:val="002C3DED"/>
    <w:rsid w:val="002C502C"/>
    <w:rsid w:val="002C5271"/>
    <w:rsid w:val="002C5284"/>
    <w:rsid w:val="002C543F"/>
    <w:rsid w:val="002C5470"/>
    <w:rsid w:val="002C58EE"/>
    <w:rsid w:val="002C6489"/>
    <w:rsid w:val="002C68D9"/>
    <w:rsid w:val="002C78C3"/>
    <w:rsid w:val="002D17F8"/>
    <w:rsid w:val="002D19F2"/>
    <w:rsid w:val="002D1AD5"/>
    <w:rsid w:val="002D2F6E"/>
    <w:rsid w:val="002D5AB8"/>
    <w:rsid w:val="002D63CE"/>
    <w:rsid w:val="002D6D37"/>
    <w:rsid w:val="002D7C89"/>
    <w:rsid w:val="002E008F"/>
    <w:rsid w:val="002E010E"/>
    <w:rsid w:val="002E0DFF"/>
    <w:rsid w:val="002E171D"/>
    <w:rsid w:val="002E2F8D"/>
    <w:rsid w:val="002E39BC"/>
    <w:rsid w:val="002E4638"/>
    <w:rsid w:val="002E469F"/>
    <w:rsid w:val="002E578D"/>
    <w:rsid w:val="002E6AC7"/>
    <w:rsid w:val="002E7EBC"/>
    <w:rsid w:val="002F15AA"/>
    <w:rsid w:val="002F1BD2"/>
    <w:rsid w:val="002F1E06"/>
    <w:rsid w:val="002F3122"/>
    <w:rsid w:val="002F34CA"/>
    <w:rsid w:val="002F4CDB"/>
    <w:rsid w:val="002F54E0"/>
    <w:rsid w:val="002F59B0"/>
    <w:rsid w:val="002F5E68"/>
    <w:rsid w:val="002F6151"/>
    <w:rsid w:val="002F6A1D"/>
    <w:rsid w:val="002F6DFE"/>
    <w:rsid w:val="00300378"/>
    <w:rsid w:val="003008DA"/>
    <w:rsid w:val="00300F7B"/>
    <w:rsid w:val="0030114C"/>
    <w:rsid w:val="00301996"/>
    <w:rsid w:val="00301A67"/>
    <w:rsid w:val="003033F0"/>
    <w:rsid w:val="003045F0"/>
    <w:rsid w:val="00306027"/>
    <w:rsid w:val="003067AE"/>
    <w:rsid w:val="00306E38"/>
    <w:rsid w:val="00307644"/>
    <w:rsid w:val="00307698"/>
    <w:rsid w:val="003078BB"/>
    <w:rsid w:val="00307D57"/>
    <w:rsid w:val="0031082A"/>
    <w:rsid w:val="0031085B"/>
    <w:rsid w:val="00310C4A"/>
    <w:rsid w:val="00311EA7"/>
    <w:rsid w:val="003138AB"/>
    <w:rsid w:val="00313928"/>
    <w:rsid w:val="00313D33"/>
    <w:rsid w:val="0031576E"/>
    <w:rsid w:val="00315FC6"/>
    <w:rsid w:val="0032058E"/>
    <w:rsid w:val="003211D5"/>
    <w:rsid w:val="00323250"/>
    <w:rsid w:val="00323C33"/>
    <w:rsid w:val="00324785"/>
    <w:rsid w:val="00324FDE"/>
    <w:rsid w:val="0032577B"/>
    <w:rsid w:val="00326626"/>
    <w:rsid w:val="00330591"/>
    <w:rsid w:val="00330777"/>
    <w:rsid w:val="00330806"/>
    <w:rsid w:val="00330819"/>
    <w:rsid w:val="00330ABC"/>
    <w:rsid w:val="0033228B"/>
    <w:rsid w:val="0033390D"/>
    <w:rsid w:val="00334ECC"/>
    <w:rsid w:val="00334F17"/>
    <w:rsid w:val="00335D37"/>
    <w:rsid w:val="003366F1"/>
    <w:rsid w:val="00341548"/>
    <w:rsid w:val="00343208"/>
    <w:rsid w:val="003456BC"/>
    <w:rsid w:val="00346D3D"/>
    <w:rsid w:val="003473C0"/>
    <w:rsid w:val="003476A3"/>
    <w:rsid w:val="003477CA"/>
    <w:rsid w:val="0034787A"/>
    <w:rsid w:val="00347972"/>
    <w:rsid w:val="003500A2"/>
    <w:rsid w:val="003500D7"/>
    <w:rsid w:val="0035039B"/>
    <w:rsid w:val="0035044A"/>
    <w:rsid w:val="0035173A"/>
    <w:rsid w:val="00351C13"/>
    <w:rsid w:val="0035286F"/>
    <w:rsid w:val="00354239"/>
    <w:rsid w:val="003545A0"/>
    <w:rsid w:val="00354892"/>
    <w:rsid w:val="003548EB"/>
    <w:rsid w:val="00354924"/>
    <w:rsid w:val="00355843"/>
    <w:rsid w:val="003571FE"/>
    <w:rsid w:val="00357340"/>
    <w:rsid w:val="00360EC9"/>
    <w:rsid w:val="00361D9E"/>
    <w:rsid w:val="00362030"/>
    <w:rsid w:val="00362F61"/>
    <w:rsid w:val="0036364D"/>
    <w:rsid w:val="00363674"/>
    <w:rsid w:val="00363F68"/>
    <w:rsid w:val="00365346"/>
    <w:rsid w:val="00366537"/>
    <w:rsid w:val="003675A8"/>
    <w:rsid w:val="00371012"/>
    <w:rsid w:val="0037103A"/>
    <w:rsid w:val="00371500"/>
    <w:rsid w:val="00372262"/>
    <w:rsid w:val="0037239A"/>
    <w:rsid w:val="00372841"/>
    <w:rsid w:val="003729AF"/>
    <w:rsid w:val="00373771"/>
    <w:rsid w:val="003739E8"/>
    <w:rsid w:val="00373F20"/>
    <w:rsid w:val="00374820"/>
    <w:rsid w:val="00375271"/>
    <w:rsid w:val="003753A5"/>
    <w:rsid w:val="003758D6"/>
    <w:rsid w:val="00375FFB"/>
    <w:rsid w:val="00377F91"/>
    <w:rsid w:val="0038135A"/>
    <w:rsid w:val="00382388"/>
    <w:rsid w:val="00382760"/>
    <w:rsid w:val="00382CEC"/>
    <w:rsid w:val="00383106"/>
    <w:rsid w:val="00383B39"/>
    <w:rsid w:val="00383E7C"/>
    <w:rsid w:val="0038512D"/>
    <w:rsid w:val="003851DA"/>
    <w:rsid w:val="00385226"/>
    <w:rsid w:val="00385665"/>
    <w:rsid w:val="00385E55"/>
    <w:rsid w:val="003868D5"/>
    <w:rsid w:val="00386EF9"/>
    <w:rsid w:val="003872FE"/>
    <w:rsid w:val="00387CCD"/>
    <w:rsid w:val="00390020"/>
    <w:rsid w:val="0039008E"/>
    <w:rsid w:val="00390100"/>
    <w:rsid w:val="00390117"/>
    <w:rsid w:val="003901BC"/>
    <w:rsid w:val="003905D9"/>
    <w:rsid w:val="00390F94"/>
    <w:rsid w:val="00391C07"/>
    <w:rsid w:val="00392EA7"/>
    <w:rsid w:val="0039326C"/>
    <w:rsid w:val="003942EC"/>
    <w:rsid w:val="0039626E"/>
    <w:rsid w:val="00396944"/>
    <w:rsid w:val="003A037A"/>
    <w:rsid w:val="003A11F2"/>
    <w:rsid w:val="003A1CE1"/>
    <w:rsid w:val="003A31E5"/>
    <w:rsid w:val="003A3BFD"/>
    <w:rsid w:val="003A4C65"/>
    <w:rsid w:val="003A6B7D"/>
    <w:rsid w:val="003A7574"/>
    <w:rsid w:val="003A7777"/>
    <w:rsid w:val="003A7B1A"/>
    <w:rsid w:val="003A7DD5"/>
    <w:rsid w:val="003B0420"/>
    <w:rsid w:val="003B0460"/>
    <w:rsid w:val="003B08C7"/>
    <w:rsid w:val="003B0C06"/>
    <w:rsid w:val="003B0E6C"/>
    <w:rsid w:val="003B10EA"/>
    <w:rsid w:val="003B20B9"/>
    <w:rsid w:val="003B33C7"/>
    <w:rsid w:val="003B4607"/>
    <w:rsid w:val="003B565C"/>
    <w:rsid w:val="003B674A"/>
    <w:rsid w:val="003B7607"/>
    <w:rsid w:val="003B761E"/>
    <w:rsid w:val="003B78BB"/>
    <w:rsid w:val="003C00AA"/>
    <w:rsid w:val="003C067C"/>
    <w:rsid w:val="003C280B"/>
    <w:rsid w:val="003C3BA4"/>
    <w:rsid w:val="003C4238"/>
    <w:rsid w:val="003C5C32"/>
    <w:rsid w:val="003C62D7"/>
    <w:rsid w:val="003C6A4B"/>
    <w:rsid w:val="003C7C6F"/>
    <w:rsid w:val="003D063D"/>
    <w:rsid w:val="003D1176"/>
    <w:rsid w:val="003D153C"/>
    <w:rsid w:val="003D1CDF"/>
    <w:rsid w:val="003D2292"/>
    <w:rsid w:val="003D2455"/>
    <w:rsid w:val="003D3E40"/>
    <w:rsid w:val="003D43DC"/>
    <w:rsid w:val="003D44A9"/>
    <w:rsid w:val="003D5684"/>
    <w:rsid w:val="003D64F3"/>
    <w:rsid w:val="003D696B"/>
    <w:rsid w:val="003D7BCB"/>
    <w:rsid w:val="003D7C5A"/>
    <w:rsid w:val="003E0912"/>
    <w:rsid w:val="003E106D"/>
    <w:rsid w:val="003E16E4"/>
    <w:rsid w:val="003E2303"/>
    <w:rsid w:val="003E2469"/>
    <w:rsid w:val="003E261A"/>
    <w:rsid w:val="003E34B9"/>
    <w:rsid w:val="003E4371"/>
    <w:rsid w:val="003E4A64"/>
    <w:rsid w:val="003E57C2"/>
    <w:rsid w:val="003E5AB2"/>
    <w:rsid w:val="003E6111"/>
    <w:rsid w:val="003E6DDB"/>
    <w:rsid w:val="003E74E3"/>
    <w:rsid w:val="003E7F03"/>
    <w:rsid w:val="003E7F3E"/>
    <w:rsid w:val="003F0CFE"/>
    <w:rsid w:val="003F156D"/>
    <w:rsid w:val="003F2E6D"/>
    <w:rsid w:val="003F2E88"/>
    <w:rsid w:val="003F35D6"/>
    <w:rsid w:val="003F3B5F"/>
    <w:rsid w:val="003F56C0"/>
    <w:rsid w:val="003F570B"/>
    <w:rsid w:val="003F7270"/>
    <w:rsid w:val="00400A87"/>
    <w:rsid w:val="00400F3B"/>
    <w:rsid w:val="00401346"/>
    <w:rsid w:val="00401412"/>
    <w:rsid w:val="0040154F"/>
    <w:rsid w:val="004030D4"/>
    <w:rsid w:val="00403B42"/>
    <w:rsid w:val="004041FF"/>
    <w:rsid w:val="00404282"/>
    <w:rsid w:val="00405815"/>
    <w:rsid w:val="00405A3D"/>
    <w:rsid w:val="00405BE5"/>
    <w:rsid w:val="00407F80"/>
    <w:rsid w:val="0041014F"/>
    <w:rsid w:val="0041171E"/>
    <w:rsid w:val="004125F5"/>
    <w:rsid w:val="00412D70"/>
    <w:rsid w:val="0041374E"/>
    <w:rsid w:val="004138D5"/>
    <w:rsid w:val="004146FB"/>
    <w:rsid w:val="004149B1"/>
    <w:rsid w:val="00414EF4"/>
    <w:rsid w:val="00416163"/>
    <w:rsid w:val="0041687A"/>
    <w:rsid w:val="00416BC8"/>
    <w:rsid w:val="00417401"/>
    <w:rsid w:val="00420A08"/>
    <w:rsid w:val="00420AF8"/>
    <w:rsid w:val="00420C19"/>
    <w:rsid w:val="00420C3F"/>
    <w:rsid w:val="00421227"/>
    <w:rsid w:val="004214DC"/>
    <w:rsid w:val="00421683"/>
    <w:rsid w:val="00421815"/>
    <w:rsid w:val="004248F7"/>
    <w:rsid w:val="004259AC"/>
    <w:rsid w:val="00425A94"/>
    <w:rsid w:val="00425BAA"/>
    <w:rsid w:val="004275E4"/>
    <w:rsid w:val="00430AC2"/>
    <w:rsid w:val="00430EE7"/>
    <w:rsid w:val="00431188"/>
    <w:rsid w:val="00432999"/>
    <w:rsid w:val="00433B39"/>
    <w:rsid w:val="00435745"/>
    <w:rsid w:val="00437F7C"/>
    <w:rsid w:val="00441BBC"/>
    <w:rsid w:val="00441D80"/>
    <w:rsid w:val="00442891"/>
    <w:rsid w:val="0044461A"/>
    <w:rsid w:val="00444680"/>
    <w:rsid w:val="0044479F"/>
    <w:rsid w:val="00444E60"/>
    <w:rsid w:val="004456E3"/>
    <w:rsid w:val="004458D3"/>
    <w:rsid w:val="00445A55"/>
    <w:rsid w:val="00446183"/>
    <w:rsid w:val="0044654F"/>
    <w:rsid w:val="0044689A"/>
    <w:rsid w:val="00446B2F"/>
    <w:rsid w:val="00447287"/>
    <w:rsid w:val="00450499"/>
    <w:rsid w:val="00450E0A"/>
    <w:rsid w:val="00450EC4"/>
    <w:rsid w:val="004520A7"/>
    <w:rsid w:val="00452F68"/>
    <w:rsid w:val="0045364A"/>
    <w:rsid w:val="0045368B"/>
    <w:rsid w:val="00453C32"/>
    <w:rsid w:val="00453D52"/>
    <w:rsid w:val="004550DA"/>
    <w:rsid w:val="00455733"/>
    <w:rsid w:val="00457685"/>
    <w:rsid w:val="00457FAD"/>
    <w:rsid w:val="00461861"/>
    <w:rsid w:val="004639F6"/>
    <w:rsid w:val="00465489"/>
    <w:rsid w:val="004660DE"/>
    <w:rsid w:val="00466A20"/>
    <w:rsid w:val="004672A4"/>
    <w:rsid w:val="004675DC"/>
    <w:rsid w:val="00467682"/>
    <w:rsid w:val="004716B9"/>
    <w:rsid w:val="00473082"/>
    <w:rsid w:val="004737C1"/>
    <w:rsid w:val="00473890"/>
    <w:rsid w:val="004739F3"/>
    <w:rsid w:val="00475273"/>
    <w:rsid w:val="004771D3"/>
    <w:rsid w:val="004779A6"/>
    <w:rsid w:val="00477F09"/>
    <w:rsid w:val="00480639"/>
    <w:rsid w:val="004814AA"/>
    <w:rsid w:val="004825F1"/>
    <w:rsid w:val="00482B8B"/>
    <w:rsid w:val="00483F68"/>
    <w:rsid w:val="00486B85"/>
    <w:rsid w:val="00487989"/>
    <w:rsid w:val="00491459"/>
    <w:rsid w:val="0049145A"/>
    <w:rsid w:val="0049194B"/>
    <w:rsid w:val="00492C64"/>
    <w:rsid w:val="00493E8E"/>
    <w:rsid w:val="00494100"/>
    <w:rsid w:val="00494F57"/>
    <w:rsid w:val="00495142"/>
    <w:rsid w:val="00495D93"/>
    <w:rsid w:val="00496343"/>
    <w:rsid w:val="00496417"/>
    <w:rsid w:val="00496D48"/>
    <w:rsid w:val="00497213"/>
    <w:rsid w:val="004972AA"/>
    <w:rsid w:val="0049737E"/>
    <w:rsid w:val="004A0060"/>
    <w:rsid w:val="004A0C05"/>
    <w:rsid w:val="004A1940"/>
    <w:rsid w:val="004A2BB2"/>
    <w:rsid w:val="004A504B"/>
    <w:rsid w:val="004A5D9A"/>
    <w:rsid w:val="004A5FDB"/>
    <w:rsid w:val="004A64D0"/>
    <w:rsid w:val="004A67EC"/>
    <w:rsid w:val="004B1F7E"/>
    <w:rsid w:val="004B30B0"/>
    <w:rsid w:val="004B3FF3"/>
    <w:rsid w:val="004B52AC"/>
    <w:rsid w:val="004B54C9"/>
    <w:rsid w:val="004B7553"/>
    <w:rsid w:val="004C1857"/>
    <w:rsid w:val="004C1901"/>
    <w:rsid w:val="004C1BEE"/>
    <w:rsid w:val="004C2DAA"/>
    <w:rsid w:val="004C5370"/>
    <w:rsid w:val="004C5EB3"/>
    <w:rsid w:val="004C64B6"/>
    <w:rsid w:val="004C64B9"/>
    <w:rsid w:val="004C794A"/>
    <w:rsid w:val="004D06D0"/>
    <w:rsid w:val="004D0851"/>
    <w:rsid w:val="004D1CDB"/>
    <w:rsid w:val="004D1EC6"/>
    <w:rsid w:val="004D21D4"/>
    <w:rsid w:val="004D27BC"/>
    <w:rsid w:val="004D5200"/>
    <w:rsid w:val="004D61AD"/>
    <w:rsid w:val="004D61B6"/>
    <w:rsid w:val="004D626D"/>
    <w:rsid w:val="004D76E7"/>
    <w:rsid w:val="004D7E0E"/>
    <w:rsid w:val="004E0797"/>
    <w:rsid w:val="004E1C28"/>
    <w:rsid w:val="004E490E"/>
    <w:rsid w:val="004E52B4"/>
    <w:rsid w:val="004E52DB"/>
    <w:rsid w:val="004E6A2B"/>
    <w:rsid w:val="004E6DDC"/>
    <w:rsid w:val="004F048F"/>
    <w:rsid w:val="004F08BA"/>
    <w:rsid w:val="004F0958"/>
    <w:rsid w:val="004F1E43"/>
    <w:rsid w:val="004F21A6"/>
    <w:rsid w:val="004F2235"/>
    <w:rsid w:val="004F238E"/>
    <w:rsid w:val="004F2405"/>
    <w:rsid w:val="004F32C9"/>
    <w:rsid w:val="004F32F3"/>
    <w:rsid w:val="004F50A2"/>
    <w:rsid w:val="004F527A"/>
    <w:rsid w:val="004F6460"/>
    <w:rsid w:val="004F7EF9"/>
    <w:rsid w:val="005003E2"/>
    <w:rsid w:val="005005E3"/>
    <w:rsid w:val="005010BC"/>
    <w:rsid w:val="005016A3"/>
    <w:rsid w:val="005029BA"/>
    <w:rsid w:val="00502FAD"/>
    <w:rsid w:val="005038FB"/>
    <w:rsid w:val="00503EB6"/>
    <w:rsid w:val="00504034"/>
    <w:rsid w:val="005044BC"/>
    <w:rsid w:val="0050641A"/>
    <w:rsid w:val="00507495"/>
    <w:rsid w:val="00510586"/>
    <w:rsid w:val="00510A7D"/>
    <w:rsid w:val="00510C39"/>
    <w:rsid w:val="00511FE5"/>
    <w:rsid w:val="00513887"/>
    <w:rsid w:val="00513EFD"/>
    <w:rsid w:val="00514FF2"/>
    <w:rsid w:val="00515C65"/>
    <w:rsid w:val="00515D0F"/>
    <w:rsid w:val="0051603D"/>
    <w:rsid w:val="005202BB"/>
    <w:rsid w:val="0052248F"/>
    <w:rsid w:val="005224BC"/>
    <w:rsid w:val="005224C1"/>
    <w:rsid w:val="0052319B"/>
    <w:rsid w:val="00523335"/>
    <w:rsid w:val="005236E4"/>
    <w:rsid w:val="0052423E"/>
    <w:rsid w:val="00524E54"/>
    <w:rsid w:val="005258F4"/>
    <w:rsid w:val="005261E5"/>
    <w:rsid w:val="0052723C"/>
    <w:rsid w:val="00527439"/>
    <w:rsid w:val="00527BE3"/>
    <w:rsid w:val="005308D4"/>
    <w:rsid w:val="0053252D"/>
    <w:rsid w:val="00532A2A"/>
    <w:rsid w:val="00532D0E"/>
    <w:rsid w:val="00533B8E"/>
    <w:rsid w:val="00534B92"/>
    <w:rsid w:val="00534F2E"/>
    <w:rsid w:val="00536148"/>
    <w:rsid w:val="005368D1"/>
    <w:rsid w:val="005402C6"/>
    <w:rsid w:val="0054052D"/>
    <w:rsid w:val="0054058E"/>
    <w:rsid w:val="0054066D"/>
    <w:rsid w:val="00541314"/>
    <w:rsid w:val="00541467"/>
    <w:rsid w:val="005414BA"/>
    <w:rsid w:val="00542626"/>
    <w:rsid w:val="0054282D"/>
    <w:rsid w:val="00542D57"/>
    <w:rsid w:val="005435BC"/>
    <w:rsid w:val="005437E5"/>
    <w:rsid w:val="00543ADB"/>
    <w:rsid w:val="00544837"/>
    <w:rsid w:val="005464ED"/>
    <w:rsid w:val="00550AF3"/>
    <w:rsid w:val="005520A0"/>
    <w:rsid w:val="00552FCB"/>
    <w:rsid w:val="00553113"/>
    <w:rsid w:val="0055378A"/>
    <w:rsid w:val="0055473B"/>
    <w:rsid w:val="00556047"/>
    <w:rsid w:val="005568FA"/>
    <w:rsid w:val="0055693D"/>
    <w:rsid w:val="00556E77"/>
    <w:rsid w:val="00556FD0"/>
    <w:rsid w:val="0055719B"/>
    <w:rsid w:val="00557493"/>
    <w:rsid w:val="00557B1F"/>
    <w:rsid w:val="00557EED"/>
    <w:rsid w:val="00557F7B"/>
    <w:rsid w:val="00560566"/>
    <w:rsid w:val="00560B54"/>
    <w:rsid w:val="00561D54"/>
    <w:rsid w:val="00563767"/>
    <w:rsid w:val="00563C82"/>
    <w:rsid w:val="00563CB8"/>
    <w:rsid w:val="00565C35"/>
    <w:rsid w:val="0056635E"/>
    <w:rsid w:val="00566CC8"/>
    <w:rsid w:val="00567086"/>
    <w:rsid w:val="0056770E"/>
    <w:rsid w:val="00567D0B"/>
    <w:rsid w:val="0057076F"/>
    <w:rsid w:val="00571A32"/>
    <w:rsid w:val="00572702"/>
    <w:rsid w:val="00572B1C"/>
    <w:rsid w:val="00573200"/>
    <w:rsid w:val="00574872"/>
    <w:rsid w:val="00574E6E"/>
    <w:rsid w:val="00576CD7"/>
    <w:rsid w:val="00580573"/>
    <w:rsid w:val="00581A57"/>
    <w:rsid w:val="00581AA0"/>
    <w:rsid w:val="005824AD"/>
    <w:rsid w:val="005834A7"/>
    <w:rsid w:val="00583EA0"/>
    <w:rsid w:val="00584257"/>
    <w:rsid w:val="00584889"/>
    <w:rsid w:val="00584A43"/>
    <w:rsid w:val="005857FC"/>
    <w:rsid w:val="00585D36"/>
    <w:rsid w:val="00585E70"/>
    <w:rsid w:val="0058622D"/>
    <w:rsid w:val="00587358"/>
    <w:rsid w:val="00587E98"/>
    <w:rsid w:val="00590831"/>
    <w:rsid w:val="00591528"/>
    <w:rsid w:val="005928F1"/>
    <w:rsid w:val="00593057"/>
    <w:rsid w:val="005944C4"/>
    <w:rsid w:val="00594E0B"/>
    <w:rsid w:val="00595220"/>
    <w:rsid w:val="00596425"/>
    <w:rsid w:val="005968EF"/>
    <w:rsid w:val="005976EC"/>
    <w:rsid w:val="005A0AAB"/>
    <w:rsid w:val="005A0BB7"/>
    <w:rsid w:val="005A1F51"/>
    <w:rsid w:val="005A210E"/>
    <w:rsid w:val="005A33BC"/>
    <w:rsid w:val="005A3E32"/>
    <w:rsid w:val="005A4650"/>
    <w:rsid w:val="005A5063"/>
    <w:rsid w:val="005A558B"/>
    <w:rsid w:val="005A6078"/>
    <w:rsid w:val="005A6F4B"/>
    <w:rsid w:val="005B270C"/>
    <w:rsid w:val="005B31ED"/>
    <w:rsid w:val="005B3226"/>
    <w:rsid w:val="005B3554"/>
    <w:rsid w:val="005B4562"/>
    <w:rsid w:val="005B5094"/>
    <w:rsid w:val="005B6E90"/>
    <w:rsid w:val="005B7174"/>
    <w:rsid w:val="005B79A8"/>
    <w:rsid w:val="005B7E1A"/>
    <w:rsid w:val="005C011D"/>
    <w:rsid w:val="005C0EB8"/>
    <w:rsid w:val="005C1C37"/>
    <w:rsid w:val="005C2437"/>
    <w:rsid w:val="005C28F3"/>
    <w:rsid w:val="005C3D99"/>
    <w:rsid w:val="005C51B2"/>
    <w:rsid w:val="005C56DB"/>
    <w:rsid w:val="005C58E9"/>
    <w:rsid w:val="005C5AE3"/>
    <w:rsid w:val="005C5AEF"/>
    <w:rsid w:val="005C6F03"/>
    <w:rsid w:val="005C7463"/>
    <w:rsid w:val="005C7468"/>
    <w:rsid w:val="005D0B0B"/>
    <w:rsid w:val="005D206D"/>
    <w:rsid w:val="005D2B07"/>
    <w:rsid w:val="005D3C09"/>
    <w:rsid w:val="005D49AF"/>
    <w:rsid w:val="005D5C9B"/>
    <w:rsid w:val="005D5CB5"/>
    <w:rsid w:val="005D5F5E"/>
    <w:rsid w:val="005D646C"/>
    <w:rsid w:val="005D647E"/>
    <w:rsid w:val="005D702C"/>
    <w:rsid w:val="005D748B"/>
    <w:rsid w:val="005E0133"/>
    <w:rsid w:val="005E0568"/>
    <w:rsid w:val="005E0A2F"/>
    <w:rsid w:val="005E1314"/>
    <w:rsid w:val="005E17C1"/>
    <w:rsid w:val="005E284A"/>
    <w:rsid w:val="005E36A7"/>
    <w:rsid w:val="005E3E70"/>
    <w:rsid w:val="005E3E87"/>
    <w:rsid w:val="005E58AF"/>
    <w:rsid w:val="005E5992"/>
    <w:rsid w:val="005F00EC"/>
    <w:rsid w:val="005F0F3E"/>
    <w:rsid w:val="005F2847"/>
    <w:rsid w:val="005F2A0A"/>
    <w:rsid w:val="005F2BEF"/>
    <w:rsid w:val="005F3368"/>
    <w:rsid w:val="005F3473"/>
    <w:rsid w:val="005F34A3"/>
    <w:rsid w:val="005F3E6E"/>
    <w:rsid w:val="005F5415"/>
    <w:rsid w:val="005F578E"/>
    <w:rsid w:val="00600E9E"/>
    <w:rsid w:val="0060167A"/>
    <w:rsid w:val="00603F08"/>
    <w:rsid w:val="00604A87"/>
    <w:rsid w:val="00604EA2"/>
    <w:rsid w:val="0060500C"/>
    <w:rsid w:val="00605C4B"/>
    <w:rsid w:val="00605CFB"/>
    <w:rsid w:val="00605FB1"/>
    <w:rsid w:val="00606212"/>
    <w:rsid w:val="00606319"/>
    <w:rsid w:val="00606CBA"/>
    <w:rsid w:val="00607EBF"/>
    <w:rsid w:val="00607F6D"/>
    <w:rsid w:val="006104C0"/>
    <w:rsid w:val="00610596"/>
    <w:rsid w:val="00610A38"/>
    <w:rsid w:val="00611739"/>
    <w:rsid w:val="0061202C"/>
    <w:rsid w:val="006132D3"/>
    <w:rsid w:val="006147F5"/>
    <w:rsid w:val="006149D0"/>
    <w:rsid w:val="00616C4D"/>
    <w:rsid w:val="00616DC6"/>
    <w:rsid w:val="00617972"/>
    <w:rsid w:val="006202D9"/>
    <w:rsid w:val="0062116A"/>
    <w:rsid w:val="00621A55"/>
    <w:rsid w:val="00621AE7"/>
    <w:rsid w:val="00621D85"/>
    <w:rsid w:val="00622003"/>
    <w:rsid w:val="006251DF"/>
    <w:rsid w:val="006252E0"/>
    <w:rsid w:val="0062595F"/>
    <w:rsid w:val="00626194"/>
    <w:rsid w:val="006266BD"/>
    <w:rsid w:val="00626C9A"/>
    <w:rsid w:val="00627C48"/>
    <w:rsid w:val="00627E60"/>
    <w:rsid w:val="006304C6"/>
    <w:rsid w:val="00630AC3"/>
    <w:rsid w:val="00630FF5"/>
    <w:rsid w:val="006322D7"/>
    <w:rsid w:val="00633744"/>
    <w:rsid w:val="00634956"/>
    <w:rsid w:val="00634E79"/>
    <w:rsid w:val="00635EE6"/>
    <w:rsid w:val="00636729"/>
    <w:rsid w:val="00636A29"/>
    <w:rsid w:val="00637908"/>
    <w:rsid w:val="00637D86"/>
    <w:rsid w:val="006412A1"/>
    <w:rsid w:val="00641767"/>
    <w:rsid w:val="00641F40"/>
    <w:rsid w:val="0064675D"/>
    <w:rsid w:val="00646BA0"/>
    <w:rsid w:val="00646D9A"/>
    <w:rsid w:val="00646E41"/>
    <w:rsid w:val="006471F6"/>
    <w:rsid w:val="00647406"/>
    <w:rsid w:val="00647868"/>
    <w:rsid w:val="00650414"/>
    <w:rsid w:val="00650B0B"/>
    <w:rsid w:val="006511DF"/>
    <w:rsid w:val="00651DD2"/>
    <w:rsid w:val="00652001"/>
    <w:rsid w:val="00653C95"/>
    <w:rsid w:val="0065407B"/>
    <w:rsid w:val="006541A1"/>
    <w:rsid w:val="00654710"/>
    <w:rsid w:val="00654764"/>
    <w:rsid w:val="00655D59"/>
    <w:rsid w:val="0065712A"/>
    <w:rsid w:val="00657538"/>
    <w:rsid w:val="006578F4"/>
    <w:rsid w:val="00657CA8"/>
    <w:rsid w:val="006620A5"/>
    <w:rsid w:val="006626D5"/>
    <w:rsid w:val="006640F7"/>
    <w:rsid w:val="006648FB"/>
    <w:rsid w:val="006649CE"/>
    <w:rsid w:val="00666450"/>
    <w:rsid w:val="006666F4"/>
    <w:rsid w:val="00667FB1"/>
    <w:rsid w:val="006712F8"/>
    <w:rsid w:val="0067247C"/>
    <w:rsid w:val="00674789"/>
    <w:rsid w:val="00674864"/>
    <w:rsid w:val="006751BC"/>
    <w:rsid w:val="00675CD2"/>
    <w:rsid w:val="006760FB"/>
    <w:rsid w:val="0067632B"/>
    <w:rsid w:val="00676538"/>
    <w:rsid w:val="00676D12"/>
    <w:rsid w:val="0067718D"/>
    <w:rsid w:val="006771BD"/>
    <w:rsid w:val="00677B28"/>
    <w:rsid w:val="00677BB8"/>
    <w:rsid w:val="00677C1F"/>
    <w:rsid w:val="00680284"/>
    <w:rsid w:val="00680F69"/>
    <w:rsid w:val="006826FF"/>
    <w:rsid w:val="006828A9"/>
    <w:rsid w:val="00683554"/>
    <w:rsid w:val="00683C2D"/>
    <w:rsid w:val="00684CF6"/>
    <w:rsid w:val="00684DFD"/>
    <w:rsid w:val="00686037"/>
    <w:rsid w:val="0068772E"/>
    <w:rsid w:val="006923A5"/>
    <w:rsid w:val="00692DC1"/>
    <w:rsid w:val="0069437F"/>
    <w:rsid w:val="00694467"/>
    <w:rsid w:val="00694527"/>
    <w:rsid w:val="00694F92"/>
    <w:rsid w:val="006955C5"/>
    <w:rsid w:val="006957B8"/>
    <w:rsid w:val="00696433"/>
    <w:rsid w:val="00697CA1"/>
    <w:rsid w:val="006A00F7"/>
    <w:rsid w:val="006A0556"/>
    <w:rsid w:val="006A0878"/>
    <w:rsid w:val="006A19D0"/>
    <w:rsid w:val="006A2891"/>
    <w:rsid w:val="006A52C5"/>
    <w:rsid w:val="006A5E37"/>
    <w:rsid w:val="006B1167"/>
    <w:rsid w:val="006B1D9B"/>
    <w:rsid w:val="006B355C"/>
    <w:rsid w:val="006B36C6"/>
    <w:rsid w:val="006B4AC9"/>
    <w:rsid w:val="006B6517"/>
    <w:rsid w:val="006B65AF"/>
    <w:rsid w:val="006B6644"/>
    <w:rsid w:val="006B66F0"/>
    <w:rsid w:val="006B6D4C"/>
    <w:rsid w:val="006B6FC5"/>
    <w:rsid w:val="006C2B29"/>
    <w:rsid w:val="006C3ED8"/>
    <w:rsid w:val="006C5BF2"/>
    <w:rsid w:val="006C5E2F"/>
    <w:rsid w:val="006C6B05"/>
    <w:rsid w:val="006D02B3"/>
    <w:rsid w:val="006D1112"/>
    <w:rsid w:val="006D3020"/>
    <w:rsid w:val="006D381A"/>
    <w:rsid w:val="006D4292"/>
    <w:rsid w:val="006D429F"/>
    <w:rsid w:val="006D5345"/>
    <w:rsid w:val="006D54C7"/>
    <w:rsid w:val="006D5651"/>
    <w:rsid w:val="006D5C7A"/>
    <w:rsid w:val="006D6A34"/>
    <w:rsid w:val="006D6B7D"/>
    <w:rsid w:val="006D6E7F"/>
    <w:rsid w:val="006D7870"/>
    <w:rsid w:val="006D79A8"/>
    <w:rsid w:val="006E08E2"/>
    <w:rsid w:val="006E0954"/>
    <w:rsid w:val="006E136C"/>
    <w:rsid w:val="006E15F5"/>
    <w:rsid w:val="006E3566"/>
    <w:rsid w:val="006E3D88"/>
    <w:rsid w:val="006E5396"/>
    <w:rsid w:val="006E5BD9"/>
    <w:rsid w:val="006E5CC2"/>
    <w:rsid w:val="006E61DF"/>
    <w:rsid w:val="006E709C"/>
    <w:rsid w:val="006E74FB"/>
    <w:rsid w:val="006E7CD8"/>
    <w:rsid w:val="006F0F55"/>
    <w:rsid w:val="006F1BC6"/>
    <w:rsid w:val="006F2413"/>
    <w:rsid w:val="006F374E"/>
    <w:rsid w:val="006F4022"/>
    <w:rsid w:val="006F403E"/>
    <w:rsid w:val="006F4FC4"/>
    <w:rsid w:val="006F5470"/>
    <w:rsid w:val="006F5542"/>
    <w:rsid w:val="006F5618"/>
    <w:rsid w:val="006F5A3A"/>
    <w:rsid w:val="006F63E0"/>
    <w:rsid w:val="006F6711"/>
    <w:rsid w:val="006F726F"/>
    <w:rsid w:val="007007D7"/>
    <w:rsid w:val="00700FAC"/>
    <w:rsid w:val="0070119F"/>
    <w:rsid w:val="00701ACD"/>
    <w:rsid w:val="00701C20"/>
    <w:rsid w:val="00703B0F"/>
    <w:rsid w:val="007057DC"/>
    <w:rsid w:val="0070602C"/>
    <w:rsid w:val="00706B0D"/>
    <w:rsid w:val="00706C03"/>
    <w:rsid w:val="00710D40"/>
    <w:rsid w:val="00710F6B"/>
    <w:rsid w:val="00711D9D"/>
    <w:rsid w:val="00712896"/>
    <w:rsid w:val="00712D07"/>
    <w:rsid w:val="00713E21"/>
    <w:rsid w:val="00714344"/>
    <w:rsid w:val="00715246"/>
    <w:rsid w:val="0071594B"/>
    <w:rsid w:val="00715F59"/>
    <w:rsid w:val="007161FA"/>
    <w:rsid w:val="00716834"/>
    <w:rsid w:val="007202B4"/>
    <w:rsid w:val="0072193F"/>
    <w:rsid w:val="007225F8"/>
    <w:rsid w:val="00723C47"/>
    <w:rsid w:val="00723CD6"/>
    <w:rsid w:val="00723D46"/>
    <w:rsid w:val="00724216"/>
    <w:rsid w:val="007247C6"/>
    <w:rsid w:val="00724C90"/>
    <w:rsid w:val="00726204"/>
    <w:rsid w:val="0072630D"/>
    <w:rsid w:val="007313E3"/>
    <w:rsid w:val="00731A9E"/>
    <w:rsid w:val="00732121"/>
    <w:rsid w:val="00732F20"/>
    <w:rsid w:val="007339F3"/>
    <w:rsid w:val="00733DE5"/>
    <w:rsid w:val="00734B47"/>
    <w:rsid w:val="00734E2B"/>
    <w:rsid w:val="00735191"/>
    <w:rsid w:val="00735ABE"/>
    <w:rsid w:val="00736475"/>
    <w:rsid w:val="00736939"/>
    <w:rsid w:val="00736B28"/>
    <w:rsid w:val="0074160F"/>
    <w:rsid w:val="00741643"/>
    <w:rsid w:val="00741A86"/>
    <w:rsid w:val="00741BD3"/>
    <w:rsid w:val="00742150"/>
    <w:rsid w:val="00742880"/>
    <w:rsid w:val="007429B3"/>
    <w:rsid w:val="007443DF"/>
    <w:rsid w:val="00744BE8"/>
    <w:rsid w:val="00744F47"/>
    <w:rsid w:val="0074529B"/>
    <w:rsid w:val="007455E5"/>
    <w:rsid w:val="00746102"/>
    <w:rsid w:val="007469D1"/>
    <w:rsid w:val="00747484"/>
    <w:rsid w:val="007474CD"/>
    <w:rsid w:val="00750001"/>
    <w:rsid w:val="00750621"/>
    <w:rsid w:val="00751256"/>
    <w:rsid w:val="00751314"/>
    <w:rsid w:val="00751BA1"/>
    <w:rsid w:val="00753510"/>
    <w:rsid w:val="007535C7"/>
    <w:rsid w:val="00753AB6"/>
    <w:rsid w:val="00753BC8"/>
    <w:rsid w:val="00754F18"/>
    <w:rsid w:val="007558DD"/>
    <w:rsid w:val="00755C9C"/>
    <w:rsid w:val="00755F14"/>
    <w:rsid w:val="00756216"/>
    <w:rsid w:val="00756D81"/>
    <w:rsid w:val="0075755D"/>
    <w:rsid w:val="00760021"/>
    <w:rsid w:val="0076056C"/>
    <w:rsid w:val="00760CB4"/>
    <w:rsid w:val="00761649"/>
    <w:rsid w:val="00762E24"/>
    <w:rsid w:val="00762FED"/>
    <w:rsid w:val="007631D2"/>
    <w:rsid w:val="00763229"/>
    <w:rsid w:val="00763D2B"/>
    <w:rsid w:val="00764259"/>
    <w:rsid w:val="00764493"/>
    <w:rsid w:val="00764EFE"/>
    <w:rsid w:val="00765ACA"/>
    <w:rsid w:val="00766AD4"/>
    <w:rsid w:val="00767B51"/>
    <w:rsid w:val="007700E0"/>
    <w:rsid w:val="00770654"/>
    <w:rsid w:val="0077167B"/>
    <w:rsid w:val="0077171E"/>
    <w:rsid w:val="00771C05"/>
    <w:rsid w:val="00771C0C"/>
    <w:rsid w:val="007722E0"/>
    <w:rsid w:val="007726DF"/>
    <w:rsid w:val="00773B01"/>
    <w:rsid w:val="00773B46"/>
    <w:rsid w:val="00773F96"/>
    <w:rsid w:val="007746C8"/>
    <w:rsid w:val="00774801"/>
    <w:rsid w:val="0077512C"/>
    <w:rsid w:val="007756D4"/>
    <w:rsid w:val="00775B04"/>
    <w:rsid w:val="00776331"/>
    <w:rsid w:val="00776B0D"/>
    <w:rsid w:val="00776C6A"/>
    <w:rsid w:val="00777AAE"/>
    <w:rsid w:val="00777C5D"/>
    <w:rsid w:val="0078165E"/>
    <w:rsid w:val="007819E3"/>
    <w:rsid w:val="00782580"/>
    <w:rsid w:val="007825BB"/>
    <w:rsid w:val="0078361C"/>
    <w:rsid w:val="0078512C"/>
    <w:rsid w:val="00786382"/>
    <w:rsid w:val="00786CCF"/>
    <w:rsid w:val="0078745B"/>
    <w:rsid w:val="00787F76"/>
    <w:rsid w:val="00790B5D"/>
    <w:rsid w:val="0079101A"/>
    <w:rsid w:val="007912A7"/>
    <w:rsid w:val="007916D9"/>
    <w:rsid w:val="007917CD"/>
    <w:rsid w:val="00791B1C"/>
    <w:rsid w:val="007920CA"/>
    <w:rsid w:val="00792B56"/>
    <w:rsid w:val="00792DC4"/>
    <w:rsid w:val="007934D0"/>
    <w:rsid w:val="0079424F"/>
    <w:rsid w:val="00795339"/>
    <w:rsid w:val="00796124"/>
    <w:rsid w:val="00796146"/>
    <w:rsid w:val="0079621A"/>
    <w:rsid w:val="007974F6"/>
    <w:rsid w:val="007A21B9"/>
    <w:rsid w:val="007A2E87"/>
    <w:rsid w:val="007A36D1"/>
    <w:rsid w:val="007A3B34"/>
    <w:rsid w:val="007A3DB3"/>
    <w:rsid w:val="007A5FB9"/>
    <w:rsid w:val="007A66B3"/>
    <w:rsid w:val="007A7146"/>
    <w:rsid w:val="007A76B5"/>
    <w:rsid w:val="007A7A76"/>
    <w:rsid w:val="007A7F84"/>
    <w:rsid w:val="007B047A"/>
    <w:rsid w:val="007B0E49"/>
    <w:rsid w:val="007B1761"/>
    <w:rsid w:val="007B2B70"/>
    <w:rsid w:val="007B2D35"/>
    <w:rsid w:val="007B367F"/>
    <w:rsid w:val="007B3C01"/>
    <w:rsid w:val="007B40CE"/>
    <w:rsid w:val="007B4529"/>
    <w:rsid w:val="007B6ABB"/>
    <w:rsid w:val="007B7486"/>
    <w:rsid w:val="007B7621"/>
    <w:rsid w:val="007B7B71"/>
    <w:rsid w:val="007C0FE5"/>
    <w:rsid w:val="007C3499"/>
    <w:rsid w:val="007C377A"/>
    <w:rsid w:val="007C3871"/>
    <w:rsid w:val="007C393F"/>
    <w:rsid w:val="007C3C70"/>
    <w:rsid w:val="007C4185"/>
    <w:rsid w:val="007C4F29"/>
    <w:rsid w:val="007C510F"/>
    <w:rsid w:val="007C5618"/>
    <w:rsid w:val="007C566C"/>
    <w:rsid w:val="007C6087"/>
    <w:rsid w:val="007C6487"/>
    <w:rsid w:val="007C75FC"/>
    <w:rsid w:val="007C7FD8"/>
    <w:rsid w:val="007D0A4D"/>
    <w:rsid w:val="007D0B70"/>
    <w:rsid w:val="007D0B72"/>
    <w:rsid w:val="007D3B7B"/>
    <w:rsid w:val="007D48D8"/>
    <w:rsid w:val="007D6580"/>
    <w:rsid w:val="007D72F7"/>
    <w:rsid w:val="007E1EB1"/>
    <w:rsid w:val="007E30EA"/>
    <w:rsid w:val="007E3847"/>
    <w:rsid w:val="007E49CA"/>
    <w:rsid w:val="007E4BDE"/>
    <w:rsid w:val="007E4C54"/>
    <w:rsid w:val="007E5CD7"/>
    <w:rsid w:val="007E5DAF"/>
    <w:rsid w:val="007E6069"/>
    <w:rsid w:val="007F074B"/>
    <w:rsid w:val="007F2B63"/>
    <w:rsid w:val="007F2CE4"/>
    <w:rsid w:val="007F3021"/>
    <w:rsid w:val="007F3D00"/>
    <w:rsid w:val="007F3E23"/>
    <w:rsid w:val="007F45E1"/>
    <w:rsid w:val="007F473F"/>
    <w:rsid w:val="007F50E9"/>
    <w:rsid w:val="007F58F4"/>
    <w:rsid w:val="007F6891"/>
    <w:rsid w:val="007F6932"/>
    <w:rsid w:val="007F6D50"/>
    <w:rsid w:val="007F7ABC"/>
    <w:rsid w:val="00800384"/>
    <w:rsid w:val="0080190C"/>
    <w:rsid w:val="00801A67"/>
    <w:rsid w:val="00802206"/>
    <w:rsid w:val="00802F05"/>
    <w:rsid w:val="00803199"/>
    <w:rsid w:val="008031B3"/>
    <w:rsid w:val="00803CD4"/>
    <w:rsid w:val="008047D9"/>
    <w:rsid w:val="008049AB"/>
    <w:rsid w:val="00804BC5"/>
    <w:rsid w:val="00804C16"/>
    <w:rsid w:val="00804DCB"/>
    <w:rsid w:val="00805178"/>
    <w:rsid w:val="008069CD"/>
    <w:rsid w:val="0081067A"/>
    <w:rsid w:val="00811991"/>
    <w:rsid w:val="00811B27"/>
    <w:rsid w:val="00812367"/>
    <w:rsid w:val="00812B44"/>
    <w:rsid w:val="00812EC8"/>
    <w:rsid w:val="0081401E"/>
    <w:rsid w:val="008144AB"/>
    <w:rsid w:val="00814666"/>
    <w:rsid w:val="00815E29"/>
    <w:rsid w:val="008168D4"/>
    <w:rsid w:val="00816C65"/>
    <w:rsid w:val="008179C0"/>
    <w:rsid w:val="00820667"/>
    <w:rsid w:val="0082122B"/>
    <w:rsid w:val="0082304D"/>
    <w:rsid w:val="00823659"/>
    <w:rsid w:val="008237E3"/>
    <w:rsid w:val="00823C49"/>
    <w:rsid w:val="00824762"/>
    <w:rsid w:val="00824934"/>
    <w:rsid w:val="00826A6E"/>
    <w:rsid w:val="00826C70"/>
    <w:rsid w:val="008310A8"/>
    <w:rsid w:val="00831579"/>
    <w:rsid w:val="008318F0"/>
    <w:rsid w:val="00831968"/>
    <w:rsid w:val="00831C53"/>
    <w:rsid w:val="00832A9F"/>
    <w:rsid w:val="008333A9"/>
    <w:rsid w:val="0083348E"/>
    <w:rsid w:val="008351F9"/>
    <w:rsid w:val="0083586D"/>
    <w:rsid w:val="00835A10"/>
    <w:rsid w:val="00837580"/>
    <w:rsid w:val="00837685"/>
    <w:rsid w:val="00837B9F"/>
    <w:rsid w:val="00841290"/>
    <w:rsid w:val="008412A8"/>
    <w:rsid w:val="00841D33"/>
    <w:rsid w:val="008431D0"/>
    <w:rsid w:val="00844041"/>
    <w:rsid w:val="0084429A"/>
    <w:rsid w:val="00844B35"/>
    <w:rsid w:val="00844E2A"/>
    <w:rsid w:val="00845623"/>
    <w:rsid w:val="00845EAF"/>
    <w:rsid w:val="00845FFC"/>
    <w:rsid w:val="00846999"/>
    <w:rsid w:val="00847071"/>
    <w:rsid w:val="00847442"/>
    <w:rsid w:val="00847D6A"/>
    <w:rsid w:val="00847D7D"/>
    <w:rsid w:val="0085009A"/>
    <w:rsid w:val="008503F7"/>
    <w:rsid w:val="0085071A"/>
    <w:rsid w:val="00851CA4"/>
    <w:rsid w:val="00852E28"/>
    <w:rsid w:val="00852EAB"/>
    <w:rsid w:val="0085484C"/>
    <w:rsid w:val="00854A8D"/>
    <w:rsid w:val="008553D0"/>
    <w:rsid w:val="00856A95"/>
    <w:rsid w:val="00857110"/>
    <w:rsid w:val="008609B8"/>
    <w:rsid w:val="008627A5"/>
    <w:rsid w:val="008640D6"/>
    <w:rsid w:val="00865515"/>
    <w:rsid w:val="0086725C"/>
    <w:rsid w:val="008677A5"/>
    <w:rsid w:val="008705B9"/>
    <w:rsid w:val="00871209"/>
    <w:rsid w:val="00871416"/>
    <w:rsid w:val="00871D14"/>
    <w:rsid w:val="00871DE4"/>
    <w:rsid w:val="00872A5B"/>
    <w:rsid w:val="00872BD0"/>
    <w:rsid w:val="00873164"/>
    <w:rsid w:val="008732DD"/>
    <w:rsid w:val="00873B55"/>
    <w:rsid w:val="008743B0"/>
    <w:rsid w:val="008744DC"/>
    <w:rsid w:val="00875395"/>
    <w:rsid w:val="00875FD6"/>
    <w:rsid w:val="0087647D"/>
    <w:rsid w:val="00876EB7"/>
    <w:rsid w:val="00877234"/>
    <w:rsid w:val="00877C6D"/>
    <w:rsid w:val="00880349"/>
    <w:rsid w:val="008807BD"/>
    <w:rsid w:val="00880CE7"/>
    <w:rsid w:val="00881F20"/>
    <w:rsid w:val="008820C9"/>
    <w:rsid w:val="00882993"/>
    <w:rsid w:val="00882D90"/>
    <w:rsid w:val="00883190"/>
    <w:rsid w:val="00883D5F"/>
    <w:rsid w:val="0088402E"/>
    <w:rsid w:val="00884836"/>
    <w:rsid w:val="008855AB"/>
    <w:rsid w:val="00885BCA"/>
    <w:rsid w:val="008862A4"/>
    <w:rsid w:val="0088640A"/>
    <w:rsid w:val="00886E51"/>
    <w:rsid w:val="00886EEA"/>
    <w:rsid w:val="008917FA"/>
    <w:rsid w:val="008921D0"/>
    <w:rsid w:val="00892B9F"/>
    <w:rsid w:val="008934BA"/>
    <w:rsid w:val="0089371E"/>
    <w:rsid w:val="008954E9"/>
    <w:rsid w:val="00895CB2"/>
    <w:rsid w:val="00895CDA"/>
    <w:rsid w:val="0089697C"/>
    <w:rsid w:val="00896E40"/>
    <w:rsid w:val="008A12B0"/>
    <w:rsid w:val="008A1C3A"/>
    <w:rsid w:val="008A228F"/>
    <w:rsid w:val="008A2539"/>
    <w:rsid w:val="008A4322"/>
    <w:rsid w:val="008A4952"/>
    <w:rsid w:val="008A7380"/>
    <w:rsid w:val="008A78C4"/>
    <w:rsid w:val="008A78DD"/>
    <w:rsid w:val="008A7B78"/>
    <w:rsid w:val="008B07B2"/>
    <w:rsid w:val="008B0E39"/>
    <w:rsid w:val="008B154E"/>
    <w:rsid w:val="008B1C52"/>
    <w:rsid w:val="008B2223"/>
    <w:rsid w:val="008B237C"/>
    <w:rsid w:val="008B2E14"/>
    <w:rsid w:val="008B39F1"/>
    <w:rsid w:val="008B42B7"/>
    <w:rsid w:val="008B45EE"/>
    <w:rsid w:val="008B5F25"/>
    <w:rsid w:val="008B676F"/>
    <w:rsid w:val="008B6A2E"/>
    <w:rsid w:val="008B789B"/>
    <w:rsid w:val="008C02E3"/>
    <w:rsid w:val="008C10A6"/>
    <w:rsid w:val="008C1364"/>
    <w:rsid w:val="008C1657"/>
    <w:rsid w:val="008C1B70"/>
    <w:rsid w:val="008C1E4F"/>
    <w:rsid w:val="008C4432"/>
    <w:rsid w:val="008C448C"/>
    <w:rsid w:val="008C48F5"/>
    <w:rsid w:val="008C4D67"/>
    <w:rsid w:val="008C5210"/>
    <w:rsid w:val="008C5290"/>
    <w:rsid w:val="008C59CC"/>
    <w:rsid w:val="008C67CE"/>
    <w:rsid w:val="008C691B"/>
    <w:rsid w:val="008C6C1B"/>
    <w:rsid w:val="008C70B7"/>
    <w:rsid w:val="008C7159"/>
    <w:rsid w:val="008D04CD"/>
    <w:rsid w:val="008D2112"/>
    <w:rsid w:val="008D3276"/>
    <w:rsid w:val="008D3E9D"/>
    <w:rsid w:val="008D5253"/>
    <w:rsid w:val="008D5974"/>
    <w:rsid w:val="008D64B5"/>
    <w:rsid w:val="008D6AD7"/>
    <w:rsid w:val="008D6C8B"/>
    <w:rsid w:val="008D7441"/>
    <w:rsid w:val="008D74F8"/>
    <w:rsid w:val="008D7673"/>
    <w:rsid w:val="008E01C5"/>
    <w:rsid w:val="008E084C"/>
    <w:rsid w:val="008E0FEC"/>
    <w:rsid w:val="008E2C45"/>
    <w:rsid w:val="008E3B23"/>
    <w:rsid w:val="008E4097"/>
    <w:rsid w:val="008E4A29"/>
    <w:rsid w:val="008E60E1"/>
    <w:rsid w:val="008E684C"/>
    <w:rsid w:val="008F1033"/>
    <w:rsid w:val="008F133C"/>
    <w:rsid w:val="008F1605"/>
    <w:rsid w:val="008F267E"/>
    <w:rsid w:val="008F2A50"/>
    <w:rsid w:val="008F301C"/>
    <w:rsid w:val="008F3CB6"/>
    <w:rsid w:val="008F43D8"/>
    <w:rsid w:val="008F5E04"/>
    <w:rsid w:val="0090096F"/>
    <w:rsid w:val="00901611"/>
    <w:rsid w:val="00901AF7"/>
    <w:rsid w:val="00901D27"/>
    <w:rsid w:val="00902A9E"/>
    <w:rsid w:val="0090460E"/>
    <w:rsid w:val="00904715"/>
    <w:rsid w:val="00904B03"/>
    <w:rsid w:val="00904D0B"/>
    <w:rsid w:val="0090525E"/>
    <w:rsid w:val="00905BFD"/>
    <w:rsid w:val="009065AF"/>
    <w:rsid w:val="00910464"/>
    <w:rsid w:val="009106A5"/>
    <w:rsid w:val="0091137B"/>
    <w:rsid w:val="009118EA"/>
    <w:rsid w:val="00911D18"/>
    <w:rsid w:val="00912415"/>
    <w:rsid w:val="009137E5"/>
    <w:rsid w:val="00913DE0"/>
    <w:rsid w:val="0091572E"/>
    <w:rsid w:val="009159C5"/>
    <w:rsid w:val="00917629"/>
    <w:rsid w:val="009176CA"/>
    <w:rsid w:val="009179E4"/>
    <w:rsid w:val="00917E32"/>
    <w:rsid w:val="00920D86"/>
    <w:rsid w:val="0092192D"/>
    <w:rsid w:val="0092367D"/>
    <w:rsid w:val="00925310"/>
    <w:rsid w:val="00925313"/>
    <w:rsid w:val="00925453"/>
    <w:rsid w:val="0092628B"/>
    <w:rsid w:val="009268C3"/>
    <w:rsid w:val="00927046"/>
    <w:rsid w:val="009270DC"/>
    <w:rsid w:val="009273A7"/>
    <w:rsid w:val="00932A2D"/>
    <w:rsid w:val="00934CDD"/>
    <w:rsid w:val="00935420"/>
    <w:rsid w:val="00935DAF"/>
    <w:rsid w:val="00936223"/>
    <w:rsid w:val="0093726F"/>
    <w:rsid w:val="009374D6"/>
    <w:rsid w:val="00937990"/>
    <w:rsid w:val="00940119"/>
    <w:rsid w:val="00940A36"/>
    <w:rsid w:val="00941AA3"/>
    <w:rsid w:val="0094251E"/>
    <w:rsid w:val="00942B91"/>
    <w:rsid w:val="00944A91"/>
    <w:rsid w:val="00945168"/>
    <w:rsid w:val="0094573F"/>
    <w:rsid w:val="00945B92"/>
    <w:rsid w:val="009461B5"/>
    <w:rsid w:val="00946B9F"/>
    <w:rsid w:val="009502D1"/>
    <w:rsid w:val="009508F6"/>
    <w:rsid w:val="00951037"/>
    <w:rsid w:val="00951822"/>
    <w:rsid w:val="00951C18"/>
    <w:rsid w:val="00952190"/>
    <w:rsid w:val="009528FF"/>
    <w:rsid w:val="00952DD3"/>
    <w:rsid w:val="00952FE3"/>
    <w:rsid w:val="00953838"/>
    <w:rsid w:val="009543DD"/>
    <w:rsid w:val="0095461C"/>
    <w:rsid w:val="00955036"/>
    <w:rsid w:val="00955276"/>
    <w:rsid w:val="009553F8"/>
    <w:rsid w:val="00955849"/>
    <w:rsid w:val="00955FD7"/>
    <w:rsid w:val="0095669F"/>
    <w:rsid w:val="009566BE"/>
    <w:rsid w:val="00956C4E"/>
    <w:rsid w:val="009577C6"/>
    <w:rsid w:val="00960271"/>
    <w:rsid w:val="00960EC3"/>
    <w:rsid w:val="009611AE"/>
    <w:rsid w:val="009613A5"/>
    <w:rsid w:val="00961747"/>
    <w:rsid w:val="00963138"/>
    <w:rsid w:val="00963261"/>
    <w:rsid w:val="00963C76"/>
    <w:rsid w:val="00964443"/>
    <w:rsid w:val="0096444D"/>
    <w:rsid w:val="00964CA4"/>
    <w:rsid w:val="00965306"/>
    <w:rsid w:val="00971399"/>
    <w:rsid w:val="00971412"/>
    <w:rsid w:val="00971625"/>
    <w:rsid w:val="00971B0F"/>
    <w:rsid w:val="00971E18"/>
    <w:rsid w:val="00973117"/>
    <w:rsid w:val="00974627"/>
    <w:rsid w:val="009750DF"/>
    <w:rsid w:val="0097663A"/>
    <w:rsid w:val="009768F7"/>
    <w:rsid w:val="00977117"/>
    <w:rsid w:val="0097757C"/>
    <w:rsid w:val="00977A90"/>
    <w:rsid w:val="00977C58"/>
    <w:rsid w:val="00981005"/>
    <w:rsid w:val="0098128C"/>
    <w:rsid w:val="009825EA"/>
    <w:rsid w:val="00983F83"/>
    <w:rsid w:val="0098659E"/>
    <w:rsid w:val="00986606"/>
    <w:rsid w:val="009866D1"/>
    <w:rsid w:val="0098782D"/>
    <w:rsid w:val="0098790C"/>
    <w:rsid w:val="00990050"/>
    <w:rsid w:val="00990B6B"/>
    <w:rsid w:val="0099190C"/>
    <w:rsid w:val="009927A7"/>
    <w:rsid w:val="00992D63"/>
    <w:rsid w:val="0099314B"/>
    <w:rsid w:val="009939D2"/>
    <w:rsid w:val="009940DE"/>
    <w:rsid w:val="00994287"/>
    <w:rsid w:val="009948AB"/>
    <w:rsid w:val="009951DD"/>
    <w:rsid w:val="00995C0D"/>
    <w:rsid w:val="009969F5"/>
    <w:rsid w:val="00997CB0"/>
    <w:rsid w:val="00997FD8"/>
    <w:rsid w:val="009A03E4"/>
    <w:rsid w:val="009A0A12"/>
    <w:rsid w:val="009A0AC5"/>
    <w:rsid w:val="009A1655"/>
    <w:rsid w:val="009A25FA"/>
    <w:rsid w:val="009A3F1C"/>
    <w:rsid w:val="009A5009"/>
    <w:rsid w:val="009A5325"/>
    <w:rsid w:val="009A56A2"/>
    <w:rsid w:val="009A610F"/>
    <w:rsid w:val="009A6129"/>
    <w:rsid w:val="009A72AD"/>
    <w:rsid w:val="009B0653"/>
    <w:rsid w:val="009B11C4"/>
    <w:rsid w:val="009B1283"/>
    <w:rsid w:val="009B184D"/>
    <w:rsid w:val="009B2412"/>
    <w:rsid w:val="009B3B61"/>
    <w:rsid w:val="009B42AC"/>
    <w:rsid w:val="009B61D9"/>
    <w:rsid w:val="009B6797"/>
    <w:rsid w:val="009C0DF2"/>
    <w:rsid w:val="009C2671"/>
    <w:rsid w:val="009C288D"/>
    <w:rsid w:val="009C2B17"/>
    <w:rsid w:val="009C3108"/>
    <w:rsid w:val="009C379F"/>
    <w:rsid w:val="009C3B57"/>
    <w:rsid w:val="009C5822"/>
    <w:rsid w:val="009C59B4"/>
    <w:rsid w:val="009C6477"/>
    <w:rsid w:val="009C700C"/>
    <w:rsid w:val="009C7593"/>
    <w:rsid w:val="009D0279"/>
    <w:rsid w:val="009D148D"/>
    <w:rsid w:val="009D2F17"/>
    <w:rsid w:val="009D3BE2"/>
    <w:rsid w:val="009D3FBC"/>
    <w:rsid w:val="009D4BCE"/>
    <w:rsid w:val="009D60F4"/>
    <w:rsid w:val="009D6FFB"/>
    <w:rsid w:val="009D746E"/>
    <w:rsid w:val="009E28D3"/>
    <w:rsid w:val="009E35DC"/>
    <w:rsid w:val="009E3CFC"/>
    <w:rsid w:val="009E3EFB"/>
    <w:rsid w:val="009E5409"/>
    <w:rsid w:val="009E629B"/>
    <w:rsid w:val="009E6431"/>
    <w:rsid w:val="009E6CFB"/>
    <w:rsid w:val="009E7755"/>
    <w:rsid w:val="009E7AB7"/>
    <w:rsid w:val="009E7C2C"/>
    <w:rsid w:val="009F0225"/>
    <w:rsid w:val="009F0A58"/>
    <w:rsid w:val="009F0AB8"/>
    <w:rsid w:val="009F0F45"/>
    <w:rsid w:val="009F2473"/>
    <w:rsid w:val="009F2714"/>
    <w:rsid w:val="009F2C72"/>
    <w:rsid w:val="009F2E71"/>
    <w:rsid w:val="009F381C"/>
    <w:rsid w:val="009F3A16"/>
    <w:rsid w:val="009F3A61"/>
    <w:rsid w:val="009F4280"/>
    <w:rsid w:val="009F4342"/>
    <w:rsid w:val="009F4E0C"/>
    <w:rsid w:val="009F4E7F"/>
    <w:rsid w:val="009F5A50"/>
    <w:rsid w:val="00A00024"/>
    <w:rsid w:val="00A01BAE"/>
    <w:rsid w:val="00A01EC1"/>
    <w:rsid w:val="00A0246A"/>
    <w:rsid w:val="00A10605"/>
    <w:rsid w:val="00A109B0"/>
    <w:rsid w:val="00A10B2E"/>
    <w:rsid w:val="00A10ED4"/>
    <w:rsid w:val="00A118AE"/>
    <w:rsid w:val="00A12B4C"/>
    <w:rsid w:val="00A164FF"/>
    <w:rsid w:val="00A167C3"/>
    <w:rsid w:val="00A175E6"/>
    <w:rsid w:val="00A1770B"/>
    <w:rsid w:val="00A17BBE"/>
    <w:rsid w:val="00A20881"/>
    <w:rsid w:val="00A21B89"/>
    <w:rsid w:val="00A21F46"/>
    <w:rsid w:val="00A22097"/>
    <w:rsid w:val="00A269D8"/>
    <w:rsid w:val="00A273D1"/>
    <w:rsid w:val="00A2799B"/>
    <w:rsid w:val="00A3016D"/>
    <w:rsid w:val="00A32C5C"/>
    <w:rsid w:val="00A32D2E"/>
    <w:rsid w:val="00A33325"/>
    <w:rsid w:val="00A333B5"/>
    <w:rsid w:val="00A3430F"/>
    <w:rsid w:val="00A34AA7"/>
    <w:rsid w:val="00A34B2E"/>
    <w:rsid w:val="00A355A2"/>
    <w:rsid w:val="00A36694"/>
    <w:rsid w:val="00A36D9A"/>
    <w:rsid w:val="00A3775C"/>
    <w:rsid w:val="00A4125E"/>
    <w:rsid w:val="00A434D3"/>
    <w:rsid w:val="00A43522"/>
    <w:rsid w:val="00A4455F"/>
    <w:rsid w:val="00A4592A"/>
    <w:rsid w:val="00A46C22"/>
    <w:rsid w:val="00A46EF8"/>
    <w:rsid w:val="00A47004"/>
    <w:rsid w:val="00A4749F"/>
    <w:rsid w:val="00A47640"/>
    <w:rsid w:val="00A478E5"/>
    <w:rsid w:val="00A47C0D"/>
    <w:rsid w:val="00A505E9"/>
    <w:rsid w:val="00A51894"/>
    <w:rsid w:val="00A51D73"/>
    <w:rsid w:val="00A532C4"/>
    <w:rsid w:val="00A53609"/>
    <w:rsid w:val="00A53A99"/>
    <w:rsid w:val="00A54214"/>
    <w:rsid w:val="00A548B1"/>
    <w:rsid w:val="00A57AF2"/>
    <w:rsid w:val="00A607A6"/>
    <w:rsid w:val="00A6441B"/>
    <w:rsid w:val="00A66198"/>
    <w:rsid w:val="00A66239"/>
    <w:rsid w:val="00A6719C"/>
    <w:rsid w:val="00A7020D"/>
    <w:rsid w:val="00A71E4C"/>
    <w:rsid w:val="00A72132"/>
    <w:rsid w:val="00A72175"/>
    <w:rsid w:val="00A7309D"/>
    <w:rsid w:val="00A73983"/>
    <w:rsid w:val="00A748B5"/>
    <w:rsid w:val="00A74BE3"/>
    <w:rsid w:val="00A75256"/>
    <w:rsid w:val="00A75A15"/>
    <w:rsid w:val="00A75FF3"/>
    <w:rsid w:val="00A76BC7"/>
    <w:rsid w:val="00A76FBF"/>
    <w:rsid w:val="00A77109"/>
    <w:rsid w:val="00A775EA"/>
    <w:rsid w:val="00A810F3"/>
    <w:rsid w:val="00A821D2"/>
    <w:rsid w:val="00A82C56"/>
    <w:rsid w:val="00A84AC6"/>
    <w:rsid w:val="00A86CCC"/>
    <w:rsid w:val="00A875F6"/>
    <w:rsid w:val="00A9266F"/>
    <w:rsid w:val="00A92735"/>
    <w:rsid w:val="00A952A6"/>
    <w:rsid w:val="00A956C3"/>
    <w:rsid w:val="00A963E8"/>
    <w:rsid w:val="00A974E3"/>
    <w:rsid w:val="00A979A6"/>
    <w:rsid w:val="00AA0150"/>
    <w:rsid w:val="00AA1082"/>
    <w:rsid w:val="00AA25D8"/>
    <w:rsid w:val="00AA4074"/>
    <w:rsid w:val="00AA4ECF"/>
    <w:rsid w:val="00AA5476"/>
    <w:rsid w:val="00AA5549"/>
    <w:rsid w:val="00AA779E"/>
    <w:rsid w:val="00AA7E41"/>
    <w:rsid w:val="00AA7FAE"/>
    <w:rsid w:val="00AB0671"/>
    <w:rsid w:val="00AB12E6"/>
    <w:rsid w:val="00AB225C"/>
    <w:rsid w:val="00AB2450"/>
    <w:rsid w:val="00AB2882"/>
    <w:rsid w:val="00AB2FB4"/>
    <w:rsid w:val="00AB3730"/>
    <w:rsid w:val="00AB41D2"/>
    <w:rsid w:val="00AB442C"/>
    <w:rsid w:val="00AB46E5"/>
    <w:rsid w:val="00AB476E"/>
    <w:rsid w:val="00AB49BE"/>
    <w:rsid w:val="00AB4B7D"/>
    <w:rsid w:val="00AB4F8B"/>
    <w:rsid w:val="00AB5DB4"/>
    <w:rsid w:val="00AB6616"/>
    <w:rsid w:val="00AC08F5"/>
    <w:rsid w:val="00AC0EB7"/>
    <w:rsid w:val="00AC1DE3"/>
    <w:rsid w:val="00AC2C8F"/>
    <w:rsid w:val="00AC43A3"/>
    <w:rsid w:val="00AC5238"/>
    <w:rsid w:val="00AC5A62"/>
    <w:rsid w:val="00AC6384"/>
    <w:rsid w:val="00AD0CD3"/>
    <w:rsid w:val="00AD15CD"/>
    <w:rsid w:val="00AD1AF9"/>
    <w:rsid w:val="00AD22E1"/>
    <w:rsid w:val="00AD2379"/>
    <w:rsid w:val="00AD286A"/>
    <w:rsid w:val="00AD2BF9"/>
    <w:rsid w:val="00AD3222"/>
    <w:rsid w:val="00AD3BA2"/>
    <w:rsid w:val="00AD4DBD"/>
    <w:rsid w:val="00AD5318"/>
    <w:rsid w:val="00AD595E"/>
    <w:rsid w:val="00AD5BD2"/>
    <w:rsid w:val="00AD66BF"/>
    <w:rsid w:val="00AD6A31"/>
    <w:rsid w:val="00AE11EE"/>
    <w:rsid w:val="00AE19F7"/>
    <w:rsid w:val="00AE1D41"/>
    <w:rsid w:val="00AE29FA"/>
    <w:rsid w:val="00AE35BD"/>
    <w:rsid w:val="00AE3BA7"/>
    <w:rsid w:val="00AE4E27"/>
    <w:rsid w:val="00AE5F2C"/>
    <w:rsid w:val="00AE67ED"/>
    <w:rsid w:val="00AE6FB2"/>
    <w:rsid w:val="00AE7DB4"/>
    <w:rsid w:val="00AF0A7F"/>
    <w:rsid w:val="00AF0AAE"/>
    <w:rsid w:val="00AF1865"/>
    <w:rsid w:val="00AF20EF"/>
    <w:rsid w:val="00AF37F1"/>
    <w:rsid w:val="00AF3BEF"/>
    <w:rsid w:val="00AF3EA0"/>
    <w:rsid w:val="00AF4D26"/>
    <w:rsid w:val="00AF52CD"/>
    <w:rsid w:val="00AF71C4"/>
    <w:rsid w:val="00B005BC"/>
    <w:rsid w:val="00B008F3"/>
    <w:rsid w:val="00B02E37"/>
    <w:rsid w:val="00B03812"/>
    <w:rsid w:val="00B03FD1"/>
    <w:rsid w:val="00B054C6"/>
    <w:rsid w:val="00B05855"/>
    <w:rsid w:val="00B06513"/>
    <w:rsid w:val="00B065D1"/>
    <w:rsid w:val="00B065E8"/>
    <w:rsid w:val="00B07870"/>
    <w:rsid w:val="00B100EF"/>
    <w:rsid w:val="00B10B41"/>
    <w:rsid w:val="00B10E63"/>
    <w:rsid w:val="00B1114B"/>
    <w:rsid w:val="00B12E33"/>
    <w:rsid w:val="00B132AE"/>
    <w:rsid w:val="00B157AA"/>
    <w:rsid w:val="00B15C3A"/>
    <w:rsid w:val="00B17E35"/>
    <w:rsid w:val="00B21403"/>
    <w:rsid w:val="00B2161D"/>
    <w:rsid w:val="00B21E6D"/>
    <w:rsid w:val="00B22D6A"/>
    <w:rsid w:val="00B2388D"/>
    <w:rsid w:val="00B2391B"/>
    <w:rsid w:val="00B23DC6"/>
    <w:rsid w:val="00B23E21"/>
    <w:rsid w:val="00B25BA2"/>
    <w:rsid w:val="00B26442"/>
    <w:rsid w:val="00B265D9"/>
    <w:rsid w:val="00B272C9"/>
    <w:rsid w:val="00B300B4"/>
    <w:rsid w:val="00B300D1"/>
    <w:rsid w:val="00B307D1"/>
    <w:rsid w:val="00B30BF1"/>
    <w:rsid w:val="00B30F4B"/>
    <w:rsid w:val="00B3111F"/>
    <w:rsid w:val="00B31C35"/>
    <w:rsid w:val="00B31E02"/>
    <w:rsid w:val="00B328C7"/>
    <w:rsid w:val="00B33161"/>
    <w:rsid w:val="00B33818"/>
    <w:rsid w:val="00B33AB6"/>
    <w:rsid w:val="00B34732"/>
    <w:rsid w:val="00B35E14"/>
    <w:rsid w:val="00B36136"/>
    <w:rsid w:val="00B37730"/>
    <w:rsid w:val="00B40032"/>
    <w:rsid w:val="00B4028E"/>
    <w:rsid w:val="00B40335"/>
    <w:rsid w:val="00B404F2"/>
    <w:rsid w:val="00B41A0C"/>
    <w:rsid w:val="00B432D6"/>
    <w:rsid w:val="00B4394D"/>
    <w:rsid w:val="00B44431"/>
    <w:rsid w:val="00B44464"/>
    <w:rsid w:val="00B4468A"/>
    <w:rsid w:val="00B44DBB"/>
    <w:rsid w:val="00B46AF3"/>
    <w:rsid w:val="00B47CD4"/>
    <w:rsid w:val="00B504DC"/>
    <w:rsid w:val="00B5094B"/>
    <w:rsid w:val="00B50B2C"/>
    <w:rsid w:val="00B5137C"/>
    <w:rsid w:val="00B54051"/>
    <w:rsid w:val="00B54074"/>
    <w:rsid w:val="00B541EA"/>
    <w:rsid w:val="00B55370"/>
    <w:rsid w:val="00B559D5"/>
    <w:rsid w:val="00B559F1"/>
    <w:rsid w:val="00B5629A"/>
    <w:rsid w:val="00B56C9D"/>
    <w:rsid w:val="00B56D2B"/>
    <w:rsid w:val="00B61A8F"/>
    <w:rsid w:val="00B61D31"/>
    <w:rsid w:val="00B6241A"/>
    <w:rsid w:val="00B627CC"/>
    <w:rsid w:val="00B62B6F"/>
    <w:rsid w:val="00B6451A"/>
    <w:rsid w:val="00B65480"/>
    <w:rsid w:val="00B65982"/>
    <w:rsid w:val="00B65AC7"/>
    <w:rsid w:val="00B674EB"/>
    <w:rsid w:val="00B67727"/>
    <w:rsid w:val="00B67CA7"/>
    <w:rsid w:val="00B67D28"/>
    <w:rsid w:val="00B711A4"/>
    <w:rsid w:val="00B715B4"/>
    <w:rsid w:val="00B720CE"/>
    <w:rsid w:val="00B72237"/>
    <w:rsid w:val="00B7293D"/>
    <w:rsid w:val="00B73383"/>
    <w:rsid w:val="00B73B65"/>
    <w:rsid w:val="00B74832"/>
    <w:rsid w:val="00B75888"/>
    <w:rsid w:val="00B7664E"/>
    <w:rsid w:val="00B76792"/>
    <w:rsid w:val="00B76B5B"/>
    <w:rsid w:val="00B76BB1"/>
    <w:rsid w:val="00B80DDC"/>
    <w:rsid w:val="00B80F03"/>
    <w:rsid w:val="00B81494"/>
    <w:rsid w:val="00B8256C"/>
    <w:rsid w:val="00B83EAD"/>
    <w:rsid w:val="00B85349"/>
    <w:rsid w:val="00B8586F"/>
    <w:rsid w:val="00B8765F"/>
    <w:rsid w:val="00B8777A"/>
    <w:rsid w:val="00B87E29"/>
    <w:rsid w:val="00B912EA"/>
    <w:rsid w:val="00B92520"/>
    <w:rsid w:val="00B93D1A"/>
    <w:rsid w:val="00B942D5"/>
    <w:rsid w:val="00B94760"/>
    <w:rsid w:val="00B9486E"/>
    <w:rsid w:val="00B948BA"/>
    <w:rsid w:val="00B9496E"/>
    <w:rsid w:val="00B94EC5"/>
    <w:rsid w:val="00B94F65"/>
    <w:rsid w:val="00B95655"/>
    <w:rsid w:val="00B969F7"/>
    <w:rsid w:val="00B96CED"/>
    <w:rsid w:val="00B975E4"/>
    <w:rsid w:val="00BA01C8"/>
    <w:rsid w:val="00BA27AD"/>
    <w:rsid w:val="00BA3FA5"/>
    <w:rsid w:val="00BA45D6"/>
    <w:rsid w:val="00BA4ACC"/>
    <w:rsid w:val="00BA534F"/>
    <w:rsid w:val="00BA5E45"/>
    <w:rsid w:val="00BA6716"/>
    <w:rsid w:val="00BB09B7"/>
    <w:rsid w:val="00BB0B72"/>
    <w:rsid w:val="00BB0F55"/>
    <w:rsid w:val="00BB1113"/>
    <w:rsid w:val="00BB1E30"/>
    <w:rsid w:val="00BB2912"/>
    <w:rsid w:val="00BB5119"/>
    <w:rsid w:val="00BB5A49"/>
    <w:rsid w:val="00BB6629"/>
    <w:rsid w:val="00BB6CFB"/>
    <w:rsid w:val="00BB6DE8"/>
    <w:rsid w:val="00BB7C5B"/>
    <w:rsid w:val="00BC0225"/>
    <w:rsid w:val="00BC07DB"/>
    <w:rsid w:val="00BC1E96"/>
    <w:rsid w:val="00BC2870"/>
    <w:rsid w:val="00BC2CA2"/>
    <w:rsid w:val="00BC34E0"/>
    <w:rsid w:val="00BC3F2F"/>
    <w:rsid w:val="00BC4C72"/>
    <w:rsid w:val="00BC712B"/>
    <w:rsid w:val="00BC71EF"/>
    <w:rsid w:val="00BC76B6"/>
    <w:rsid w:val="00BD03A5"/>
    <w:rsid w:val="00BD1A26"/>
    <w:rsid w:val="00BD473A"/>
    <w:rsid w:val="00BD4B9E"/>
    <w:rsid w:val="00BD547B"/>
    <w:rsid w:val="00BD5C18"/>
    <w:rsid w:val="00BD6E69"/>
    <w:rsid w:val="00BD70A3"/>
    <w:rsid w:val="00BD794B"/>
    <w:rsid w:val="00BE09F8"/>
    <w:rsid w:val="00BE0DFD"/>
    <w:rsid w:val="00BE1199"/>
    <w:rsid w:val="00BE42C3"/>
    <w:rsid w:val="00BE4447"/>
    <w:rsid w:val="00BE58E2"/>
    <w:rsid w:val="00BE6E49"/>
    <w:rsid w:val="00BE7764"/>
    <w:rsid w:val="00BF0573"/>
    <w:rsid w:val="00BF1892"/>
    <w:rsid w:val="00BF1A17"/>
    <w:rsid w:val="00BF297B"/>
    <w:rsid w:val="00BF4463"/>
    <w:rsid w:val="00BF6847"/>
    <w:rsid w:val="00BF7319"/>
    <w:rsid w:val="00C00CB6"/>
    <w:rsid w:val="00C00FB3"/>
    <w:rsid w:val="00C0107C"/>
    <w:rsid w:val="00C010E2"/>
    <w:rsid w:val="00C03410"/>
    <w:rsid w:val="00C03B9A"/>
    <w:rsid w:val="00C03BCA"/>
    <w:rsid w:val="00C050CA"/>
    <w:rsid w:val="00C056DF"/>
    <w:rsid w:val="00C05739"/>
    <w:rsid w:val="00C05A18"/>
    <w:rsid w:val="00C0601F"/>
    <w:rsid w:val="00C06558"/>
    <w:rsid w:val="00C06BEE"/>
    <w:rsid w:val="00C076C0"/>
    <w:rsid w:val="00C108D3"/>
    <w:rsid w:val="00C1117A"/>
    <w:rsid w:val="00C11479"/>
    <w:rsid w:val="00C1206A"/>
    <w:rsid w:val="00C122FB"/>
    <w:rsid w:val="00C12360"/>
    <w:rsid w:val="00C13DE6"/>
    <w:rsid w:val="00C14476"/>
    <w:rsid w:val="00C1489C"/>
    <w:rsid w:val="00C17665"/>
    <w:rsid w:val="00C177FF"/>
    <w:rsid w:val="00C17A72"/>
    <w:rsid w:val="00C2112B"/>
    <w:rsid w:val="00C21817"/>
    <w:rsid w:val="00C21BDB"/>
    <w:rsid w:val="00C22E24"/>
    <w:rsid w:val="00C23374"/>
    <w:rsid w:val="00C24B0D"/>
    <w:rsid w:val="00C24D4D"/>
    <w:rsid w:val="00C257B7"/>
    <w:rsid w:val="00C2598E"/>
    <w:rsid w:val="00C2615F"/>
    <w:rsid w:val="00C26591"/>
    <w:rsid w:val="00C26638"/>
    <w:rsid w:val="00C26817"/>
    <w:rsid w:val="00C26E91"/>
    <w:rsid w:val="00C27446"/>
    <w:rsid w:val="00C31316"/>
    <w:rsid w:val="00C31382"/>
    <w:rsid w:val="00C3193A"/>
    <w:rsid w:val="00C33BD8"/>
    <w:rsid w:val="00C341A5"/>
    <w:rsid w:val="00C34743"/>
    <w:rsid w:val="00C3594F"/>
    <w:rsid w:val="00C36CA1"/>
    <w:rsid w:val="00C36E8A"/>
    <w:rsid w:val="00C40569"/>
    <w:rsid w:val="00C413D7"/>
    <w:rsid w:val="00C41E52"/>
    <w:rsid w:val="00C424DC"/>
    <w:rsid w:val="00C43F32"/>
    <w:rsid w:val="00C4448B"/>
    <w:rsid w:val="00C44EB7"/>
    <w:rsid w:val="00C45488"/>
    <w:rsid w:val="00C45518"/>
    <w:rsid w:val="00C45AAE"/>
    <w:rsid w:val="00C45C12"/>
    <w:rsid w:val="00C46C0F"/>
    <w:rsid w:val="00C47D8E"/>
    <w:rsid w:val="00C519CA"/>
    <w:rsid w:val="00C53D10"/>
    <w:rsid w:val="00C5439D"/>
    <w:rsid w:val="00C5481C"/>
    <w:rsid w:val="00C54B97"/>
    <w:rsid w:val="00C54D7C"/>
    <w:rsid w:val="00C55D0B"/>
    <w:rsid w:val="00C60601"/>
    <w:rsid w:val="00C60E3C"/>
    <w:rsid w:val="00C6127A"/>
    <w:rsid w:val="00C621DD"/>
    <w:rsid w:val="00C63AFF"/>
    <w:rsid w:val="00C64488"/>
    <w:rsid w:val="00C644AF"/>
    <w:rsid w:val="00C64EFE"/>
    <w:rsid w:val="00C65AAD"/>
    <w:rsid w:val="00C65E31"/>
    <w:rsid w:val="00C678BA"/>
    <w:rsid w:val="00C70285"/>
    <w:rsid w:val="00C707F4"/>
    <w:rsid w:val="00C70883"/>
    <w:rsid w:val="00C70E30"/>
    <w:rsid w:val="00C718E7"/>
    <w:rsid w:val="00C71BEC"/>
    <w:rsid w:val="00C71F9D"/>
    <w:rsid w:val="00C72615"/>
    <w:rsid w:val="00C72F56"/>
    <w:rsid w:val="00C7372A"/>
    <w:rsid w:val="00C73DEA"/>
    <w:rsid w:val="00C740A1"/>
    <w:rsid w:val="00C74D73"/>
    <w:rsid w:val="00C76328"/>
    <w:rsid w:val="00C76587"/>
    <w:rsid w:val="00C76D8C"/>
    <w:rsid w:val="00C770F0"/>
    <w:rsid w:val="00C77504"/>
    <w:rsid w:val="00C7778A"/>
    <w:rsid w:val="00C80040"/>
    <w:rsid w:val="00C8004C"/>
    <w:rsid w:val="00C81687"/>
    <w:rsid w:val="00C8173E"/>
    <w:rsid w:val="00C81AEA"/>
    <w:rsid w:val="00C825C9"/>
    <w:rsid w:val="00C827BE"/>
    <w:rsid w:val="00C830E6"/>
    <w:rsid w:val="00C843A3"/>
    <w:rsid w:val="00C846F7"/>
    <w:rsid w:val="00C858DE"/>
    <w:rsid w:val="00C8626A"/>
    <w:rsid w:val="00C864D2"/>
    <w:rsid w:val="00C868D5"/>
    <w:rsid w:val="00C86E49"/>
    <w:rsid w:val="00C905DC"/>
    <w:rsid w:val="00C91394"/>
    <w:rsid w:val="00C9168A"/>
    <w:rsid w:val="00C916F2"/>
    <w:rsid w:val="00C91824"/>
    <w:rsid w:val="00C9188D"/>
    <w:rsid w:val="00C9192E"/>
    <w:rsid w:val="00C92C9F"/>
    <w:rsid w:val="00C932E6"/>
    <w:rsid w:val="00C9360E"/>
    <w:rsid w:val="00C94712"/>
    <w:rsid w:val="00C957F9"/>
    <w:rsid w:val="00C96C32"/>
    <w:rsid w:val="00C96C9D"/>
    <w:rsid w:val="00C96DB1"/>
    <w:rsid w:val="00CA0549"/>
    <w:rsid w:val="00CA08BA"/>
    <w:rsid w:val="00CA1CB3"/>
    <w:rsid w:val="00CA21C7"/>
    <w:rsid w:val="00CA2B51"/>
    <w:rsid w:val="00CA2CA2"/>
    <w:rsid w:val="00CA3CE5"/>
    <w:rsid w:val="00CA48BE"/>
    <w:rsid w:val="00CA5B9A"/>
    <w:rsid w:val="00CA72AB"/>
    <w:rsid w:val="00CB062F"/>
    <w:rsid w:val="00CB065F"/>
    <w:rsid w:val="00CB1650"/>
    <w:rsid w:val="00CB2098"/>
    <w:rsid w:val="00CB2C6B"/>
    <w:rsid w:val="00CB33B9"/>
    <w:rsid w:val="00CB4179"/>
    <w:rsid w:val="00CB4212"/>
    <w:rsid w:val="00CB4F97"/>
    <w:rsid w:val="00CB58CC"/>
    <w:rsid w:val="00CB5A28"/>
    <w:rsid w:val="00CB5C0A"/>
    <w:rsid w:val="00CB6C31"/>
    <w:rsid w:val="00CB6C54"/>
    <w:rsid w:val="00CC1E37"/>
    <w:rsid w:val="00CC388A"/>
    <w:rsid w:val="00CC4C3E"/>
    <w:rsid w:val="00CC5479"/>
    <w:rsid w:val="00CC579F"/>
    <w:rsid w:val="00CC5C83"/>
    <w:rsid w:val="00CC789B"/>
    <w:rsid w:val="00CD0A7D"/>
    <w:rsid w:val="00CD3F40"/>
    <w:rsid w:val="00CD4E44"/>
    <w:rsid w:val="00CD5668"/>
    <w:rsid w:val="00CD56F9"/>
    <w:rsid w:val="00CD5744"/>
    <w:rsid w:val="00CD5919"/>
    <w:rsid w:val="00CD5A0C"/>
    <w:rsid w:val="00CD6211"/>
    <w:rsid w:val="00CD641E"/>
    <w:rsid w:val="00CD6EEE"/>
    <w:rsid w:val="00CD6FEA"/>
    <w:rsid w:val="00CD73D6"/>
    <w:rsid w:val="00CE06D4"/>
    <w:rsid w:val="00CE0D88"/>
    <w:rsid w:val="00CE0E91"/>
    <w:rsid w:val="00CE14A8"/>
    <w:rsid w:val="00CE2ADC"/>
    <w:rsid w:val="00CE2C40"/>
    <w:rsid w:val="00CE3E67"/>
    <w:rsid w:val="00CE4E3C"/>
    <w:rsid w:val="00CE549D"/>
    <w:rsid w:val="00CE6341"/>
    <w:rsid w:val="00CE7B34"/>
    <w:rsid w:val="00CF0D9F"/>
    <w:rsid w:val="00CF1692"/>
    <w:rsid w:val="00CF1FAD"/>
    <w:rsid w:val="00CF20BD"/>
    <w:rsid w:val="00CF291A"/>
    <w:rsid w:val="00CF45FA"/>
    <w:rsid w:val="00CF4C43"/>
    <w:rsid w:val="00CF674E"/>
    <w:rsid w:val="00CF6CE7"/>
    <w:rsid w:val="00CF6F2C"/>
    <w:rsid w:val="00D0011D"/>
    <w:rsid w:val="00D00B77"/>
    <w:rsid w:val="00D01E18"/>
    <w:rsid w:val="00D02EAF"/>
    <w:rsid w:val="00D04A12"/>
    <w:rsid w:val="00D06971"/>
    <w:rsid w:val="00D07573"/>
    <w:rsid w:val="00D0792D"/>
    <w:rsid w:val="00D1022A"/>
    <w:rsid w:val="00D106EA"/>
    <w:rsid w:val="00D10B80"/>
    <w:rsid w:val="00D11129"/>
    <w:rsid w:val="00D113E7"/>
    <w:rsid w:val="00D11510"/>
    <w:rsid w:val="00D11660"/>
    <w:rsid w:val="00D124E5"/>
    <w:rsid w:val="00D137B9"/>
    <w:rsid w:val="00D1385F"/>
    <w:rsid w:val="00D13CA5"/>
    <w:rsid w:val="00D142A9"/>
    <w:rsid w:val="00D14387"/>
    <w:rsid w:val="00D148EC"/>
    <w:rsid w:val="00D14C5E"/>
    <w:rsid w:val="00D15420"/>
    <w:rsid w:val="00D1547F"/>
    <w:rsid w:val="00D15AA0"/>
    <w:rsid w:val="00D17DD6"/>
    <w:rsid w:val="00D2040E"/>
    <w:rsid w:val="00D2101D"/>
    <w:rsid w:val="00D215E5"/>
    <w:rsid w:val="00D2194F"/>
    <w:rsid w:val="00D22F49"/>
    <w:rsid w:val="00D2451C"/>
    <w:rsid w:val="00D24AF3"/>
    <w:rsid w:val="00D25325"/>
    <w:rsid w:val="00D25750"/>
    <w:rsid w:val="00D27A3B"/>
    <w:rsid w:val="00D3088F"/>
    <w:rsid w:val="00D30E2B"/>
    <w:rsid w:val="00D32016"/>
    <w:rsid w:val="00D32531"/>
    <w:rsid w:val="00D35F69"/>
    <w:rsid w:val="00D37063"/>
    <w:rsid w:val="00D40170"/>
    <w:rsid w:val="00D40532"/>
    <w:rsid w:val="00D4090E"/>
    <w:rsid w:val="00D44EE1"/>
    <w:rsid w:val="00D46B72"/>
    <w:rsid w:val="00D50CEC"/>
    <w:rsid w:val="00D52590"/>
    <w:rsid w:val="00D5265C"/>
    <w:rsid w:val="00D53AA1"/>
    <w:rsid w:val="00D54A1F"/>
    <w:rsid w:val="00D54FC3"/>
    <w:rsid w:val="00D553D3"/>
    <w:rsid w:val="00D55B99"/>
    <w:rsid w:val="00D5666C"/>
    <w:rsid w:val="00D56E28"/>
    <w:rsid w:val="00D56ECF"/>
    <w:rsid w:val="00D609B2"/>
    <w:rsid w:val="00D60ED4"/>
    <w:rsid w:val="00D617CD"/>
    <w:rsid w:val="00D624CB"/>
    <w:rsid w:val="00D62CDE"/>
    <w:rsid w:val="00D63685"/>
    <w:rsid w:val="00D63ADD"/>
    <w:rsid w:val="00D63F2E"/>
    <w:rsid w:val="00D64DCD"/>
    <w:rsid w:val="00D6666A"/>
    <w:rsid w:val="00D671E7"/>
    <w:rsid w:val="00D674EE"/>
    <w:rsid w:val="00D70634"/>
    <w:rsid w:val="00D707A9"/>
    <w:rsid w:val="00D7085A"/>
    <w:rsid w:val="00D70B48"/>
    <w:rsid w:val="00D71694"/>
    <w:rsid w:val="00D72B73"/>
    <w:rsid w:val="00D733E0"/>
    <w:rsid w:val="00D7388C"/>
    <w:rsid w:val="00D741D9"/>
    <w:rsid w:val="00D7474C"/>
    <w:rsid w:val="00D75985"/>
    <w:rsid w:val="00D76BB5"/>
    <w:rsid w:val="00D76D2D"/>
    <w:rsid w:val="00D76E13"/>
    <w:rsid w:val="00D77EA1"/>
    <w:rsid w:val="00D8013D"/>
    <w:rsid w:val="00D80DE7"/>
    <w:rsid w:val="00D80FCA"/>
    <w:rsid w:val="00D813E8"/>
    <w:rsid w:val="00D81694"/>
    <w:rsid w:val="00D81CFC"/>
    <w:rsid w:val="00D81DCE"/>
    <w:rsid w:val="00D826EB"/>
    <w:rsid w:val="00D836D1"/>
    <w:rsid w:val="00D8386B"/>
    <w:rsid w:val="00D8447E"/>
    <w:rsid w:val="00D847B5"/>
    <w:rsid w:val="00D85217"/>
    <w:rsid w:val="00D85DEF"/>
    <w:rsid w:val="00D87580"/>
    <w:rsid w:val="00D87D31"/>
    <w:rsid w:val="00D90D59"/>
    <w:rsid w:val="00D91C6E"/>
    <w:rsid w:val="00D92C3B"/>
    <w:rsid w:val="00D92DB3"/>
    <w:rsid w:val="00D92EAD"/>
    <w:rsid w:val="00D9327A"/>
    <w:rsid w:val="00D95C93"/>
    <w:rsid w:val="00D970DB"/>
    <w:rsid w:val="00D97113"/>
    <w:rsid w:val="00D97189"/>
    <w:rsid w:val="00D9750A"/>
    <w:rsid w:val="00DA0B1B"/>
    <w:rsid w:val="00DA10AC"/>
    <w:rsid w:val="00DA1693"/>
    <w:rsid w:val="00DA21A6"/>
    <w:rsid w:val="00DA2797"/>
    <w:rsid w:val="00DA2B23"/>
    <w:rsid w:val="00DA310F"/>
    <w:rsid w:val="00DA318A"/>
    <w:rsid w:val="00DA3A33"/>
    <w:rsid w:val="00DA49BC"/>
    <w:rsid w:val="00DA6684"/>
    <w:rsid w:val="00DA67D9"/>
    <w:rsid w:val="00DA7A86"/>
    <w:rsid w:val="00DA7CA1"/>
    <w:rsid w:val="00DB07E4"/>
    <w:rsid w:val="00DB0F38"/>
    <w:rsid w:val="00DB1964"/>
    <w:rsid w:val="00DB22F9"/>
    <w:rsid w:val="00DB29DB"/>
    <w:rsid w:val="00DB3088"/>
    <w:rsid w:val="00DB3D90"/>
    <w:rsid w:val="00DB6706"/>
    <w:rsid w:val="00DB6BA1"/>
    <w:rsid w:val="00DB7E77"/>
    <w:rsid w:val="00DC08ED"/>
    <w:rsid w:val="00DC0AEE"/>
    <w:rsid w:val="00DC0C58"/>
    <w:rsid w:val="00DC17B1"/>
    <w:rsid w:val="00DC17D5"/>
    <w:rsid w:val="00DC2D53"/>
    <w:rsid w:val="00DC34B8"/>
    <w:rsid w:val="00DC4041"/>
    <w:rsid w:val="00DC512C"/>
    <w:rsid w:val="00DC546E"/>
    <w:rsid w:val="00DC7181"/>
    <w:rsid w:val="00DC72FF"/>
    <w:rsid w:val="00DC7FC8"/>
    <w:rsid w:val="00DD1764"/>
    <w:rsid w:val="00DD2BD9"/>
    <w:rsid w:val="00DD3514"/>
    <w:rsid w:val="00DD3617"/>
    <w:rsid w:val="00DD37CB"/>
    <w:rsid w:val="00DD4420"/>
    <w:rsid w:val="00DD4CAD"/>
    <w:rsid w:val="00DD5933"/>
    <w:rsid w:val="00DD6637"/>
    <w:rsid w:val="00DD682E"/>
    <w:rsid w:val="00DD6DA9"/>
    <w:rsid w:val="00DD70EA"/>
    <w:rsid w:val="00DE0990"/>
    <w:rsid w:val="00DE0D40"/>
    <w:rsid w:val="00DE197D"/>
    <w:rsid w:val="00DE2D9E"/>
    <w:rsid w:val="00DE35A7"/>
    <w:rsid w:val="00DE3E6F"/>
    <w:rsid w:val="00DE4218"/>
    <w:rsid w:val="00DE5549"/>
    <w:rsid w:val="00DE6A04"/>
    <w:rsid w:val="00DE715A"/>
    <w:rsid w:val="00DF0AF7"/>
    <w:rsid w:val="00DF1309"/>
    <w:rsid w:val="00DF1762"/>
    <w:rsid w:val="00DF2693"/>
    <w:rsid w:val="00DF3651"/>
    <w:rsid w:val="00DF37FA"/>
    <w:rsid w:val="00DF38B0"/>
    <w:rsid w:val="00DF57FB"/>
    <w:rsid w:val="00DF5D6B"/>
    <w:rsid w:val="00DF5E6E"/>
    <w:rsid w:val="00DF6B2B"/>
    <w:rsid w:val="00DF7171"/>
    <w:rsid w:val="00DF7837"/>
    <w:rsid w:val="00E01910"/>
    <w:rsid w:val="00E01B50"/>
    <w:rsid w:val="00E02301"/>
    <w:rsid w:val="00E026B1"/>
    <w:rsid w:val="00E02C17"/>
    <w:rsid w:val="00E03B93"/>
    <w:rsid w:val="00E04183"/>
    <w:rsid w:val="00E04237"/>
    <w:rsid w:val="00E043E0"/>
    <w:rsid w:val="00E04E00"/>
    <w:rsid w:val="00E05F0D"/>
    <w:rsid w:val="00E0672D"/>
    <w:rsid w:val="00E100F8"/>
    <w:rsid w:val="00E10464"/>
    <w:rsid w:val="00E11D7B"/>
    <w:rsid w:val="00E11DF2"/>
    <w:rsid w:val="00E126BF"/>
    <w:rsid w:val="00E1322A"/>
    <w:rsid w:val="00E14360"/>
    <w:rsid w:val="00E1551B"/>
    <w:rsid w:val="00E1605C"/>
    <w:rsid w:val="00E161C9"/>
    <w:rsid w:val="00E16893"/>
    <w:rsid w:val="00E17414"/>
    <w:rsid w:val="00E204EE"/>
    <w:rsid w:val="00E2121B"/>
    <w:rsid w:val="00E2185C"/>
    <w:rsid w:val="00E21D69"/>
    <w:rsid w:val="00E21E7C"/>
    <w:rsid w:val="00E22B6F"/>
    <w:rsid w:val="00E22CF8"/>
    <w:rsid w:val="00E23610"/>
    <w:rsid w:val="00E24B91"/>
    <w:rsid w:val="00E251D3"/>
    <w:rsid w:val="00E25291"/>
    <w:rsid w:val="00E252CB"/>
    <w:rsid w:val="00E25F3F"/>
    <w:rsid w:val="00E27B1E"/>
    <w:rsid w:val="00E307BD"/>
    <w:rsid w:val="00E316E3"/>
    <w:rsid w:val="00E328E3"/>
    <w:rsid w:val="00E32989"/>
    <w:rsid w:val="00E32D90"/>
    <w:rsid w:val="00E33C51"/>
    <w:rsid w:val="00E3536E"/>
    <w:rsid w:val="00E35DFC"/>
    <w:rsid w:val="00E36FAA"/>
    <w:rsid w:val="00E40D51"/>
    <w:rsid w:val="00E40E4D"/>
    <w:rsid w:val="00E42217"/>
    <w:rsid w:val="00E438D8"/>
    <w:rsid w:val="00E43B94"/>
    <w:rsid w:val="00E43EB2"/>
    <w:rsid w:val="00E4436B"/>
    <w:rsid w:val="00E448A2"/>
    <w:rsid w:val="00E44DA0"/>
    <w:rsid w:val="00E45691"/>
    <w:rsid w:val="00E46D4F"/>
    <w:rsid w:val="00E472CC"/>
    <w:rsid w:val="00E5043D"/>
    <w:rsid w:val="00E51C16"/>
    <w:rsid w:val="00E521BF"/>
    <w:rsid w:val="00E53DE8"/>
    <w:rsid w:val="00E5513D"/>
    <w:rsid w:val="00E5526F"/>
    <w:rsid w:val="00E55871"/>
    <w:rsid w:val="00E562FA"/>
    <w:rsid w:val="00E56C26"/>
    <w:rsid w:val="00E574A6"/>
    <w:rsid w:val="00E600A5"/>
    <w:rsid w:val="00E623F9"/>
    <w:rsid w:val="00E64457"/>
    <w:rsid w:val="00E65B22"/>
    <w:rsid w:val="00E65D51"/>
    <w:rsid w:val="00E662BF"/>
    <w:rsid w:val="00E663C3"/>
    <w:rsid w:val="00E665FB"/>
    <w:rsid w:val="00E67045"/>
    <w:rsid w:val="00E6741E"/>
    <w:rsid w:val="00E6753D"/>
    <w:rsid w:val="00E67F3F"/>
    <w:rsid w:val="00E708A2"/>
    <w:rsid w:val="00E70916"/>
    <w:rsid w:val="00E7163A"/>
    <w:rsid w:val="00E72B63"/>
    <w:rsid w:val="00E730E3"/>
    <w:rsid w:val="00E738E5"/>
    <w:rsid w:val="00E74078"/>
    <w:rsid w:val="00E747D9"/>
    <w:rsid w:val="00E753B5"/>
    <w:rsid w:val="00E75E75"/>
    <w:rsid w:val="00E80587"/>
    <w:rsid w:val="00E826C2"/>
    <w:rsid w:val="00E827B1"/>
    <w:rsid w:val="00E83ED3"/>
    <w:rsid w:val="00E8476B"/>
    <w:rsid w:val="00E857FD"/>
    <w:rsid w:val="00E8668E"/>
    <w:rsid w:val="00E867B1"/>
    <w:rsid w:val="00E86C64"/>
    <w:rsid w:val="00E87916"/>
    <w:rsid w:val="00E908B7"/>
    <w:rsid w:val="00E91BB1"/>
    <w:rsid w:val="00E91BC6"/>
    <w:rsid w:val="00E9298E"/>
    <w:rsid w:val="00E93061"/>
    <w:rsid w:val="00E9376B"/>
    <w:rsid w:val="00E94409"/>
    <w:rsid w:val="00E951FA"/>
    <w:rsid w:val="00E95F18"/>
    <w:rsid w:val="00E976E2"/>
    <w:rsid w:val="00E97810"/>
    <w:rsid w:val="00EA0EBD"/>
    <w:rsid w:val="00EA0ED1"/>
    <w:rsid w:val="00EA12B5"/>
    <w:rsid w:val="00EA18E3"/>
    <w:rsid w:val="00EA1CF8"/>
    <w:rsid w:val="00EA1DB0"/>
    <w:rsid w:val="00EA2126"/>
    <w:rsid w:val="00EA26F0"/>
    <w:rsid w:val="00EA2B36"/>
    <w:rsid w:val="00EA3E5D"/>
    <w:rsid w:val="00EA6349"/>
    <w:rsid w:val="00EB1C0D"/>
    <w:rsid w:val="00EB1C49"/>
    <w:rsid w:val="00EB2120"/>
    <w:rsid w:val="00EB225C"/>
    <w:rsid w:val="00EB263D"/>
    <w:rsid w:val="00EB35DC"/>
    <w:rsid w:val="00EB35E0"/>
    <w:rsid w:val="00EB44F4"/>
    <w:rsid w:val="00EB4EAE"/>
    <w:rsid w:val="00EB5876"/>
    <w:rsid w:val="00EB7BB7"/>
    <w:rsid w:val="00EC0B39"/>
    <w:rsid w:val="00EC23D5"/>
    <w:rsid w:val="00EC298E"/>
    <w:rsid w:val="00EC2B47"/>
    <w:rsid w:val="00EC3A8E"/>
    <w:rsid w:val="00EC4810"/>
    <w:rsid w:val="00EC4B5F"/>
    <w:rsid w:val="00EC6261"/>
    <w:rsid w:val="00EC7BDF"/>
    <w:rsid w:val="00EC7D70"/>
    <w:rsid w:val="00ED035A"/>
    <w:rsid w:val="00ED1F31"/>
    <w:rsid w:val="00ED245E"/>
    <w:rsid w:val="00ED3808"/>
    <w:rsid w:val="00ED3888"/>
    <w:rsid w:val="00ED3A2F"/>
    <w:rsid w:val="00ED3A4F"/>
    <w:rsid w:val="00ED57E2"/>
    <w:rsid w:val="00ED5C86"/>
    <w:rsid w:val="00ED7B7D"/>
    <w:rsid w:val="00ED7EFD"/>
    <w:rsid w:val="00EE008C"/>
    <w:rsid w:val="00EE0625"/>
    <w:rsid w:val="00EE0C9C"/>
    <w:rsid w:val="00EE1214"/>
    <w:rsid w:val="00EE1817"/>
    <w:rsid w:val="00EE1864"/>
    <w:rsid w:val="00EE3740"/>
    <w:rsid w:val="00EE3AA5"/>
    <w:rsid w:val="00EE3CD0"/>
    <w:rsid w:val="00EE436B"/>
    <w:rsid w:val="00EE4814"/>
    <w:rsid w:val="00EE4B00"/>
    <w:rsid w:val="00EE5257"/>
    <w:rsid w:val="00EE5604"/>
    <w:rsid w:val="00EF099B"/>
    <w:rsid w:val="00EF09C0"/>
    <w:rsid w:val="00EF1F4F"/>
    <w:rsid w:val="00EF29DD"/>
    <w:rsid w:val="00EF3691"/>
    <w:rsid w:val="00EF3732"/>
    <w:rsid w:val="00EF45CA"/>
    <w:rsid w:val="00EF4D31"/>
    <w:rsid w:val="00EF733D"/>
    <w:rsid w:val="00EF7564"/>
    <w:rsid w:val="00EF770F"/>
    <w:rsid w:val="00EF7BF9"/>
    <w:rsid w:val="00EF7CCB"/>
    <w:rsid w:val="00F00140"/>
    <w:rsid w:val="00F01753"/>
    <w:rsid w:val="00F028F0"/>
    <w:rsid w:val="00F0291D"/>
    <w:rsid w:val="00F02955"/>
    <w:rsid w:val="00F052AA"/>
    <w:rsid w:val="00F116BD"/>
    <w:rsid w:val="00F11FBC"/>
    <w:rsid w:val="00F13152"/>
    <w:rsid w:val="00F151C9"/>
    <w:rsid w:val="00F152AC"/>
    <w:rsid w:val="00F15BD5"/>
    <w:rsid w:val="00F17821"/>
    <w:rsid w:val="00F20C2D"/>
    <w:rsid w:val="00F2150B"/>
    <w:rsid w:val="00F22761"/>
    <w:rsid w:val="00F23611"/>
    <w:rsid w:val="00F23F42"/>
    <w:rsid w:val="00F24247"/>
    <w:rsid w:val="00F2465F"/>
    <w:rsid w:val="00F24884"/>
    <w:rsid w:val="00F249DD"/>
    <w:rsid w:val="00F25558"/>
    <w:rsid w:val="00F25E2D"/>
    <w:rsid w:val="00F26115"/>
    <w:rsid w:val="00F26F60"/>
    <w:rsid w:val="00F2751F"/>
    <w:rsid w:val="00F3021E"/>
    <w:rsid w:val="00F3024E"/>
    <w:rsid w:val="00F303CE"/>
    <w:rsid w:val="00F30770"/>
    <w:rsid w:val="00F30BB2"/>
    <w:rsid w:val="00F32081"/>
    <w:rsid w:val="00F3270B"/>
    <w:rsid w:val="00F32CB6"/>
    <w:rsid w:val="00F32EDD"/>
    <w:rsid w:val="00F33006"/>
    <w:rsid w:val="00F331C0"/>
    <w:rsid w:val="00F33CD0"/>
    <w:rsid w:val="00F3403C"/>
    <w:rsid w:val="00F34C93"/>
    <w:rsid w:val="00F35001"/>
    <w:rsid w:val="00F36666"/>
    <w:rsid w:val="00F37D02"/>
    <w:rsid w:val="00F40770"/>
    <w:rsid w:val="00F40CC4"/>
    <w:rsid w:val="00F4251E"/>
    <w:rsid w:val="00F4269B"/>
    <w:rsid w:val="00F43846"/>
    <w:rsid w:val="00F43B4D"/>
    <w:rsid w:val="00F446A0"/>
    <w:rsid w:val="00F44737"/>
    <w:rsid w:val="00F44FA9"/>
    <w:rsid w:val="00F464E3"/>
    <w:rsid w:val="00F46B16"/>
    <w:rsid w:val="00F47029"/>
    <w:rsid w:val="00F470B1"/>
    <w:rsid w:val="00F50639"/>
    <w:rsid w:val="00F50738"/>
    <w:rsid w:val="00F50890"/>
    <w:rsid w:val="00F51E0D"/>
    <w:rsid w:val="00F543C3"/>
    <w:rsid w:val="00F54A40"/>
    <w:rsid w:val="00F55300"/>
    <w:rsid w:val="00F569D8"/>
    <w:rsid w:val="00F57C7A"/>
    <w:rsid w:val="00F60B06"/>
    <w:rsid w:val="00F60E61"/>
    <w:rsid w:val="00F61AE7"/>
    <w:rsid w:val="00F62AB9"/>
    <w:rsid w:val="00F63E25"/>
    <w:rsid w:val="00F65123"/>
    <w:rsid w:val="00F66A6E"/>
    <w:rsid w:val="00F6732C"/>
    <w:rsid w:val="00F6740C"/>
    <w:rsid w:val="00F67487"/>
    <w:rsid w:val="00F67F5D"/>
    <w:rsid w:val="00F708DA"/>
    <w:rsid w:val="00F72742"/>
    <w:rsid w:val="00F72E24"/>
    <w:rsid w:val="00F72E7D"/>
    <w:rsid w:val="00F732BE"/>
    <w:rsid w:val="00F7337A"/>
    <w:rsid w:val="00F737C1"/>
    <w:rsid w:val="00F745D3"/>
    <w:rsid w:val="00F748E9"/>
    <w:rsid w:val="00F74DFB"/>
    <w:rsid w:val="00F75682"/>
    <w:rsid w:val="00F7692D"/>
    <w:rsid w:val="00F76A79"/>
    <w:rsid w:val="00F76FAA"/>
    <w:rsid w:val="00F77F22"/>
    <w:rsid w:val="00F802AC"/>
    <w:rsid w:val="00F80F38"/>
    <w:rsid w:val="00F81235"/>
    <w:rsid w:val="00F812C1"/>
    <w:rsid w:val="00F81938"/>
    <w:rsid w:val="00F826DE"/>
    <w:rsid w:val="00F82788"/>
    <w:rsid w:val="00F838D2"/>
    <w:rsid w:val="00F84EA1"/>
    <w:rsid w:val="00F85012"/>
    <w:rsid w:val="00F855F0"/>
    <w:rsid w:val="00F87857"/>
    <w:rsid w:val="00F87CB9"/>
    <w:rsid w:val="00F87E85"/>
    <w:rsid w:val="00F90345"/>
    <w:rsid w:val="00F90DB2"/>
    <w:rsid w:val="00F9188B"/>
    <w:rsid w:val="00F91AF7"/>
    <w:rsid w:val="00F91F4F"/>
    <w:rsid w:val="00F92167"/>
    <w:rsid w:val="00F93C25"/>
    <w:rsid w:val="00F962C6"/>
    <w:rsid w:val="00F963DA"/>
    <w:rsid w:val="00F967D7"/>
    <w:rsid w:val="00F97123"/>
    <w:rsid w:val="00F9769E"/>
    <w:rsid w:val="00F97E7B"/>
    <w:rsid w:val="00F97EB9"/>
    <w:rsid w:val="00FA050B"/>
    <w:rsid w:val="00FA0A16"/>
    <w:rsid w:val="00FA1B43"/>
    <w:rsid w:val="00FA1D9D"/>
    <w:rsid w:val="00FA3112"/>
    <w:rsid w:val="00FA359E"/>
    <w:rsid w:val="00FA3E5F"/>
    <w:rsid w:val="00FA3FEE"/>
    <w:rsid w:val="00FA5586"/>
    <w:rsid w:val="00FA64CF"/>
    <w:rsid w:val="00FB0697"/>
    <w:rsid w:val="00FB3FE6"/>
    <w:rsid w:val="00FB44CF"/>
    <w:rsid w:val="00FB467F"/>
    <w:rsid w:val="00FB4BF3"/>
    <w:rsid w:val="00FB4C41"/>
    <w:rsid w:val="00FB5623"/>
    <w:rsid w:val="00FB7DF2"/>
    <w:rsid w:val="00FC0EE4"/>
    <w:rsid w:val="00FC1033"/>
    <w:rsid w:val="00FC2AA1"/>
    <w:rsid w:val="00FC3D51"/>
    <w:rsid w:val="00FC4669"/>
    <w:rsid w:val="00FC46C1"/>
    <w:rsid w:val="00FC4DD6"/>
    <w:rsid w:val="00FC6302"/>
    <w:rsid w:val="00FC6BD2"/>
    <w:rsid w:val="00FC6EFE"/>
    <w:rsid w:val="00FC6F19"/>
    <w:rsid w:val="00FC6FCA"/>
    <w:rsid w:val="00FC71E1"/>
    <w:rsid w:val="00FC74B0"/>
    <w:rsid w:val="00FC7BAC"/>
    <w:rsid w:val="00FC7E01"/>
    <w:rsid w:val="00FD0A18"/>
    <w:rsid w:val="00FD10BB"/>
    <w:rsid w:val="00FD18DA"/>
    <w:rsid w:val="00FD1D81"/>
    <w:rsid w:val="00FD232F"/>
    <w:rsid w:val="00FD2530"/>
    <w:rsid w:val="00FD330C"/>
    <w:rsid w:val="00FD3639"/>
    <w:rsid w:val="00FD3DAE"/>
    <w:rsid w:val="00FD4954"/>
    <w:rsid w:val="00FD56DD"/>
    <w:rsid w:val="00FD5F6A"/>
    <w:rsid w:val="00FD6AEC"/>
    <w:rsid w:val="00FD6D88"/>
    <w:rsid w:val="00FE097A"/>
    <w:rsid w:val="00FE130B"/>
    <w:rsid w:val="00FE4AD3"/>
    <w:rsid w:val="00FE5BC2"/>
    <w:rsid w:val="00FE6007"/>
    <w:rsid w:val="00FE6513"/>
    <w:rsid w:val="00FE7219"/>
    <w:rsid w:val="00FF0C93"/>
    <w:rsid w:val="00FF2DBA"/>
    <w:rsid w:val="00FF3135"/>
    <w:rsid w:val="00FF3AB4"/>
    <w:rsid w:val="00FF3B3A"/>
    <w:rsid w:val="00FF4655"/>
    <w:rsid w:val="00FF5F87"/>
    <w:rsid w:val="00FF61A0"/>
    <w:rsid w:val="00FF6E21"/>
    <w:rsid w:val="0136121E"/>
    <w:rsid w:val="013B2EA8"/>
    <w:rsid w:val="01D52F39"/>
    <w:rsid w:val="0221018B"/>
    <w:rsid w:val="02770A46"/>
    <w:rsid w:val="042C5E3A"/>
    <w:rsid w:val="046F12CD"/>
    <w:rsid w:val="047148D6"/>
    <w:rsid w:val="048C00D7"/>
    <w:rsid w:val="049025DD"/>
    <w:rsid w:val="067760A5"/>
    <w:rsid w:val="072906C3"/>
    <w:rsid w:val="083C2D2C"/>
    <w:rsid w:val="08C16FD4"/>
    <w:rsid w:val="08E053FE"/>
    <w:rsid w:val="08E445E3"/>
    <w:rsid w:val="08F46BFB"/>
    <w:rsid w:val="092976AD"/>
    <w:rsid w:val="09A326B0"/>
    <w:rsid w:val="0C305F46"/>
    <w:rsid w:val="0CF27C78"/>
    <w:rsid w:val="0D1D5519"/>
    <w:rsid w:val="0DC63710"/>
    <w:rsid w:val="0EDA2D83"/>
    <w:rsid w:val="0FA53A26"/>
    <w:rsid w:val="10F644FB"/>
    <w:rsid w:val="10F70784"/>
    <w:rsid w:val="11440338"/>
    <w:rsid w:val="116E67E3"/>
    <w:rsid w:val="11847817"/>
    <w:rsid w:val="118E0BAA"/>
    <w:rsid w:val="11CB2534"/>
    <w:rsid w:val="11D36FBC"/>
    <w:rsid w:val="12C30E76"/>
    <w:rsid w:val="13765176"/>
    <w:rsid w:val="14896CDA"/>
    <w:rsid w:val="148E0476"/>
    <w:rsid w:val="15560522"/>
    <w:rsid w:val="16643E9A"/>
    <w:rsid w:val="17361B0E"/>
    <w:rsid w:val="18E91D4D"/>
    <w:rsid w:val="19203989"/>
    <w:rsid w:val="1B2D24D7"/>
    <w:rsid w:val="1B7A18B5"/>
    <w:rsid w:val="1BE20124"/>
    <w:rsid w:val="1D2624F4"/>
    <w:rsid w:val="1D9F0CF3"/>
    <w:rsid w:val="1DC9545A"/>
    <w:rsid w:val="202E5905"/>
    <w:rsid w:val="207475EF"/>
    <w:rsid w:val="20771C1D"/>
    <w:rsid w:val="213A6502"/>
    <w:rsid w:val="21A70410"/>
    <w:rsid w:val="2235500A"/>
    <w:rsid w:val="23424445"/>
    <w:rsid w:val="23EB29D3"/>
    <w:rsid w:val="25107C45"/>
    <w:rsid w:val="2609701F"/>
    <w:rsid w:val="261C38F9"/>
    <w:rsid w:val="2630474C"/>
    <w:rsid w:val="26B17032"/>
    <w:rsid w:val="28716FE0"/>
    <w:rsid w:val="28D70A0A"/>
    <w:rsid w:val="2A45340C"/>
    <w:rsid w:val="2AB87B35"/>
    <w:rsid w:val="2C423DB0"/>
    <w:rsid w:val="2C6A05C7"/>
    <w:rsid w:val="2F8B451E"/>
    <w:rsid w:val="2F9E4C4E"/>
    <w:rsid w:val="30CE319A"/>
    <w:rsid w:val="32117804"/>
    <w:rsid w:val="322C181B"/>
    <w:rsid w:val="33AA47B6"/>
    <w:rsid w:val="33D0110E"/>
    <w:rsid w:val="340A0651"/>
    <w:rsid w:val="348A75EE"/>
    <w:rsid w:val="351A0C20"/>
    <w:rsid w:val="35201747"/>
    <w:rsid w:val="35BF1696"/>
    <w:rsid w:val="35D31469"/>
    <w:rsid w:val="364C3E88"/>
    <w:rsid w:val="3654444F"/>
    <w:rsid w:val="37541A5E"/>
    <w:rsid w:val="3916028A"/>
    <w:rsid w:val="396E722B"/>
    <w:rsid w:val="3B2E6B03"/>
    <w:rsid w:val="3C67798A"/>
    <w:rsid w:val="3D6570DF"/>
    <w:rsid w:val="3E00293B"/>
    <w:rsid w:val="3E096122"/>
    <w:rsid w:val="3E6413EA"/>
    <w:rsid w:val="3F9C5622"/>
    <w:rsid w:val="3FCE0340"/>
    <w:rsid w:val="40922D93"/>
    <w:rsid w:val="40D2734A"/>
    <w:rsid w:val="41AC152F"/>
    <w:rsid w:val="440A0176"/>
    <w:rsid w:val="4681054B"/>
    <w:rsid w:val="478148C1"/>
    <w:rsid w:val="47C0610D"/>
    <w:rsid w:val="487D3A3F"/>
    <w:rsid w:val="48C47D5E"/>
    <w:rsid w:val="49517A6F"/>
    <w:rsid w:val="4A5C154D"/>
    <w:rsid w:val="4BC23835"/>
    <w:rsid w:val="4C153302"/>
    <w:rsid w:val="4E8D09A8"/>
    <w:rsid w:val="4ED811E3"/>
    <w:rsid w:val="4EFB412B"/>
    <w:rsid w:val="4FB53703"/>
    <w:rsid w:val="502679CC"/>
    <w:rsid w:val="50893DEE"/>
    <w:rsid w:val="51540ED1"/>
    <w:rsid w:val="51B26950"/>
    <w:rsid w:val="51F80BCC"/>
    <w:rsid w:val="5409797D"/>
    <w:rsid w:val="5456580C"/>
    <w:rsid w:val="548F425B"/>
    <w:rsid w:val="559D6259"/>
    <w:rsid w:val="571E0CCD"/>
    <w:rsid w:val="574D1AEA"/>
    <w:rsid w:val="58576347"/>
    <w:rsid w:val="58DF4419"/>
    <w:rsid w:val="59096B5B"/>
    <w:rsid w:val="5AD710BB"/>
    <w:rsid w:val="5B673C82"/>
    <w:rsid w:val="5B966386"/>
    <w:rsid w:val="5C9C550E"/>
    <w:rsid w:val="5CFD1A1B"/>
    <w:rsid w:val="5E712654"/>
    <w:rsid w:val="61C55C74"/>
    <w:rsid w:val="62DF36B1"/>
    <w:rsid w:val="649C7B35"/>
    <w:rsid w:val="64E423F7"/>
    <w:rsid w:val="64E72315"/>
    <w:rsid w:val="65893D35"/>
    <w:rsid w:val="65E275CB"/>
    <w:rsid w:val="66E56662"/>
    <w:rsid w:val="67060E21"/>
    <w:rsid w:val="68771378"/>
    <w:rsid w:val="6AB56621"/>
    <w:rsid w:val="6AB87D02"/>
    <w:rsid w:val="6AC94231"/>
    <w:rsid w:val="6B107004"/>
    <w:rsid w:val="6BEC56C6"/>
    <w:rsid w:val="6C850BDA"/>
    <w:rsid w:val="6DD85AED"/>
    <w:rsid w:val="6E566017"/>
    <w:rsid w:val="6F2D224F"/>
    <w:rsid w:val="6F776278"/>
    <w:rsid w:val="6FE744A2"/>
    <w:rsid w:val="7078079D"/>
    <w:rsid w:val="70942689"/>
    <w:rsid w:val="70AB6D9E"/>
    <w:rsid w:val="70D65803"/>
    <w:rsid w:val="71777E5F"/>
    <w:rsid w:val="71A843AF"/>
    <w:rsid w:val="71C57DCA"/>
    <w:rsid w:val="726F5A25"/>
    <w:rsid w:val="733310AC"/>
    <w:rsid w:val="73457110"/>
    <w:rsid w:val="7370259A"/>
    <w:rsid w:val="742C76D3"/>
    <w:rsid w:val="75A7479B"/>
    <w:rsid w:val="76A155B0"/>
    <w:rsid w:val="76C922EE"/>
    <w:rsid w:val="76F24F26"/>
    <w:rsid w:val="796C15BB"/>
    <w:rsid w:val="7B041199"/>
    <w:rsid w:val="7B224988"/>
    <w:rsid w:val="7B3C779B"/>
    <w:rsid w:val="7BA938AA"/>
    <w:rsid w:val="7C8C2CAE"/>
    <w:rsid w:val="7D7B6042"/>
    <w:rsid w:val="7ECA27D4"/>
    <w:rsid w:val="7EF555B4"/>
    <w:rsid w:val="7FE34C2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nhideWhenUsed="0" w:uiPriority="1"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semiHidden="0" w:name="Body Text First Indent"/>
    <w:lsdException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qFormat="1"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semiHidden="0" w:name="Document Map"/>
    <w:lsdException w:qFormat="1" w:unhideWhenUsed="0" w:uiPriority="0"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0" w:semiHidden="0" w:name="HTML Preformatted"/>
    <w:lsdException w:uiPriority="99" w:name="HTML Sample"/>
    <w:lsdException w:uiPriority="99" w:name="HTML Typewriter"/>
    <w:lsdException w:uiPriority="99" w:name="HTML Variable"/>
    <w:lsdException w:qFormat="1" w:uiPriority="99" w:semiHidden="0"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3">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4">
    <w:name w:val="heading 2"/>
    <w:basedOn w:val="1"/>
    <w:next w:val="1"/>
    <w:link w:val="47"/>
    <w:qFormat/>
    <w:uiPriority w:val="0"/>
    <w:pPr>
      <w:keepNext/>
      <w:keepLines/>
      <w:tabs>
        <w:tab w:val="left" w:pos="0"/>
      </w:tabs>
      <w:spacing w:line="360" w:lineRule="auto"/>
      <w:jc w:val="left"/>
      <w:outlineLvl w:val="1"/>
    </w:pPr>
    <w:rPr>
      <w:rFonts w:cs="Courier New"/>
      <w:b/>
      <w:bCs/>
      <w:sz w:val="24"/>
      <w:szCs w:val="28"/>
    </w:rPr>
  </w:style>
  <w:style w:type="paragraph" w:styleId="5">
    <w:name w:val="heading 3"/>
    <w:basedOn w:val="1"/>
    <w:next w:val="1"/>
    <w:link w:val="48"/>
    <w:qFormat/>
    <w:uiPriority w:val="0"/>
    <w:pPr>
      <w:keepNext/>
      <w:keepLines/>
      <w:spacing w:line="360" w:lineRule="auto"/>
      <w:jc w:val="left"/>
      <w:outlineLvl w:val="2"/>
    </w:pPr>
    <w:rPr>
      <w:rFonts w:cs="Courier New"/>
      <w:b/>
      <w:bCs/>
      <w:sz w:val="24"/>
      <w:szCs w:val="21"/>
    </w:rPr>
  </w:style>
  <w:style w:type="paragraph" w:styleId="6">
    <w:name w:val="heading 4"/>
    <w:basedOn w:val="1"/>
    <w:next w:val="1"/>
    <w:link w:val="49"/>
    <w:qFormat/>
    <w:uiPriority w:val="0"/>
    <w:pPr>
      <w:keepNext/>
      <w:keepLines/>
      <w:spacing w:line="360" w:lineRule="auto"/>
      <w:ind w:firstLine="200" w:firstLineChars="200"/>
      <w:jc w:val="left"/>
      <w:outlineLvl w:val="3"/>
    </w:pPr>
    <w:rPr>
      <w:rFonts w:cs="Courier New"/>
      <w:b/>
      <w:bCs/>
      <w:sz w:val="24"/>
      <w:szCs w:val="21"/>
    </w:rPr>
  </w:style>
  <w:style w:type="paragraph" w:styleId="7">
    <w:name w:val="heading 6"/>
    <w:basedOn w:val="1"/>
    <w:next w:val="1"/>
    <w:qFormat/>
    <w:uiPriority w:val="1"/>
    <w:pPr>
      <w:ind w:left="860"/>
      <w:outlineLvl w:val="6"/>
    </w:pPr>
    <w:rPr>
      <w:rFonts w:ascii="宋体" w:hAnsi="宋体" w:eastAsia="宋体" w:cs="宋体"/>
      <w:b/>
      <w:bCs/>
      <w:sz w:val="24"/>
      <w:szCs w:val="24"/>
      <w:lang w:val="zh-CN" w:eastAsia="zh-CN" w:bidi="zh-CN"/>
    </w:rPr>
  </w:style>
  <w:style w:type="character" w:default="1" w:styleId="25">
    <w:name w:val="Default Paragraph Font"/>
    <w:unhideWhenUsed/>
    <w:qFormat/>
    <w:uiPriority w:val="1"/>
  </w:style>
  <w:style w:type="table" w:default="1" w:styleId="23">
    <w:name w:val="Normal Table"/>
    <w:unhideWhenUsed/>
    <w:qFormat/>
    <w:uiPriority w:val="99"/>
    <w:tblPr>
      <w:tblCellMar>
        <w:top w:w="0" w:type="dxa"/>
        <w:left w:w="108" w:type="dxa"/>
        <w:bottom w:w="0" w:type="dxa"/>
        <w:right w:w="108" w:type="dxa"/>
      </w:tblCellMar>
    </w:tblPr>
  </w:style>
  <w:style w:type="paragraph" w:customStyle="1" w:styleId="2">
    <w:name w:val="Default1"/>
    <w:unhideWhenUsed/>
    <w:qFormat/>
    <w:uiPriority w:val="0"/>
    <w:pPr>
      <w:widowControl w:val="0"/>
      <w:autoSpaceDE w:val="0"/>
      <w:autoSpaceDN w:val="0"/>
      <w:adjustRightInd w:val="0"/>
    </w:pPr>
    <w:rPr>
      <w:rFonts w:hint="eastAsia" w:ascii="宋体" w:hAnsi="Times New Roman" w:eastAsia="宋体" w:cs="Times New Roman"/>
      <w:color w:val="000000"/>
      <w:sz w:val="24"/>
      <w:szCs w:val="22"/>
      <w:lang w:val="en-US" w:eastAsia="zh-CN" w:bidi="ar-SA"/>
    </w:rPr>
  </w:style>
  <w:style w:type="paragraph" w:styleId="8">
    <w:name w:val="Normal Indent"/>
    <w:basedOn w:val="1"/>
    <w:semiHidden/>
    <w:unhideWhenUsed/>
    <w:qFormat/>
    <w:uiPriority w:val="99"/>
    <w:pPr>
      <w:ind w:firstLine="420" w:firstLineChars="200"/>
    </w:pPr>
    <w:rPr>
      <w:rFonts w:ascii="Times New Roman" w:hAnsi="Times New Roman" w:cs="Times New Roman"/>
      <w:kern w:val="0"/>
      <w:sz w:val="20"/>
      <w:szCs w:val="24"/>
    </w:rPr>
  </w:style>
  <w:style w:type="paragraph" w:styleId="9">
    <w:name w:val="Document Map"/>
    <w:basedOn w:val="1"/>
    <w:link w:val="59"/>
    <w:unhideWhenUsed/>
    <w:qFormat/>
    <w:uiPriority w:val="99"/>
    <w:pPr>
      <w:spacing w:line="360" w:lineRule="auto"/>
      <w:ind w:firstLine="200" w:firstLineChars="200"/>
    </w:pPr>
    <w:rPr>
      <w:rFonts w:ascii="宋体" w:hAnsi="Calibri"/>
      <w:kern w:val="0"/>
      <w:sz w:val="18"/>
      <w:szCs w:val="18"/>
    </w:rPr>
  </w:style>
  <w:style w:type="paragraph" w:styleId="10">
    <w:name w:val="annotation text"/>
    <w:basedOn w:val="1"/>
    <w:link w:val="41"/>
    <w:unhideWhenUsed/>
    <w:qFormat/>
    <w:uiPriority w:val="99"/>
    <w:pPr>
      <w:jc w:val="left"/>
    </w:pPr>
  </w:style>
  <w:style w:type="paragraph" w:styleId="11">
    <w:name w:val="Body Text"/>
    <w:basedOn w:val="1"/>
    <w:link w:val="32"/>
    <w:qFormat/>
    <w:uiPriority w:val="0"/>
    <w:pPr>
      <w:spacing w:after="120"/>
    </w:pPr>
    <w:rPr>
      <w:szCs w:val="24"/>
    </w:rPr>
  </w:style>
  <w:style w:type="paragraph" w:styleId="12">
    <w:name w:val="Body Text Indent"/>
    <w:basedOn w:val="1"/>
    <w:unhideWhenUsed/>
    <w:qFormat/>
    <w:uiPriority w:val="99"/>
    <w:pPr>
      <w:spacing w:after="120"/>
      <w:ind w:left="420" w:leftChars="200"/>
    </w:pPr>
  </w:style>
  <w:style w:type="paragraph" w:styleId="13">
    <w:name w:val="Block Text"/>
    <w:basedOn w:val="1"/>
    <w:semiHidden/>
    <w:unhideWhenUsed/>
    <w:qFormat/>
    <w:uiPriority w:val="99"/>
    <w:pPr>
      <w:spacing w:line="440" w:lineRule="exact"/>
      <w:ind w:left="113" w:right="113" w:firstLine="567"/>
      <w:jc w:val="both"/>
    </w:pPr>
    <w:rPr>
      <w:rFonts w:ascii="仿宋_GB2312" w:eastAsia="仿宋_GB2312"/>
      <w:sz w:val="28"/>
    </w:rPr>
  </w:style>
  <w:style w:type="paragraph" w:styleId="14">
    <w:name w:val="Plain Text"/>
    <w:basedOn w:val="1"/>
    <w:link w:val="58"/>
    <w:qFormat/>
    <w:uiPriority w:val="0"/>
    <w:rPr>
      <w:rFonts w:ascii="宋体" w:hAnsi="Courier New"/>
      <w:kern w:val="16"/>
      <w:szCs w:val="21"/>
      <w:vertAlign w:val="superscript"/>
    </w:rPr>
  </w:style>
  <w:style w:type="paragraph" w:styleId="15">
    <w:name w:val="Body Text Indent 2"/>
    <w:basedOn w:val="1"/>
    <w:qFormat/>
    <w:uiPriority w:val="0"/>
    <w:pPr>
      <w:spacing w:after="120" w:line="480" w:lineRule="auto"/>
      <w:ind w:left="420" w:leftChars="200"/>
    </w:pPr>
  </w:style>
  <w:style w:type="paragraph" w:styleId="16">
    <w:name w:val="Balloon Text"/>
    <w:basedOn w:val="1"/>
    <w:link w:val="40"/>
    <w:unhideWhenUsed/>
    <w:qFormat/>
    <w:uiPriority w:val="99"/>
    <w:rPr>
      <w:sz w:val="18"/>
      <w:szCs w:val="18"/>
    </w:rPr>
  </w:style>
  <w:style w:type="paragraph" w:styleId="17">
    <w:name w:val="footer"/>
    <w:basedOn w:val="1"/>
    <w:link w:val="30"/>
    <w:unhideWhenUsed/>
    <w:qFormat/>
    <w:uiPriority w:val="99"/>
    <w:pPr>
      <w:tabs>
        <w:tab w:val="center" w:pos="4153"/>
        <w:tab w:val="right" w:pos="8306"/>
      </w:tabs>
      <w:snapToGrid w:val="0"/>
      <w:jc w:val="left"/>
    </w:pPr>
    <w:rPr>
      <w:sz w:val="18"/>
      <w:szCs w:val="18"/>
    </w:rPr>
  </w:style>
  <w:style w:type="paragraph" w:styleId="18">
    <w:name w:val="header"/>
    <w:basedOn w:val="1"/>
    <w:link w:val="29"/>
    <w:unhideWhenUsed/>
    <w:qFormat/>
    <w:uiPriority w:val="99"/>
    <w:pPr>
      <w:pBdr>
        <w:bottom w:val="single" w:color="auto" w:sz="6" w:space="1"/>
      </w:pBdr>
      <w:tabs>
        <w:tab w:val="center" w:pos="4153"/>
        <w:tab w:val="right" w:pos="8306"/>
      </w:tabs>
      <w:snapToGrid w:val="0"/>
      <w:jc w:val="center"/>
    </w:pPr>
    <w:rPr>
      <w:sz w:val="18"/>
      <w:szCs w:val="18"/>
    </w:rPr>
  </w:style>
  <w:style w:type="paragraph" w:styleId="19">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20">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paragraph" w:styleId="21">
    <w:name w:val="annotation subject"/>
    <w:basedOn w:val="10"/>
    <w:next w:val="10"/>
    <w:link w:val="43"/>
    <w:unhideWhenUsed/>
    <w:qFormat/>
    <w:uiPriority w:val="99"/>
    <w:rPr>
      <w:b/>
      <w:bCs/>
    </w:rPr>
  </w:style>
  <w:style w:type="paragraph" w:styleId="22">
    <w:name w:val="Body Text First Indent"/>
    <w:basedOn w:val="11"/>
    <w:link w:val="52"/>
    <w:unhideWhenUsed/>
    <w:qFormat/>
    <w:uiPriority w:val="99"/>
    <w:pPr>
      <w:ind w:firstLine="420" w:firstLineChars="100"/>
    </w:pPr>
    <w:rPr>
      <w:szCs w:val="22"/>
    </w:rPr>
  </w:style>
  <w:style w:type="table" w:styleId="24">
    <w:name w:val="Table Grid"/>
    <w:basedOn w:val="23"/>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6">
    <w:name w:val="Hyperlink"/>
    <w:basedOn w:val="25"/>
    <w:unhideWhenUsed/>
    <w:qFormat/>
    <w:uiPriority w:val="99"/>
    <w:rPr>
      <w:color w:val="0000FF"/>
      <w:u w:val="single"/>
    </w:rPr>
  </w:style>
  <w:style w:type="character" w:styleId="27">
    <w:name w:val="annotation reference"/>
    <w:unhideWhenUsed/>
    <w:qFormat/>
    <w:uiPriority w:val="99"/>
    <w:rPr>
      <w:sz w:val="21"/>
      <w:szCs w:val="21"/>
    </w:rPr>
  </w:style>
  <w:style w:type="paragraph" w:customStyle="1" w:styleId="28">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character" w:customStyle="1" w:styleId="29">
    <w:name w:val="页眉 Char"/>
    <w:link w:val="18"/>
    <w:qFormat/>
    <w:uiPriority w:val="99"/>
    <w:rPr>
      <w:sz w:val="18"/>
      <w:szCs w:val="18"/>
    </w:rPr>
  </w:style>
  <w:style w:type="character" w:customStyle="1" w:styleId="30">
    <w:name w:val="页脚 Char"/>
    <w:link w:val="17"/>
    <w:qFormat/>
    <w:uiPriority w:val="99"/>
    <w:rPr>
      <w:sz w:val="18"/>
      <w:szCs w:val="18"/>
    </w:rPr>
  </w:style>
  <w:style w:type="paragraph" w:customStyle="1" w:styleId="31">
    <w:name w:val="列出段落1"/>
    <w:basedOn w:val="1"/>
    <w:qFormat/>
    <w:uiPriority w:val="34"/>
    <w:pPr>
      <w:ind w:firstLine="420" w:firstLineChars="200"/>
    </w:pPr>
  </w:style>
  <w:style w:type="character" w:customStyle="1" w:styleId="32">
    <w:name w:val="正文文本 Char"/>
    <w:link w:val="11"/>
    <w:qFormat/>
    <w:uiPriority w:val="0"/>
    <w:rPr>
      <w:szCs w:val="24"/>
    </w:rPr>
  </w:style>
  <w:style w:type="character" w:customStyle="1" w:styleId="33">
    <w:name w:val="正文文本 Char1"/>
    <w:basedOn w:val="25"/>
    <w:semiHidden/>
    <w:qFormat/>
    <w:uiPriority w:val="99"/>
  </w:style>
  <w:style w:type="paragraph" w:customStyle="1" w:styleId="34">
    <w:name w:val="表格内容"/>
    <w:basedOn w:val="1"/>
    <w:link w:val="35"/>
    <w:qFormat/>
    <w:uiPriority w:val="0"/>
    <w:pPr>
      <w:jc w:val="center"/>
    </w:pPr>
    <w:rPr>
      <w:rFonts w:eastAsia="Times New Roman"/>
      <w:szCs w:val="21"/>
    </w:rPr>
  </w:style>
  <w:style w:type="character" w:customStyle="1" w:styleId="35">
    <w:name w:val="表格内容 Char"/>
    <w:link w:val="34"/>
    <w:qFormat/>
    <w:uiPriority w:val="0"/>
    <w:rPr>
      <w:rFonts w:ascii="Times New Roman" w:hAnsi="Times New Roman" w:eastAsia="Times New Roman" w:cs="Times New Roman"/>
      <w:szCs w:val="21"/>
    </w:rPr>
  </w:style>
  <w:style w:type="paragraph" w:customStyle="1" w:styleId="36">
    <w:name w:val="表格首行"/>
    <w:basedOn w:val="1"/>
    <w:next w:val="1"/>
    <w:qFormat/>
    <w:uiPriority w:val="0"/>
    <w:pPr>
      <w:jc w:val="center"/>
    </w:pPr>
    <w:rPr>
      <w:rFonts w:cs="宋体"/>
      <w:b/>
      <w:szCs w:val="20"/>
    </w:rPr>
  </w:style>
  <w:style w:type="table" w:customStyle="1" w:styleId="37">
    <w:name w:val="网格型1"/>
    <w:basedOn w:val="23"/>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8">
    <w:name w:val="网格型2"/>
    <w:basedOn w:val="23"/>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9">
    <w:name w:val="表"/>
    <w:basedOn w:val="1"/>
    <w:qFormat/>
    <w:uiPriority w:val="0"/>
    <w:pPr>
      <w:spacing w:line="240" w:lineRule="exact"/>
    </w:pPr>
    <w:rPr>
      <w:rFonts w:ascii="仿宋_GB2312" w:hAnsi="宋体" w:eastAsia="仿宋_GB2312"/>
      <w:sz w:val="18"/>
      <w:szCs w:val="20"/>
    </w:rPr>
  </w:style>
  <w:style w:type="character" w:customStyle="1" w:styleId="40">
    <w:name w:val="批注框文本 Char"/>
    <w:link w:val="16"/>
    <w:semiHidden/>
    <w:qFormat/>
    <w:uiPriority w:val="99"/>
    <w:rPr>
      <w:sz w:val="18"/>
      <w:szCs w:val="18"/>
    </w:rPr>
  </w:style>
  <w:style w:type="character" w:customStyle="1" w:styleId="41">
    <w:name w:val="批注文字 Char"/>
    <w:basedOn w:val="25"/>
    <w:link w:val="10"/>
    <w:semiHidden/>
    <w:qFormat/>
    <w:uiPriority w:val="99"/>
  </w:style>
  <w:style w:type="character" w:customStyle="1" w:styleId="42">
    <w:name w:val="占位符文本1"/>
    <w:semiHidden/>
    <w:qFormat/>
    <w:uiPriority w:val="99"/>
    <w:rPr>
      <w:color w:val="808080"/>
    </w:rPr>
  </w:style>
  <w:style w:type="character" w:customStyle="1" w:styleId="43">
    <w:name w:val="批注主题 Char"/>
    <w:link w:val="21"/>
    <w:semiHidden/>
    <w:qFormat/>
    <w:uiPriority w:val="99"/>
    <w:rPr>
      <w:b/>
      <w:bCs/>
    </w:rPr>
  </w:style>
  <w:style w:type="paragraph" w:customStyle="1" w:styleId="44">
    <w:name w:val="二级目录"/>
    <w:basedOn w:val="1"/>
    <w:link w:val="45"/>
    <w:qFormat/>
    <w:uiPriority w:val="0"/>
    <w:pPr>
      <w:spacing w:line="360" w:lineRule="auto"/>
      <w:outlineLvl w:val="1"/>
    </w:pPr>
    <w:rPr>
      <w:rFonts w:ascii="黑体" w:hAnsi="黑体" w:eastAsia="黑体" w:cstheme="minorBidi"/>
      <w:sz w:val="28"/>
      <w:szCs w:val="28"/>
    </w:rPr>
  </w:style>
  <w:style w:type="character" w:customStyle="1" w:styleId="45">
    <w:name w:val="二级目录 Char"/>
    <w:basedOn w:val="25"/>
    <w:link w:val="44"/>
    <w:qFormat/>
    <w:uiPriority w:val="0"/>
    <w:rPr>
      <w:rFonts w:ascii="黑体" w:hAnsi="黑体" w:eastAsia="黑体" w:cstheme="minorBidi"/>
      <w:kern w:val="2"/>
      <w:sz w:val="28"/>
      <w:szCs w:val="28"/>
    </w:rPr>
  </w:style>
  <w:style w:type="paragraph" w:customStyle="1" w:styleId="46">
    <w:name w:val="正文-欣欣"/>
    <w:basedOn w:val="1"/>
    <w:next w:val="1"/>
    <w:qFormat/>
    <w:uiPriority w:val="0"/>
    <w:pPr>
      <w:spacing w:line="360" w:lineRule="auto"/>
      <w:ind w:firstLine="480" w:firstLineChars="200"/>
    </w:pPr>
    <w:rPr>
      <w:bCs/>
      <w:sz w:val="24"/>
      <w:szCs w:val="24"/>
    </w:rPr>
  </w:style>
  <w:style w:type="character" w:customStyle="1" w:styleId="47">
    <w:name w:val="标题 2 Char"/>
    <w:basedOn w:val="25"/>
    <w:link w:val="4"/>
    <w:qFormat/>
    <w:uiPriority w:val="0"/>
    <w:rPr>
      <w:rFonts w:cs="Courier New"/>
      <w:b/>
      <w:bCs/>
      <w:kern w:val="2"/>
      <w:sz w:val="24"/>
      <w:szCs w:val="28"/>
    </w:rPr>
  </w:style>
  <w:style w:type="character" w:customStyle="1" w:styleId="48">
    <w:name w:val="标题 3 Char"/>
    <w:basedOn w:val="25"/>
    <w:link w:val="5"/>
    <w:qFormat/>
    <w:uiPriority w:val="0"/>
    <w:rPr>
      <w:rFonts w:cs="Courier New"/>
      <w:b/>
      <w:bCs/>
      <w:kern w:val="2"/>
      <w:sz w:val="24"/>
      <w:szCs w:val="21"/>
    </w:rPr>
  </w:style>
  <w:style w:type="character" w:customStyle="1" w:styleId="49">
    <w:name w:val="标题 4 Char"/>
    <w:basedOn w:val="25"/>
    <w:link w:val="6"/>
    <w:qFormat/>
    <w:uiPriority w:val="0"/>
    <w:rPr>
      <w:rFonts w:cs="Courier New"/>
      <w:b/>
      <w:bCs/>
      <w:kern w:val="2"/>
      <w:sz w:val="24"/>
      <w:szCs w:val="21"/>
    </w:rPr>
  </w:style>
  <w:style w:type="paragraph" w:customStyle="1" w:styleId="50">
    <w:name w:val="第五章 图件标题"/>
    <w:basedOn w:val="1"/>
    <w:next w:val="1"/>
    <w:qFormat/>
    <w:uiPriority w:val="0"/>
    <w:pPr>
      <w:numPr>
        <w:ilvl w:val="0"/>
        <w:numId w:val="1"/>
      </w:numPr>
      <w:tabs>
        <w:tab w:val="left" w:pos="851"/>
      </w:tabs>
      <w:adjustRightInd w:val="0"/>
      <w:snapToGrid w:val="0"/>
      <w:spacing w:line="360" w:lineRule="auto"/>
      <w:jc w:val="center"/>
    </w:pPr>
    <w:rPr>
      <w:b/>
      <w:sz w:val="24"/>
      <w:szCs w:val="24"/>
    </w:rPr>
  </w:style>
  <w:style w:type="paragraph" w:customStyle="1" w:styleId="51">
    <w:name w:val="Char1"/>
    <w:basedOn w:val="1"/>
    <w:qFormat/>
    <w:uiPriority w:val="0"/>
    <w:rPr>
      <w:sz w:val="24"/>
      <w:szCs w:val="24"/>
    </w:rPr>
  </w:style>
  <w:style w:type="character" w:customStyle="1" w:styleId="52">
    <w:name w:val="正文首行缩进 Char"/>
    <w:basedOn w:val="32"/>
    <w:link w:val="22"/>
    <w:semiHidden/>
    <w:qFormat/>
    <w:uiPriority w:val="99"/>
    <w:rPr>
      <w:kern w:val="2"/>
      <w:sz w:val="21"/>
      <w:szCs w:val="22"/>
    </w:rPr>
  </w:style>
  <w:style w:type="paragraph" w:customStyle="1" w:styleId="53">
    <w:name w:val="报告"/>
    <w:basedOn w:val="1"/>
    <w:link w:val="54"/>
    <w:qFormat/>
    <w:uiPriority w:val="0"/>
    <w:pPr>
      <w:adjustRightInd w:val="0"/>
      <w:spacing w:line="360" w:lineRule="auto"/>
      <w:ind w:firstLine="505"/>
      <w:textAlignment w:val="center"/>
    </w:pPr>
    <w:rPr>
      <w:rFonts w:ascii="TimesNewRoman" w:hAnsi="TimesNewRoman"/>
      <w:kern w:val="0"/>
      <w:sz w:val="24"/>
      <w:szCs w:val="20"/>
    </w:rPr>
  </w:style>
  <w:style w:type="character" w:customStyle="1" w:styleId="54">
    <w:name w:val="报告 Char"/>
    <w:link w:val="53"/>
    <w:qFormat/>
    <w:uiPriority w:val="0"/>
    <w:rPr>
      <w:rFonts w:ascii="TimesNewRoman" w:hAnsi="TimesNewRoman"/>
      <w:sz w:val="24"/>
    </w:rPr>
  </w:style>
  <w:style w:type="paragraph" w:customStyle="1" w:styleId="55">
    <w:name w:val="Char4 Char Char Char"/>
    <w:basedOn w:val="1"/>
    <w:qFormat/>
    <w:uiPriority w:val="0"/>
    <w:pPr>
      <w:adjustRightInd w:val="0"/>
      <w:snapToGrid w:val="0"/>
      <w:spacing w:line="360" w:lineRule="auto"/>
      <w:ind w:firstLine="200" w:firstLineChars="200"/>
    </w:pPr>
    <w:rPr>
      <w:sz w:val="24"/>
      <w:szCs w:val="20"/>
    </w:rPr>
  </w:style>
  <w:style w:type="paragraph" w:customStyle="1" w:styleId="56">
    <w:name w:val="样式 行距: 1.5 倍行距"/>
    <w:basedOn w:val="1"/>
    <w:qFormat/>
    <w:uiPriority w:val="0"/>
    <w:pPr>
      <w:spacing w:line="360" w:lineRule="auto"/>
      <w:ind w:firstLine="560" w:firstLineChars="200"/>
    </w:pPr>
    <w:rPr>
      <w:rFonts w:cs="宋体"/>
      <w:sz w:val="28"/>
      <w:szCs w:val="21"/>
    </w:rPr>
  </w:style>
  <w:style w:type="paragraph" w:customStyle="1" w:styleId="57">
    <w:name w:val="标题111 Char Char Char Char"/>
    <w:basedOn w:val="1"/>
    <w:qFormat/>
    <w:uiPriority w:val="0"/>
    <w:pPr>
      <w:spacing w:line="360" w:lineRule="auto"/>
      <w:ind w:firstLine="200" w:firstLineChars="200"/>
    </w:pPr>
    <w:rPr>
      <w:rFonts w:eastAsia="华文中宋"/>
      <w:kern w:val="0"/>
      <w:sz w:val="20"/>
      <w:szCs w:val="20"/>
    </w:rPr>
  </w:style>
  <w:style w:type="character" w:customStyle="1" w:styleId="58">
    <w:name w:val="纯文本 Char"/>
    <w:basedOn w:val="25"/>
    <w:link w:val="14"/>
    <w:qFormat/>
    <w:uiPriority w:val="0"/>
    <w:rPr>
      <w:rFonts w:ascii="宋体" w:hAnsi="Courier New"/>
      <w:kern w:val="16"/>
      <w:sz w:val="21"/>
      <w:szCs w:val="21"/>
      <w:vertAlign w:val="superscript"/>
    </w:rPr>
  </w:style>
  <w:style w:type="character" w:customStyle="1" w:styleId="59">
    <w:name w:val="文档结构图 Char"/>
    <w:link w:val="9"/>
    <w:qFormat/>
    <w:uiPriority w:val="99"/>
    <w:rPr>
      <w:rFonts w:ascii="宋体" w:hAnsi="Calibri"/>
      <w:sz w:val="18"/>
      <w:szCs w:val="18"/>
    </w:rPr>
  </w:style>
  <w:style w:type="character" w:customStyle="1" w:styleId="60">
    <w:name w:val="文档结构图 Char1"/>
    <w:basedOn w:val="25"/>
    <w:semiHidden/>
    <w:qFormat/>
    <w:uiPriority w:val="99"/>
    <w:rPr>
      <w:rFonts w:ascii="Microsoft YaHei UI" w:eastAsia="Microsoft YaHei UI"/>
      <w:kern w:val="2"/>
      <w:sz w:val="18"/>
      <w:szCs w:val="18"/>
    </w:rPr>
  </w:style>
  <w:style w:type="paragraph" w:customStyle="1" w:styleId="61">
    <w:name w:val="样式1"/>
    <w:basedOn w:val="1"/>
    <w:qFormat/>
    <w:uiPriority w:val="0"/>
    <w:pPr>
      <w:adjustRightInd w:val="0"/>
      <w:spacing w:line="288" w:lineRule="auto"/>
      <w:jc w:val="left"/>
    </w:pPr>
    <w:rPr>
      <w:rFonts w:ascii="黑体" w:eastAsia="黑体"/>
      <w:b/>
      <w:kern w:val="0"/>
      <w:sz w:val="32"/>
      <w:szCs w:val="20"/>
    </w:rPr>
  </w:style>
  <w:style w:type="paragraph" w:customStyle="1" w:styleId="62">
    <w:name w:val="报告表格"/>
    <w:basedOn w:val="1"/>
    <w:qFormat/>
    <w:uiPriority w:val="0"/>
    <w:pPr>
      <w:autoSpaceDE w:val="0"/>
      <w:autoSpaceDN w:val="0"/>
      <w:adjustRightInd w:val="0"/>
      <w:spacing w:before="40" w:after="40"/>
      <w:jc w:val="center"/>
      <w:textAlignment w:val="bottom"/>
    </w:pPr>
    <w:rPr>
      <w:kern w:val="0"/>
      <w:szCs w:val="20"/>
    </w:rPr>
  </w:style>
  <w:style w:type="paragraph" w:customStyle="1" w:styleId="63">
    <w:name w:val="表格文字2"/>
    <w:basedOn w:val="1"/>
    <w:qFormat/>
    <w:uiPriority w:val="0"/>
    <w:pPr>
      <w:adjustRightInd w:val="0"/>
      <w:spacing w:before="60"/>
      <w:jc w:val="center"/>
      <w:textAlignment w:val="baseline"/>
    </w:pPr>
    <w:rPr>
      <w:rFonts w:ascii="宋体"/>
      <w:kern w:val="0"/>
      <w:sz w:val="24"/>
      <w:szCs w:val="20"/>
    </w:rPr>
  </w:style>
  <w:style w:type="paragraph" w:styleId="64">
    <w:name w:val="List Paragraph"/>
    <w:basedOn w:val="1"/>
    <w:qFormat/>
    <w:uiPriority w:val="1"/>
    <w:pPr>
      <w:ind w:left="1294" w:hanging="601"/>
    </w:pPr>
    <w:rPr>
      <w:rFonts w:ascii="宋体" w:hAnsi="宋体" w:eastAsia="宋体" w:cs="宋体"/>
      <w:lang w:val="zh-CN" w:eastAsia="zh-CN" w:bidi="zh-CN"/>
    </w:rPr>
  </w:style>
  <w:style w:type="paragraph" w:customStyle="1" w:styleId="65">
    <w:name w:val="Table Paragraph"/>
    <w:basedOn w:val="1"/>
    <w:qFormat/>
    <w:uiPriority w:val="1"/>
    <w:pPr>
      <w:jc w:val="center"/>
    </w:pPr>
    <w:rPr>
      <w:rFonts w:ascii="宋体" w:hAnsi="宋体" w:eastAsia="宋体" w:cs="宋体"/>
      <w:lang w:val="zh-CN" w:eastAsia="zh-CN" w:bidi="zh-CN"/>
    </w:rPr>
  </w:style>
  <w:style w:type="paragraph" w:customStyle="1" w:styleId="66">
    <w:name w:val="样式 正文文本缩进 2 + 自动设置 行距: 1.5 倍行距"/>
    <w:basedOn w:val="15"/>
    <w:qFormat/>
    <w:uiPriority w:val="0"/>
    <w:pPr>
      <w:spacing w:after="0" w:line="460" w:lineRule="exact"/>
      <w:ind w:left="0" w:leftChars="0" w:firstLine="200" w:firstLineChars="200"/>
    </w:pPr>
    <w:rPr>
      <w:rFonts w:ascii="宋体" w:hAnsi="宋体" w:cs="宋体"/>
      <w:sz w:val="24"/>
      <w:szCs w:val="20"/>
    </w:rPr>
  </w:style>
  <w:style w:type="character" w:customStyle="1" w:styleId="67">
    <w:name w:val="正文何昌泽 Char"/>
    <w:link w:val="68"/>
    <w:qFormat/>
    <w:uiPriority w:val="0"/>
    <w:rPr>
      <w:sz w:val="24"/>
    </w:rPr>
  </w:style>
  <w:style w:type="paragraph" w:customStyle="1" w:styleId="68">
    <w:name w:val="正文何昌泽"/>
    <w:basedOn w:val="1"/>
    <w:link w:val="67"/>
    <w:qFormat/>
    <w:uiPriority w:val="0"/>
    <w:pPr>
      <w:adjustRightInd w:val="0"/>
      <w:snapToGrid w:val="0"/>
      <w:spacing w:line="360" w:lineRule="auto"/>
      <w:ind w:firstLine="200" w:firstLineChars="200"/>
    </w:pPr>
    <w:rPr>
      <w:sz w:val="24"/>
    </w:rPr>
  </w:style>
  <w:style w:type="table" w:customStyle="1" w:styleId="69">
    <w:name w:val="Table Normal"/>
    <w:basedOn w:val="23"/>
    <w:unhideWhenUsed/>
    <w:qFormat/>
    <w:uiPriority w:val="2"/>
    <w:pPr>
      <w:widowControl w:val="0"/>
    </w:pPr>
    <w:rPr>
      <w:rFonts w:asciiTheme="minorHAnsi" w:hAnsiTheme="minorHAnsi" w:eastAsiaTheme="minorEastAsia" w:cstheme="minorBidi"/>
      <w:sz w:val="22"/>
      <w:szCs w:val="22"/>
      <w:lang w:eastAsia="en-US"/>
    </w:rPr>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GIF"/><Relationship Id="rId7" Type="http://schemas.openxmlformats.org/officeDocument/2006/relationships/image" Target="media/image2.jpeg"/><Relationship Id="rId6" Type="http://schemas.openxmlformats.org/officeDocument/2006/relationships/image" Target="media/image1.GIF"/><Relationship Id="rId5" Type="http://schemas.openxmlformats.org/officeDocument/2006/relationships/theme" Target="theme/theme1.xml"/><Relationship Id="rId4" Type="http://schemas.openxmlformats.org/officeDocument/2006/relationships/footer" Target="footer2.xml"/><Relationship Id="rId36" Type="http://schemas.openxmlformats.org/officeDocument/2006/relationships/fontTable" Target="fontTable.xml"/><Relationship Id="rId35" Type="http://schemas.openxmlformats.org/officeDocument/2006/relationships/customXml" Target="../customXml/item2.xml"/><Relationship Id="rId34" Type="http://schemas.openxmlformats.org/officeDocument/2006/relationships/numbering" Target="numbering.xml"/><Relationship Id="rId33" Type="http://schemas.openxmlformats.org/officeDocument/2006/relationships/customXml" Target="../customXml/item1.xml"/><Relationship Id="rId32" Type="http://schemas.openxmlformats.org/officeDocument/2006/relationships/image" Target="media/image20.wmf"/><Relationship Id="rId31" Type="http://schemas.openxmlformats.org/officeDocument/2006/relationships/image" Target="media/image19.wmf"/><Relationship Id="rId30" Type="http://schemas.openxmlformats.org/officeDocument/2006/relationships/image" Target="media/image18.wmf"/><Relationship Id="rId3" Type="http://schemas.openxmlformats.org/officeDocument/2006/relationships/footer" Target="footer1.xml"/><Relationship Id="rId29" Type="http://schemas.openxmlformats.org/officeDocument/2006/relationships/image" Target="media/image17.wmf"/><Relationship Id="rId28" Type="http://schemas.openxmlformats.org/officeDocument/2006/relationships/oleObject" Target="embeddings/oleObject7.bin"/><Relationship Id="rId27" Type="http://schemas.openxmlformats.org/officeDocument/2006/relationships/image" Target="media/image16.jpeg"/><Relationship Id="rId26" Type="http://schemas.openxmlformats.org/officeDocument/2006/relationships/image" Target="media/image15.wmf"/><Relationship Id="rId25" Type="http://schemas.openxmlformats.org/officeDocument/2006/relationships/oleObject" Target="embeddings/oleObject6.bin"/><Relationship Id="rId24" Type="http://schemas.openxmlformats.org/officeDocument/2006/relationships/image" Target="media/image14.wmf"/><Relationship Id="rId23" Type="http://schemas.openxmlformats.org/officeDocument/2006/relationships/oleObject" Target="embeddings/oleObject5.bin"/><Relationship Id="rId22" Type="http://schemas.openxmlformats.org/officeDocument/2006/relationships/image" Target="media/image13.wmf"/><Relationship Id="rId21" Type="http://schemas.openxmlformats.org/officeDocument/2006/relationships/oleObject" Target="embeddings/oleObject4.bin"/><Relationship Id="rId20" Type="http://schemas.openxmlformats.org/officeDocument/2006/relationships/image" Target="media/image12.wmf"/><Relationship Id="rId2" Type="http://schemas.openxmlformats.org/officeDocument/2006/relationships/settings" Target="settings.xml"/><Relationship Id="rId19" Type="http://schemas.openxmlformats.org/officeDocument/2006/relationships/oleObject" Target="embeddings/oleObject3.bin"/><Relationship Id="rId18" Type="http://schemas.openxmlformats.org/officeDocument/2006/relationships/image" Target="media/image11.wmf"/><Relationship Id="rId17" Type="http://schemas.openxmlformats.org/officeDocument/2006/relationships/oleObject" Target="embeddings/oleObject2.bin"/><Relationship Id="rId16" Type="http://schemas.openxmlformats.org/officeDocument/2006/relationships/image" Target="media/image10.wmf"/><Relationship Id="rId15" Type="http://schemas.openxmlformats.org/officeDocument/2006/relationships/oleObject" Target="embeddings/oleObject1.bin"/><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CECE759-864B-472E-8EC1-2327D5C1744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98</Pages>
  <Words>58924</Words>
  <Characters>68174</Characters>
  <Lines>326</Lines>
  <Paragraphs>92</Paragraphs>
  <TotalTime>61</TotalTime>
  <ScaleCrop>false</ScaleCrop>
  <LinksUpToDate>false</LinksUpToDate>
  <CharactersWithSpaces>69301</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2017-08-01T07:45:00Z</dcterms:created>
  <dc:creator>Yc.</dc:creator>
  <cp:lastModifiedBy>少吃一点</cp:lastModifiedBy>
  <cp:lastPrinted>2017-05-19T02:41:00Z</cp:lastPrinted>
  <dcterms:modified xsi:type="dcterms:W3CDTF">2025-11-17T01:31:50Z</dcterms:modified>
  <cp:revision>103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KSOTemplateDocerSaveRecord">
    <vt:lpwstr>eyJoZGlkIjoiYzFkMTUzMjNiYTMzODk2Yzk5NWEwZjcxNmQyMGYxOGUiLCJ1c2VySWQiOiI0MTU5MzA2NTAifQ==</vt:lpwstr>
  </property>
  <property fmtid="{D5CDD505-2E9C-101B-9397-08002B2CF9AE}" pid="4" name="ICV">
    <vt:lpwstr>6D91C64A51424F33A544B6A7AC641782_12</vt:lpwstr>
  </property>
</Properties>
</file>