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D1D13B">
      <w:pPr>
        <w:adjustRightInd w:val="0"/>
        <w:snapToGrid w:val="0"/>
        <w:spacing w:line="360" w:lineRule="auto"/>
        <w:jc w:val="center"/>
        <w:outlineLvl w:val="0"/>
        <w:rPr>
          <w:rFonts w:hAnsi="黑体" w:eastAsia="黑体" w:asciiTheme="majorHAnsi"/>
          <w:color w:val="000000"/>
          <w:sz w:val="72"/>
          <w:szCs w:val="72"/>
        </w:rPr>
      </w:pPr>
      <w:bookmarkStart w:id="0" w:name="_Toc15378441"/>
      <w:bookmarkStart w:id="1" w:name="_Toc15396475"/>
      <w:bookmarkStart w:id="2" w:name="_Toc15396597"/>
      <w:bookmarkStart w:id="3" w:name="_Toc15377425"/>
      <w:bookmarkStart w:id="4" w:name="_Toc15377193"/>
      <w:bookmarkStart w:id="5" w:name="_Toc15306267"/>
      <w:r>
        <w:rPr>
          <w:rFonts w:hint="eastAsia" w:hAnsi="黑体" w:eastAsia="黑体" w:asciiTheme="majorHAnsi"/>
          <w:b/>
          <w:bCs/>
          <w:color w:val="000000"/>
          <w:sz w:val="72"/>
          <w:szCs w:val="72"/>
        </w:rPr>
        <w:t xml:space="preserve"> </w:t>
      </w:r>
    </w:p>
    <w:p w14:paraId="79410E54">
      <w:pPr>
        <w:adjustRightInd w:val="0"/>
        <w:snapToGrid w:val="0"/>
        <w:spacing w:line="360" w:lineRule="auto"/>
        <w:jc w:val="center"/>
        <w:outlineLvl w:val="0"/>
        <w:rPr>
          <w:rFonts w:hAnsi="黑体" w:eastAsia="黑体" w:asciiTheme="majorHAnsi"/>
          <w:color w:val="000000"/>
          <w:sz w:val="72"/>
          <w:szCs w:val="72"/>
        </w:rPr>
      </w:pPr>
    </w:p>
    <w:p w14:paraId="15E297CC">
      <w:pPr>
        <w:adjustRightInd w:val="0"/>
        <w:snapToGrid w:val="0"/>
        <w:spacing w:line="360" w:lineRule="auto"/>
        <w:jc w:val="center"/>
        <w:outlineLvl w:val="0"/>
        <w:rPr>
          <w:rFonts w:hAnsi="黑体" w:eastAsia="黑体" w:asciiTheme="majorHAnsi"/>
          <w:color w:val="000000"/>
          <w:sz w:val="72"/>
          <w:szCs w:val="72"/>
        </w:rPr>
      </w:pPr>
    </w:p>
    <w:p w14:paraId="50264E10">
      <w:pPr>
        <w:adjustRightInd w:val="0"/>
        <w:snapToGrid w:val="0"/>
        <w:spacing w:line="360" w:lineRule="auto"/>
        <w:jc w:val="center"/>
        <w:outlineLvl w:val="0"/>
        <w:rPr>
          <w:rFonts w:hAnsi="黑体" w:eastAsia="黑体" w:asciiTheme="majorHAnsi"/>
          <w:color w:val="000000"/>
          <w:sz w:val="72"/>
          <w:szCs w:val="72"/>
        </w:rPr>
      </w:pPr>
      <w:r>
        <w:rPr>
          <w:rFonts w:hint="eastAsia" w:hAnsi="黑体" w:eastAsia="黑体" w:asciiTheme="majorHAnsi"/>
          <w:color w:val="000000"/>
          <w:sz w:val="72"/>
          <w:szCs w:val="72"/>
        </w:rPr>
        <w:t>202</w:t>
      </w:r>
      <w:r>
        <w:rPr>
          <w:rFonts w:hint="eastAsia" w:hAnsi="黑体" w:eastAsia="黑体" w:asciiTheme="majorHAnsi"/>
          <w:color w:val="000000"/>
          <w:sz w:val="72"/>
          <w:szCs w:val="72"/>
          <w:lang w:val="en-US" w:eastAsia="zh-CN"/>
        </w:rPr>
        <w:t>4</w:t>
      </w:r>
      <w:r>
        <w:rPr>
          <w:rFonts w:hint="eastAsia" w:hAnsi="黑体" w:eastAsia="黑体" w:asciiTheme="majorHAnsi"/>
          <w:color w:val="000000"/>
          <w:sz w:val="72"/>
          <w:szCs w:val="72"/>
        </w:rPr>
        <w:t>年度</w:t>
      </w:r>
      <w:bookmarkEnd w:id="0"/>
      <w:bookmarkEnd w:id="1"/>
      <w:bookmarkEnd w:id="2"/>
      <w:bookmarkEnd w:id="3"/>
      <w:bookmarkEnd w:id="4"/>
    </w:p>
    <w:p w14:paraId="768AE55C">
      <w:pPr>
        <w:adjustRightInd w:val="0"/>
        <w:snapToGrid w:val="0"/>
        <w:spacing w:line="360" w:lineRule="auto"/>
        <w:jc w:val="center"/>
        <w:outlineLvl w:val="0"/>
        <w:rPr>
          <w:rFonts w:hAnsi="黑体" w:eastAsia="黑体" w:asciiTheme="majorHAnsi"/>
          <w:color w:val="000000"/>
          <w:sz w:val="72"/>
          <w:szCs w:val="72"/>
        </w:rPr>
      </w:pPr>
      <w:r>
        <w:rPr>
          <w:rFonts w:hint="eastAsia" w:hAnsi="黑体" w:eastAsia="黑体" w:asciiTheme="majorHAnsi"/>
          <w:color w:val="000000"/>
          <w:sz w:val="72"/>
          <w:szCs w:val="72"/>
        </w:rPr>
        <w:t>遂宁市安居区海龙凯歌文化旅游产业园区管理委员会</w:t>
      </w:r>
    </w:p>
    <w:p w14:paraId="578922A6">
      <w:pPr>
        <w:adjustRightInd w:val="0"/>
        <w:snapToGrid w:val="0"/>
        <w:spacing w:line="360" w:lineRule="auto"/>
        <w:jc w:val="center"/>
        <w:outlineLvl w:val="0"/>
        <w:rPr>
          <w:rFonts w:hAnsi="黑体" w:eastAsia="黑体" w:asciiTheme="majorHAnsi"/>
          <w:color w:val="000000"/>
          <w:sz w:val="72"/>
          <w:szCs w:val="72"/>
        </w:rPr>
      </w:pPr>
      <w:r>
        <w:rPr>
          <w:rFonts w:hint="eastAsia" w:hAnsi="黑体" w:eastAsia="黑体" w:asciiTheme="majorHAnsi"/>
          <w:color w:val="000000"/>
          <w:sz w:val="72"/>
          <w:szCs w:val="72"/>
        </w:rPr>
        <w:t>部门决算</w:t>
      </w:r>
    </w:p>
    <w:bookmarkEnd w:id="5"/>
    <w:p w14:paraId="53974538">
      <w:pPr>
        <w:spacing w:line="576" w:lineRule="exact"/>
        <w:jc w:val="center"/>
        <w:outlineLvl w:val="0"/>
        <w:rPr>
          <w:rFonts w:ascii="方正小标宋简体" w:hAnsi="宋体" w:eastAsia="方正小标宋简体"/>
          <w:color w:val="000000"/>
          <w:sz w:val="72"/>
          <w:szCs w:val="72"/>
        </w:rPr>
      </w:pPr>
      <w:r>
        <w:rPr>
          <w:rFonts w:ascii="方正小标宋简体" w:hAnsi="宋体" w:eastAsia="方正小标宋简体"/>
          <w:color w:val="000000"/>
          <w:sz w:val="36"/>
          <w:szCs w:val="36"/>
        </w:rPr>
        <w:br w:type="page"/>
      </w:r>
    </w:p>
    <w:p w14:paraId="163B3049">
      <w:pPr>
        <w:widowControl/>
        <w:jc w:val="center"/>
        <w:rPr>
          <w:rFonts w:ascii="黑体" w:hAnsi="黑体" w:eastAsia="黑体"/>
          <w:sz w:val="48"/>
          <w:szCs w:val="48"/>
        </w:rPr>
      </w:pPr>
      <w:bookmarkStart w:id="6" w:name="_Toc15396599"/>
      <w:bookmarkStart w:id="7" w:name="_Toc15377196"/>
      <w:r>
        <w:rPr>
          <w:rFonts w:hint="eastAsia" w:ascii="黑体" w:hAnsi="黑体" w:eastAsia="黑体"/>
          <w:sz w:val="48"/>
          <w:szCs w:val="48"/>
        </w:rPr>
        <w:t>目录</w:t>
      </w:r>
    </w:p>
    <w:p w14:paraId="6F5F467A">
      <w:pPr>
        <w:tabs>
          <w:tab w:val="right" w:leader="dot" w:pos="8296"/>
        </w:tabs>
        <w:spacing w:before="93"/>
        <w:jc w:val="center"/>
        <w:rPr>
          <w:rFonts w:ascii="仿宋" w:hAnsi="仿宋" w:eastAsia="仿宋"/>
          <w:sz w:val="28"/>
          <w:szCs w:val="28"/>
        </w:rPr>
      </w:pPr>
      <w:r>
        <w:rPr>
          <w:rFonts w:hint="eastAsia" w:ascii="仿宋" w:hAnsi="仿宋" w:eastAsia="仿宋"/>
          <w:sz w:val="28"/>
          <w:szCs w:val="28"/>
        </w:rPr>
        <w:t>公开时间：202</w:t>
      </w:r>
      <w:r>
        <w:rPr>
          <w:rFonts w:hint="eastAsia" w:ascii="仿宋" w:hAnsi="仿宋" w:eastAsia="仿宋"/>
          <w:sz w:val="28"/>
          <w:szCs w:val="28"/>
          <w:lang w:val="en-US" w:eastAsia="zh-CN"/>
        </w:rPr>
        <w:t>5</w:t>
      </w:r>
      <w:r>
        <w:rPr>
          <w:rFonts w:hint="eastAsia" w:ascii="仿宋" w:hAnsi="仿宋" w:eastAsia="仿宋"/>
          <w:sz w:val="28"/>
          <w:szCs w:val="28"/>
        </w:rPr>
        <w:t>年8月2</w:t>
      </w:r>
      <w:r>
        <w:rPr>
          <w:rFonts w:hint="eastAsia" w:ascii="仿宋" w:hAnsi="仿宋" w:eastAsia="仿宋"/>
          <w:sz w:val="28"/>
          <w:szCs w:val="28"/>
          <w:lang w:val="en-US" w:eastAsia="zh-CN"/>
        </w:rPr>
        <w:t>8</w:t>
      </w:r>
      <w:r>
        <w:rPr>
          <w:rFonts w:hint="eastAsia" w:ascii="仿宋" w:hAnsi="仿宋" w:eastAsia="仿宋"/>
          <w:sz w:val="28"/>
          <w:szCs w:val="28"/>
        </w:rPr>
        <w:t>日</w:t>
      </w:r>
    </w:p>
    <w:p w14:paraId="34433185"/>
    <w:p w14:paraId="4B51EF99">
      <w:pPr>
        <w:tabs>
          <w:tab w:val="right" w:leader="dot" w:pos="8296"/>
        </w:tabs>
        <w:adjustRightInd w:val="0"/>
        <w:snapToGrid w:val="0"/>
        <w:spacing w:line="440" w:lineRule="exact"/>
        <w:jc w:val="left"/>
        <w:rPr>
          <w:rFonts w:ascii="仿宋" w:hAnsi="仿宋" w:eastAsia="仿宋"/>
          <w:sz w:val="28"/>
          <w:szCs w:val="28"/>
        </w:rPr>
      </w:pPr>
      <w:r>
        <w:rPr>
          <w:rFonts w:hint="eastAsia" w:ascii="仿宋" w:hAnsi="仿宋" w:eastAsia="仿宋"/>
          <w:sz w:val="28"/>
          <w:szCs w:val="28"/>
        </w:rPr>
        <w:t>第一部分 部门概况</w:t>
      </w:r>
      <w:r>
        <w:rPr>
          <w:rFonts w:hint="eastAsia" w:ascii="仿宋" w:hAnsi="仿宋" w:eastAsia="仿宋"/>
          <w:sz w:val="28"/>
          <w:szCs w:val="28"/>
        </w:rPr>
        <w:tab/>
      </w:r>
      <w:r>
        <w:rPr>
          <w:rFonts w:hint="eastAsia" w:ascii="仿宋" w:hAnsi="仿宋" w:eastAsia="仿宋"/>
          <w:sz w:val="28"/>
          <w:szCs w:val="28"/>
        </w:rPr>
        <w:t>4</w:t>
      </w:r>
    </w:p>
    <w:p w14:paraId="35A62350">
      <w:pPr>
        <w:tabs>
          <w:tab w:val="right" w:leader="dot" w:pos="8296"/>
        </w:tabs>
        <w:adjustRightInd w:val="0"/>
        <w:snapToGrid w:val="0"/>
        <w:spacing w:line="440" w:lineRule="exact"/>
        <w:ind w:firstLine="560" w:firstLineChars="200"/>
        <w:jc w:val="left"/>
        <w:rPr>
          <w:rFonts w:ascii="仿宋" w:hAnsi="仿宋" w:eastAsia="仿宋"/>
          <w:sz w:val="28"/>
          <w:szCs w:val="28"/>
        </w:rPr>
      </w:pPr>
      <w:r>
        <w:rPr>
          <w:rFonts w:hint="eastAsia" w:ascii="仿宋" w:hAnsi="仿宋" w:eastAsia="仿宋"/>
          <w:sz w:val="28"/>
          <w:szCs w:val="28"/>
        </w:rPr>
        <w:t>一、部门职责</w:t>
      </w:r>
      <w:r>
        <w:rPr>
          <w:rFonts w:hint="eastAsia" w:ascii="仿宋" w:hAnsi="仿宋" w:eastAsia="仿宋"/>
          <w:sz w:val="28"/>
          <w:szCs w:val="28"/>
        </w:rPr>
        <w:tab/>
      </w:r>
      <w:r>
        <w:rPr>
          <w:rFonts w:hint="eastAsia" w:ascii="仿宋" w:hAnsi="仿宋" w:eastAsia="仿宋"/>
          <w:sz w:val="28"/>
          <w:szCs w:val="28"/>
        </w:rPr>
        <w:t>4</w:t>
      </w:r>
    </w:p>
    <w:p w14:paraId="7234CEDF">
      <w:pPr>
        <w:tabs>
          <w:tab w:val="right" w:leader="dot" w:pos="8296"/>
        </w:tabs>
        <w:adjustRightInd w:val="0"/>
        <w:snapToGrid w:val="0"/>
        <w:spacing w:line="440" w:lineRule="exact"/>
        <w:ind w:firstLine="560" w:firstLineChars="200"/>
        <w:jc w:val="left"/>
        <w:rPr>
          <w:rFonts w:hint="eastAsia" w:eastAsia="仿宋"/>
          <w:lang w:eastAsia="zh-CN"/>
        </w:rPr>
      </w:pPr>
      <w:r>
        <w:rPr>
          <w:rFonts w:hint="eastAsia" w:ascii="仿宋" w:hAnsi="仿宋" w:eastAsia="仿宋"/>
          <w:sz w:val="28"/>
          <w:szCs w:val="28"/>
        </w:rPr>
        <w:t>二、机构设置</w:t>
      </w:r>
      <w:r>
        <w:rPr>
          <w:rFonts w:hint="eastAsia" w:ascii="仿宋" w:hAnsi="仿宋" w:eastAsia="仿宋"/>
          <w:sz w:val="28"/>
          <w:szCs w:val="28"/>
        </w:rPr>
        <w:tab/>
      </w:r>
      <w:r>
        <w:rPr>
          <w:rFonts w:hint="eastAsia" w:ascii="仿宋" w:hAnsi="仿宋" w:eastAsia="仿宋"/>
          <w:sz w:val="28"/>
          <w:szCs w:val="28"/>
          <w:lang w:val="en-US" w:eastAsia="zh-CN"/>
        </w:rPr>
        <w:t>5</w:t>
      </w:r>
    </w:p>
    <w:p w14:paraId="51B45D3C">
      <w:pPr>
        <w:tabs>
          <w:tab w:val="right" w:leader="dot" w:pos="8296"/>
        </w:tabs>
        <w:adjustRightInd w:val="0"/>
        <w:snapToGrid w:val="0"/>
        <w:spacing w:line="440" w:lineRule="exact"/>
        <w:jc w:val="left"/>
        <w:rPr>
          <w:rFonts w:hint="eastAsia" w:ascii="仿宋" w:hAnsi="仿宋" w:eastAsia="仿宋"/>
          <w:sz w:val="28"/>
          <w:szCs w:val="28"/>
          <w:lang w:eastAsia="zh-CN"/>
        </w:rPr>
      </w:pPr>
      <w:r>
        <w:rPr>
          <w:rFonts w:hint="eastAsia" w:ascii="仿宋" w:hAnsi="仿宋" w:eastAsia="仿宋"/>
          <w:sz w:val="28"/>
          <w:szCs w:val="28"/>
        </w:rPr>
        <w:t>第二部分 202</w:t>
      </w:r>
      <w:r>
        <w:rPr>
          <w:rFonts w:hint="eastAsia" w:ascii="仿宋" w:hAnsi="仿宋" w:eastAsia="仿宋"/>
          <w:sz w:val="28"/>
          <w:szCs w:val="28"/>
          <w:lang w:val="en-US" w:eastAsia="zh-CN"/>
        </w:rPr>
        <w:t>4</w:t>
      </w:r>
      <w:r>
        <w:rPr>
          <w:rFonts w:hint="eastAsia" w:ascii="仿宋" w:hAnsi="仿宋" w:eastAsia="仿宋"/>
          <w:sz w:val="28"/>
          <w:szCs w:val="28"/>
        </w:rPr>
        <w:t>年度部门决算情况说明</w:t>
      </w:r>
      <w:r>
        <w:rPr>
          <w:rFonts w:hint="eastAsia" w:ascii="仿宋" w:hAnsi="仿宋" w:eastAsia="仿宋"/>
          <w:sz w:val="28"/>
          <w:szCs w:val="28"/>
        </w:rPr>
        <w:tab/>
      </w:r>
      <w:r>
        <w:rPr>
          <w:rFonts w:hint="eastAsia" w:ascii="仿宋" w:hAnsi="仿宋" w:eastAsia="仿宋"/>
          <w:sz w:val="28"/>
          <w:szCs w:val="28"/>
          <w:lang w:val="en-US" w:eastAsia="zh-CN"/>
        </w:rPr>
        <w:t>5</w:t>
      </w:r>
    </w:p>
    <w:p w14:paraId="10B2A4C5">
      <w:pPr>
        <w:tabs>
          <w:tab w:val="right" w:leader="dot" w:pos="8296"/>
        </w:tabs>
        <w:adjustRightInd w:val="0"/>
        <w:snapToGrid w:val="0"/>
        <w:spacing w:line="440" w:lineRule="exact"/>
        <w:ind w:firstLine="560" w:firstLineChars="200"/>
        <w:jc w:val="left"/>
        <w:rPr>
          <w:rFonts w:ascii="仿宋" w:hAnsi="仿宋" w:eastAsia="仿宋"/>
          <w:sz w:val="28"/>
          <w:szCs w:val="28"/>
        </w:rPr>
      </w:pPr>
      <w:r>
        <w:rPr>
          <w:rFonts w:hint="eastAsia" w:ascii="仿宋" w:hAnsi="仿宋" w:eastAsia="仿宋"/>
          <w:sz w:val="28"/>
          <w:szCs w:val="28"/>
        </w:rPr>
        <w:t>一、收入支出决算总体情况说明</w:t>
      </w:r>
      <w:r>
        <w:rPr>
          <w:rFonts w:hint="eastAsia" w:ascii="仿宋" w:hAnsi="仿宋" w:eastAsia="仿宋"/>
          <w:sz w:val="28"/>
          <w:szCs w:val="28"/>
        </w:rPr>
        <w:tab/>
      </w:r>
      <w:r>
        <w:rPr>
          <w:rFonts w:ascii="仿宋" w:hAnsi="仿宋" w:eastAsia="仿宋"/>
          <w:sz w:val="28"/>
          <w:szCs w:val="28"/>
        </w:rPr>
        <w:t>6</w:t>
      </w:r>
    </w:p>
    <w:p w14:paraId="1CBFC9BD">
      <w:pPr>
        <w:tabs>
          <w:tab w:val="right" w:leader="dot" w:pos="8296"/>
        </w:tabs>
        <w:adjustRightInd w:val="0"/>
        <w:snapToGrid w:val="0"/>
        <w:spacing w:line="440" w:lineRule="exact"/>
        <w:ind w:firstLine="560" w:firstLineChars="200"/>
        <w:jc w:val="left"/>
        <w:rPr>
          <w:rFonts w:ascii="仿宋" w:hAnsi="仿宋" w:eastAsia="仿宋"/>
          <w:sz w:val="28"/>
          <w:szCs w:val="28"/>
        </w:rPr>
      </w:pPr>
      <w:r>
        <w:rPr>
          <w:rFonts w:hint="eastAsia" w:ascii="仿宋" w:hAnsi="仿宋" w:eastAsia="仿宋"/>
          <w:sz w:val="28"/>
          <w:szCs w:val="28"/>
        </w:rPr>
        <w:t>二、收入决算情况说明</w:t>
      </w:r>
      <w:r>
        <w:rPr>
          <w:rFonts w:hint="eastAsia" w:ascii="仿宋" w:hAnsi="仿宋" w:eastAsia="仿宋"/>
          <w:sz w:val="28"/>
          <w:szCs w:val="28"/>
        </w:rPr>
        <w:tab/>
      </w:r>
      <w:r>
        <w:rPr>
          <w:rFonts w:hint="eastAsia" w:ascii="仿宋" w:hAnsi="仿宋" w:eastAsia="仿宋"/>
          <w:sz w:val="28"/>
          <w:szCs w:val="28"/>
        </w:rPr>
        <w:t>6</w:t>
      </w:r>
    </w:p>
    <w:p w14:paraId="362F256D">
      <w:pPr>
        <w:tabs>
          <w:tab w:val="right" w:leader="dot" w:pos="8296"/>
        </w:tabs>
        <w:adjustRightInd w:val="0"/>
        <w:snapToGrid w:val="0"/>
        <w:spacing w:line="440" w:lineRule="exact"/>
        <w:ind w:firstLine="560" w:firstLineChars="200"/>
        <w:jc w:val="left"/>
        <w:rPr>
          <w:rFonts w:hint="eastAsia" w:ascii="仿宋" w:hAnsi="仿宋" w:eastAsia="仿宋"/>
          <w:sz w:val="28"/>
          <w:szCs w:val="28"/>
          <w:lang w:eastAsia="zh-CN"/>
        </w:rPr>
      </w:pPr>
      <w:r>
        <w:rPr>
          <w:rFonts w:hint="eastAsia" w:ascii="仿宋" w:hAnsi="仿宋" w:eastAsia="仿宋"/>
          <w:sz w:val="28"/>
          <w:szCs w:val="28"/>
        </w:rPr>
        <w:t>三、支出决算情况说明</w:t>
      </w:r>
      <w:r>
        <w:rPr>
          <w:rFonts w:hint="eastAsia" w:ascii="仿宋" w:hAnsi="仿宋" w:eastAsia="仿宋"/>
          <w:sz w:val="28"/>
          <w:szCs w:val="28"/>
        </w:rPr>
        <w:tab/>
      </w:r>
      <w:r>
        <w:rPr>
          <w:rFonts w:hint="eastAsia" w:ascii="仿宋" w:hAnsi="仿宋" w:eastAsia="仿宋"/>
          <w:sz w:val="28"/>
          <w:szCs w:val="28"/>
          <w:lang w:val="en-US" w:eastAsia="zh-CN"/>
        </w:rPr>
        <w:t>6</w:t>
      </w:r>
    </w:p>
    <w:p w14:paraId="64A80807">
      <w:pPr>
        <w:tabs>
          <w:tab w:val="right" w:leader="dot" w:pos="8296"/>
        </w:tabs>
        <w:adjustRightInd w:val="0"/>
        <w:snapToGrid w:val="0"/>
        <w:spacing w:line="440" w:lineRule="exact"/>
        <w:ind w:firstLine="560" w:firstLineChars="200"/>
        <w:jc w:val="left"/>
        <w:rPr>
          <w:rFonts w:ascii="仿宋" w:hAnsi="仿宋" w:eastAsia="仿宋"/>
          <w:sz w:val="28"/>
          <w:szCs w:val="28"/>
        </w:rPr>
      </w:pPr>
      <w:r>
        <w:rPr>
          <w:rFonts w:hint="eastAsia" w:ascii="仿宋" w:hAnsi="仿宋" w:eastAsia="仿宋"/>
          <w:sz w:val="28"/>
          <w:szCs w:val="28"/>
        </w:rPr>
        <w:t>四、财政拨款收入支出决算总体情况说明</w:t>
      </w:r>
      <w:r>
        <w:rPr>
          <w:rFonts w:hint="eastAsia" w:ascii="仿宋" w:hAnsi="仿宋" w:eastAsia="仿宋"/>
          <w:sz w:val="28"/>
          <w:szCs w:val="28"/>
        </w:rPr>
        <w:tab/>
      </w:r>
      <w:r>
        <w:rPr>
          <w:rFonts w:ascii="仿宋" w:hAnsi="仿宋" w:eastAsia="仿宋"/>
          <w:sz w:val="28"/>
          <w:szCs w:val="28"/>
        </w:rPr>
        <w:t>7</w:t>
      </w:r>
    </w:p>
    <w:p w14:paraId="0E2D566D">
      <w:pPr>
        <w:tabs>
          <w:tab w:val="right" w:leader="dot" w:pos="8296"/>
        </w:tabs>
        <w:adjustRightInd w:val="0"/>
        <w:snapToGrid w:val="0"/>
        <w:spacing w:line="440" w:lineRule="exact"/>
        <w:ind w:firstLine="560" w:firstLineChars="200"/>
        <w:jc w:val="left"/>
        <w:rPr>
          <w:rFonts w:hint="default" w:ascii="仿宋" w:hAnsi="仿宋" w:eastAsia="仿宋"/>
          <w:sz w:val="28"/>
          <w:szCs w:val="28"/>
          <w:lang w:val="en-US" w:eastAsia="zh-CN"/>
        </w:rPr>
      </w:pPr>
      <w:r>
        <w:rPr>
          <w:rFonts w:hint="eastAsia" w:ascii="仿宋" w:hAnsi="仿宋" w:eastAsia="仿宋"/>
          <w:sz w:val="28"/>
          <w:szCs w:val="28"/>
        </w:rPr>
        <w:t>五、一般公共预算财政拨款支出决算情况说明</w:t>
      </w:r>
      <w:r>
        <w:rPr>
          <w:rFonts w:hint="eastAsia" w:ascii="仿宋" w:hAnsi="仿宋" w:eastAsia="仿宋"/>
          <w:sz w:val="28"/>
          <w:szCs w:val="28"/>
        </w:rPr>
        <w:tab/>
      </w:r>
      <w:r>
        <w:rPr>
          <w:rFonts w:hint="eastAsia" w:ascii="仿宋" w:hAnsi="仿宋" w:eastAsia="仿宋"/>
          <w:sz w:val="28"/>
          <w:szCs w:val="28"/>
          <w:lang w:val="en-US" w:eastAsia="zh-CN"/>
        </w:rPr>
        <w:t>7</w:t>
      </w:r>
    </w:p>
    <w:p w14:paraId="44BC0568">
      <w:pPr>
        <w:tabs>
          <w:tab w:val="right" w:leader="dot" w:pos="8296"/>
        </w:tabs>
        <w:adjustRightInd w:val="0"/>
        <w:snapToGrid w:val="0"/>
        <w:spacing w:line="440" w:lineRule="exact"/>
        <w:ind w:firstLine="560" w:firstLineChars="200"/>
        <w:jc w:val="left"/>
        <w:rPr>
          <w:rFonts w:hint="default" w:ascii="仿宋" w:hAnsi="仿宋" w:eastAsia="仿宋"/>
          <w:sz w:val="28"/>
          <w:szCs w:val="28"/>
          <w:lang w:val="en-US" w:eastAsia="zh-CN"/>
        </w:rPr>
      </w:pPr>
      <w:r>
        <w:rPr>
          <w:rFonts w:hint="eastAsia" w:ascii="仿宋" w:hAnsi="仿宋" w:eastAsia="仿宋"/>
          <w:sz w:val="28"/>
          <w:szCs w:val="28"/>
        </w:rPr>
        <w:t>六、一般公共预算财政拨款基本支出决算情况说明</w:t>
      </w:r>
      <w:r>
        <w:rPr>
          <w:rFonts w:hint="eastAsia" w:ascii="仿宋" w:hAnsi="仿宋" w:eastAsia="仿宋"/>
          <w:sz w:val="28"/>
          <w:szCs w:val="28"/>
        </w:rPr>
        <w:tab/>
      </w:r>
      <w:r>
        <w:rPr>
          <w:rFonts w:hint="eastAsia" w:ascii="仿宋" w:hAnsi="仿宋" w:eastAsia="仿宋"/>
          <w:sz w:val="28"/>
          <w:szCs w:val="28"/>
          <w:lang w:val="en-US" w:eastAsia="zh-CN"/>
        </w:rPr>
        <w:t>10</w:t>
      </w:r>
    </w:p>
    <w:p w14:paraId="2047D5D2">
      <w:pPr>
        <w:tabs>
          <w:tab w:val="right" w:leader="dot" w:pos="8296"/>
        </w:tabs>
        <w:adjustRightInd w:val="0"/>
        <w:snapToGrid w:val="0"/>
        <w:spacing w:line="440" w:lineRule="exact"/>
        <w:ind w:firstLine="560" w:firstLineChars="200"/>
        <w:jc w:val="left"/>
        <w:rPr>
          <w:rFonts w:hint="default" w:ascii="仿宋" w:hAnsi="仿宋" w:eastAsia="仿宋"/>
          <w:sz w:val="28"/>
          <w:szCs w:val="28"/>
          <w:lang w:val="en-US" w:eastAsia="zh-CN"/>
        </w:rPr>
      </w:pPr>
      <w:r>
        <w:rPr>
          <w:rFonts w:hint="eastAsia" w:ascii="仿宋" w:hAnsi="仿宋" w:eastAsia="仿宋"/>
          <w:sz w:val="28"/>
          <w:szCs w:val="28"/>
        </w:rPr>
        <w:t>七、财政拨款“三公”经费支出决算情况说明</w:t>
      </w:r>
      <w:r>
        <w:rPr>
          <w:rFonts w:hint="eastAsia" w:ascii="仿宋" w:hAnsi="仿宋" w:eastAsia="仿宋"/>
          <w:sz w:val="28"/>
          <w:szCs w:val="28"/>
        </w:rPr>
        <w:tab/>
      </w:r>
      <w:r>
        <w:rPr>
          <w:rFonts w:hint="eastAsia" w:ascii="仿宋" w:hAnsi="仿宋" w:eastAsia="仿宋"/>
          <w:sz w:val="28"/>
          <w:szCs w:val="28"/>
          <w:lang w:val="en-US" w:eastAsia="zh-CN"/>
        </w:rPr>
        <w:t>11</w:t>
      </w:r>
    </w:p>
    <w:p w14:paraId="75554427">
      <w:pPr>
        <w:tabs>
          <w:tab w:val="right" w:leader="dot" w:pos="8296"/>
        </w:tabs>
        <w:adjustRightInd w:val="0"/>
        <w:snapToGrid w:val="0"/>
        <w:spacing w:line="440" w:lineRule="exact"/>
        <w:ind w:firstLine="560" w:firstLineChars="200"/>
        <w:jc w:val="left"/>
        <w:rPr>
          <w:rFonts w:hint="default" w:ascii="仿宋" w:hAnsi="仿宋" w:eastAsia="仿宋"/>
          <w:sz w:val="28"/>
          <w:szCs w:val="28"/>
          <w:lang w:val="en-US" w:eastAsia="zh-CN"/>
        </w:rPr>
      </w:pPr>
      <w:r>
        <w:rPr>
          <w:rFonts w:hint="eastAsia" w:ascii="仿宋" w:hAnsi="仿宋" w:eastAsia="仿宋"/>
          <w:sz w:val="28"/>
          <w:szCs w:val="28"/>
        </w:rPr>
        <w:t>八、政府性基金预算支出决算情况说明</w:t>
      </w:r>
      <w:r>
        <w:rPr>
          <w:rFonts w:hint="eastAsia" w:ascii="仿宋" w:hAnsi="仿宋" w:eastAsia="仿宋"/>
          <w:sz w:val="28"/>
          <w:szCs w:val="28"/>
        </w:rPr>
        <w:tab/>
      </w:r>
      <w:r>
        <w:rPr>
          <w:rFonts w:hint="eastAsia" w:ascii="仿宋" w:hAnsi="仿宋" w:eastAsia="仿宋"/>
          <w:sz w:val="28"/>
          <w:szCs w:val="28"/>
          <w:lang w:val="en-US" w:eastAsia="zh-CN"/>
        </w:rPr>
        <w:t>12</w:t>
      </w:r>
    </w:p>
    <w:p w14:paraId="3AE7B988">
      <w:pPr>
        <w:tabs>
          <w:tab w:val="right" w:leader="dot" w:pos="8296"/>
        </w:tabs>
        <w:adjustRightInd w:val="0"/>
        <w:snapToGrid w:val="0"/>
        <w:spacing w:line="440" w:lineRule="exact"/>
        <w:ind w:firstLine="560" w:firstLineChars="200"/>
        <w:jc w:val="left"/>
        <w:rPr>
          <w:rFonts w:hint="default" w:ascii="仿宋" w:hAnsi="仿宋" w:eastAsia="仿宋"/>
          <w:sz w:val="28"/>
          <w:szCs w:val="28"/>
          <w:lang w:val="en-US" w:eastAsia="zh-CN"/>
        </w:rPr>
      </w:pPr>
      <w:r>
        <w:rPr>
          <w:rFonts w:hint="eastAsia" w:ascii="仿宋" w:hAnsi="仿宋" w:eastAsia="仿宋"/>
          <w:sz w:val="28"/>
          <w:szCs w:val="28"/>
        </w:rPr>
        <w:t>九、国有资本经营预算支出决算情况说明</w:t>
      </w:r>
      <w:r>
        <w:rPr>
          <w:rFonts w:hint="eastAsia" w:ascii="仿宋" w:hAnsi="仿宋" w:eastAsia="仿宋"/>
          <w:sz w:val="28"/>
          <w:szCs w:val="28"/>
        </w:rPr>
        <w:tab/>
      </w:r>
      <w:r>
        <w:rPr>
          <w:rFonts w:hint="eastAsia" w:ascii="仿宋" w:hAnsi="仿宋" w:eastAsia="仿宋"/>
          <w:sz w:val="28"/>
          <w:szCs w:val="28"/>
          <w:lang w:val="en-US" w:eastAsia="zh-CN"/>
        </w:rPr>
        <w:t>12</w:t>
      </w:r>
    </w:p>
    <w:p w14:paraId="40725DCD">
      <w:pPr>
        <w:tabs>
          <w:tab w:val="right" w:leader="dot" w:pos="8296"/>
        </w:tabs>
        <w:adjustRightInd w:val="0"/>
        <w:snapToGrid w:val="0"/>
        <w:spacing w:line="440" w:lineRule="exact"/>
        <w:ind w:firstLine="560" w:firstLineChars="200"/>
        <w:jc w:val="left"/>
        <w:rPr>
          <w:rFonts w:hint="default" w:ascii="仿宋" w:hAnsi="仿宋" w:eastAsia="仿宋"/>
          <w:sz w:val="28"/>
          <w:szCs w:val="28"/>
          <w:lang w:val="en-US" w:eastAsia="zh-CN"/>
        </w:rPr>
      </w:pPr>
      <w:r>
        <w:rPr>
          <w:rFonts w:hint="eastAsia" w:ascii="仿宋" w:hAnsi="仿宋" w:eastAsia="仿宋"/>
          <w:sz w:val="28"/>
          <w:szCs w:val="28"/>
        </w:rPr>
        <w:t>十、其他重要事项的情况说明</w:t>
      </w:r>
      <w:r>
        <w:rPr>
          <w:rFonts w:hint="eastAsia" w:ascii="仿宋" w:hAnsi="仿宋" w:eastAsia="仿宋"/>
          <w:sz w:val="28"/>
          <w:szCs w:val="28"/>
        </w:rPr>
        <w:tab/>
      </w:r>
      <w:r>
        <w:rPr>
          <w:rFonts w:hint="eastAsia" w:ascii="仿宋" w:hAnsi="仿宋" w:eastAsia="仿宋"/>
          <w:sz w:val="28"/>
          <w:szCs w:val="28"/>
          <w:lang w:val="en-US" w:eastAsia="zh-CN"/>
        </w:rPr>
        <w:t>12</w:t>
      </w:r>
    </w:p>
    <w:p w14:paraId="44EB60BC">
      <w:pPr>
        <w:tabs>
          <w:tab w:val="right" w:leader="dot" w:pos="8296"/>
        </w:tabs>
        <w:adjustRightInd w:val="0"/>
        <w:snapToGrid w:val="0"/>
        <w:spacing w:line="440" w:lineRule="exact"/>
        <w:jc w:val="left"/>
        <w:rPr>
          <w:rFonts w:hint="default" w:ascii="仿宋" w:hAnsi="仿宋" w:eastAsia="仿宋"/>
          <w:sz w:val="28"/>
          <w:szCs w:val="28"/>
          <w:lang w:val="en-US" w:eastAsia="zh-CN"/>
        </w:rPr>
      </w:pPr>
      <w:r>
        <w:rPr>
          <w:rFonts w:hint="eastAsia" w:ascii="仿宋" w:hAnsi="仿宋" w:eastAsia="仿宋"/>
          <w:sz w:val="28"/>
          <w:szCs w:val="28"/>
        </w:rPr>
        <w:t>第三部分 名词解释</w:t>
      </w:r>
      <w:r>
        <w:rPr>
          <w:rFonts w:hint="eastAsia" w:ascii="仿宋" w:hAnsi="仿宋" w:eastAsia="仿宋"/>
          <w:sz w:val="28"/>
          <w:szCs w:val="28"/>
        </w:rPr>
        <w:tab/>
      </w:r>
      <w:r>
        <w:rPr>
          <w:rFonts w:hint="eastAsia" w:ascii="仿宋" w:hAnsi="仿宋" w:eastAsia="仿宋"/>
          <w:sz w:val="28"/>
          <w:szCs w:val="28"/>
          <w:lang w:val="en-US" w:eastAsia="zh-CN"/>
        </w:rPr>
        <w:t>15</w:t>
      </w:r>
    </w:p>
    <w:p w14:paraId="0EE3C7BB">
      <w:pPr>
        <w:tabs>
          <w:tab w:val="right" w:leader="dot" w:pos="8296"/>
        </w:tabs>
        <w:adjustRightInd w:val="0"/>
        <w:snapToGrid w:val="0"/>
        <w:spacing w:line="440" w:lineRule="exact"/>
        <w:jc w:val="left"/>
        <w:rPr>
          <w:rFonts w:hint="default" w:ascii="仿宋" w:hAnsi="仿宋" w:eastAsia="仿宋"/>
          <w:sz w:val="28"/>
          <w:szCs w:val="28"/>
          <w:lang w:val="en-US" w:eastAsia="zh-CN"/>
        </w:rPr>
      </w:pPr>
      <w:r>
        <w:rPr>
          <w:rFonts w:hint="eastAsia" w:ascii="仿宋" w:hAnsi="仿宋" w:eastAsia="仿宋"/>
          <w:sz w:val="28"/>
          <w:szCs w:val="28"/>
        </w:rPr>
        <w:t>第四部分 附件</w:t>
      </w:r>
      <w:r>
        <w:rPr>
          <w:rFonts w:hint="eastAsia" w:ascii="仿宋" w:hAnsi="仿宋" w:eastAsia="仿宋"/>
          <w:sz w:val="28"/>
          <w:szCs w:val="28"/>
        </w:rPr>
        <w:tab/>
      </w:r>
      <w:r>
        <w:rPr>
          <w:rFonts w:hint="eastAsia" w:ascii="仿宋" w:hAnsi="仿宋" w:eastAsia="仿宋"/>
          <w:sz w:val="28"/>
          <w:szCs w:val="28"/>
          <w:lang w:val="en-US" w:eastAsia="zh-CN"/>
        </w:rPr>
        <w:t>19</w:t>
      </w:r>
    </w:p>
    <w:p w14:paraId="6FF10021">
      <w:pPr>
        <w:tabs>
          <w:tab w:val="right" w:leader="dot" w:pos="8296"/>
        </w:tabs>
        <w:adjustRightInd w:val="0"/>
        <w:snapToGrid w:val="0"/>
        <w:spacing w:line="440" w:lineRule="exact"/>
        <w:jc w:val="left"/>
        <w:rPr>
          <w:rFonts w:hint="default" w:ascii="仿宋" w:hAnsi="仿宋" w:eastAsia="仿宋"/>
          <w:sz w:val="28"/>
          <w:szCs w:val="28"/>
          <w:lang w:val="en-US" w:eastAsia="zh-CN"/>
        </w:rPr>
      </w:pPr>
      <w:r>
        <w:rPr>
          <w:rFonts w:hint="eastAsia" w:ascii="仿宋" w:hAnsi="仿宋" w:eastAsia="仿宋"/>
          <w:sz w:val="28"/>
          <w:szCs w:val="28"/>
        </w:rPr>
        <w:t>第五部分 附表</w:t>
      </w:r>
      <w:r>
        <w:rPr>
          <w:rFonts w:hint="eastAsia" w:ascii="仿宋" w:hAnsi="仿宋" w:eastAsia="仿宋"/>
          <w:sz w:val="28"/>
          <w:szCs w:val="28"/>
        </w:rPr>
        <w:tab/>
      </w:r>
      <w:r>
        <w:rPr>
          <w:rFonts w:hint="eastAsia" w:ascii="仿宋" w:hAnsi="仿宋" w:eastAsia="仿宋"/>
          <w:sz w:val="28"/>
          <w:szCs w:val="28"/>
          <w:lang w:val="en-US" w:eastAsia="zh-CN"/>
        </w:rPr>
        <w:t>32</w:t>
      </w:r>
    </w:p>
    <w:p w14:paraId="5B48968D">
      <w:pPr>
        <w:tabs>
          <w:tab w:val="right" w:leader="dot" w:pos="8296"/>
        </w:tabs>
        <w:adjustRightInd w:val="0"/>
        <w:snapToGrid w:val="0"/>
        <w:spacing w:line="440" w:lineRule="exact"/>
        <w:ind w:firstLine="560" w:firstLineChars="200"/>
        <w:jc w:val="left"/>
        <w:rPr>
          <w:rFonts w:hint="default" w:ascii="仿宋" w:hAnsi="仿宋" w:eastAsia="仿宋"/>
          <w:sz w:val="28"/>
          <w:szCs w:val="28"/>
          <w:lang w:val="en-US" w:eastAsia="zh-CN"/>
        </w:rPr>
      </w:pPr>
      <w:r>
        <w:rPr>
          <w:rFonts w:hint="eastAsia" w:ascii="仿宋" w:hAnsi="仿宋" w:eastAsia="仿宋"/>
          <w:sz w:val="28"/>
          <w:szCs w:val="28"/>
        </w:rPr>
        <w:t>一、收入支出决算总表</w:t>
      </w:r>
      <w:r>
        <w:rPr>
          <w:rFonts w:hint="eastAsia" w:ascii="仿宋" w:hAnsi="仿宋" w:eastAsia="仿宋"/>
          <w:sz w:val="28"/>
          <w:szCs w:val="28"/>
        </w:rPr>
        <w:tab/>
      </w:r>
      <w:r>
        <w:rPr>
          <w:rFonts w:hint="eastAsia" w:ascii="仿宋" w:hAnsi="仿宋" w:eastAsia="仿宋"/>
          <w:sz w:val="28"/>
          <w:szCs w:val="28"/>
          <w:lang w:val="en-US" w:eastAsia="zh-CN"/>
        </w:rPr>
        <w:t>32</w:t>
      </w:r>
    </w:p>
    <w:p w14:paraId="06B81856">
      <w:pPr>
        <w:tabs>
          <w:tab w:val="right" w:leader="dot" w:pos="8296"/>
        </w:tabs>
        <w:adjustRightInd w:val="0"/>
        <w:snapToGrid w:val="0"/>
        <w:spacing w:line="440" w:lineRule="exact"/>
        <w:ind w:firstLine="560" w:firstLineChars="200"/>
        <w:jc w:val="left"/>
        <w:rPr>
          <w:rFonts w:hint="default" w:ascii="仿宋" w:hAnsi="仿宋" w:eastAsia="仿宋"/>
          <w:sz w:val="28"/>
          <w:szCs w:val="28"/>
          <w:lang w:val="en-US"/>
        </w:rPr>
      </w:pPr>
      <w:r>
        <w:rPr>
          <w:rFonts w:hint="eastAsia" w:ascii="仿宋" w:hAnsi="仿宋" w:eastAsia="仿宋"/>
          <w:sz w:val="28"/>
          <w:szCs w:val="28"/>
        </w:rPr>
        <w:t>二、收入决算表</w:t>
      </w:r>
      <w:r>
        <w:rPr>
          <w:rFonts w:hint="eastAsia" w:ascii="仿宋" w:hAnsi="仿宋" w:eastAsia="仿宋"/>
          <w:sz w:val="28"/>
          <w:szCs w:val="28"/>
        </w:rPr>
        <w:tab/>
      </w:r>
      <w:r>
        <w:rPr>
          <w:rFonts w:hint="eastAsia" w:ascii="仿宋" w:hAnsi="仿宋" w:eastAsia="仿宋"/>
          <w:sz w:val="28"/>
          <w:szCs w:val="28"/>
          <w:lang w:val="en-US" w:eastAsia="zh-CN"/>
        </w:rPr>
        <w:t>32</w:t>
      </w:r>
    </w:p>
    <w:p w14:paraId="19452E67">
      <w:pPr>
        <w:tabs>
          <w:tab w:val="right" w:leader="dot" w:pos="8296"/>
        </w:tabs>
        <w:adjustRightInd w:val="0"/>
        <w:snapToGrid w:val="0"/>
        <w:spacing w:line="440" w:lineRule="exact"/>
        <w:ind w:firstLine="560" w:firstLineChars="200"/>
        <w:jc w:val="left"/>
        <w:rPr>
          <w:rFonts w:hint="eastAsia" w:ascii="仿宋" w:hAnsi="仿宋" w:eastAsia="仿宋"/>
          <w:sz w:val="28"/>
          <w:szCs w:val="28"/>
          <w:lang w:val="en-US" w:eastAsia="zh-CN"/>
        </w:rPr>
      </w:pPr>
      <w:r>
        <w:rPr>
          <w:rFonts w:hint="eastAsia" w:ascii="仿宋" w:hAnsi="仿宋" w:eastAsia="仿宋"/>
          <w:sz w:val="28"/>
          <w:szCs w:val="28"/>
        </w:rPr>
        <w:t>三、支出决算表</w:t>
      </w:r>
      <w:r>
        <w:rPr>
          <w:rFonts w:hint="eastAsia" w:ascii="仿宋" w:hAnsi="仿宋" w:eastAsia="仿宋"/>
          <w:sz w:val="28"/>
          <w:szCs w:val="28"/>
        </w:rPr>
        <w:tab/>
      </w:r>
      <w:r>
        <w:rPr>
          <w:rFonts w:hint="eastAsia" w:ascii="仿宋" w:hAnsi="仿宋" w:eastAsia="仿宋"/>
          <w:sz w:val="28"/>
          <w:szCs w:val="28"/>
          <w:lang w:val="en-US" w:eastAsia="zh-CN"/>
        </w:rPr>
        <w:t>32</w:t>
      </w:r>
    </w:p>
    <w:p w14:paraId="004C268D">
      <w:pPr>
        <w:tabs>
          <w:tab w:val="right" w:leader="dot" w:pos="8296"/>
        </w:tabs>
        <w:adjustRightInd w:val="0"/>
        <w:snapToGrid w:val="0"/>
        <w:spacing w:line="440" w:lineRule="exact"/>
        <w:ind w:firstLine="560" w:firstLineChars="200"/>
        <w:jc w:val="left"/>
        <w:rPr>
          <w:rFonts w:hint="default" w:ascii="仿宋" w:hAnsi="仿宋" w:eastAsia="仿宋"/>
          <w:sz w:val="28"/>
          <w:szCs w:val="28"/>
          <w:lang w:val="en-US"/>
        </w:rPr>
      </w:pPr>
      <w:r>
        <w:rPr>
          <w:rFonts w:hint="eastAsia" w:ascii="仿宋" w:hAnsi="仿宋" w:eastAsia="仿宋"/>
          <w:sz w:val="28"/>
          <w:szCs w:val="28"/>
        </w:rPr>
        <w:t>四、财政拨款收入支出决算总表</w:t>
      </w:r>
      <w:r>
        <w:rPr>
          <w:rFonts w:hint="eastAsia" w:ascii="仿宋" w:hAnsi="仿宋" w:eastAsia="仿宋"/>
          <w:sz w:val="28"/>
          <w:szCs w:val="28"/>
        </w:rPr>
        <w:tab/>
      </w:r>
      <w:r>
        <w:rPr>
          <w:rFonts w:hint="eastAsia" w:ascii="仿宋" w:hAnsi="仿宋" w:eastAsia="仿宋"/>
          <w:sz w:val="28"/>
          <w:szCs w:val="28"/>
          <w:lang w:val="en-US" w:eastAsia="zh-CN"/>
        </w:rPr>
        <w:t>32</w:t>
      </w:r>
    </w:p>
    <w:p w14:paraId="0F856127">
      <w:pPr>
        <w:tabs>
          <w:tab w:val="right" w:leader="dot" w:pos="8296"/>
        </w:tabs>
        <w:adjustRightInd w:val="0"/>
        <w:snapToGrid w:val="0"/>
        <w:spacing w:line="440" w:lineRule="exact"/>
        <w:ind w:firstLine="560" w:firstLineChars="200"/>
        <w:jc w:val="left"/>
        <w:rPr>
          <w:rFonts w:hint="eastAsia" w:ascii="仿宋" w:hAnsi="仿宋" w:eastAsia="仿宋"/>
          <w:sz w:val="28"/>
          <w:szCs w:val="28"/>
          <w:lang w:val="en-US" w:eastAsia="zh-CN"/>
        </w:rPr>
      </w:pPr>
      <w:r>
        <w:rPr>
          <w:rFonts w:hint="eastAsia" w:ascii="仿宋" w:hAnsi="仿宋" w:eastAsia="仿宋"/>
          <w:sz w:val="28"/>
          <w:szCs w:val="28"/>
        </w:rPr>
        <w:t>五、财政拨款支出决算明细表</w:t>
      </w:r>
      <w:r>
        <w:rPr>
          <w:rFonts w:hint="eastAsia" w:ascii="仿宋" w:hAnsi="仿宋" w:eastAsia="仿宋"/>
          <w:sz w:val="28"/>
          <w:szCs w:val="28"/>
        </w:rPr>
        <w:tab/>
      </w:r>
      <w:r>
        <w:rPr>
          <w:rFonts w:hint="eastAsia" w:ascii="仿宋" w:hAnsi="仿宋" w:eastAsia="仿宋"/>
          <w:sz w:val="28"/>
          <w:szCs w:val="28"/>
          <w:lang w:val="en-US" w:eastAsia="zh-CN"/>
        </w:rPr>
        <w:t>32</w:t>
      </w:r>
    </w:p>
    <w:p w14:paraId="61556D9D">
      <w:pPr>
        <w:tabs>
          <w:tab w:val="right" w:leader="dot" w:pos="8296"/>
        </w:tabs>
        <w:adjustRightInd w:val="0"/>
        <w:snapToGrid w:val="0"/>
        <w:spacing w:line="440" w:lineRule="exact"/>
        <w:ind w:firstLine="560" w:firstLineChars="200"/>
        <w:jc w:val="left"/>
        <w:rPr>
          <w:rFonts w:hint="default" w:ascii="仿宋" w:hAnsi="仿宋" w:eastAsia="仿宋"/>
          <w:sz w:val="28"/>
          <w:szCs w:val="28"/>
          <w:lang w:val="en-US"/>
        </w:rPr>
      </w:pPr>
      <w:r>
        <w:rPr>
          <w:rFonts w:hint="eastAsia" w:ascii="仿宋" w:hAnsi="仿宋" w:eastAsia="仿宋"/>
          <w:sz w:val="28"/>
          <w:szCs w:val="28"/>
        </w:rPr>
        <w:t>六、一般公共预算财政拨款支出决算表</w:t>
      </w:r>
      <w:r>
        <w:rPr>
          <w:rFonts w:hint="eastAsia" w:ascii="仿宋" w:hAnsi="仿宋" w:eastAsia="仿宋"/>
          <w:sz w:val="28"/>
          <w:szCs w:val="28"/>
        </w:rPr>
        <w:tab/>
      </w:r>
      <w:r>
        <w:rPr>
          <w:rFonts w:hint="eastAsia" w:ascii="仿宋" w:hAnsi="仿宋" w:eastAsia="仿宋"/>
          <w:sz w:val="28"/>
          <w:szCs w:val="28"/>
          <w:lang w:val="en-US" w:eastAsia="zh-CN"/>
        </w:rPr>
        <w:t>32</w:t>
      </w:r>
    </w:p>
    <w:p w14:paraId="42D506B9">
      <w:pPr>
        <w:tabs>
          <w:tab w:val="right" w:leader="dot" w:pos="8296"/>
        </w:tabs>
        <w:adjustRightInd w:val="0"/>
        <w:snapToGrid w:val="0"/>
        <w:spacing w:line="440" w:lineRule="exact"/>
        <w:ind w:firstLine="560" w:firstLineChars="200"/>
        <w:jc w:val="left"/>
        <w:rPr>
          <w:rFonts w:hint="default" w:ascii="仿宋" w:hAnsi="仿宋" w:eastAsia="仿宋"/>
          <w:sz w:val="28"/>
          <w:szCs w:val="28"/>
          <w:lang w:val="en-US"/>
        </w:rPr>
      </w:pPr>
      <w:r>
        <w:rPr>
          <w:rFonts w:hint="eastAsia" w:ascii="仿宋" w:hAnsi="仿宋" w:eastAsia="仿宋"/>
          <w:sz w:val="28"/>
          <w:szCs w:val="28"/>
        </w:rPr>
        <w:t>七、一般公共预算财政拨款支出决算明细表</w:t>
      </w:r>
      <w:r>
        <w:rPr>
          <w:rFonts w:hint="eastAsia" w:ascii="仿宋" w:hAnsi="仿宋" w:eastAsia="仿宋"/>
          <w:sz w:val="28"/>
          <w:szCs w:val="28"/>
        </w:rPr>
        <w:tab/>
      </w:r>
      <w:r>
        <w:rPr>
          <w:rFonts w:hint="eastAsia" w:ascii="仿宋" w:hAnsi="仿宋" w:eastAsia="仿宋"/>
          <w:sz w:val="28"/>
          <w:szCs w:val="28"/>
          <w:lang w:val="en-US" w:eastAsia="zh-CN"/>
        </w:rPr>
        <w:t>32</w:t>
      </w:r>
    </w:p>
    <w:p w14:paraId="34879155">
      <w:pPr>
        <w:tabs>
          <w:tab w:val="right" w:leader="dot" w:pos="8296"/>
        </w:tabs>
        <w:adjustRightInd w:val="0"/>
        <w:snapToGrid w:val="0"/>
        <w:spacing w:line="440" w:lineRule="exact"/>
        <w:ind w:firstLine="560" w:firstLineChars="200"/>
        <w:jc w:val="left"/>
        <w:rPr>
          <w:rFonts w:hint="eastAsia" w:ascii="仿宋" w:hAnsi="仿宋" w:eastAsia="仿宋"/>
          <w:sz w:val="28"/>
          <w:szCs w:val="28"/>
          <w:lang w:val="en-US" w:eastAsia="zh-CN"/>
        </w:rPr>
      </w:pPr>
      <w:r>
        <w:rPr>
          <w:rFonts w:hint="eastAsia" w:ascii="仿宋" w:hAnsi="仿宋" w:eastAsia="仿宋"/>
          <w:sz w:val="28"/>
          <w:szCs w:val="28"/>
        </w:rPr>
        <w:t>八、一般公共预算财政拨款基本支出决算明细表</w:t>
      </w:r>
      <w:r>
        <w:rPr>
          <w:rFonts w:hint="eastAsia" w:ascii="仿宋" w:hAnsi="仿宋" w:eastAsia="仿宋"/>
          <w:sz w:val="28"/>
          <w:szCs w:val="28"/>
        </w:rPr>
        <w:tab/>
      </w:r>
      <w:r>
        <w:rPr>
          <w:rFonts w:hint="eastAsia" w:ascii="仿宋" w:hAnsi="仿宋" w:eastAsia="仿宋"/>
          <w:sz w:val="28"/>
          <w:szCs w:val="28"/>
          <w:lang w:val="en-US" w:eastAsia="zh-CN"/>
        </w:rPr>
        <w:t>32</w:t>
      </w:r>
    </w:p>
    <w:p w14:paraId="547E1069">
      <w:pPr>
        <w:tabs>
          <w:tab w:val="right" w:leader="dot" w:pos="8296"/>
        </w:tabs>
        <w:adjustRightInd w:val="0"/>
        <w:snapToGrid w:val="0"/>
        <w:spacing w:line="440" w:lineRule="exact"/>
        <w:ind w:firstLine="560" w:firstLineChars="200"/>
        <w:jc w:val="left"/>
        <w:rPr>
          <w:rFonts w:hint="default" w:ascii="仿宋" w:hAnsi="仿宋" w:eastAsia="仿宋"/>
          <w:sz w:val="28"/>
          <w:szCs w:val="28"/>
          <w:lang w:val="en-US" w:eastAsia="zh-CN"/>
        </w:rPr>
      </w:pPr>
      <w:r>
        <w:rPr>
          <w:rFonts w:hint="eastAsia" w:ascii="仿宋" w:hAnsi="仿宋" w:eastAsia="仿宋"/>
          <w:sz w:val="28"/>
          <w:szCs w:val="28"/>
        </w:rPr>
        <w:t>九、一般公共预算财政拨款项目支出决算表</w:t>
      </w:r>
      <w:r>
        <w:rPr>
          <w:rFonts w:hint="eastAsia" w:ascii="仿宋" w:hAnsi="仿宋" w:eastAsia="仿宋"/>
          <w:sz w:val="28"/>
          <w:szCs w:val="28"/>
        </w:rPr>
        <w:tab/>
      </w:r>
      <w:r>
        <w:rPr>
          <w:rFonts w:hint="eastAsia" w:ascii="仿宋" w:hAnsi="仿宋" w:eastAsia="仿宋"/>
          <w:sz w:val="28"/>
          <w:szCs w:val="28"/>
          <w:lang w:val="en-US" w:eastAsia="zh-CN"/>
        </w:rPr>
        <w:t>32</w:t>
      </w:r>
    </w:p>
    <w:p w14:paraId="208662C6">
      <w:pPr>
        <w:tabs>
          <w:tab w:val="right" w:leader="dot" w:pos="8296"/>
        </w:tabs>
        <w:adjustRightInd w:val="0"/>
        <w:snapToGrid w:val="0"/>
        <w:spacing w:line="440" w:lineRule="exact"/>
        <w:ind w:firstLine="560" w:firstLineChars="200"/>
        <w:jc w:val="left"/>
        <w:rPr>
          <w:rFonts w:hint="default" w:ascii="仿宋" w:hAnsi="仿宋" w:eastAsia="仿宋"/>
          <w:sz w:val="28"/>
          <w:szCs w:val="28"/>
          <w:lang w:val="en-US"/>
        </w:rPr>
      </w:pPr>
      <w:r>
        <w:rPr>
          <w:rFonts w:hint="eastAsia" w:ascii="仿宋" w:hAnsi="仿宋" w:eastAsia="仿宋"/>
          <w:sz w:val="28"/>
          <w:szCs w:val="28"/>
        </w:rPr>
        <w:t>十、政府性基金预算财政拨款收入支出决算表</w:t>
      </w:r>
      <w:r>
        <w:rPr>
          <w:rFonts w:hint="eastAsia" w:ascii="仿宋" w:hAnsi="仿宋" w:eastAsia="仿宋"/>
          <w:sz w:val="28"/>
          <w:szCs w:val="28"/>
        </w:rPr>
        <w:tab/>
      </w:r>
      <w:r>
        <w:rPr>
          <w:rFonts w:hint="eastAsia" w:ascii="仿宋" w:hAnsi="仿宋" w:eastAsia="仿宋"/>
          <w:sz w:val="28"/>
          <w:szCs w:val="28"/>
          <w:lang w:val="en-US" w:eastAsia="zh-CN"/>
        </w:rPr>
        <w:t>32</w:t>
      </w:r>
    </w:p>
    <w:p w14:paraId="71F5A3D1">
      <w:pPr>
        <w:tabs>
          <w:tab w:val="right" w:leader="dot" w:pos="8296"/>
        </w:tabs>
        <w:adjustRightInd w:val="0"/>
        <w:snapToGrid w:val="0"/>
        <w:spacing w:line="440" w:lineRule="exact"/>
        <w:ind w:firstLine="560" w:firstLineChars="200"/>
        <w:jc w:val="left"/>
        <w:rPr>
          <w:rFonts w:hint="eastAsia" w:ascii="仿宋" w:hAnsi="仿宋" w:eastAsia="仿宋"/>
          <w:sz w:val="28"/>
          <w:szCs w:val="28"/>
          <w:lang w:val="en-US" w:eastAsia="zh-CN"/>
        </w:rPr>
      </w:pPr>
      <w:r>
        <w:rPr>
          <w:rFonts w:hint="eastAsia" w:ascii="仿宋" w:hAnsi="仿宋" w:eastAsia="仿宋"/>
          <w:sz w:val="28"/>
          <w:szCs w:val="28"/>
        </w:rPr>
        <w:t>十一、国有资本经营预算财政拨款收入支出决算表</w:t>
      </w:r>
      <w:r>
        <w:rPr>
          <w:rFonts w:hint="eastAsia" w:ascii="仿宋" w:hAnsi="仿宋" w:eastAsia="仿宋"/>
          <w:sz w:val="28"/>
          <w:szCs w:val="28"/>
        </w:rPr>
        <w:tab/>
      </w:r>
      <w:r>
        <w:rPr>
          <w:rFonts w:hint="eastAsia" w:ascii="仿宋" w:hAnsi="仿宋" w:eastAsia="仿宋"/>
          <w:sz w:val="28"/>
          <w:szCs w:val="28"/>
          <w:lang w:val="en-US" w:eastAsia="zh-CN"/>
        </w:rPr>
        <w:t>32</w:t>
      </w:r>
    </w:p>
    <w:p w14:paraId="285C84DB">
      <w:pPr>
        <w:tabs>
          <w:tab w:val="right" w:leader="dot" w:pos="8296"/>
        </w:tabs>
        <w:adjustRightInd w:val="0"/>
        <w:snapToGrid w:val="0"/>
        <w:spacing w:line="440" w:lineRule="exact"/>
        <w:ind w:firstLine="560" w:firstLineChars="200"/>
        <w:jc w:val="left"/>
        <w:rPr>
          <w:rFonts w:hint="eastAsia" w:ascii="仿宋" w:hAnsi="仿宋" w:eastAsia="仿宋"/>
          <w:sz w:val="28"/>
          <w:szCs w:val="28"/>
          <w:lang w:val="en-US" w:eastAsia="zh-CN"/>
        </w:rPr>
      </w:pPr>
      <w:r>
        <w:rPr>
          <w:rFonts w:hint="eastAsia" w:ascii="仿宋" w:hAnsi="仿宋" w:eastAsia="仿宋"/>
          <w:sz w:val="28"/>
          <w:szCs w:val="28"/>
        </w:rPr>
        <w:t>十二、国有资本经营预算财政拨款支出决算表</w:t>
      </w:r>
      <w:r>
        <w:rPr>
          <w:rFonts w:hint="eastAsia" w:ascii="仿宋" w:hAnsi="仿宋" w:eastAsia="仿宋"/>
          <w:sz w:val="28"/>
          <w:szCs w:val="28"/>
        </w:rPr>
        <w:tab/>
      </w:r>
      <w:r>
        <w:rPr>
          <w:rFonts w:hint="eastAsia" w:ascii="仿宋" w:hAnsi="仿宋" w:eastAsia="仿宋"/>
          <w:sz w:val="28"/>
          <w:szCs w:val="28"/>
          <w:lang w:val="en-US" w:eastAsia="zh-CN"/>
        </w:rPr>
        <w:t>32</w:t>
      </w:r>
    </w:p>
    <w:p w14:paraId="3AE9B77F">
      <w:pPr>
        <w:tabs>
          <w:tab w:val="right" w:leader="dot" w:pos="8296"/>
        </w:tabs>
        <w:adjustRightInd w:val="0"/>
        <w:snapToGrid w:val="0"/>
        <w:spacing w:line="440" w:lineRule="exact"/>
        <w:ind w:firstLine="560" w:firstLineChars="200"/>
        <w:jc w:val="left"/>
        <w:rPr>
          <w:rFonts w:hint="default" w:ascii="仿宋" w:hAnsi="仿宋" w:eastAsia="仿宋"/>
          <w:sz w:val="28"/>
          <w:szCs w:val="28"/>
          <w:lang w:val="en-US"/>
        </w:rPr>
      </w:pPr>
      <w:r>
        <w:rPr>
          <w:rFonts w:hint="eastAsia" w:ascii="仿宋" w:hAnsi="仿宋" w:eastAsia="仿宋"/>
          <w:sz w:val="28"/>
          <w:szCs w:val="28"/>
        </w:rPr>
        <w:t>十三、财政拨款“三公”经费支出决算表</w:t>
      </w:r>
      <w:r>
        <w:rPr>
          <w:rFonts w:hint="eastAsia" w:ascii="仿宋" w:hAnsi="仿宋" w:eastAsia="仿宋"/>
          <w:sz w:val="28"/>
          <w:szCs w:val="28"/>
        </w:rPr>
        <w:tab/>
      </w:r>
      <w:r>
        <w:rPr>
          <w:rFonts w:hint="eastAsia" w:ascii="仿宋" w:hAnsi="仿宋" w:eastAsia="仿宋"/>
          <w:sz w:val="28"/>
          <w:szCs w:val="28"/>
          <w:lang w:val="en-US" w:eastAsia="zh-CN"/>
        </w:rPr>
        <w:t>32</w:t>
      </w:r>
    </w:p>
    <w:p w14:paraId="0AB20D62">
      <w:pPr>
        <w:pStyle w:val="16"/>
        <w:rPr>
          <w:rFonts w:ascii="仿宋" w:hAnsi="仿宋" w:eastAsia="仿宋"/>
          <w:sz w:val="28"/>
          <w:szCs w:val="28"/>
        </w:rPr>
      </w:pPr>
    </w:p>
    <w:p w14:paraId="2799D977">
      <w:pPr>
        <w:rPr>
          <w:rFonts w:ascii="仿宋" w:hAnsi="仿宋" w:eastAsia="仿宋"/>
          <w:sz w:val="28"/>
          <w:szCs w:val="28"/>
        </w:rPr>
      </w:pPr>
    </w:p>
    <w:p w14:paraId="26CCC611">
      <w:pPr>
        <w:pStyle w:val="16"/>
        <w:rPr>
          <w:rFonts w:ascii="仿宋" w:hAnsi="仿宋" w:eastAsia="仿宋"/>
          <w:sz w:val="28"/>
          <w:szCs w:val="28"/>
        </w:rPr>
      </w:pPr>
    </w:p>
    <w:p w14:paraId="3D650A97">
      <w:pPr>
        <w:rPr>
          <w:rFonts w:ascii="仿宋" w:hAnsi="仿宋" w:eastAsia="仿宋"/>
          <w:sz w:val="28"/>
          <w:szCs w:val="28"/>
        </w:rPr>
      </w:pPr>
    </w:p>
    <w:p w14:paraId="7A9E046F">
      <w:pPr>
        <w:pStyle w:val="16"/>
        <w:rPr>
          <w:rFonts w:ascii="仿宋" w:hAnsi="仿宋" w:eastAsia="仿宋"/>
          <w:sz w:val="28"/>
          <w:szCs w:val="28"/>
        </w:rPr>
      </w:pPr>
    </w:p>
    <w:p w14:paraId="7532621D">
      <w:pPr>
        <w:rPr>
          <w:rFonts w:ascii="仿宋" w:hAnsi="仿宋" w:eastAsia="仿宋"/>
          <w:sz w:val="28"/>
          <w:szCs w:val="28"/>
        </w:rPr>
      </w:pPr>
    </w:p>
    <w:p w14:paraId="58155F76">
      <w:pPr>
        <w:pStyle w:val="16"/>
        <w:rPr>
          <w:rFonts w:ascii="仿宋" w:hAnsi="仿宋" w:eastAsia="仿宋"/>
          <w:sz w:val="28"/>
          <w:szCs w:val="28"/>
        </w:rPr>
      </w:pPr>
    </w:p>
    <w:p w14:paraId="4E76FCE6">
      <w:pPr>
        <w:rPr>
          <w:rFonts w:ascii="仿宋" w:hAnsi="仿宋" w:eastAsia="仿宋"/>
          <w:sz w:val="28"/>
          <w:szCs w:val="28"/>
        </w:rPr>
      </w:pPr>
    </w:p>
    <w:p w14:paraId="1EED5038">
      <w:pPr>
        <w:pStyle w:val="16"/>
        <w:rPr>
          <w:rFonts w:ascii="仿宋" w:hAnsi="仿宋" w:eastAsia="仿宋"/>
          <w:sz w:val="28"/>
          <w:szCs w:val="28"/>
        </w:rPr>
      </w:pPr>
    </w:p>
    <w:p w14:paraId="0027C9F6">
      <w:pPr>
        <w:rPr>
          <w:rFonts w:ascii="仿宋" w:hAnsi="仿宋" w:eastAsia="仿宋"/>
          <w:sz w:val="28"/>
          <w:szCs w:val="28"/>
        </w:rPr>
      </w:pPr>
    </w:p>
    <w:p w14:paraId="4644205C">
      <w:pPr>
        <w:pStyle w:val="16"/>
        <w:rPr>
          <w:rFonts w:ascii="仿宋" w:hAnsi="仿宋" w:eastAsia="仿宋"/>
          <w:sz w:val="28"/>
          <w:szCs w:val="28"/>
        </w:rPr>
      </w:pPr>
    </w:p>
    <w:p w14:paraId="7803BDF0">
      <w:pPr>
        <w:rPr>
          <w:rFonts w:ascii="仿宋" w:hAnsi="仿宋" w:eastAsia="仿宋"/>
          <w:sz w:val="28"/>
          <w:szCs w:val="28"/>
        </w:rPr>
      </w:pPr>
    </w:p>
    <w:p w14:paraId="77552F7F">
      <w:pPr>
        <w:pStyle w:val="16"/>
        <w:rPr>
          <w:rFonts w:ascii="仿宋" w:hAnsi="仿宋" w:eastAsia="仿宋"/>
          <w:sz w:val="28"/>
          <w:szCs w:val="28"/>
        </w:rPr>
      </w:pPr>
    </w:p>
    <w:p w14:paraId="40C77FA6">
      <w:pPr>
        <w:rPr>
          <w:rFonts w:ascii="仿宋" w:hAnsi="仿宋" w:eastAsia="仿宋"/>
          <w:sz w:val="28"/>
          <w:szCs w:val="28"/>
        </w:rPr>
      </w:pPr>
    </w:p>
    <w:p w14:paraId="6A1DF942">
      <w:pPr>
        <w:pStyle w:val="16"/>
        <w:rPr>
          <w:rFonts w:ascii="仿宋" w:hAnsi="仿宋" w:eastAsia="仿宋"/>
          <w:sz w:val="28"/>
          <w:szCs w:val="28"/>
        </w:rPr>
      </w:pPr>
    </w:p>
    <w:p w14:paraId="067E1032"/>
    <w:p w14:paraId="06C0578C">
      <w:pPr>
        <w:pStyle w:val="16"/>
        <w:rPr>
          <w:rFonts w:ascii="仿宋" w:hAnsi="仿宋" w:eastAsia="仿宋"/>
          <w:sz w:val="28"/>
          <w:szCs w:val="28"/>
        </w:rPr>
      </w:pPr>
    </w:p>
    <w:p w14:paraId="0502BC39">
      <w:pPr>
        <w:pStyle w:val="2"/>
        <w:spacing w:line="576" w:lineRule="exact"/>
        <w:jc w:val="center"/>
        <w:rPr>
          <w:rStyle w:val="33"/>
          <w:rFonts w:ascii="黑体" w:hAnsi="黑体" w:eastAsia="黑体"/>
          <w:b/>
          <w:bCs w:val="0"/>
        </w:rPr>
      </w:pPr>
      <w:r>
        <w:rPr>
          <w:rFonts w:hint="eastAsia" w:ascii="黑体" w:hAnsi="黑体" w:eastAsia="黑体"/>
          <w:bCs w:val="0"/>
        </w:rPr>
        <w:t xml:space="preserve">第一部分 </w:t>
      </w:r>
      <w:r>
        <w:rPr>
          <w:rStyle w:val="33"/>
          <w:rFonts w:hint="eastAsia" w:ascii="黑体" w:hAnsi="黑体" w:eastAsia="黑体"/>
          <w:b/>
          <w:bCs w:val="0"/>
        </w:rPr>
        <w:t>部门概况</w:t>
      </w:r>
      <w:bookmarkEnd w:id="6"/>
      <w:bookmarkEnd w:id="7"/>
    </w:p>
    <w:p w14:paraId="24C10B2C">
      <w:pPr>
        <w:pStyle w:val="3"/>
        <w:spacing w:line="576" w:lineRule="exact"/>
        <w:ind w:firstLine="643" w:firstLineChars="200"/>
        <w:jc w:val="left"/>
        <w:rPr>
          <w:rFonts w:ascii="黑体" w:hAnsi="黑体" w:eastAsia="黑体"/>
          <w:bCs w:val="0"/>
        </w:rPr>
      </w:pPr>
      <w:r>
        <w:rPr>
          <w:rFonts w:hint="eastAsia" w:ascii="黑体" w:hAnsi="黑体" w:eastAsia="黑体"/>
          <w:bCs w:val="0"/>
        </w:rPr>
        <w:t>一、部门职责</w:t>
      </w:r>
      <w:bookmarkStart w:id="8" w:name="_Toc15396601"/>
      <w:bookmarkStart w:id="9" w:name="_Toc15377200"/>
    </w:p>
    <w:p w14:paraId="77B5BE82">
      <w:pPr>
        <w:spacing w:line="576" w:lineRule="exact"/>
        <w:ind w:firstLine="640" w:firstLineChars="200"/>
        <w:jc w:val="left"/>
        <w:rPr>
          <w:rFonts w:ascii="仿宋" w:hAnsi="仿宋" w:eastAsia="仿宋"/>
          <w:sz w:val="32"/>
          <w:szCs w:val="32"/>
        </w:rPr>
      </w:pPr>
      <w:r>
        <w:rPr>
          <w:rFonts w:hint="eastAsia" w:ascii="仿宋" w:hAnsi="仿宋" w:eastAsia="仿宋"/>
          <w:sz w:val="32"/>
          <w:szCs w:val="32"/>
        </w:rPr>
        <w:t>（一）贯彻党的路线、方针、政策和上级党委的决议、指示，全面推进党的政治建设、思想建设、组织建设、作风建设、纪律建设，把制度建设贯穿其中;研究园区内重大经济社会发展问题;负责党的组织、思想、党风廉政、纪律检查、意识形态工作和领导班子建设;负责园区宣传和精神文明建设工作;负责园区机构编制、干部人事管理工作;负责园区工会、共青团、妇联等工作;完成区委交办的其他任务。</w:t>
      </w:r>
    </w:p>
    <w:p w14:paraId="18DD04F3">
      <w:pPr>
        <w:spacing w:line="576" w:lineRule="exact"/>
        <w:ind w:firstLine="800" w:firstLineChars="250"/>
        <w:jc w:val="left"/>
        <w:rPr>
          <w:rFonts w:ascii="仿宋" w:hAnsi="仿宋" w:eastAsia="仿宋"/>
          <w:sz w:val="32"/>
          <w:szCs w:val="32"/>
        </w:rPr>
      </w:pPr>
      <w:r>
        <w:rPr>
          <w:rFonts w:hint="eastAsia" w:ascii="仿宋" w:hAnsi="仿宋" w:eastAsia="仿宋"/>
          <w:sz w:val="32"/>
          <w:szCs w:val="32"/>
        </w:rPr>
        <w:t>（二）贯彻落实区委、区政府的重要决策和工作部署;负责园区内经济发展规划和区域发展规划的编制、经批准后组织实施;对固定资产投资项目进行审核;负责文旅项目包装储备和申报工作;负责招商引资、投资促进、对外开放及企业服务等工作; 负责园区旅游资源的开发利用、文旅品牌创建、宣传营销等工作，负责园区A级景区创建及复核工作;负责园区内环境保护、消防安全和安全生产监督管理工作;负责园区消费者权益保障、旅游市场秩序维护等工作;负责园区旅游统计工作;负责园区内财务管理，实施园区内财务预算、决算、国有资产管理和财务监督工作;负责区委和区政府交办的其他事项。</w:t>
      </w:r>
    </w:p>
    <w:p w14:paraId="3972F3A5">
      <w:pPr>
        <w:spacing w:line="576" w:lineRule="exact"/>
        <w:ind w:firstLine="800" w:firstLineChars="250"/>
        <w:jc w:val="left"/>
        <w:rPr>
          <w:rFonts w:ascii="仿宋" w:hAnsi="仿宋" w:eastAsia="仿宋"/>
          <w:sz w:val="32"/>
          <w:szCs w:val="32"/>
        </w:rPr>
      </w:pPr>
      <w:r>
        <w:rPr>
          <w:rFonts w:hint="eastAsia" w:ascii="仿宋" w:hAnsi="仿宋" w:eastAsia="仿宋"/>
          <w:sz w:val="32"/>
          <w:szCs w:val="32"/>
        </w:rPr>
        <w:t>（三）有关职责分工负责园区农文旅产业融合建设发展规划编制、上报审批和组织实施;负责园区文化旅游项目基础设施、公共设施建设和管理;负责园区经济管理，审核或审批园区内企业和投资项目;负责园区文旅项目包装储备和申报工作;负责园区招商引资、项目引进、建设管理服务等工作;负责园区文旅资源开发利用、品牌创建、宣传营销等工作，负责园区A级景区创建及复核工作;负责园区环境保护等</w:t>
      </w:r>
    </w:p>
    <w:p w14:paraId="27E1F862">
      <w:pPr>
        <w:pStyle w:val="3"/>
        <w:spacing w:line="576" w:lineRule="exact"/>
        <w:ind w:firstLine="640" w:firstLineChars="200"/>
        <w:jc w:val="left"/>
        <w:rPr>
          <w:rStyle w:val="34"/>
          <w:b w:val="0"/>
          <w:bCs w:val="0"/>
        </w:rPr>
      </w:pPr>
      <w:r>
        <w:rPr>
          <w:rFonts w:hint="eastAsia" w:ascii="黑体" w:eastAsia="黑体"/>
          <w:b w:val="0"/>
        </w:rPr>
        <w:t>二、</w:t>
      </w:r>
      <w:r>
        <w:rPr>
          <w:rFonts w:hint="eastAsia" w:ascii="黑体" w:hAnsi="黑体" w:eastAsia="黑体"/>
          <w:b w:val="0"/>
        </w:rPr>
        <w:t>机</w:t>
      </w:r>
      <w:r>
        <w:rPr>
          <w:rStyle w:val="34"/>
          <w:rFonts w:hint="eastAsia" w:ascii="黑体" w:hAnsi="黑体" w:eastAsia="黑体"/>
          <w:b w:val="0"/>
          <w:bCs w:val="0"/>
        </w:rPr>
        <w:t>构设置</w:t>
      </w:r>
      <w:bookmarkEnd w:id="8"/>
      <w:bookmarkEnd w:id="9"/>
    </w:p>
    <w:p w14:paraId="71D38E94">
      <w:pPr>
        <w:spacing w:line="576" w:lineRule="exact"/>
        <w:ind w:firstLine="800" w:firstLineChars="250"/>
        <w:jc w:val="left"/>
      </w:pPr>
      <w:r>
        <w:rPr>
          <w:rFonts w:hint="eastAsia" w:ascii="仿宋" w:hAnsi="仿宋" w:eastAsia="仿宋"/>
          <w:sz w:val="32"/>
          <w:szCs w:val="32"/>
        </w:rPr>
        <w:t>四川省遂宁市安居区海龙凯歌文化旅游产业园区管理委员会下属二级单位</w:t>
      </w:r>
      <w:r>
        <w:rPr>
          <w:rFonts w:ascii="仿宋" w:hAnsi="仿宋" w:eastAsia="仿宋"/>
          <w:sz w:val="32"/>
          <w:szCs w:val="32"/>
        </w:rPr>
        <w:t>0</w:t>
      </w:r>
      <w:r>
        <w:rPr>
          <w:rFonts w:hint="eastAsia" w:ascii="仿宋" w:hAnsi="仿宋" w:eastAsia="仿宋"/>
          <w:sz w:val="32"/>
          <w:szCs w:val="32"/>
        </w:rPr>
        <w:t>个，其中行政单位</w:t>
      </w:r>
      <w:r>
        <w:rPr>
          <w:rFonts w:ascii="仿宋" w:hAnsi="仿宋" w:eastAsia="仿宋"/>
          <w:sz w:val="32"/>
          <w:szCs w:val="32"/>
        </w:rPr>
        <w:t>0</w:t>
      </w:r>
      <w:r>
        <w:rPr>
          <w:rFonts w:hint="eastAsia" w:ascii="仿宋" w:hAnsi="仿宋" w:eastAsia="仿宋"/>
          <w:sz w:val="32"/>
          <w:szCs w:val="32"/>
        </w:rPr>
        <w:t>个，参照公务员法管理的事业单位</w:t>
      </w:r>
      <w:r>
        <w:rPr>
          <w:rFonts w:hint="eastAsia" w:ascii="仿宋" w:hAnsi="仿宋" w:eastAsia="仿宋"/>
          <w:bCs/>
          <w:sz w:val="32"/>
          <w:szCs w:val="32"/>
        </w:rPr>
        <w:t>0</w:t>
      </w:r>
      <w:r>
        <w:rPr>
          <w:rFonts w:hint="eastAsia" w:ascii="仿宋" w:hAnsi="仿宋" w:eastAsia="仿宋"/>
          <w:sz w:val="32"/>
          <w:szCs w:val="32"/>
        </w:rPr>
        <w:t>个，其他事业单位</w:t>
      </w:r>
      <w:r>
        <w:rPr>
          <w:rFonts w:ascii="仿宋" w:hAnsi="仿宋" w:eastAsia="仿宋"/>
          <w:sz w:val="32"/>
          <w:szCs w:val="32"/>
        </w:rPr>
        <w:t>0</w:t>
      </w:r>
      <w:r>
        <w:rPr>
          <w:rFonts w:hint="eastAsia" w:ascii="仿宋" w:hAnsi="仿宋" w:eastAsia="仿宋"/>
          <w:sz w:val="32"/>
          <w:szCs w:val="32"/>
        </w:rPr>
        <w:t>个。</w:t>
      </w:r>
    </w:p>
    <w:p w14:paraId="2A6E32AE">
      <w:pPr>
        <w:spacing w:line="576" w:lineRule="exact"/>
        <w:jc w:val="left"/>
      </w:pPr>
    </w:p>
    <w:p w14:paraId="45DA07AD">
      <w:pPr>
        <w:spacing w:line="576" w:lineRule="exact"/>
        <w:jc w:val="left"/>
      </w:pPr>
    </w:p>
    <w:p w14:paraId="2FC03EA2">
      <w:pPr>
        <w:pStyle w:val="2"/>
        <w:spacing w:line="576" w:lineRule="exact"/>
        <w:ind w:right="440"/>
        <w:jc w:val="center"/>
        <w:rPr>
          <w:rStyle w:val="33"/>
          <w:rFonts w:ascii="黑体" w:hAnsi="黑体" w:eastAsia="黑体"/>
          <w:b w:val="0"/>
          <w:bCs w:val="0"/>
        </w:rPr>
      </w:pPr>
      <w:bookmarkStart w:id="10" w:name="_Toc15377204"/>
      <w:bookmarkStart w:id="11" w:name="_Toc15396602"/>
      <w:r>
        <w:rPr>
          <w:rFonts w:hint="eastAsia" w:ascii="黑体" w:hAnsi="黑体" w:eastAsia="黑体"/>
          <w:b w:val="0"/>
          <w:color w:val="000000"/>
        </w:rPr>
        <w:t>第二部分</w:t>
      </w:r>
      <w:r>
        <w:rPr>
          <w:rFonts w:hint="eastAsia" w:ascii="黑体" w:hAnsi="黑体" w:eastAsia="黑体"/>
          <w:color w:val="000000"/>
        </w:rPr>
        <w:t xml:space="preserve"> </w:t>
      </w:r>
      <w:r>
        <w:rPr>
          <w:rStyle w:val="33"/>
          <w:rFonts w:hint="eastAsia" w:ascii="黑体" w:hAnsi="黑体" w:eastAsia="黑体"/>
          <w:b w:val="0"/>
          <w:bCs w:val="0"/>
        </w:rPr>
        <w:t>202</w:t>
      </w:r>
      <w:r>
        <w:rPr>
          <w:rStyle w:val="33"/>
          <w:rFonts w:hint="eastAsia" w:ascii="黑体" w:hAnsi="黑体" w:eastAsia="黑体"/>
          <w:b w:val="0"/>
          <w:bCs w:val="0"/>
          <w:lang w:val="en-US" w:eastAsia="zh-CN"/>
        </w:rPr>
        <w:t>4</w:t>
      </w:r>
      <w:r>
        <w:rPr>
          <w:rStyle w:val="33"/>
          <w:rFonts w:hint="eastAsia" w:ascii="黑体" w:hAnsi="黑体" w:eastAsia="黑体"/>
          <w:b w:val="0"/>
          <w:bCs w:val="0"/>
        </w:rPr>
        <w:t>年度部门决算情况说明</w:t>
      </w:r>
      <w:bookmarkEnd w:id="10"/>
      <w:bookmarkEnd w:id="11"/>
    </w:p>
    <w:p w14:paraId="4211006A">
      <w:pPr>
        <w:spacing w:line="576" w:lineRule="exact"/>
        <w:jc w:val="left"/>
      </w:pPr>
    </w:p>
    <w:p w14:paraId="74661634">
      <w:pPr>
        <w:pStyle w:val="32"/>
        <w:numPr>
          <w:ilvl w:val="0"/>
          <w:numId w:val="2"/>
        </w:numPr>
        <w:spacing w:line="576" w:lineRule="exact"/>
        <w:ind w:firstLineChars="0"/>
        <w:jc w:val="left"/>
        <w:outlineLvl w:val="1"/>
        <w:rPr>
          <w:rStyle w:val="34"/>
          <w:rFonts w:ascii="黑体" w:hAnsi="黑体" w:eastAsia="黑体"/>
          <w:b w:val="0"/>
        </w:rPr>
      </w:pPr>
      <w:bookmarkStart w:id="12" w:name="_Toc15396603"/>
      <w:bookmarkStart w:id="13" w:name="_Toc15377205"/>
      <w:r>
        <w:rPr>
          <w:rFonts w:hint="eastAsia" w:ascii="黑体" w:hAnsi="黑体" w:eastAsia="黑体"/>
          <w:sz w:val="32"/>
          <w:szCs w:val="32"/>
        </w:rPr>
        <w:t>收</w:t>
      </w:r>
      <w:r>
        <w:rPr>
          <w:rStyle w:val="34"/>
          <w:rFonts w:hint="eastAsia" w:ascii="黑体" w:hAnsi="黑体" w:eastAsia="黑体"/>
          <w:b w:val="0"/>
        </w:rPr>
        <w:t>入支出决算总体情况说明</w:t>
      </w:r>
      <w:bookmarkEnd w:id="12"/>
      <w:bookmarkEnd w:id="13"/>
    </w:p>
    <w:p w14:paraId="0DF7208E">
      <w:pPr>
        <w:spacing w:line="576" w:lineRule="exact"/>
        <w:ind w:firstLine="640" w:firstLineChars="200"/>
        <w:jc w:val="left"/>
        <w:rPr>
          <w:rFonts w:ascii="仿宋" w:hAnsi="仿宋" w:eastAsia="仿宋"/>
          <w:sz w:val="32"/>
          <w:szCs w:val="32"/>
        </w:rPr>
      </w:pPr>
      <w:r>
        <w:rPr>
          <w:rFonts w:hint="eastAsia" w:ascii="仿宋" w:hAnsi="仿宋" w:eastAsia="仿宋"/>
          <w:sz w:val="32"/>
          <w:szCs w:val="32"/>
        </w:rPr>
        <w:drawing>
          <wp:anchor distT="0" distB="0" distL="114300" distR="114300" simplePos="0" relativeHeight="251659264" behindDoc="0" locked="0" layoutInCell="1" allowOverlap="1">
            <wp:simplePos x="0" y="0"/>
            <wp:positionH relativeFrom="column">
              <wp:posOffset>586740</wp:posOffset>
            </wp:positionH>
            <wp:positionV relativeFrom="paragraph">
              <wp:posOffset>1216660</wp:posOffset>
            </wp:positionV>
            <wp:extent cx="4690110" cy="2440305"/>
            <wp:effectExtent l="4445" t="4445" r="10795" b="12700"/>
            <wp:wrapTopAndBottom/>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年度收、支总计</w:t>
      </w:r>
      <w:r>
        <w:rPr>
          <w:rFonts w:hint="eastAsia" w:ascii="仿宋" w:hAnsi="仿宋" w:eastAsia="仿宋"/>
          <w:sz w:val="32"/>
          <w:szCs w:val="32"/>
          <w:lang w:val="en-US" w:eastAsia="zh-CN"/>
        </w:rPr>
        <w:t>264.74</w:t>
      </w:r>
      <w:r>
        <w:rPr>
          <w:rFonts w:hint="eastAsia" w:ascii="仿宋" w:hAnsi="仿宋" w:eastAsia="仿宋"/>
          <w:sz w:val="32"/>
          <w:szCs w:val="32"/>
        </w:rPr>
        <w:t>万元。与202</w:t>
      </w:r>
      <w:r>
        <w:rPr>
          <w:rFonts w:hint="eastAsia" w:ascii="仿宋" w:hAnsi="仿宋" w:eastAsia="仿宋"/>
          <w:sz w:val="32"/>
          <w:szCs w:val="32"/>
          <w:lang w:val="en-US" w:eastAsia="zh-CN"/>
        </w:rPr>
        <w:t>3</w:t>
      </w:r>
      <w:r>
        <w:rPr>
          <w:rFonts w:hint="eastAsia" w:ascii="仿宋" w:hAnsi="仿宋" w:eastAsia="仿宋"/>
          <w:sz w:val="32"/>
          <w:szCs w:val="32"/>
        </w:rPr>
        <w:t>年相比，收入总计各</w:t>
      </w:r>
      <w:r>
        <w:rPr>
          <w:rFonts w:hint="eastAsia" w:ascii="仿宋" w:hAnsi="仿宋" w:eastAsia="仿宋"/>
          <w:sz w:val="32"/>
          <w:szCs w:val="32"/>
          <w:lang w:eastAsia="zh-CN"/>
        </w:rPr>
        <w:t>减少</w:t>
      </w:r>
      <w:r>
        <w:rPr>
          <w:rFonts w:hint="eastAsia" w:ascii="仿宋" w:hAnsi="仿宋" w:eastAsia="仿宋"/>
          <w:sz w:val="32"/>
          <w:szCs w:val="32"/>
          <w:lang w:val="en-US" w:eastAsia="zh-CN"/>
        </w:rPr>
        <w:t>110.34</w:t>
      </w:r>
      <w:r>
        <w:rPr>
          <w:rFonts w:hint="eastAsia" w:ascii="仿宋" w:hAnsi="仿宋" w:eastAsia="仿宋"/>
          <w:sz w:val="32"/>
          <w:szCs w:val="32"/>
        </w:rPr>
        <w:t>万元</w:t>
      </w:r>
      <w:r>
        <w:rPr>
          <w:rFonts w:hint="eastAsia" w:ascii="仿宋" w:hAnsi="仿宋" w:eastAsia="仿宋"/>
          <w:sz w:val="32"/>
          <w:szCs w:val="32"/>
          <w:lang w:eastAsia="zh-CN"/>
        </w:rPr>
        <w:t>，减少</w:t>
      </w:r>
      <w:r>
        <w:rPr>
          <w:rFonts w:hint="eastAsia" w:ascii="仿宋" w:hAnsi="仿宋" w:eastAsia="仿宋"/>
          <w:sz w:val="32"/>
          <w:szCs w:val="32"/>
          <w:lang w:val="en-US" w:eastAsia="zh-CN"/>
        </w:rPr>
        <w:t>41.68</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人员减少及项目资金减少</w:t>
      </w:r>
      <w:r>
        <w:rPr>
          <w:rFonts w:hint="eastAsia" w:ascii="仿宋" w:hAnsi="仿宋" w:eastAsia="仿宋"/>
          <w:sz w:val="32"/>
          <w:szCs w:val="32"/>
        </w:rPr>
        <w:t>。</w:t>
      </w:r>
    </w:p>
    <w:p w14:paraId="067E6873">
      <w:pPr>
        <w:pStyle w:val="15"/>
      </w:pPr>
    </w:p>
    <w:p w14:paraId="6DC211F4">
      <w:pPr>
        <w:ind w:firstLine="640" w:firstLineChars="200"/>
        <w:jc w:val="center"/>
        <w:rPr>
          <w:rFonts w:ascii="仿宋" w:hAnsi="仿宋" w:eastAsia="仿宋"/>
          <w:color w:val="000000" w:themeColor="text1"/>
          <w:sz w:val="32"/>
          <w:szCs w:val="32"/>
          <w14:textFill>
            <w14:solidFill>
              <w14:schemeClr w14:val="tx1"/>
            </w14:solidFill>
          </w14:textFill>
        </w:rPr>
      </w:pPr>
      <w:r>
        <w:rPr>
          <w:rFonts w:ascii="仿宋_GB2312" w:eastAsia="仿宋_GB2312"/>
          <w:sz w:val="32"/>
          <w:szCs w:val="32"/>
        </w:rPr>
        <w:t>（图1：收、支决算总计变动情况图）（柱状图）</w:t>
      </w:r>
    </w:p>
    <w:p w14:paraId="10C00136">
      <w:pPr>
        <w:pStyle w:val="32"/>
        <w:numPr>
          <w:ilvl w:val="0"/>
          <w:numId w:val="2"/>
        </w:numPr>
        <w:spacing w:line="576" w:lineRule="exact"/>
        <w:ind w:firstLineChars="0"/>
        <w:jc w:val="left"/>
        <w:outlineLvl w:val="1"/>
        <w:rPr>
          <w:rStyle w:val="34"/>
          <w:rFonts w:ascii="黑体" w:hAnsi="黑体" w:eastAsia="黑体"/>
          <w:b w:val="0"/>
        </w:rPr>
      </w:pPr>
      <w:bookmarkStart w:id="14" w:name="_Toc15396604"/>
      <w:bookmarkStart w:id="15" w:name="_Toc15377206"/>
      <w:r>
        <w:rPr>
          <w:rFonts w:hint="eastAsia" w:ascii="黑体" w:hAnsi="黑体" w:eastAsia="黑体"/>
          <w:sz w:val="32"/>
          <w:szCs w:val="32"/>
        </w:rPr>
        <w:t>收</w:t>
      </w:r>
      <w:r>
        <w:rPr>
          <w:rStyle w:val="34"/>
          <w:rFonts w:hint="eastAsia" w:ascii="黑体" w:hAnsi="黑体" w:eastAsia="黑体"/>
          <w:b w:val="0"/>
        </w:rPr>
        <w:t>入决算情况说明</w:t>
      </w:r>
      <w:bookmarkEnd w:id="14"/>
      <w:bookmarkEnd w:id="15"/>
    </w:p>
    <w:p w14:paraId="612DD160">
      <w:pPr>
        <w:spacing w:line="576" w:lineRule="exact"/>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年本年收入合计</w:t>
      </w:r>
      <w:r>
        <w:rPr>
          <w:rFonts w:hint="eastAsia" w:ascii="仿宋" w:hAnsi="仿宋" w:eastAsia="仿宋"/>
          <w:sz w:val="32"/>
          <w:szCs w:val="32"/>
          <w:lang w:val="en-US" w:eastAsia="zh-CN"/>
        </w:rPr>
        <w:t>264.74</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264.74</w:t>
      </w:r>
      <w:r>
        <w:rPr>
          <w:rFonts w:hint="eastAsia" w:ascii="仿宋" w:hAnsi="仿宋" w:eastAsia="仿宋"/>
          <w:sz w:val="32"/>
          <w:szCs w:val="32"/>
        </w:rPr>
        <w:t>万元，占100%；</w:t>
      </w:r>
    </w:p>
    <w:p w14:paraId="53C06FBA">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drawing>
          <wp:inline distT="0" distB="0" distL="114300" distR="114300">
            <wp:extent cx="4725670" cy="2725420"/>
            <wp:effectExtent l="4445" t="4445" r="13335" b="1333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DA9C85E">
      <w:pPr>
        <w:spacing w:line="576" w:lineRule="exact"/>
        <w:ind w:firstLine="640" w:firstLineChars="200"/>
        <w:jc w:val="cente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（图2：收入决算结构图）（饼状图）</w:t>
      </w:r>
    </w:p>
    <w:p w14:paraId="08A94363">
      <w:pPr>
        <w:pStyle w:val="32"/>
        <w:numPr>
          <w:ilvl w:val="0"/>
          <w:numId w:val="2"/>
        </w:numPr>
        <w:spacing w:line="576" w:lineRule="exact"/>
        <w:ind w:firstLineChars="0"/>
        <w:jc w:val="left"/>
        <w:outlineLvl w:val="1"/>
        <w:rPr>
          <w:rStyle w:val="34"/>
          <w:rFonts w:ascii="黑体" w:hAnsi="黑体" w:eastAsia="黑体"/>
          <w:b w:val="0"/>
        </w:rPr>
      </w:pPr>
      <w:bookmarkStart w:id="16" w:name="_Toc15377207"/>
      <w:bookmarkStart w:id="17" w:name="_Toc15396605"/>
      <w:r>
        <w:rPr>
          <w:rFonts w:hint="eastAsia" w:ascii="黑体" w:hAnsi="黑体" w:eastAsia="黑体"/>
          <w:color w:val="000000"/>
          <w:sz w:val="32"/>
          <w:szCs w:val="32"/>
        </w:rPr>
        <w:t>支</w:t>
      </w:r>
      <w:r>
        <w:rPr>
          <w:rStyle w:val="34"/>
          <w:rFonts w:hint="eastAsia" w:ascii="黑体" w:hAnsi="黑体" w:eastAsia="黑体"/>
          <w:b w:val="0"/>
        </w:rPr>
        <w:t>出决算情况说明</w:t>
      </w:r>
      <w:bookmarkEnd w:id="16"/>
      <w:bookmarkEnd w:id="17"/>
    </w:p>
    <w:p w14:paraId="7847FF40">
      <w:pPr>
        <w:spacing w:line="576" w:lineRule="exact"/>
        <w:ind w:firstLine="640" w:firstLineChars="200"/>
        <w:jc w:val="left"/>
        <w:rPr>
          <w:rFonts w:hint="eastAsia" w:eastAsia="仿宋"/>
          <w:lang w:eastAsia="zh-CN"/>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年本年支出合计</w:t>
      </w:r>
      <w:r>
        <w:rPr>
          <w:rFonts w:hint="eastAsia" w:ascii="仿宋" w:hAnsi="仿宋" w:eastAsia="仿宋"/>
          <w:sz w:val="32"/>
          <w:szCs w:val="32"/>
          <w:lang w:val="en-US" w:eastAsia="zh-CN"/>
        </w:rPr>
        <w:t>264.74</w:t>
      </w:r>
      <w:r>
        <w:rPr>
          <w:rFonts w:hint="eastAsia" w:ascii="仿宋" w:hAnsi="仿宋" w:eastAsia="仿宋"/>
          <w:sz w:val="32"/>
          <w:szCs w:val="32"/>
        </w:rPr>
        <w:t>万元，其中：基本支出</w:t>
      </w:r>
      <w:r>
        <w:rPr>
          <w:rFonts w:hint="eastAsia" w:ascii="仿宋" w:hAnsi="仿宋" w:eastAsia="仿宋"/>
          <w:sz w:val="32"/>
          <w:szCs w:val="32"/>
          <w:lang w:val="en-US" w:eastAsia="zh-CN"/>
        </w:rPr>
        <w:t>191.07</w:t>
      </w:r>
      <w:r>
        <w:rPr>
          <w:rFonts w:hint="eastAsia" w:ascii="仿宋" w:hAnsi="仿宋" w:eastAsia="仿宋"/>
          <w:sz w:val="32"/>
          <w:szCs w:val="32"/>
        </w:rPr>
        <w:t>万元，占</w:t>
      </w:r>
      <w:r>
        <w:rPr>
          <w:rFonts w:hint="eastAsia" w:ascii="仿宋" w:hAnsi="仿宋" w:eastAsia="仿宋"/>
          <w:sz w:val="32"/>
          <w:szCs w:val="32"/>
          <w:lang w:val="en-US" w:eastAsia="zh-CN"/>
        </w:rPr>
        <w:t>72.17</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73.67</w:t>
      </w:r>
      <w:r>
        <w:rPr>
          <w:rFonts w:hint="eastAsia" w:ascii="仿宋" w:hAnsi="仿宋" w:eastAsia="仿宋"/>
          <w:sz w:val="32"/>
          <w:szCs w:val="32"/>
        </w:rPr>
        <w:t>万元，占</w:t>
      </w:r>
      <w:r>
        <w:rPr>
          <w:rFonts w:hint="eastAsia" w:ascii="仿宋" w:hAnsi="仿宋" w:eastAsia="仿宋"/>
          <w:sz w:val="32"/>
          <w:szCs w:val="32"/>
          <w:lang w:val="en-US" w:eastAsia="zh-CN"/>
        </w:rPr>
        <w:t>27.83</w:t>
      </w:r>
      <w:r>
        <w:rPr>
          <w:rFonts w:ascii="仿宋" w:hAnsi="仿宋" w:eastAsia="仿宋"/>
          <w:sz w:val="32"/>
          <w:szCs w:val="32"/>
        </w:rPr>
        <w:t>%</w:t>
      </w:r>
      <w:r>
        <w:rPr>
          <w:rFonts w:hint="eastAsia" w:ascii="仿宋" w:hAnsi="仿宋" w:eastAsia="仿宋"/>
          <w:sz w:val="32"/>
          <w:szCs w:val="32"/>
        </w:rPr>
        <w:t>。</w:t>
      </w:r>
    </w:p>
    <w:p w14:paraId="6309DB35">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drawing>
          <wp:inline distT="0" distB="0" distL="114300" distR="114300">
            <wp:extent cx="4874895" cy="2519045"/>
            <wp:effectExtent l="4445" t="4445" r="16510" b="1016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0C5F968">
      <w:pPr>
        <w:spacing w:line="600" w:lineRule="exact"/>
        <w:ind w:firstLine="640" w:firstLineChars="200"/>
        <w:jc w:val="cente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（图4：支出决算结构图）（饼状图）</w:t>
      </w:r>
    </w:p>
    <w:p w14:paraId="2AF100F6">
      <w:pPr>
        <w:spacing w:line="576" w:lineRule="exact"/>
        <w:ind w:firstLine="640" w:firstLineChars="200"/>
        <w:outlineLvl w:val="1"/>
        <w:rPr>
          <w:rStyle w:val="34"/>
          <w:rFonts w:ascii="黑体" w:hAnsi="黑体" w:eastAsia="黑体"/>
          <w:b w:val="0"/>
        </w:rPr>
      </w:pPr>
      <w:bookmarkStart w:id="18" w:name="_Toc15377208"/>
      <w:bookmarkStart w:id="19" w:name="_Toc15396606"/>
      <w:r>
        <w:rPr>
          <w:rFonts w:hint="eastAsia" w:ascii="黑体" w:hAnsi="黑体" w:eastAsia="黑体"/>
          <w:color w:val="000000"/>
          <w:sz w:val="32"/>
          <w:szCs w:val="32"/>
        </w:rPr>
        <w:t>四、财</w:t>
      </w:r>
      <w:r>
        <w:rPr>
          <w:rStyle w:val="34"/>
          <w:rFonts w:hint="eastAsia" w:ascii="黑体" w:hAnsi="黑体" w:eastAsia="黑体"/>
          <w:b w:val="0"/>
        </w:rPr>
        <w:t>政拨款收入支出决算总体情况说明</w:t>
      </w:r>
      <w:bookmarkEnd w:id="18"/>
      <w:bookmarkEnd w:id="19"/>
    </w:p>
    <w:p w14:paraId="6B34C571">
      <w:pPr>
        <w:spacing w:line="576" w:lineRule="exact"/>
        <w:ind w:firstLine="640" w:firstLineChars="20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年财政拨款收、支总计264.74万元。与202</w:t>
      </w:r>
      <w:r>
        <w:rPr>
          <w:rFonts w:hint="eastAsia" w:ascii="仿宋" w:hAnsi="仿宋" w:eastAsia="仿宋"/>
          <w:sz w:val="32"/>
          <w:szCs w:val="32"/>
          <w:lang w:val="en-US" w:eastAsia="zh-CN"/>
        </w:rPr>
        <w:t>3</w:t>
      </w:r>
      <w:r>
        <w:rPr>
          <w:rFonts w:hint="eastAsia" w:ascii="仿宋" w:hAnsi="仿宋" w:eastAsia="仿宋"/>
          <w:sz w:val="32"/>
          <w:szCs w:val="32"/>
        </w:rPr>
        <w:t>年相比，收、支总计各</w:t>
      </w:r>
      <w:r>
        <w:rPr>
          <w:rFonts w:hint="eastAsia" w:ascii="仿宋" w:hAnsi="仿宋" w:eastAsia="仿宋"/>
          <w:sz w:val="32"/>
          <w:szCs w:val="32"/>
          <w:lang w:eastAsia="zh-CN"/>
        </w:rPr>
        <w:t>减少</w:t>
      </w:r>
      <w:r>
        <w:rPr>
          <w:rFonts w:hint="eastAsia" w:ascii="仿宋" w:hAnsi="仿宋" w:eastAsia="仿宋"/>
          <w:sz w:val="32"/>
          <w:szCs w:val="32"/>
          <w:lang w:val="en-US" w:eastAsia="zh-CN"/>
        </w:rPr>
        <w:t>110.34</w:t>
      </w:r>
      <w:r>
        <w:rPr>
          <w:rFonts w:hint="eastAsia" w:ascii="仿宋" w:hAnsi="仿宋" w:eastAsia="仿宋"/>
          <w:sz w:val="32"/>
          <w:szCs w:val="32"/>
        </w:rPr>
        <w:t>万元，</w:t>
      </w:r>
      <w:r>
        <w:rPr>
          <w:rFonts w:hint="eastAsia" w:ascii="仿宋" w:hAnsi="仿宋" w:eastAsia="仿宋"/>
          <w:sz w:val="32"/>
          <w:szCs w:val="32"/>
          <w:lang w:eastAsia="zh-CN"/>
        </w:rPr>
        <w:t>减少</w:t>
      </w:r>
      <w:r>
        <w:rPr>
          <w:rFonts w:hint="eastAsia" w:ascii="仿宋" w:hAnsi="仿宋" w:eastAsia="仿宋"/>
          <w:sz w:val="32"/>
          <w:szCs w:val="32"/>
          <w:lang w:val="en-US" w:eastAsia="zh-CN"/>
        </w:rPr>
        <w:t>41.68</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减少</w:t>
      </w:r>
      <w:r>
        <w:rPr>
          <w:rFonts w:hint="eastAsia" w:ascii="仿宋" w:hAnsi="仿宋" w:eastAsia="仿宋"/>
          <w:sz w:val="32"/>
          <w:szCs w:val="32"/>
        </w:rPr>
        <w:t>人员经费、日常公用经费及项目资金等。</w:t>
      </w:r>
    </w:p>
    <w:p w14:paraId="688E731A">
      <w:pPr>
        <w:spacing w:line="600" w:lineRule="exact"/>
        <w:ind w:firstLine="640" w:firstLineChars="200"/>
        <w:jc w:val="center"/>
      </w:pPr>
      <w:r>
        <w:rPr>
          <w:rFonts w:hint="eastAsia" w:ascii="仿宋" w:hAnsi="仿宋" w:eastAsia="仿宋"/>
          <w:color w:val="000000"/>
          <w:sz w:val="32"/>
          <w:szCs w:val="32"/>
        </w:rPr>
        <w:drawing>
          <wp:anchor distT="0" distB="0" distL="114300" distR="114300" simplePos="0" relativeHeight="251660288" behindDoc="0" locked="0" layoutInCell="1" allowOverlap="1">
            <wp:simplePos x="0" y="0"/>
            <wp:positionH relativeFrom="column">
              <wp:posOffset>394970</wp:posOffset>
            </wp:positionH>
            <wp:positionV relativeFrom="paragraph">
              <wp:posOffset>311785</wp:posOffset>
            </wp:positionV>
            <wp:extent cx="4911090" cy="3265170"/>
            <wp:effectExtent l="4445" t="4445" r="18415" b="6985"/>
            <wp:wrapTopAndBottom/>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bookmarkStart w:id="20" w:name="_Toc15396607"/>
      <w:bookmarkStart w:id="21" w:name="_Toc15377209"/>
      <w:r>
        <w:rPr>
          <w:rFonts w:hint="eastAsia" w:ascii="仿宋" w:hAnsi="仿宋" w:eastAsia="仿宋"/>
          <w:color w:val="000000" w:themeColor="text1"/>
          <w:sz w:val="32"/>
          <w:szCs w:val="32"/>
          <w14:textFill>
            <w14:solidFill>
              <w14:schemeClr w14:val="tx1"/>
            </w14:solidFill>
          </w14:textFill>
        </w:rPr>
        <w:t>（图4：财政拨款收、支决算总计变动情况）（柱状图）</w:t>
      </w:r>
    </w:p>
    <w:p w14:paraId="4456D8F9">
      <w:pPr>
        <w:spacing w:line="576" w:lineRule="exact"/>
        <w:ind w:firstLine="640" w:firstLineChars="200"/>
        <w:outlineLvl w:val="1"/>
        <w:rPr>
          <w:rStyle w:val="34"/>
          <w:rFonts w:ascii="黑体" w:hAnsi="黑体" w:eastAsia="黑体"/>
          <w:b w:val="0"/>
        </w:rPr>
      </w:pPr>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34"/>
          <w:rFonts w:hint="eastAsia" w:ascii="黑体" w:hAnsi="黑体" w:eastAsia="黑体"/>
          <w:b w:val="0"/>
        </w:rPr>
        <w:t>般公共预算财政拨款支出决算情况说明</w:t>
      </w:r>
      <w:bookmarkEnd w:id="20"/>
      <w:bookmarkEnd w:id="21"/>
    </w:p>
    <w:p w14:paraId="60CC0EA3">
      <w:pPr>
        <w:spacing w:line="576" w:lineRule="exact"/>
        <w:ind w:firstLine="643" w:firstLineChars="200"/>
        <w:outlineLvl w:val="2"/>
        <w:rPr>
          <w:rFonts w:ascii="仿宋" w:hAnsi="仿宋" w:eastAsia="仿宋"/>
          <w:b/>
          <w:sz w:val="32"/>
          <w:szCs w:val="32"/>
        </w:rPr>
      </w:pPr>
      <w:bookmarkStart w:id="22" w:name="_Toc15377210"/>
      <w:r>
        <w:rPr>
          <w:rFonts w:hint="eastAsia" w:ascii="仿宋" w:hAnsi="仿宋" w:eastAsia="仿宋"/>
          <w:b/>
          <w:sz w:val="32"/>
          <w:szCs w:val="32"/>
        </w:rPr>
        <w:t>（一）一般公共预算财政拨款支出决算总体情况</w:t>
      </w:r>
      <w:bookmarkEnd w:id="22"/>
    </w:p>
    <w:p w14:paraId="16D5B25F">
      <w:pPr>
        <w:spacing w:line="576" w:lineRule="exact"/>
        <w:ind w:firstLine="640" w:firstLineChars="20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年一般公共预算财政拨款支出</w:t>
      </w:r>
      <w:r>
        <w:rPr>
          <w:rFonts w:hint="eastAsia" w:ascii="仿宋" w:hAnsi="仿宋" w:eastAsia="仿宋"/>
          <w:sz w:val="32"/>
          <w:szCs w:val="32"/>
          <w:lang w:val="en-US" w:eastAsia="zh-CN"/>
        </w:rPr>
        <w:t>264.74</w:t>
      </w:r>
      <w:r>
        <w:rPr>
          <w:rFonts w:hint="eastAsia" w:ascii="仿宋" w:hAnsi="仿宋" w:eastAsia="仿宋"/>
          <w:sz w:val="32"/>
          <w:szCs w:val="32"/>
        </w:rPr>
        <w:t>万元，与202</w:t>
      </w:r>
      <w:r>
        <w:rPr>
          <w:rFonts w:hint="eastAsia" w:ascii="仿宋" w:hAnsi="仿宋" w:eastAsia="仿宋"/>
          <w:sz w:val="32"/>
          <w:szCs w:val="32"/>
          <w:lang w:val="en-US" w:eastAsia="zh-CN"/>
        </w:rPr>
        <w:t>3</w:t>
      </w:r>
      <w:r>
        <w:rPr>
          <w:rFonts w:hint="eastAsia" w:ascii="仿宋" w:hAnsi="仿宋" w:eastAsia="仿宋"/>
          <w:sz w:val="32"/>
          <w:szCs w:val="32"/>
        </w:rPr>
        <w:t>年相比，收、支总计</w:t>
      </w:r>
      <w:r>
        <w:rPr>
          <w:rFonts w:hint="eastAsia" w:ascii="仿宋" w:hAnsi="仿宋" w:eastAsia="仿宋"/>
          <w:sz w:val="32"/>
          <w:szCs w:val="32"/>
          <w:lang w:eastAsia="zh-CN"/>
        </w:rPr>
        <w:t>各减少</w:t>
      </w:r>
      <w:r>
        <w:rPr>
          <w:rFonts w:hint="eastAsia" w:ascii="仿宋" w:hAnsi="仿宋" w:eastAsia="仿宋"/>
          <w:sz w:val="32"/>
          <w:szCs w:val="32"/>
          <w:lang w:val="en-US" w:eastAsia="zh-CN"/>
        </w:rPr>
        <w:t>110.34</w:t>
      </w:r>
      <w:r>
        <w:rPr>
          <w:rFonts w:hint="eastAsia" w:ascii="仿宋" w:hAnsi="仿宋" w:eastAsia="仿宋"/>
          <w:sz w:val="32"/>
          <w:szCs w:val="32"/>
        </w:rPr>
        <w:t>万元，</w:t>
      </w:r>
      <w:r>
        <w:rPr>
          <w:rFonts w:hint="eastAsia" w:ascii="仿宋" w:hAnsi="仿宋" w:eastAsia="仿宋"/>
          <w:sz w:val="32"/>
          <w:szCs w:val="32"/>
          <w:lang w:eastAsia="zh-CN"/>
        </w:rPr>
        <w:t>减少</w:t>
      </w:r>
      <w:r>
        <w:rPr>
          <w:rFonts w:hint="eastAsia" w:ascii="仿宋" w:hAnsi="仿宋" w:eastAsia="仿宋"/>
          <w:sz w:val="32"/>
          <w:szCs w:val="32"/>
          <w:lang w:val="en-US" w:eastAsia="zh-CN"/>
        </w:rPr>
        <w:t>41.68</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减少</w:t>
      </w:r>
      <w:r>
        <w:rPr>
          <w:rFonts w:hint="eastAsia" w:ascii="仿宋" w:hAnsi="仿宋" w:eastAsia="仿宋"/>
          <w:sz w:val="32"/>
          <w:szCs w:val="32"/>
        </w:rPr>
        <w:t>人员经费、日常公用经费及项目资金。</w:t>
      </w:r>
    </w:p>
    <w:p w14:paraId="57CE2C4D">
      <w:pPr>
        <w:spacing w:line="600" w:lineRule="exact"/>
        <w:rPr>
          <w:rFonts w:ascii="仿宋" w:hAnsi="仿宋" w:eastAsia="仿宋"/>
          <w:color w:val="000000" w:themeColor="text1"/>
          <w:sz w:val="32"/>
          <w:szCs w:val="32"/>
          <w14:textFill>
            <w14:solidFill>
              <w14:schemeClr w14:val="tx1"/>
            </w14:solidFill>
          </w14:textFill>
        </w:rPr>
      </w:pPr>
    </w:p>
    <w:p w14:paraId="2761B8BE">
      <w:pPr>
        <w:spacing w:line="360" w:lineRule="auto"/>
        <w:jc w:val="cente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drawing>
          <wp:inline distT="0" distB="0" distL="114300" distR="114300">
            <wp:extent cx="4488180" cy="2519680"/>
            <wp:effectExtent l="4445" t="4445" r="22225" b="952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72B34F8">
      <w:pPr>
        <w:spacing w:line="600" w:lineRule="exact"/>
        <w:jc w:val="cente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（图6：一般公共预算财政拨款支出决算变动情况）（柱状图）</w:t>
      </w:r>
    </w:p>
    <w:p w14:paraId="775F6710">
      <w:pPr>
        <w:spacing w:line="576" w:lineRule="exact"/>
        <w:ind w:firstLine="643" w:firstLineChars="200"/>
        <w:outlineLvl w:val="2"/>
        <w:rPr>
          <w:rFonts w:ascii="仿宋" w:hAnsi="仿宋" w:eastAsia="仿宋"/>
          <w:b/>
          <w:sz w:val="32"/>
          <w:szCs w:val="32"/>
        </w:rPr>
      </w:pPr>
      <w:bookmarkStart w:id="23" w:name="_Toc15377211"/>
      <w:r>
        <w:rPr>
          <w:rFonts w:hint="eastAsia" w:ascii="仿宋" w:hAnsi="仿宋" w:eastAsia="仿宋"/>
          <w:b/>
          <w:sz w:val="32"/>
          <w:szCs w:val="32"/>
        </w:rPr>
        <w:t>（二）一般公共预算财政拨款支出决算结构情况</w:t>
      </w:r>
      <w:bookmarkEnd w:id="23"/>
    </w:p>
    <w:p w14:paraId="79F1D213">
      <w:pPr>
        <w:spacing w:line="576" w:lineRule="exact"/>
        <w:ind w:firstLine="640" w:firstLineChars="200"/>
        <w:outlineLvl w:val="1"/>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年本年支出合计</w:t>
      </w:r>
      <w:r>
        <w:rPr>
          <w:rFonts w:hint="eastAsia" w:ascii="仿宋" w:hAnsi="仿宋" w:eastAsia="仿宋"/>
          <w:sz w:val="32"/>
          <w:szCs w:val="32"/>
          <w:lang w:val="en-US" w:eastAsia="zh-CN"/>
        </w:rPr>
        <w:t>264.74</w:t>
      </w:r>
      <w:r>
        <w:rPr>
          <w:rFonts w:hint="eastAsia" w:ascii="仿宋" w:hAnsi="仿宋" w:eastAsia="仿宋"/>
          <w:sz w:val="32"/>
          <w:szCs w:val="32"/>
        </w:rPr>
        <w:t>万元，其中：</w:t>
      </w:r>
      <w:r>
        <w:rPr>
          <w:rFonts w:hint="eastAsia" w:ascii="仿宋_GB2312" w:hAnsi="仿宋" w:eastAsia="仿宋_GB2312"/>
          <w:sz w:val="32"/>
          <w:szCs w:val="32"/>
        </w:rPr>
        <w:t>文化体育与传媒</w:t>
      </w:r>
      <w:r>
        <w:rPr>
          <w:rFonts w:hint="eastAsia" w:ascii="仿宋" w:hAnsi="仿宋" w:eastAsia="仿宋"/>
          <w:sz w:val="32"/>
          <w:szCs w:val="32"/>
        </w:rPr>
        <w:t>支出</w:t>
      </w:r>
      <w:r>
        <w:rPr>
          <w:rFonts w:hint="eastAsia" w:ascii="仿宋" w:hAnsi="仿宋" w:eastAsia="仿宋"/>
          <w:sz w:val="32"/>
          <w:szCs w:val="32"/>
          <w:lang w:val="en-US" w:eastAsia="zh-CN"/>
        </w:rPr>
        <w:t>179.01</w:t>
      </w:r>
      <w:r>
        <w:rPr>
          <w:rFonts w:hint="eastAsia" w:ascii="仿宋" w:hAnsi="仿宋" w:eastAsia="仿宋"/>
          <w:sz w:val="32"/>
          <w:szCs w:val="32"/>
        </w:rPr>
        <w:t>万</w:t>
      </w:r>
      <w:r>
        <w:rPr>
          <w:rFonts w:hint="eastAsia" w:ascii="仿宋_GB2312" w:hAnsi="仿宋" w:eastAsia="仿宋_GB2312"/>
          <w:sz w:val="32"/>
          <w:szCs w:val="32"/>
        </w:rPr>
        <w:t>元</w:t>
      </w:r>
      <w:r>
        <w:rPr>
          <w:rFonts w:hint="eastAsia" w:ascii="仿宋" w:hAnsi="仿宋" w:eastAsia="仿宋"/>
          <w:sz w:val="32"/>
          <w:szCs w:val="32"/>
        </w:rPr>
        <w:t>，占</w:t>
      </w:r>
      <w:r>
        <w:rPr>
          <w:rFonts w:hint="eastAsia" w:ascii="仿宋" w:hAnsi="仿宋" w:eastAsia="仿宋"/>
          <w:sz w:val="32"/>
          <w:szCs w:val="32"/>
          <w:lang w:val="en-US" w:eastAsia="zh-CN"/>
        </w:rPr>
        <w:t>67.62</w:t>
      </w:r>
      <w:r>
        <w:rPr>
          <w:rFonts w:ascii="仿宋" w:hAnsi="仿宋" w:eastAsia="仿宋"/>
          <w:sz w:val="32"/>
          <w:szCs w:val="32"/>
        </w:rPr>
        <w:t>%</w:t>
      </w:r>
      <w:r>
        <w:rPr>
          <w:rFonts w:hint="eastAsia" w:ascii="仿宋" w:hAnsi="仿宋" w:eastAsia="仿宋"/>
          <w:sz w:val="32"/>
          <w:szCs w:val="32"/>
        </w:rPr>
        <w:t>；社会保障和就业支出</w:t>
      </w:r>
      <w:r>
        <w:rPr>
          <w:rFonts w:hint="eastAsia" w:ascii="仿宋" w:hAnsi="仿宋" w:eastAsia="仿宋"/>
          <w:sz w:val="32"/>
          <w:szCs w:val="32"/>
          <w:lang w:val="en-US" w:eastAsia="zh-CN"/>
        </w:rPr>
        <w:t>17.41</w:t>
      </w:r>
      <w:r>
        <w:rPr>
          <w:rFonts w:hint="eastAsia" w:ascii="仿宋" w:hAnsi="仿宋" w:eastAsia="仿宋"/>
          <w:sz w:val="32"/>
          <w:szCs w:val="32"/>
        </w:rPr>
        <w:t>万元，占</w:t>
      </w:r>
      <w:r>
        <w:rPr>
          <w:rFonts w:hint="eastAsia" w:ascii="仿宋" w:hAnsi="仿宋" w:eastAsia="仿宋"/>
          <w:sz w:val="32"/>
          <w:szCs w:val="32"/>
          <w:lang w:val="en-US" w:eastAsia="zh-CN"/>
        </w:rPr>
        <w:t>6.58</w:t>
      </w:r>
      <w:r>
        <w:rPr>
          <w:rFonts w:ascii="仿宋" w:hAnsi="仿宋" w:eastAsia="仿宋"/>
          <w:sz w:val="32"/>
          <w:szCs w:val="32"/>
        </w:rPr>
        <w:t>%</w:t>
      </w:r>
      <w:r>
        <w:rPr>
          <w:rFonts w:hint="eastAsia" w:ascii="仿宋" w:hAnsi="仿宋" w:eastAsia="仿宋"/>
          <w:sz w:val="32"/>
          <w:szCs w:val="32"/>
        </w:rPr>
        <w:t>；卫生健康支出</w:t>
      </w:r>
      <w:r>
        <w:rPr>
          <w:rFonts w:hint="eastAsia" w:ascii="仿宋" w:hAnsi="仿宋" w:eastAsia="仿宋"/>
          <w:sz w:val="32"/>
          <w:szCs w:val="32"/>
          <w:lang w:val="en-US" w:eastAsia="zh-CN"/>
        </w:rPr>
        <w:t>10</w:t>
      </w:r>
      <w:r>
        <w:rPr>
          <w:rFonts w:hint="eastAsia" w:ascii="仿宋" w:hAnsi="仿宋" w:eastAsia="仿宋"/>
          <w:sz w:val="32"/>
          <w:szCs w:val="32"/>
        </w:rPr>
        <w:t>.08万元，占</w:t>
      </w:r>
      <w:r>
        <w:rPr>
          <w:rFonts w:hint="eastAsia" w:ascii="仿宋" w:hAnsi="仿宋" w:eastAsia="仿宋"/>
          <w:sz w:val="32"/>
          <w:szCs w:val="32"/>
          <w:lang w:val="en-US" w:eastAsia="zh-CN"/>
        </w:rPr>
        <w:t>3.81</w:t>
      </w:r>
      <w:r>
        <w:rPr>
          <w:rFonts w:ascii="仿宋" w:hAnsi="仿宋" w:eastAsia="仿宋"/>
          <w:sz w:val="32"/>
          <w:szCs w:val="32"/>
        </w:rPr>
        <w:t>%</w:t>
      </w:r>
      <w:r>
        <w:rPr>
          <w:rFonts w:hint="eastAsia" w:ascii="仿宋" w:hAnsi="仿宋" w:eastAsia="仿宋"/>
          <w:sz w:val="32"/>
          <w:szCs w:val="32"/>
        </w:rPr>
        <w:t>；农林水支出</w:t>
      </w:r>
      <w:r>
        <w:rPr>
          <w:rFonts w:hint="eastAsia" w:ascii="仿宋" w:hAnsi="仿宋" w:eastAsia="仿宋"/>
          <w:sz w:val="32"/>
          <w:szCs w:val="32"/>
          <w:lang w:val="en-US" w:eastAsia="zh-CN"/>
        </w:rPr>
        <w:t>43.67</w:t>
      </w:r>
      <w:r>
        <w:rPr>
          <w:rFonts w:hint="eastAsia" w:ascii="仿宋" w:hAnsi="仿宋" w:eastAsia="仿宋"/>
          <w:sz w:val="32"/>
          <w:szCs w:val="32"/>
        </w:rPr>
        <w:t>万元，占</w:t>
      </w:r>
      <w:r>
        <w:rPr>
          <w:rFonts w:hint="eastAsia" w:ascii="仿宋" w:hAnsi="仿宋" w:eastAsia="仿宋"/>
          <w:sz w:val="32"/>
          <w:szCs w:val="32"/>
          <w:lang w:val="en-US" w:eastAsia="zh-CN"/>
        </w:rPr>
        <w:t>16.5</w:t>
      </w:r>
      <w:r>
        <w:rPr>
          <w:rFonts w:ascii="仿宋" w:hAnsi="仿宋" w:eastAsia="仿宋"/>
          <w:sz w:val="32"/>
          <w:szCs w:val="32"/>
        </w:rPr>
        <w:t>%</w:t>
      </w:r>
      <w:r>
        <w:rPr>
          <w:rFonts w:hint="eastAsia" w:ascii="仿宋" w:hAnsi="仿宋" w:eastAsia="仿宋"/>
          <w:sz w:val="32"/>
          <w:szCs w:val="32"/>
        </w:rPr>
        <w:t>；住房保障支出</w:t>
      </w:r>
      <w:r>
        <w:rPr>
          <w:rFonts w:hint="eastAsia" w:ascii="仿宋" w:hAnsi="仿宋" w:eastAsia="仿宋"/>
          <w:sz w:val="32"/>
          <w:szCs w:val="32"/>
          <w:lang w:val="en-US" w:eastAsia="zh-CN"/>
        </w:rPr>
        <w:t>14.56</w:t>
      </w:r>
      <w:r>
        <w:rPr>
          <w:rFonts w:hint="eastAsia" w:ascii="仿宋" w:hAnsi="仿宋" w:eastAsia="仿宋"/>
          <w:sz w:val="32"/>
          <w:szCs w:val="32"/>
        </w:rPr>
        <w:t>万元，占</w:t>
      </w:r>
      <w:r>
        <w:rPr>
          <w:rFonts w:hint="eastAsia" w:ascii="仿宋" w:hAnsi="仿宋" w:eastAsia="仿宋"/>
          <w:sz w:val="32"/>
          <w:szCs w:val="32"/>
          <w:lang w:val="en-US" w:eastAsia="zh-CN"/>
        </w:rPr>
        <w:t>5.5</w:t>
      </w:r>
      <w:r>
        <w:rPr>
          <w:rFonts w:hint="eastAsia" w:ascii="仿宋" w:hAnsi="仿宋" w:eastAsia="仿宋"/>
          <w:sz w:val="32"/>
          <w:szCs w:val="32"/>
        </w:rPr>
        <w:t>%。</w:t>
      </w:r>
    </w:p>
    <w:p w14:paraId="7C6F9ACB">
      <w:pPr>
        <w:spacing w:line="360" w:lineRule="auto"/>
        <w:ind w:firstLine="640" w:firstLineChars="200"/>
        <w:jc w:val="cente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drawing>
          <wp:inline distT="0" distB="0" distL="114300" distR="114300">
            <wp:extent cx="4853305" cy="2714625"/>
            <wp:effectExtent l="4445" t="4445" r="19050" b="508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B13F4A8">
      <w:pPr>
        <w:spacing w:line="600" w:lineRule="exact"/>
        <w:ind w:firstLine="640" w:firstLineChars="200"/>
        <w:jc w:val="cente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sz w:val="32"/>
          <w:szCs w:val="32"/>
        </w:rPr>
        <w:t>（图7：一般公共预算财政拨款支出决算结构）（饼状图）</w:t>
      </w:r>
    </w:p>
    <w:p w14:paraId="26A988F9">
      <w:pPr>
        <w:spacing w:line="576" w:lineRule="exact"/>
        <w:ind w:firstLine="643" w:firstLineChars="200"/>
        <w:outlineLvl w:val="2"/>
        <w:rPr>
          <w:rFonts w:ascii="仿宋" w:hAnsi="仿宋" w:eastAsia="仿宋"/>
          <w:b/>
          <w:color w:val="000000"/>
          <w:sz w:val="32"/>
          <w:szCs w:val="32"/>
        </w:rPr>
      </w:pPr>
      <w:bookmarkStart w:id="24" w:name="_Toc15377212"/>
      <w:r>
        <w:rPr>
          <w:rFonts w:hint="eastAsia" w:ascii="仿宋" w:hAnsi="仿宋" w:eastAsia="仿宋"/>
          <w:b/>
          <w:color w:val="000000"/>
          <w:sz w:val="32"/>
          <w:szCs w:val="32"/>
        </w:rPr>
        <w:t>（三）一般公共预算财政拨款支出决算具体情况</w:t>
      </w:r>
      <w:bookmarkEnd w:id="24"/>
    </w:p>
    <w:p w14:paraId="0BE51D28">
      <w:pPr>
        <w:spacing w:line="576" w:lineRule="exact"/>
        <w:ind w:firstLine="643" w:firstLineChars="200"/>
        <w:outlineLvl w:val="2"/>
        <w:rPr>
          <w:rStyle w:val="21"/>
          <w:rFonts w:ascii="仿宋" w:hAnsi="仿宋" w:eastAsia="仿宋"/>
          <w:bCs/>
          <w:color w:val="000000"/>
          <w:sz w:val="32"/>
          <w:szCs w:val="32"/>
        </w:rPr>
      </w:pPr>
      <w:bookmarkStart w:id="25" w:name="_Toc15377444"/>
      <w:bookmarkStart w:id="26" w:name="_Toc15377213"/>
      <w:bookmarkStart w:id="27" w:name="_Toc15378460"/>
      <w:r>
        <w:rPr>
          <w:rFonts w:hint="eastAsia" w:ascii="仿宋" w:hAnsi="仿宋" w:eastAsia="仿宋"/>
          <w:b/>
          <w:color w:val="000000" w:themeColor="text1"/>
          <w:sz w:val="32"/>
          <w:szCs w:val="32"/>
          <w14:textFill>
            <w14:solidFill>
              <w14:schemeClr w14:val="tx1"/>
            </w14:solidFill>
          </w14:textFill>
        </w:rPr>
        <w:t>202</w:t>
      </w:r>
      <w:r>
        <w:rPr>
          <w:rFonts w:hint="eastAsia" w:ascii="仿宋" w:hAnsi="仿宋" w:eastAsia="仿宋"/>
          <w:b/>
          <w:color w:val="000000" w:themeColor="text1"/>
          <w:sz w:val="32"/>
          <w:szCs w:val="32"/>
          <w:lang w:val="en-US" w:eastAsia="zh-CN"/>
          <w14:textFill>
            <w14:solidFill>
              <w14:schemeClr w14:val="tx1"/>
            </w14:solidFill>
          </w14:textFill>
        </w:rPr>
        <w:t>4</w:t>
      </w:r>
      <w:r>
        <w:rPr>
          <w:rFonts w:hint="eastAsia" w:ascii="仿宋" w:hAnsi="仿宋" w:eastAsia="仿宋"/>
          <w:b/>
          <w:color w:val="000000" w:themeColor="text1"/>
          <w:sz w:val="32"/>
          <w:szCs w:val="32"/>
          <w14:textFill>
            <w14:solidFill>
              <w14:schemeClr w14:val="tx1"/>
            </w14:solidFill>
          </w14:textFill>
        </w:rPr>
        <w:t>年一般公共预算支出决算数为</w:t>
      </w:r>
      <w:r>
        <w:rPr>
          <w:rFonts w:hint="eastAsia" w:ascii="仿宋" w:hAnsi="仿宋" w:eastAsia="仿宋"/>
          <w:b/>
          <w:color w:val="000000" w:themeColor="text1"/>
          <w:sz w:val="32"/>
          <w:szCs w:val="32"/>
          <w:lang w:val="en-US" w:eastAsia="zh-CN"/>
          <w14:textFill>
            <w14:solidFill>
              <w14:schemeClr w14:val="tx1"/>
            </w14:solidFill>
          </w14:textFill>
        </w:rPr>
        <w:t>264.74</w:t>
      </w:r>
      <w:r>
        <w:rPr>
          <w:rFonts w:hint="eastAsia" w:ascii="仿宋" w:hAnsi="仿宋" w:eastAsia="仿宋"/>
          <w:b/>
          <w:color w:val="000000" w:themeColor="text1"/>
          <w:sz w:val="32"/>
          <w:szCs w:val="32"/>
          <w14:textFill>
            <w14:solidFill>
              <w14:schemeClr w14:val="tx1"/>
            </w14:solidFill>
          </w14:textFill>
        </w:rPr>
        <w:t>万元</w:t>
      </w:r>
      <w:r>
        <w:rPr>
          <w:rFonts w:hint="eastAsia" w:ascii="仿宋" w:hAnsi="仿宋" w:eastAsia="仿宋"/>
          <w:color w:val="000000" w:themeColor="text1"/>
          <w:sz w:val="32"/>
          <w:szCs w:val="32"/>
          <w14:textFill>
            <w14:solidFill>
              <w14:schemeClr w14:val="tx1"/>
            </w14:solidFill>
          </w14:textFill>
        </w:rPr>
        <w:t>，</w:t>
      </w:r>
      <w:r>
        <w:rPr>
          <w:rStyle w:val="21"/>
          <w:rFonts w:hint="eastAsia" w:ascii="仿宋" w:hAnsi="仿宋" w:eastAsia="仿宋"/>
          <w:bCs/>
          <w:color w:val="000000" w:themeColor="text1"/>
          <w:sz w:val="32"/>
          <w:szCs w:val="32"/>
          <w14:textFill>
            <w14:solidFill>
              <w14:schemeClr w14:val="tx1"/>
            </w14:solidFill>
          </w14:textFill>
        </w:rPr>
        <w:t>完成</w:t>
      </w:r>
      <w:r>
        <w:rPr>
          <w:rStyle w:val="21"/>
          <w:rFonts w:hint="eastAsia" w:ascii="仿宋" w:hAnsi="仿宋" w:eastAsia="仿宋"/>
          <w:bCs/>
          <w:color w:val="000000"/>
          <w:sz w:val="32"/>
          <w:szCs w:val="32"/>
        </w:rPr>
        <w:t>预算100</w:t>
      </w:r>
      <w:r>
        <w:rPr>
          <w:rStyle w:val="21"/>
          <w:rFonts w:ascii="仿宋" w:hAnsi="仿宋" w:eastAsia="仿宋"/>
          <w:bCs/>
          <w:color w:val="000000"/>
          <w:sz w:val="32"/>
          <w:szCs w:val="32"/>
        </w:rPr>
        <w:t>%</w:t>
      </w:r>
      <w:r>
        <w:rPr>
          <w:rStyle w:val="21"/>
          <w:rFonts w:hint="eastAsia" w:ascii="仿宋" w:hAnsi="仿宋" w:eastAsia="仿宋"/>
          <w:bCs/>
          <w:color w:val="000000"/>
          <w:sz w:val="32"/>
          <w:szCs w:val="32"/>
        </w:rPr>
        <w:t>。其中：</w:t>
      </w:r>
      <w:bookmarkEnd w:id="25"/>
      <w:bookmarkEnd w:id="26"/>
      <w:bookmarkEnd w:id="27"/>
    </w:p>
    <w:p w14:paraId="026EADA9">
      <w:pPr>
        <w:spacing w:line="576" w:lineRule="exact"/>
        <w:ind w:firstLine="643" w:firstLineChars="200"/>
        <w:rPr>
          <w:rStyle w:val="21"/>
          <w:rFonts w:ascii="仿宋" w:hAnsi="仿宋" w:eastAsia="仿宋"/>
          <w:b w:val="0"/>
          <w:bCs/>
          <w:color w:val="000000"/>
          <w:sz w:val="32"/>
          <w:szCs w:val="32"/>
        </w:rPr>
      </w:pPr>
      <w:r>
        <w:rPr>
          <w:rStyle w:val="21"/>
          <w:rFonts w:hint="eastAsia" w:ascii="仿宋" w:hAnsi="仿宋" w:eastAsia="仿宋"/>
          <w:bCs/>
          <w:color w:val="000000"/>
          <w:sz w:val="32"/>
          <w:szCs w:val="32"/>
        </w:rPr>
        <w:t xml:space="preserve">1.文化体育与传媒支出（类）文化（款）行政运行（项）: </w:t>
      </w:r>
      <w:r>
        <w:rPr>
          <w:rStyle w:val="21"/>
          <w:rFonts w:hint="eastAsia" w:ascii="仿宋" w:hAnsi="仿宋" w:eastAsia="仿宋"/>
          <w:b w:val="0"/>
          <w:bCs/>
          <w:color w:val="000000"/>
          <w:sz w:val="32"/>
          <w:szCs w:val="32"/>
        </w:rPr>
        <w:t>支出决算为80.67万元，完成预算100</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rPr>
        <w:t>，决算数等于预算数的主要原因是严格按照财政规定支付人员行政人员工资及津贴补贴。</w:t>
      </w:r>
    </w:p>
    <w:p w14:paraId="6E487468">
      <w:pPr>
        <w:spacing w:line="576" w:lineRule="exact"/>
        <w:ind w:firstLine="643" w:firstLineChars="200"/>
        <w:rPr>
          <w:rStyle w:val="21"/>
          <w:rFonts w:ascii="仿宋" w:hAnsi="仿宋" w:eastAsia="仿宋"/>
          <w:b w:val="0"/>
          <w:bCs/>
          <w:color w:val="000000"/>
          <w:sz w:val="32"/>
          <w:szCs w:val="32"/>
        </w:rPr>
      </w:pPr>
      <w:r>
        <w:rPr>
          <w:rStyle w:val="21"/>
          <w:rFonts w:hint="eastAsia" w:ascii="仿宋" w:hAnsi="仿宋" w:eastAsia="仿宋"/>
          <w:bCs/>
          <w:color w:val="000000"/>
          <w:sz w:val="32"/>
          <w:szCs w:val="32"/>
        </w:rPr>
        <w:t xml:space="preserve">2.文化体育与传媒支出（类）文化（款）文化和旅游市场管理（项）: </w:t>
      </w:r>
      <w:r>
        <w:rPr>
          <w:rStyle w:val="21"/>
          <w:rFonts w:hint="eastAsia" w:ascii="仿宋" w:hAnsi="仿宋" w:eastAsia="仿宋"/>
          <w:b w:val="0"/>
          <w:bCs/>
          <w:color w:val="000000"/>
          <w:sz w:val="32"/>
          <w:szCs w:val="32"/>
        </w:rPr>
        <w:t>支出决算为</w:t>
      </w:r>
      <w:r>
        <w:rPr>
          <w:rStyle w:val="21"/>
          <w:rFonts w:hint="eastAsia" w:ascii="仿宋" w:hAnsi="仿宋" w:eastAsia="仿宋"/>
          <w:b w:val="0"/>
          <w:bCs/>
          <w:color w:val="000000"/>
          <w:sz w:val="32"/>
          <w:szCs w:val="32"/>
          <w:lang w:val="en-US" w:eastAsia="zh-CN"/>
        </w:rPr>
        <w:t>30</w:t>
      </w:r>
      <w:r>
        <w:rPr>
          <w:rStyle w:val="21"/>
          <w:rFonts w:hint="eastAsia" w:ascii="仿宋" w:hAnsi="仿宋" w:eastAsia="仿宋"/>
          <w:b w:val="0"/>
          <w:bCs/>
          <w:color w:val="000000"/>
          <w:sz w:val="32"/>
          <w:szCs w:val="32"/>
        </w:rPr>
        <w:t>万元，完成预算100</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rPr>
        <w:t>，决算数等于预算数的主要原因是严格按照财政规定支付文化和旅游市场管理项目资金。</w:t>
      </w:r>
    </w:p>
    <w:p w14:paraId="78A30A98">
      <w:pPr>
        <w:spacing w:line="576" w:lineRule="exact"/>
        <w:ind w:firstLine="643" w:firstLineChars="200"/>
        <w:rPr>
          <w:rStyle w:val="21"/>
          <w:rFonts w:ascii="仿宋" w:hAnsi="仿宋" w:eastAsia="仿宋"/>
          <w:b w:val="0"/>
          <w:bCs/>
          <w:color w:val="000000"/>
          <w:sz w:val="32"/>
          <w:szCs w:val="32"/>
        </w:rPr>
      </w:pPr>
      <w:r>
        <w:rPr>
          <w:rStyle w:val="21"/>
          <w:rFonts w:hint="eastAsia" w:ascii="仿宋" w:hAnsi="仿宋" w:eastAsia="仿宋"/>
          <w:bCs/>
          <w:color w:val="000000"/>
          <w:sz w:val="32"/>
          <w:szCs w:val="32"/>
        </w:rPr>
        <w:t xml:space="preserve">3.文化体育与传媒支出（类）文化（款）文化和旅游管理事务（项）: </w:t>
      </w:r>
      <w:r>
        <w:rPr>
          <w:rStyle w:val="21"/>
          <w:rFonts w:hint="eastAsia" w:ascii="仿宋" w:hAnsi="仿宋" w:eastAsia="仿宋"/>
          <w:b w:val="0"/>
          <w:bCs/>
          <w:color w:val="000000"/>
          <w:sz w:val="32"/>
          <w:szCs w:val="32"/>
        </w:rPr>
        <w:t>支出决算为</w:t>
      </w:r>
      <w:r>
        <w:rPr>
          <w:rStyle w:val="21"/>
          <w:rFonts w:hint="eastAsia" w:ascii="仿宋" w:hAnsi="仿宋" w:eastAsia="仿宋"/>
          <w:b w:val="0"/>
          <w:bCs/>
          <w:color w:val="000000"/>
          <w:sz w:val="32"/>
          <w:szCs w:val="32"/>
          <w:lang w:val="en-US" w:eastAsia="zh-CN"/>
        </w:rPr>
        <w:t>68.34</w:t>
      </w:r>
      <w:r>
        <w:rPr>
          <w:rStyle w:val="21"/>
          <w:rFonts w:hint="eastAsia" w:ascii="仿宋" w:hAnsi="仿宋" w:eastAsia="仿宋"/>
          <w:b w:val="0"/>
          <w:bCs/>
          <w:color w:val="000000"/>
          <w:sz w:val="32"/>
          <w:szCs w:val="32"/>
        </w:rPr>
        <w:t>万元，完成预算100</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rPr>
        <w:t>，决算数等于预算数的主要原因是严格按照财政规定支付事业人员办公经费。</w:t>
      </w:r>
    </w:p>
    <w:p w14:paraId="26DBE1DF">
      <w:pPr>
        <w:spacing w:line="576" w:lineRule="exact"/>
        <w:ind w:firstLine="643" w:firstLineChars="200"/>
      </w:pPr>
      <w:r>
        <w:rPr>
          <w:rStyle w:val="21"/>
          <w:rFonts w:hint="eastAsia" w:ascii="仿宋" w:hAnsi="仿宋" w:eastAsia="仿宋"/>
          <w:bCs/>
          <w:color w:val="000000"/>
          <w:sz w:val="32"/>
          <w:szCs w:val="32"/>
          <w:lang w:val="en-US" w:eastAsia="zh-CN"/>
        </w:rPr>
        <w:t>4</w:t>
      </w:r>
      <w:r>
        <w:rPr>
          <w:rStyle w:val="21"/>
          <w:rFonts w:hint="eastAsia" w:ascii="仿宋" w:hAnsi="仿宋" w:eastAsia="仿宋"/>
          <w:b w:val="0"/>
          <w:color w:val="000000"/>
          <w:sz w:val="32"/>
          <w:szCs w:val="32"/>
        </w:rPr>
        <w:t>.</w:t>
      </w:r>
      <w:r>
        <w:rPr>
          <w:rStyle w:val="21"/>
          <w:rFonts w:hint="eastAsia" w:ascii="仿宋" w:hAnsi="仿宋" w:eastAsia="仿宋"/>
          <w:bCs/>
          <w:color w:val="000000"/>
          <w:sz w:val="32"/>
          <w:szCs w:val="32"/>
        </w:rPr>
        <w:t xml:space="preserve">社会保障和就业支出（类）行政事业单位养老支出（款）机关事业单位基本养老保险缴费支出（项）: </w:t>
      </w:r>
      <w:r>
        <w:rPr>
          <w:rStyle w:val="21"/>
          <w:rFonts w:hint="eastAsia" w:ascii="仿宋" w:hAnsi="仿宋" w:eastAsia="仿宋"/>
          <w:b w:val="0"/>
          <w:bCs/>
          <w:color w:val="000000"/>
          <w:sz w:val="32"/>
          <w:szCs w:val="32"/>
        </w:rPr>
        <w:t>支出决算为</w:t>
      </w:r>
      <w:r>
        <w:rPr>
          <w:rStyle w:val="21"/>
          <w:rFonts w:hint="eastAsia" w:ascii="仿宋" w:hAnsi="仿宋" w:eastAsia="仿宋"/>
          <w:b w:val="0"/>
          <w:bCs/>
          <w:color w:val="000000"/>
          <w:sz w:val="32"/>
          <w:szCs w:val="32"/>
          <w:lang w:val="en-US" w:eastAsia="zh-CN"/>
        </w:rPr>
        <w:t>16.88</w:t>
      </w:r>
      <w:r>
        <w:rPr>
          <w:rStyle w:val="21"/>
          <w:rFonts w:hint="eastAsia" w:ascii="仿宋" w:hAnsi="仿宋" w:eastAsia="仿宋"/>
          <w:b w:val="0"/>
          <w:bCs/>
          <w:color w:val="000000"/>
          <w:sz w:val="32"/>
          <w:szCs w:val="32"/>
        </w:rPr>
        <w:t>万元，完成预算100</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rPr>
        <w:t>，决算数等于预算数的主要原因是严格按照财政规定支付机关事业单位基本养老保险。</w:t>
      </w:r>
    </w:p>
    <w:p w14:paraId="785A7DC3">
      <w:pPr>
        <w:spacing w:line="576" w:lineRule="exact"/>
        <w:ind w:firstLine="643" w:firstLineChars="200"/>
        <w:rPr>
          <w:rStyle w:val="21"/>
          <w:rFonts w:ascii="仿宋" w:hAnsi="仿宋" w:eastAsia="仿宋"/>
          <w:b w:val="0"/>
          <w:bCs/>
          <w:color w:val="000000"/>
          <w:sz w:val="32"/>
          <w:szCs w:val="32"/>
        </w:rPr>
      </w:pPr>
      <w:r>
        <w:rPr>
          <w:rStyle w:val="21"/>
          <w:rFonts w:hint="eastAsia" w:ascii="仿宋" w:hAnsi="仿宋" w:eastAsia="仿宋"/>
          <w:bCs/>
          <w:color w:val="000000"/>
          <w:sz w:val="32"/>
          <w:szCs w:val="32"/>
          <w:lang w:val="en-US" w:eastAsia="zh-CN"/>
        </w:rPr>
        <w:t>5</w:t>
      </w:r>
      <w:r>
        <w:rPr>
          <w:rStyle w:val="21"/>
          <w:rFonts w:hint="eastAsia" w:ascii="仿宋" w:hAnsi="仿宋" w:eastAsia="仿宋"/>
          <w:b w:val="0"/>
          <w:color w:val="000000"/>
          <w:sz w:val="32"/>
          <w:szCs w:val="32"/>
        </w:rPr>
        <w:t>.</w:t>
      </w:r>
      <w:r>
        <w:rPr>
          <w:rStyle w:val="21"/>
          <w:rFonts w:hint="eastAsia" w:ascii="仿宋" w:hAnsi="仿宋" w:eastAsia="仿宋"/>
          <w:bCs/>
          <w:color w:val="000000"/>
          <w:sz w:val="32"/>
          <w:szCs w:val="32"/>
        </w:rPr>
        <w:t xml:space="preserve">社会保障和就业支出（类）行政事业单位养老支出（款）其他社会保障和就业支出（项）: </w:t>
      </w:r>
      <w:r>
        <w:rPr>
          <w:rStyle w:val="21"/>
          <w:rFonts w:hint="eastAsia" w:ascii="仿宋" w:hAnsi="仿宋" w:eastAsia="仿宋"/>
          <w:b w:val="0"/>
          <w:bCs/>
          <w:color w:val="000000"/>
          <w:sz w:val="32"/>
          <w:szCs w:val="32"/>
        </w:rPr>
        <w:t>支出决算为</w:t>
      </w:r>
      <w:r>
        <w:rPr>
          <w:rStyle w:val="21"/>
          <w:rFonts w:hint="eastAsia" w:ascii="仿宋" w:hAnsi="仿宋" w:eastAsia="仿宋"/>
          <w:b w:val="0"/>
          <w:bCs/>
          <w:color w:val="000000"/>
          <w:sz w:val="32"/>
          <w:szCs w:val="32"/>
          <w:lang w:val="en-US" w:eastAsia="zh-CN"/>
        </w:rPr>
        <w:t>0.53</w:t>
      </w:r>
      <w:r>
        <w:rPr>
          <w:rStyle w:val="21"/>
          <w:rFonts w:hint="eastAsia" w:ascii="仿宋" w:hAnsi="仿宋" w:eastAsia="仿宋"/>
          <w:b w:val="0"/>
          <w:bCs/>
          <w:color w:val="000000"/>
          <w:sz w:val="32"/>
          <w:szCs w:val="32"/>
        </w:rPr>
        <w:t>万元，完成预算100</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rPr>
        <w:t>，决算数等于预算数的主要原因是严格按照财政规定支付其他社会保障和就业支出.</w:t>
      </w:r>
    </w:p>
    <w:p w14:paraId="20F4C378">
      <w:pPr>
        <w:spacing w:line="576" w:lineRule="exact"/>
        <w:ind w:firstLine="643" w:firstLineChars="200"/>
        <w:rPr>
          <w:rStyle w:val="21"/>
          <w:rFonts w:ascii="仿宋" w:hAnsi="仿宋" w:eastAsia="仿宋"/>
          <w:b w:val="0"/>
          <w:bCs/>
          <w:color w:val="000000"/>
          <w:sz w:val="32"/>
          <w:szCs w:val="32"/>
        </w:rPr>
      </w:pPr>
      <w:r>
        <w:rPr>
          <w:rStyle w:val="21"/>
          <w:rFonts w:hint="eastAsia" w:ascii="仿宋" w:hAnsi="仿宋" w:eastAsia="仿宋"/>
          <w:bCs/>
          <w:color w:val="000000"/>
          <w:sz w:val="32"/>
          <w:szCs w:val="32"/>
          <w:lang w:val="en-US" w:eastAsia="zh-CN"/>
        </w:rPr>
        <w:t>6</w:t>
      </w:r>
      <w:r>
        <w:rPr>
          <w:rStyle w:val="21"/>
          <w:rFonts w:hint="eastAsia" w:ascii="仿宋" w:hAnsi="仿宋" w:eastAsia="仿宋"/>
          <w:bCs/>
          <w:color w:val="000000"/>
          <w:sz w:val="32"/>
          <w:szCs w:val="32"/>
        </w:rPr>
        <w:t>.</w:t>
      </w:r>
      <w:r>
        <w:rPr>
          <w:rStyle w:val="21"/>
          <w:rFonts w:hint="eastAsia" w:ascii="仿宋" w:hAnsi="仿宋" w:eastAsia="仿宋"/>
          <w:bCs/>
          <w:sz w:val="32"/>
          <w:szCs w:val="32"/>
        </w:rPr>
        <w:t>卫生健康支出</w:t>
      </w:r>
      <w:r>
        <w:rPr>
          <w:rStyle w:val="21"/>
          <w:rFonts w:hint="eastAsia" w:ascii="仿宋" w:hAnsi="仿宋" w:eastAsia="仿宋"/>
          <w:bCs/>
          <w:color w:val="000000"/>
          <w:sz w:val="32"/>
          <w:szCs w:val="32"/>
        </w:rPr>
        <w:t xml:space="preserve">（类）行政事业单位医疗（款）行政单位医疗（项）: </w:t>
      </w:r>
      <w:r>
        <w:rPr>
          <w:rStyle w:val="21"/>
          <w:rFonts w:hint="eastAsia" w:ascii="仿宋" w:hAnsi="仿宋" w:eastAsia="仿宋"/>
          <w:b w:val="0"/>
          <w:bCs/>
          <w:color w:val="000000"/>
          <w:sz w:val="32"/>
          <w:szCs w:val="32"/>
        </w:rPr>
        <w:t>支出决算为</w:t>
      </w:r>
      <w:r>
        <w:rPr>
          <w:rStyle w:val="21"/>
          <w:rFonts w:hint="eastAsia" w:ascii="仿宋" w:hAnsi="仿宋" w:eastAsia="仿宋"/>
          <w:b w:val="0"/>
          <w:bCs/>
          <w:color w:val="000000"/>
          <w:sz w:val="32"/>
          <w:szCs w:val="32"/>
          <w:lang w:val="en-US" w:eastAsia="zh-CN"/>
        </w:rPr>
        <w:t>3.85</w:t>
      </w:r>
      <w:r>
        <w:rPr>
          <w:rStyle w:val="21"/>
          <w:rFonts w:hint="eastAsia" w:ascii="仿宋" w:hAnsi="仿宋" w:eastAsia="仿宋"/>
          <w:b w:val="0"/>
          <w:bCs/>
          <w:color w:val="000000"/>
          <w:sz w:val="32"/>
          <w:szCs w:val="32"/>
        </w:rPr>
        <w:t>万元，按照财政规定支付行政单位医疗经费。</w:t>
      </w:r>
    </w:p>
    <w:p w14:paraId="36350957">
      <w:pPr>
        <w:spacing w:line="576" w:lineRule="exact"/>
        <w:ind w:firstLine="643" w:firstLineChars="200"/>
        <w:rPr>
          <w:rStyle w:val="21"/>
          <w:rFonts w:ascii="仿宋" w:hAnsi="仿宋" w:eastAsia="仿宋"/>
          <w:b w:val="0"/>
          <w:bCs/>
          <w:color w:val="000000"/>
          <w:sz w:val="32"/>
          <w:szCs w:val="32"/>
        </w:rPr>
      </w:pPr>
      <w:r>
        <w:rPr>
          <w:rStyle w:val="21"/>
          <w:rFonts w:hint="eastAsia" w:ascii="仿宋" w:hAnsi="仿宋" w:eastAsia="仿宋"/>
          <w:bCs/>
          <w:color w:val="000000"/>
          <w:sz w:val="32"/>
          <w:szCs w:val="32"/>
          <w:lang w:val="en-US" w:eastAsia="zh-CN"/>
        </w:rPr>
        <w:t>7</w:t>
      </w:r>
      <w:r>
        <w:rPr>
          <w:rStyle w:val="21"/>
          <w:rFonts w:hint="eastAsia" w:ascii="仿宋" w:hAnsi="仿宋" w:eastAsia="仿宋"/>
          <w:bCs/>
          <w:color w:val="000000"/>
          <w:sz w:val="32"/>
          <w:szCs w:val="32"/>
        </w:rPr>
        <w:t>.</w:t>
      </w:r>
      <w:r>
        <w:rPr>
          <w:rStyle w:val="21"/>
          <w:rFonts w:hint="eastAsia" w:ascii="仿宋" w:hAnsi="仿宋" w:eastAsia="仿宋"/>
          <w:bCs/>
          <w:sz w:val="32"/>
          <w:szCs w:val="32"/>
        </w:rPr>
        <w:t>卫生健康支出</w:t>
      </w:r>
      <w:r>
        <w:rPr>
          <w:rStyle w:val="21"/>
          <w:rFonts w:hint="eastAsia" w:ascii="仿宋" w:hAnsi="仿宋" w:eastAsia="仿宋"/>
          <w:bCs/>
          <w:color w:val="000000"/>
          <w:sz w:val="32"/>
          <w:szCs w:val="32"/>
        </w:rPr>
        <w:t xml:space="preserve">（类）行政事业单位医疗（款）事业单位医疗（项）: </w:t>
      </w:r>
      <w:r>
        <w:rPr>
          <w:rStyle w:val="21"/>
          <w:rFonts w:hint="eastAsia" w:ascii="仿宋" w:hAnsi="仿宋" w:eastAsia="仿宋"/>
          <w:b w:val="0"/>
          <w:bCs/>
          <w:color w:val="000000"/>
          <w:sz w:val="32"/>
          <w:szCs w:val="32"/>
        </w:rPr>
        <w:t>支出决算为</w:t>
      </w:r>
      <w:r>
        <w:rPr>
          <w:rStyle w:val="21"/>
          <w:rFonts w:hint="eastAsia" w:ascii="仿宋" w:hAnsi="仿宋" w:eastAsia="仿宋"/>
          <w:b w:val="0"/>
          <w:bCs/>
          <w:color w:val="000000"/>
          <w:sz w:val="32"/>
          <w:szCs w:val="32"/>
          <w:lang w:val="en-US" w:eastAsia="zh-CN"/>
        </w:rPr>
        <w:t>4.17</w:t>
      </w:r>
      <w:r>
        <w:rPr>
          <w:rStyle w:val="21"/>
          <w:rFonts w:hint="eastAsia" w:ascii="仿宋" w:hAnsi="仿宋" w:eastAsia="仿宋"/>
          <w:b w:val="0"/>
          <w:bCs/>
          <w:color w:val="000000"/>
          <w:sz w:val="32"/>
          <w:szCs w:val="32"/>
        </w:rPr>
        <w:t>万元，完成预算100</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rPr>
        <w:t>，决算数等于预算数的主要原因是严格按照财政规定支付事业单位医疗经费。</w:t>
      </w:r>
    </w:p>
    <w:p w14:paraId="2E875109">
      <w:pPr>
        <w:pStyle w:val="16"/>
        <w:spacing w:line="576" w:lineRule="exact"/>
        <w:ind w:firstLine="643" w:firstLineChars="200"/>
      </w:pPr>
      <w:r>
        <w:rPr>
          <w:rStyle w:val="21"/>
          <w:rFonts w:hint="eastAsia" w:ascii="仿宋" w:hAnsi="仿宋" w:eastAsia="仿宋"/>
          <w:bCs/>
          <w:color w:val="000000"/>
          <w:sz w:val="32"/>
          <w:szCs w:val="32"/>
          <w:lang w:val="en-US" w:eastAsia="zh-CN"/>
        </w:rPr>
        <w:t>8</w:t>
      </w:r>
      <w:r>
        <w:rPr>
          <w:rStyle w:val="21"/>
          <w:rFonts w:hint="eastAsia" w:ascii="仿宋" w:hAnsi="仿宋" w:eastAsia="仿宋"/>
          <w:b w:val="0"/>
          <w:sz w:val="32"/>
          <w:szCs w:val="32"/>
        </w:rPr>
        <w:t>.</w:t>
      </w:r>
      <w:r>
        <w:rPr>
          <w:rStyle w:val="21"/>
          <w:rFonts w:hint="eastAsia" w:ascii="仿宋" w:hAnsi="仿宋" w:eastAsia="仿宋"/>
          <w:bCs/>
          <w:sz w:val="32"/>
          <w:szCs w:val="32"/>
        </w:rPr>
        <w:t xml:space="preserve">卫生健康支出（类）行政事业单位医疗（款）公务员医疗补助（项）: </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2.07</w:t>
      </w:r>
      <w:r>
        <w:rPr>
          <w:rStyle w:val="21"/>
          <w:rFonts w:hint="eastAsia" w:ascii="仿宋" w:hAnsi="仿宋" w:eastAsia="仿宋"/>
          <w:b w:val="0"/>
          <w:bCs/>
          <w:sz w:val="32"/>
          <w:szCs w:val="32"/>
        </w:rPr>
        <w:t>万元，完成预算100</w:t>
      </w:r>
      <w:r>
        <w:rPr>
          <w:rStyle w:val="21"/>
          <w:rFonts w:ascii="仿宋" w:hAnsi="仿宋" w:eastAsia="仿宋"/>
          <w:b w:val="0"/>
          <w:bCs/>
          <w:sz w:val="32"/>
          <w:szCs w:val="32"/>
        </w:rPr>
        <w:t>%</w:t>
      </w:r>
      <w:r>
        <w:rPr>
          <w:rStyle w:val="21"/>
          <w:rFonts w:hint="eastAsia" w:ascii="仿宋" w:hAnsi="仿宋" w:eastAsia="仿宋"/>
          <w:b w:val="0"/>
          <w:bCs/>
          <w:sz w:val="32"/>
          <w:szCs w:val="32"/>
        </w:rPr>
        <w:t>，决算数等于预算数的主要原因是严格按照财政规定支付公务员医疗补助经费。</w:t>
      </w:r>
    </w:p>
    <w:p w14:paraId="20E0F5D0">
      <w:pPr>
        <w:spacing w:line="576" w:lineRule="exact"/>
        <w:ind w:firstLine="643" w:firstLineChars="200"/>
        <w:rPr>
          <w:rStyle w:val="21"/>
          <w:rFonts w:ascii="仿宋" w:hAnsi="仿宋" w:eastAsia="仿宋"/>
          <w:b w:val="0"/>
          <w:bCs/>
          <w:sz w:val="32"/>
          <w:szCs w:val="32"/>
        </w:rPr>
      </w:pPr>
      <w:r>
        <w:rPr>
          <w:rStyle w:val="21"/>
          <w:rFonts w:hint="eastAsia" w:ascii="仿宋" w:hAnsi="仿宋" w:eastAsia="仿宋"/>
          <w:bCs/>
          <w:sz w:val="32"/>
          <w:szCs w:val="32"/>
          <w:lang w:val="en-US" w:eastAsia="zh-CN"/>
        </w:rPr>
        <w:t>9</w:t>
      </w:r>
      <w:r>
        <w:rPr>
          <w:rStyle w:val="21"/>
          <w:rFonts w:hint="eastAsia" w:ascii="仿宋" w:hAnsi="仿宋" w:eastAsia="仿宋"/>
          <w:bCs/>
          <w:sz w:val="32"/>
          <w:szCs w:val="32"/>
        </w:rPr>
        <w:t xml:space="preserve">.农林水支出（类）巩固脱贫攻坚成果衔接乡村振兴（款）其他巩固脱贫攻坚成果衔接乡村振兴支出（项）: </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43.67</w:t>
      </w:r>
      <w:r>
        <w:rPr>
          <w:rStyle w:val="21"/>
          <w:rFonts w:hint="eastAsia" w:ascii="仿宋" w:hAnsi="仿宋" w:eastAsia="仿宋"/>
          <w:b w:val="0"/>
          <w:bCs/>
          <w:sz w:val="32"/>
          <w:szCs w:val="32"/>
        </w:rPr>
        <w:t>万元，完成预算100</w:t>
      </w:r>
      <w:r>
        <w:rPr>
          <w:rStyle w:val="21"/>
          <w:rFonts w:ascii="仿宋" w:hAnsi="仿宋" w:eastAsia="仿宋"/>
          <w:b w:val="0"/>
          <w:bCs/>
          <w:sz w:val="32"/>
          <w:szCs w:val="32"/>
        </w:rPr>
        <w:t>%</w:t>
      </w:r>
      <w:r>
        <w:rPr>
          <w:rStyle w:val="21"/>
          <w:rFonts w:hint="eastAsia" w:ascii="仿宋" w:hAnsi="仿宋" w:eastAsia="仿宋"/>
          <w:b w:val="0"/>
          <w:bCs/>
          <w:sz w:val="32"/>
          <w:szCs w:val="32"/>
        </w:rPr>
        <w:t>，决算数等于预算数的主要原因是严格按照财政规定支付巩固脱贫攻坚成果衔接乡村振兴支出。</w:t>
      </w:r>
    </w:p>
    <w:p w14:paraId="5283D6AF">
      <w:pPr>
        <w:spacing w:line="576" w:lineRule="exact"/>
        <w:ind w:firstLine="643" w:firstLineChars="200"/>
        <w:rPr>
          <w:rFonts w:hint="default"/>
        </w:rPr>
      </w:pPr>
      <w:r>
        <w:rPr>
          <w:rStyle w:val="21"/>
          <w:rFonts w:hint="eastAsia" w:ascii="仿宋" w:hAnsi="仿宋" w:eastAsia="仿宋"/>
          <w:bCs/>
          <w:sz w:val="32"/>
          <w:szCs w:val="32"/>
        </w:rPr>
        <w:t>1</w:t>
      </w:r>
      <w:r>
        <w:rPr>
          <w:rStyle w:val="21"/>
          <w:rFonts w:hint="eastAsia" w:ascii="仿宋" w:hAnsi="仿宋" w:eastAsia="仿宋"/>
          <w:bCs/>
          <w:sz w:val="32"/>
          <w:szCs w:val="32"/>
          <w:lang w:val="en-US" w:eastAsia="zh-CN"/>
        </w:rPr>
        <w:t>0</w:t>
      </w:r>
      <w:r>
        <w:rPr>
          <w:rStyle w:val="21"/>
          <w:rFonts w:hint="eastAsia" w:ascii="仿宋" w:hAnsi="仿宋" w:eastAsia="仿宋"/>
          <w:bCs/>
          <w:sz w:val="32"/>
          <w:szCs w:val="32"/>
        </w:rPr>
        <w:t xml:space="preserve">.住房保障支出（类）住房改革支出（款）住房公积金（项）: </w:t>
      </w:r>
      <w:r>
        <w:rPr>
          <w:rStyle w:val="21"/>
          <w:rFonts w:hint="eastAsia" w:ascii="仿宋" w:hAnsi="仿宋" w:eastAsia="仿宋"/>
          <w:b w:val="0"/>
          <w:bCs/>
          <w:sz w:val="32"/>
          <w:szCs w:val="32"/>
        </w:rPr>
        <w:t>支出决算为1</w:t>
      </w:r>
      <w:r>
        <w:rPr>
          <w:rStyle w:val="21"/>
          <w:rFonts w:hint="eastAsia" w:ascii="仿宋" w:hAnsi="仿宋" w:eastAsia="仿宋"/>
          <w:b w:val="0"/>
          <w:bCs/>
          <w:sz w:val="32"/>
          <w:szCs w:val="32"/>
          <w:lang w:val="en-US" w:eastAsia="zh-CN"/>
        </w:rPr>
        <w:t>4.56</w:t>
      </w:r>
      <w:r>
        <w:rPr>
          <w:rStyle w:val="21"/>
          <w:rFonts w:hint="eastAsia" w:ascii="仿宋" w:hAnsi="仿宋" w:eastAsia="仿宋"/>
          <w:b w:val="0"/>
          <w:bCs/>
          <w:sz w:val="32"/>
          <w:szCs w:val="32"/>
        </w:rPr>
        <w:t>万元，完成预算100</w:t>
      </w:r>
      <w:r>
        <w:rPr>
          <w:rStyle w:val="21"/>
          <w:rFonts w:ascii="仿宋" w:hAnsi="仿宋" w:eastAsia="仿宋"/>
          <w:b w:val="0"/>
          <w:bCs/>
          <w:sz w:val="32"/>
          <w:szCs w:val="32"/>
        </w:rPr>
        <w:t>%</w:t>
      </w:r>
      <w:r>
        <w:rPr>
          <w:rStyle w:val="21"/>
          <w:rFonts w:hint="eastAsia" w:ascii="仿宋" w:hAnsi="仿宋" w:eastAsia="仿宋"/>
          <w:b w:val="0"/>
          <w:bCs/>
          <w:sz w:val="32"/>
          <w:szCs w:val="32"/>
        </w:rPr>
        <w:t>，决算数等于预算数的主要原因是严格按照财政规定支付住房公积金经费。</w:t>
      </w:r>
    </w:p>
    <w:p w14:paraId="5846400B">
      <w:pPr>
        <w:tabs>
          <w:tab w:val="right" w:pos="8306"/>
        </w:tabs>
        <w:spacing w:line="576" w:lineRule="exact"/>
        <w:ind w:firstLine="640"/>
        <w:outlineLvl w:val="1"/>
        <w:rPr>
          <w:rStyle w:val="34"/>
        </w:rPr>
      </w:pPr>
      <w:bookmarkStart w:id="28" w:name="_Toc15377214"/>
      <w:bookmarkStart w:id="29"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34"/>
          <w:rFonts w:hint="eastAsia" w:ascii="黑体" w:hAnsi="黑体" w:eastAsia="黑体"/>
          <w:b w:val="0"/>
        </w:rPr>
        <w:t>般公共预算财政拨款基本支出决算情况说明</w:t>
      </w:r>
      <w:bookmarkEnd w:id="28"/>
      <w:bookmarkEnd w:id="29"/>
      <w:r>
        <w:rPr>
          <w:rStyle w:val="34"/>
          <w:rFonts w:ascii="黑体" w:hAnsi="黑体" w:eastAsia="黑体"/>
          <w:b w:val="0"/>
        </w:rPr>
        <w:tab/>
      </w:r>
    </w:p>
    <w:p w14:paraId="169D17D9">
      <w:pPr>
        <w:spacing w:line="576" w:lineRule="exact"/>
        <w:ind w:firstLine="645"/>
        <w:rPr>
          <w:rFonts w:ascii="仿宋" w:hAnsi="仿宋" w:eastAsia="仿宋"/>
          <w:color w:val="000000"/>
          <w:sz w:val="32"/>
          <w:szCs w:val="32"/>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年一般公共预算财政拨款基本支出191.07万元，其中：</w:t>
      </w:r>
    </w:p>
    <w:p w14:paraId="1F158242">
      <w:pPr>
        <w:spacing w:line="576"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168.44</w:t>
      </w:r>
      <w:r>
        <w:rPr>
          <w:rFonts w:hint="eastAsia" w:ascii="仿宋" w:hAnsi="仿宋" w:eastAsia="仿宋"/>
          <w:color w:val="000000"/>
          <w:sz w:val="32"/>
          <w:szCs w:val="32"/>
        </w:rPr>
        <w:t>万元，主要包括：基本工资、津贴补贴、奖金、绩效工资、机关事业单位基本养老保险缴费、职工基本医疗保险缴费、公务员医疗补助缴费、其他社会保障缴费、 住房公积金、 对个人和家庭的补助。</w:t>
      </w:r>
    </w:p>
    <w:p w14:paraId="56DD5D48">
      <w:pPr>
        <w:spacing w:line="576" w:lineRule="exact"/>
        <w:rPr>
          <w:rFonts w:ascii="仿宋" w:hAnsi="仿宋" w:eastAsia="仿宋"/>
          <w:b/>
          <w:color w:val="FF0000"/>
          <w:sz w:val="32"/>
          <w:szCs w:val="32"/>
        </w:rPr>
      </w:pPr>
      <w:r>
        <w:rPr>
          <w:rFonts w:hint="eastAsia" w:ascii="仿宋" w:hAnsi="仿宋" w:eastAsia="仿宋"/>
          <w:color w:val="000000"/>
          <w:sz w:val="32"/>
          <w:szCs w:val="32"/>
        </w:rPr>
        <w:t>　  公用经费</w:t>
      </w:r>
      <w:r>
        <w:rPr>
          <w:rFonts w:hint="eastAsia" w:ascii="仿宋" w:hAnsi="仿宋" w:eastAsia="仿宋"/>
          <w:color w:val="000000"/>
          <w:sz w:val="32"/>
          <w:szCs w:val="32"/>
          <w:lang w:val="en-US" w:eastAsia="zh-CN"/>
        </w:rPr>
        <w:t>21.94</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4E9D9A7C">
      <w:pPr>
        <w:spacing w:line="576" w:lineRule="exact"/>
        <w:ind w:firstLine="645"/>
        <w:rPr>
          <w:rFonts w:ascii="仿宋" w:hAnsi="仿宋" w:eastAsia="仿宋"/>
          <w:b/>
          <w:color w:val="FF0000"/>
          <w:sz w:val="32"/>
          <w:szCs w:val="32"/>
        </w:rPr>
      </w:pPr>
    </w:p>
    <w:p w14:paraId="022C25A4">
      <w:pPr>
        <w:spacing w:line="576" w:lineRule="exact"/>
        <w:ind w:firstLine="640"/>
        <w:outlineLvl w:val="1"/>
        <w:rPr>
          <w:rStyle w:val="34"/>
          <w:rFonts w:ascii="黑体" w:hAnsi="黑体" w:eastAsia="黑体"/>
          <w:b w:val="0"/>
        </w:rPr>
      </w:pPr>
      <w:bookmarkStart w:id="30" w:name="_Toc15396609"/>
      <w:bookmarkStart w:id="31" w:name="_Toc15377215"/>
      <w:r>
        <w:rPr>
          <w:rFonts w:hint="eastAsia" w:ascii="黑体" w:eastAsia="黑体"/>
          <w:color w:val="000000"/>
          <w:sz w:val="32"/>
          <w:szCs w:val="32"/>
        </w:rPr>
        <w:t>七、</w:t>
      </w:r>
      <w:r>
        <w:rPr>
          <w:rStyle w:val="34"/>
          <w:rFonts w:hint="eastAsia" w:ascii="黑体" w:hAnsi="黑体" w:eastAsia="黑体"/>
        </w:rPr>
        <w:t>“</w:t>
      </w:r>
      <w:r>
        <w:rPr>
          <w:rStyle w:val="34"/>
          <w:rFonts w:hint="eastAsia" w:ascii="黑体" w:hAnsi="黑体" w:eastAsia="黑体"/>
          <w:b w:val="0"/>
        </w:rPr>
        <w:t>三公”经费财政拨款支出决算情况说明</w:t>
      </w:r>
      <w:bookmarkEnd w:id="30"/>
      <w:bookmarkEnd w:id="31"/>
    </w:p>
    <w:p w14:paraId="55009A11">
      <w:pPr>
        <w:spacing w:line="576" w:lineRule="exact"/>
        <w:ind w:firstLine="640"/>
        <w:outlineLvl w:val="2"/>
        <w:rPr>
          <w:rFonts w:ascii="仿宋" w:hAnsi="仿宋" w:eastAsia="仿宋"/>
          <w:b/>
          <w:color w:val="000000"/>
          <w:sz w:val="32"/>
          <w:szCs w:val="32"/>
        </w:rPr>
      </w:pPr>
      <w:bookmarkStart w:id="32" w:name="_Toc15377216"/>
      <w:r>
        <w:rPr>
          <w:rFonts w:hint="eastAsia" w:ascii="仿宋" w:hAnsi="仿宋" w:eastAsia="仿宋"/>
          <w:b/>
          <w:color w:val="000000"/>
          <w:sz w:val="32"/>
          <w:szCs w:val="32"/>
        </w:rPr>
        <w:t>（一）“三公”经费财政拨款支出决算总体情况说明</w:t>
      </w:r>
      <w:bookmarkEnd w:id="32"/>
    </w:p>
    <w:p w14:paraId="43F5A083">
      <w:pPr>
        <w:spacing w:line="576" w:lineRule="exact"/>
        <w:ind w:firstLine="640"/>
        <w:rPr>
          <w:rFonts w:ascii="仿宋" w:hAnsi="仿宋" w:eastAsia="仿宋"/>
          <w:color w:val="000000"/>
          <w:sz w:val="32"/>
          <w:szCs w:val="32"/>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年“三公”经费财政拨款支出决算为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万元，2023年“三公”经费财政拨款支出决算为4万元，完成预算100</w:t>
      </w:r>
      <w:r>
        <w:rPr>
          <w:rFonts w:ascii="仿宋" w:hAnsi="仿宋" w:eastAsia="仿宋"/>
          <w:color w:val="000000"/>
          <w:sz w:val="32"/>
          <w:szCs w:val="32"/>
        </w:rPr>
        <w:t>%</w:t>
      </w:r>
      <w:r>
        <w:rPr>
          <w:rFonts w:hint="eastAsia" w:ascii="仿宋" w:hAnsi="仿宋" w:eastAsia="仿宋"/>
          <w:color w:val="000000"/>
          <w:sz w:val="32"/>
          <w:szCs w:val="32"/>
        </w:rPr>
        <w:t>，较2</w:t>
      </w:r>
      <w:r>
        <w:rPr>
          <w:rFonts w:ascii="仿宋" w:hAnsi="仿宋" w:eastAsia="仿宋"/>
          <w:color w:val="000000"/>
          <w:sz w:val="32"/>
          <w:szCs w:val="32"/>
        </w:rPr>
        <w:t>02</w:t>
      </w:r>
      <w:r>
        <w:rPr>
          <w:rFonts w:hint="eastAsia" w:ascii="仿宋" w:hAnsi="仿宋" w:eastAsia="仿宋"/>
          <w:color w:val="000000"/>
          <w:sz w:val="32"/>
          <w:szCs w:val="32"/>
          <w:lang w:val="en-US" w:eastAsia="zh-CN"/>
        </w:rPr>
        <w:t>3</w:t>
      </w:r>
      <w:r>
        <w:rPr>
          <w:rFonts w:ascii="仿宋" w:hAnsi="仿宋" w:eastAsia="仿宋"/>
          <w:color w:val="000000"/>
          <w:sz w:val="32"/>
          <w:szCs w:val="32"/>
        </w:rPr>
        <w:t>年</w:t>
      </w:r>
      <w:r>
        <w:rPr>
          <w:rFonts w:hint="eastAsia" w:ascii="仿宋" w:hAnsi="仿宋" w:eastAsia="仿宋"/>
          <w:color w:val="000000"/>
          <w:sz w:val="32"/>
          <w:szCs w:val="32"/>
          <w:lang w:eastAsia="zh-CN"/>
        </w:rPr>
        <w:t>下降</w:t>
      </w:r>
      <w:r>
        <w:rPr>
          <w:rFonts w:hint="eastAsia" w:ascii="仿宋" w:hAnsi="仿宋" w:eastAsia="仿宋"/>
          <w:color w:val="000000"/>
          <w:sz w:val="32"/>
          <w:szCs w:val="32"/>
        </w:rPr>
        <w:t>1</w:t>
      </w:r>
      <w:r>
        <w:rPr>
          <w:rFonts w:ascii="仿宋" w:hAnsi="仿宋" w:eastAsia="仿宋"/>
          <w:color w:val="000000"/>
          <w:sz w:val="32"/>
          <w:szCs w:val="32"/>
        </w:rPr>
        <w:t>00%。因</w:t>
      </w:r>
      <w:r>
        <w:rPr>
          <w:rFonts w:hint="eastAsia" w:ascii="仿宋" w:hAnsi="仿宋" w:eastAsia="仿宋"/>
          <w:color w:val="000000"/>
          <w:sz w:val="32"/>
          <w:szCs w:val="32"/>
        </w:rPr>
        <w:t>该单位</w:t>
      </w:r>
      <w:r>
        <w:rPr>
          <w:rFonts w:hint="eastAsia" w:ascii="仿宋" w:hAnsi="仿宋" w:eastAsia="仿宋"/>
          <w:color w:val="000000"/>
          <w:sz w:val="32"/>
          <w:szCs w:val="32"/>
          <w:lang w:val="en-US" w:eastAsia="zh-CN"/>
        </w:rPr>
        <w:t>2024年</w:t>
      </w:r>
      <w:r>
        <w:rPr>
          <w:rFonts w:ascii="仿宋" w:hAnsi="仿宋" w:eastAsia="仿宋"/>
          <w:color w:val="000000"/>
          <w:sz w:val="32"/>
          <w:szCs w:val="32"/>
        </w:rPr>
        <w:t>未预算三公经费。</w:t>
      </w:r>
    </w:p>
    <w:p w14:paraId="1E80445C">
      <w:pPr>
        <w:spacing w:line="576" w:lineRule="exact"/>
        <w:ind w:firstLine="640"/>
        <w:outlineLvl w:val="2"/>
        <w:rPr>
          <w:rFonts w:ascii="仿宋" w:hAnsi="仿宋" w:eastAsia="仿宋"/>
          <w:b/>
          <w:color w:val="000000"/>
          <w:sz w:val="32"/>
          <w:szCs w:val="32"/>
        </w:rPr>
      </w:pPr>
      <w:bookmarkStart w:id="33" w:name="_Toc15377217"/>
      <w:r>
        <w:rPr>
          <w:rFonts w:hint="eastAsia" w:ascii="仿宋" w:hAnsi="仿宋" w:eastAsia="仿宋"/>
          <w:b/>
          <w:color w:val="000000"/>
          <w:sz w:val="32"/>
          <w:szCs w:val="32"/>
        </w:rPr>
        <w:t>（二）“三公”经费财政拨款支出决算具体情况说明</w:t>
      </w:r>
      <w:bookmarkEnd w:id="33"/>
    </w:p>
    <w:p w14:paraId="0FAD60C0">
      <w:pPr>
        <w:spacing w:line="576" w:lineRule="exact"/>
        <w:ind w:firstLine="640"/>
        <w:rPr>
          <w:rFonts w:ascii="仿宋" w:hAnsi="仿宋" w:eastAsia="仿宋"/>
          <w:color w:val="000000"/>
          <w:sz w:val="32"/>
          <w:szCs w:val="32"/>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；公务用车购置及运行维护费支出决算0万元，占0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。具体情况如下：</w:t>
      </w:r>
    </w:p>
    <w:p w14:paraId="52DEDA65">
      <w:pPr>
        <w:spacing w:line="360" w:lineRule="auto"/>
        <w:ind w:firstLine="641"/>
        <w:rPr>
          <w:rFonts w:ascii="仿宋" w:hAnsi="仿宋" w:eastAsia="仿宋"/>
          <w:color w:val="000000"/>
          <w:sz w:val="32"/>
          <w:szCs w:val="32"/>
        </w:rPr>
      </w:pPr>
      <w:r>
        <w:rPr>
          <w:rFonts w:hint="eastAsia" w:ascii="仿宋" w:hAnsi="仿宋" w:eastAsia="仿宋"/>
          <w:color w:val="000000"/>
          <w:sz w:val="32"/>
          <w:szCs w:val="32"/>
        </w:rPr>
        <w:drawing>
          <wp:inline distT="0" distB="0" distL="114300" distR="114300">
            <wp:extent cx="4646930" cy="2176145"/>
            <wp:effectExtent l="4445" t="5080" r="15875" b="952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15DD68E">
      <w:pPr>
        <w:spacing w:line="360" w:lineRule="auto"/>
        <w:ind w:firstLine="641"/>
        <w:rPr>
          <w:rFonts w:ascii="仿宋" w:hAnsi="仿宋" w:eastAsia="仿宋"/>
          <w:color w:val="000000"/>
          <w:sz w:val="32"/>
          <w:szCs w:val="32"/>
        </w:rPr>
      </w:pPr>
      <w:r>
        <w:rPr>
          <w:rFonts w:hint="eastAsia" w:ascii="仿宋" w:hAnsi="仿宋" w:eastAsia="仿宋"/>
          <w:color w:val="000000"/>
          <w:sz w:val="32"/>
          <w:szCs w:val="32"/>
        </w:rPr>
        <w:t>（图8：“三公”经费财政拨款支出结构）（饼状图）</w:t>
      </w:r>
    </w:p>
    <w:p w14:paraId="1F66D465">
      <w:pPr>
        <w:spacing w:line="600" w:lineRule="exact"/>
        <w:ind w:firstLine="640"/>
        <w:rPr>
          <w:rFonts w:ascii="仿宋_GB2312" w:eastAsia="仿宋_GB2312"/>
          <w:b/>
          <w:sz w:val="32"/>
          <w:szCs w:val="32"/>
        </w:rPr>
      </w:pPr>
      <w:bookmarkStart w:id="34" w:name="_Toc15377218"/>
      <w:bookmarkStart w:id="35" w:name="_Toc15396610"/>
      <w:r>
        <w:rPr>
          <w:rFonts w:ascii="仿宋_GB2312" w:eastAsia="仿宋_GB2312"/>
          <w:b/>
          <w:sz w:val="32"/>
          <w:szCs w:val="32"/>
        </w:rPr>
        <w:t>1.</w:t>
      </w:r>
      <w:r>
        <w:rPr>
          <w:rFonts w:hint="eastAsia" w:ascii="仿宋_GB2312" w:eastAsia="仿宋_GB2312"/>
          <w:b/>
          <w:sz w:val="32"/>
          <w:szCs w:val="32"/>
        </w:rPr>
        <w:t>因公出国（境）经费支出</w:t>
      </w:r>
      <w:r>
        <w:rPr>
          <w:rFonts w:ascii="仿宋_GB2312" w:eastAsia="仿宋_GB2312"/>
          <w:sz w:val="32"/>
          <w:szCs w:val="32"/>
        </w:rPr>
        <w:t>0</w:t>
      </w:r>
      <w:r>
        <w:rPr>
          <w:rFonts w:hint="eastAsia" w:ascii="仿宋_GB2312" w:eastAsia="仿宋_GB2312"/>
          <w:sz w:val="32"/>
          <w:szCs w:val="32"/>
        </w:rPr>
        <w:t>元，</w:t>
      </w:r>
      <w:r>
        <w:rPr>
          <w:rFonts w:hint="eastAsia" w:ascii="仿宋" w:hAnsi="仿宋" w:eastAsia="仿宋"/>
          <w:color w:val="000000"/>
          <w:sz w:val="32"/>
          <w:szCs w:val="32"/>
        </w:rPr>
        <w:t>完成预算</w:t>
      </w:r>
      <w:r>
        <w:rPr>
          <w:rFonts w:ascii="仿宋" w:hAnsi="仿宋" w:eastAsia="仿宋"/>
          <w:color w:val="000000"/>
          <w:sz w:val="32"/>
          <w:szCs w:val="32"/>
        </w:rPr>
        <w:t>100%。</w:t>
      </w:r>
      <w:r>
        <w:rPr>
          <w:rFonts w:hint="eastAsia" w:ascii="仿宋_GB2312" w:eastAsia="仿宋_GB2312"/>
          <w:sz w:val="32"/>
          <w:szCs w:val="32"/>
        </w:rPr>
        <w:t>因公出国（境）</w:t>
      </w:r>
      <w:r>
        <w:rPr>
          <w:rFonts w:hint="eastAsia" w:ascii="仿宋" w:hAnsi="仿宋" w:eastAsia="仿宋"/>
          <w:color w:val="000000"/>
          <w:sz w:val="32"/>
          <w:szCs w:val="32"/>
        </w:rPr>
        <w:t>支出决算与202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年持平。</w:t>
      </w:r>
      <w:r>
        <w:rPr>
          <w:rFonts w:ascii="仿宋" w:hAnsi="仿宋" w:eastAsia="仿宋"/>
          <w:color w:val="000000"/>
          <w:sz w:val="32"/>
          <w:szCs w:val="32"/>
        </w:rPr>
        <w:t>未预算</w:t>
      </w:r>
      <w:r>
        <w:rPr>
          <w:rFonts w:hint="eastAsia" w:ascii="仿宋" w:hAnsi="仿宋" w:eastAsia="仿宋"/>
          <w:color w:val="000000"/>
          <w:sz w:val="32"/>
          <w:szCs w:val="32"/>
        </w:rPr>
        <w:t>因公出国（境）经费。</w:t>
      </w:r>
    </w:p>
    <w:p w14:paraId="5EDF4FEB">
      <w:pPr>
        <w:spacing w:line="576" w:lineRule="exact"/>
        <w:ind w:firstLine="640"/>
        <w:jc w:val="left"/>
        <w:rPr>
          <w:rFonts w:ascii="仿宋" w:hAnsi="仿宋" w:eastAsia="仿宋"/>
          <w:color w:val="000000"/>
          <w:sz w:val="32"/>
          <w:szCs w:val="32"/>
        </w:rPr>
      </w:pPr>
      <w:r>
        <w:rPr>
          <w:rFonts w:hint="eastAsia" w:ascii="仿宋_GB2312" w:eastAsia="仿宋_GB2312"/>
          <w:b/>
          <w:color w:val="000000"/>
          <w:sz w:val="32"/>
          <w:szCs w:val="32"/>
        </w:rPr>
        <w:t>2.公务用车购置及运行维护费支出</w:t>
      </w:r>
      <w:r>
        <w:rPr>
          <w:rFonts w:hint="eastAsia" w:ascii="仿宋_GB2312" w:eastAsia="仿宋_GB2312"/>
          <w:color w:val="000000"/>
          <w:sz w:val="32"/>
          <w:szCs w:val="32"/>
        </w:rPr>
        <w:t>0</w:t>
      </w:r>
      <w:r>
        <w:rPr>
          <w:rFonts w:hint="eastAsia" w:ascii="仿宋" w:hAnsi="仿宋" w:eastAsia="仿宋"/>
          <w:color w:val="000000"/>
          <w:sz w:val="32"/>
          <w:szCs w:val="32"/>
        </w:rPr>
        <w:t>万元。</w:t>
      </w:r>
      <w:r>
        <w:rPr>
          <w:rFonts w:ascii="仿宋" w:hAnsi="仿宋" w:eastAsia="仿宋"/>
          <w:color w:val="000000"/>
          <w:sz w:val="32"/>
          <w:szCs w:val="32"/>
        </w:rPr>
        <w:t>主要原因是</w:t>
      </w:r>
      <w:r>
        <w:rPr>
          <w:rFonts w:hint="eastAsia" w:ascii="仿宋" w:hAnsi="仿宋" w:eastAsia="仿宋"/>
          <w:color w:val="000000"/>
          <w:sz w:val="32"/>
          <w:szCs w:val="32"/>
        </w:rPr>
        <w:t>本年度未安排</w:t>
      </w:r>
      <w:r>
        <w:rPr>
          <w:rFonts w:ascii="仿宋" w:hAnsi="仿宋" w:eastAsia="仿宋"/>
          <w:color w:val="000000"/>
          <w:sz w:val="32"/>
          <w:szCs w:val="32"/>
        </w:rPr>
        <w:t>公务用车购置及运行维护费支出。</w:t>
      </w:r>
    </w:p>
    <w:p w14:paraId="0A8250CD">
      <w:pPr>
        <w:spacing w:line="576" w:lineRule="exact"/>
        <w:ind w:firstLine="640" w:firstLineChars="200"/>
        <w:jc w:val="left"/>
        <w:rPr>
          <w:rFonts w:ascii="仿宋" w:hAnsi="仿宋" w:eastAsia="仿宋"/>
          <w:color w:val="000000"/>
          <w:sz w:val="32"/>
          <w:szCs w:val="32"/>
        </w:rPr>
      </w:pPr>
      <w:r>
        <w:rPr>
          <w:rFonts w:ascii="仿宋" w:hAnsi="仿宋" w:eastAsia="仿宋"/>
          <w:color w:val="000000"/>
          <w:sz w:val="32"/>
          <w:szCs w:val="32"/>
        </w:rPr>
        <w:t>其中：公务用车购置支出</w:t>
      </w:r>
      <w:r>
        <w:rPr>
          <w:rFonts w:hint="eastAsia" w:ascii="仿宋" w:hAnsi="仿宋" w:eastAsia="仿宋"/>
          <w:color w:val="000000"/>
          <w:sz w:val="32"/>
          <w:szCs w:val="32"/>
        </w:rPr>
        <w:t>0</w:t>
      </w:r>
      <w:r>
        <w:rPr>
          <w:rFonts w:ascii="仿宋" w:hAnsi="仿宋" w:eastAsia="仿宋"/>
          <w:color w:val="000000"/>
          <w:sz w:val="32"/>
          <w:szCs w:val="32"/>
        </w:rPr>
        <w:t>万元。全年按规定更新购置公务用车</w:t>
      </w:r>
      <w:r>
        <w:rPr>
          <w:rFonts w:hint="eastAsia" w:ascii="仿宋" w:hAnsi="仿宋" w:eastAsia="仿宋"/>
          <w:color w:val="000000"/>
          <w:sz w:val="32"/>
          <w:szCs w:val="32"/>
        </w:rPr>
        <w:t>0</w:t>
      </w:r>
      <w:r>
        <w:rPr>
          <w:rFonts w:ascii="仿宋" w:hAnsi="仿宋" w:eastAsia="仿宋"/>
          <w:color w:val="000000"/>
          <w:sz w:val="32"/>
          <w:szCs w:val="32"/>
        </w:rPr>
        <w:t>辆，其中：轿车</w:t>
      </w:r>
      <w:r>
        <w:rPr>
          <w:rFonts w:hint="eastAsia" w:ascii="仿宋" w:hAnsi="仿宋" w:eastAsia="仿宋"/>
          <w:color w:val="000000"/>
          <w:sz w:val="32"/>
          <w:szCs w:val="32"/>
        </w:rPr>
        <w:t>0</w:t>
      </w:r>
      <w:r>
        <w:rPr>
          <w:rFonts w:ascii="仿宋" w:hAnsi="仿宋" w:eastAsia="仿宋"/>
          <w:color w:val="000000"/>
          <w:sz w:val="32"/>
          <w:szCs w:val="32"/>
        </w:rPr>
        <w:t>辆、金额</w:t>
      </w:r>
      <w:r>
        <w:rPr>
          <w:rFonts w:hint="eastAsia" w:ascii="仿宋" w:hAnsi="仿宋" w:eastAsia="仿宋"/>
          <w:color w:val="000000"/>
          <w:sz w:val="32"/>
          <w:szCs w:val="32"/>
        </w:rPr>
        <w:t>0</w:t>
      </w:r>
      <w:r>
        <w:rPr>
          <w:rFonts w:ascii="仿宋" w:hAnsi="仿宋" w:eastAsia="仿宋"/>
          <w:color w:val="000000"/>
          <w:sz w:val="32"/>
          <w:szCs w:val="32"/>
        </w:rPr>
        <w:t>万元，越野车</w:t>
      </w:r>
      <w:r>
        <w:rPr>
          <w:rFonts w:hint="eastAsia" w:ascii="仿宋" w:hAnsi="仿宋" w:eastAsia="仿宋"/>
          <w:color w:val="000000"/>
          <w:sz w:val="32"/>
          <w:szCs w:val="32"/>
        </w:rPr>
        <w:t>0</w:t>
      </w:r>
      <w:r>
        <w:rPr>
          <w:rFonts w:ascii="仿宋" w:hAnsi="仿宋" w:eastAsia="仿宋"/>
          <w:color w:val="000000"/>
          <w:sz w:val="32"/>
          <w:szCs w:val="32"/>
        </w:rPr>
        <w:t>辆、金额</w:t>
      </w:r>
      <w:r>
        <w:rPr>
          <w:rFonts w:hint="eastAsia" w:ascii="仿宋" w:hAnsi="仿宋" w:eastAsia="仿宋"/>
          <w:color w:val="000000"/>
          <w:sz w:val="32"/>
          <w:szCs w:val="32"/>
        </w:rPr>
        <w:t>0</w:t>
      </w:r>
      <w:r>
        <w:rPr>
          <w:rFonts w:ascii="仿宋" w:hAnsi="仿宋" w:eastAsia="仿宋"/>
          <w:color w:val="000000"/>
          <w:sz w:val="32"/>
          <w:szCs w:val="32"/>
        </w:rPr>
        <w:t>万元，载客汽车</w:t>
      </w:r>
      <w:r>
        <w:rPr>
          <w:rFonts w:hint="eastAsia" w:ascii="仿宋" w:hAnsi="仿宋" w:eastAsia="仿宋"/>
          <w:color w:val="000000"/>
          <w:sz w:val="32"/>
          <w:szCs w:val="32"/>
        </w:rPr>
        <w:t>0</w:t>
      </w:r>
      <w:r>
        <w:rPr>
          <w:rFonts w:ascii="仿宋" w:hAnsi="仿宋" w:eastAsia="仿宋"/>
          <w:color w:val="000000"/>
          <w:sz w:val="32"/>
          <w:szCs w:val="32"/>
        </w:rPr>
        <w:t>辆、金额</w:t>
      </w:r>
      <w:r>
        <w:rPr>
          <w:rFonts w:hint="eastAsia" w:ascii="仿宋" w:hAnsi="仿宋" w:eastAsia="仿宋"/>
          <w:color w:val="000000"/>
          <w:sz w:val="32"/>
          <w:szCs w:val="32"/>
        </w:rPr>
        <w:t>0</w:t>
      </w:r>
      <w:r>
        <w:rPr>
          <w:rFonts w:ascii="仿宋" w:hAnsi="仿宋" w:eastAsia="仿宋"/>
          <w:color w:val="000000"/>
          <w:sz w:val="32"/>
          <w:szCs w:val="32"/>
        </w:rPr>
        <w:t>万元。截至202</w:t>
      </w:r>
      <w:r>
        <w:rPr>
          <w:rFonts w:hint="eastAsia" w:ascii="仿宋" w:hAnsi="仿宋" w:eastAsia="仿宋"/>
          <w:color w:val="000000"/>
          <w:sz w:val="32"/>
          <w:szCs w:val="32"/>
          <w:lang w:val="en-US" w:eastAsia="zh-CN"/>
        </w:rPr>
        <w:t>4</w:t>
      </w:r>
      <w:r>
        <w:rPr>
          <w:rFonts w:ascii="仿宋" w:hAnsi="仿宋" w:eastAsia="仿宋"/>
          <w:color w:val="000000"/>
          <w:sz w:val="32"/>
          <w:szCs w:val="32"/>
        </w:rPr>
        <w:t>年12月31日，单位共有公务用车</w:t>
      </w:r>
      <w:r>
        <w:rPr>
          <w:rFonts w:hint="eastAsia" w:ascii="仿宋" w:hAnsi="仿宋" w:eastAsia="仿宋"/>
          <w:color w:val="000000"/>
          <w:sz w:val="32"/>
          <w:szCs w:val="32"/>
        </w:rPr>
        <w:t>0</w:t>
      </w:r>
      <w:r>
        <w:rPr>
          <w:rFonts w:ascii="仿宋" w:hAnsi="仿宋" w:eastAsia="仿宋"/>
          <w:color w:val="000000"/>
          <w:sz w:val="32"/>
          <w:szCs w:val="32"/>
        </w:rPr>
        <w:t>辆，其中：轿车</w:t>
      </w:r>
      <w:r>
        <w:rPr>
          <w:rFonts w:hint="eastAsia" w:ascii="仿宋" w:hAnsi="仿宋" w:eastAsia="仿宋"/>
          <w:color w:val="000000"/>
          <w:sz w:val="32"/>
          <w:szCs w:val="32"/>
        </w:rPr>
        <w:t>0</w:t>
      </w:r>
      <w:r>
        <w:rPr>
          <w:rFonts w:ascii="仿宋" w:hAnsi="仿宋" w:eastAsia="仿宋"/>
          <w:color w:val="000000"/>
          <w:sz w:val="32"/>
          <w:szCs w:val="32"/>
        </w:rPr>
        <w:t>辆、越野车</w:t>
      </w:r>
      <w:r>
        <w:rPr>
          <w:rFonts w:hint="eastAsia" w:ascii="仿宋" w:hAnsi="仿宋" w:eastAsia="仿宋"/>
          <w:color w:val="000000"/>
          <w:sz w:val="32"/>
          <w:szCs w:val="32"/>
        </w:rPr>
        <w:t>0</w:t>
      </w:r>
      <w:r>
        <w:rPr>
          <w:rFonts w:ascii="仿宋" w:hAnsi="仿宋" w:eastAsia="仿宋"/>
          <w:color w:val="000000"/>
          <w:sz w:val="32"/>
          <w:szCs w:val="32"/>
        </w:rPr>
        <w:t>辆、载客汽车</w:t>
      </w:r>
      <w:r>
        <w:rPr>
          <w:rFonts w:hint="eastAsia" w:ascii="仿宋" w:hAnsi="仿宋" w:eastAsia="仿宋"/>
          <w:color w:val="000000"/>
          <w:sz w:val="32"/>
          <w:szCs w:val="32"/>
        </w:rPr>
        <w:t>0</w:t>
      </w:r>
      <w:r>
        <w:rPr>
          <w:rFonts w:ascii="仿宋" w:hAnsi="仿宋" w:eastAsia="仿宋"/>
          <w:color w:val="000000"/>
          <w:sz w:val="32"/>
          <w:szCs w:val="32"/>
        </w:rPr>
        <w:t>辆。</w:t>
      </w:r>
    </w:p>
    <w:p w14:paraId="5F760817">
      <w:pPr>
        <w:spacing w:line="576" w:lineRule="exact"/>
        <w:ind w:firstLine="640"/>
        <w:jc w:val="left"/>
        <w:rPr>
          <w:rFonts w:ascii="仿宋" w:hAnsi="仿宋" w:eastAsia="仿宋"/>
          <w:color w:val="000000"/>
          <w:sz w:val="32"/>
          <w:szCs w:val="32"/>
        </w:rPr>
      </w:pPr>
      <w:r>
        <w:rPr>
          <w:rFonts w:ascii="仿宋" w:hAnsi="仿宋" w:eastAsia="仿宋"/>
          <w:color w:val="000000"/>
          <w:sz w:val="32"/>
          <w:szCs w:val="32"/>
        </w:rPr>
        <w:t>公务用车运行维护费支出</w:t>
      </w:r>
      <w:r>
        <w:rPr>
          <w:rFonts w:hint="eastAsia" w:ascii="仿宋" w:hAnsi="仿宋" w:eastAsia="仿宋"/>
          <w:color w:val="000000"/>
          <w:sz w:val="32"/>
          <w:szCs w:val="32"/>
        </w:rPr>
        <w:t>0</w:t>
      </w:r>
      <w:r>
        <w:rPr>
          <w:rFonts w:ascii="仿宋" w:hAnsi="仿宋" w:eastAsia="仿宋"/>
          <w:color w:val="000000"/>
          <w:sz w:val="32"/>
          <w:szCs w:val="32"/>
        </w:rPr>
        <w:t>万元。</w:t>
      </w:r>
    </w:p>
    <w:p w14:paraId="0AC58D20">
      <w:pPr>
        <w:spacing w:line="576" w:lineRule="exact"/>
        <w:ind w:firstLine="640"/>
        <w:jc w:val="left"/>
        <w:rPr>
          <w:rFonts w:ascii="仿宋" w:hAnsi="仿宋" w:eastAsia="仿宋"/>
          <w:color w:val="000000"/>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万元，完成预算100%。“三公”经费支出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万元，占年初预算100%，</w:t>
      </w:r>
      <w:r>
        <w:rPr>
          <w:rFonts w:ascii="仿宋" w:hAnsi="仿宋" w:eastAsia="仿宋"/>
          <w:color w:val="000000"/>
          <w:sz w:val="32"/>
          <w:szCs w:val="32"/>
        </w:rPr>
        <w:t>公务接待费支出决算比202</w:t>
      </w:r>
      <w:r>
        <w:rPr>
          <w:rFonts w:hint="eastAsia" w:ascii="仿宋" w:hAnsi="仿宋" w:eastAsia="仿宋"/>
          <w:color w:val="000000"/>
          <w:sz w:val="32"/>
          <w:szCs w:val="32"/>
          <w:lang w:val="en-US" w:eastAsia="zh-CN"/>
        </w:rPr>
        <w:t>3</w:t>
      </w:r>
      <w:r>
        <w:rPr>
          <w:rFonts w:ascii="仿宋" w:hAnsi="仿宋" w:eastAsia="仿宋"/>
          <w:color w:val="000000"/>
          <w:sz w:val="32"/>
          <w:szCs w:val="32"/>
        </w:rPr>
        <w:t>年度</w:t>
      </w:r>
      <w:r>
        <w:rPr>
          <w:rFonts w:hint="eastAsia" w:ascii="仿宋" w:hAnsi="仿宋" w:eastAsia="仿宋"/>
          <w:color w:val="000000"/>
          <w:sz w:val="32"/>
          <w:szCs w:val="32"/>
          <w:lang w:eastAsia="zh-CN"/>
        </w:rPr>
        <w:t>减少</w:t>
      </w:r>
      <w:r>
        <w:rPr>
          <w:rFonts w:hint="eastAsia" w:ascii="仿宋" w:hAnsi="仿宋" w:eastAsia="仿宋"/>
          <w:color w:val="000000"/>
          <w:sz w:val="32"/>
          <w:szCs w:val="32"/>
        </w:rPr>
        <w:t>4</w:t>
      </w:r>
      <w:r>
        <w:rPr>
          <w:rFonts w:ascii="仿宋" w:hAnsi="仿宋" w:eastAsia="仿宋"/>
          <w:color w:val="000000"/>
          <w:sz w:val="32"/>
          <w:szCs w:val="32"/>
        </w:rPr>
        <w:t>万元，</w:t>
      </w:r>
      <w:r>
        <w:rPr>
          <w:rFonts w:hint="eastAsia" w:ascii="仿宋" w:hAnsi="仿宋" w:eastAsia="仿宋"/>
          <w:color w:val="000000"/>
          <w:sz w:val="32"/>
          <w:szCs w:val="32"/>
          <w:lang w:eastAsia="zh-CN"/>
        </w:rPr>
        <w:t>减少</w:t>
      </w:r>
      <w:r>
        <w:rPr>
          <w:rFonts w:hint="eastAsia" w:ascii="仿宋" w:hAnsi="仿宋" w:eastAsia="仿宋"/>
          <w:color w:val="000000"/>
          <w:sz w:val="32"/>
          <w:szCs w:val="32"/>
        </w:rPr>
        <w:t>100%</w:t>
      </w:r>
      <w:r>
        <w:rPr>
          <w:rFonts w:ascii="仿宋" w:hAnsi="仿宋" w:eastAsia="仿宋"/>
          <w:color w:val="000000"/>
          <w:sz w:val="32"/>
          <w:szCs w:val="32"/>
        </w:rPr>
        <w:t>。主要原因</w:t>
      </w:r>
      <w:r>
        <w:rPr>
          <w:rFonts w:hint="eastAsia" w:ascii="仿宋" w:hAnsi="仿宋" w:eastAsia="仿宋"/>
          <w:color w:val="000000"/>
          <w:sz w:val="32"/>
          <w:szCs w:val="32"/>
        </w:rPr>
        <w:t>认真贯彻落实中央八项规定精神，按照只减不增的要求从严控制</w:t>
      </w:r>
      <w:r>
        <w:rPr>
          <w:rFonts w:ascii="仿宋" w:hAnsi="仿宋" w:eastAsia="仿宋"/>
          <w:color w:val="000000"/>
          <w:sz w:val="32"/>
          <w:szCs w:val="32"/>
        </w:rPr>
        <w:t>“</w:t>
      </w:r>
      <w:r>
        <w:rPr>
          <w:rFonts w:hint="eastAsia" w:ascii="仿宋" w:hAnsi="仿宋" w:eastAsia="仿宋"/>
          <w:color w:val="000000"/>
          <w:sz w:val="32"/>
          <w:szCs w:val="32"/>
        </w:rPr>
        <w:t>三公</w:t>
      </w:r>
      <w:r>
        <w:rPr>
          <w:rFonts w:ascii="仿宋" w:hAnsi="仿宋" w:eastAsia="仿宋"/>
          <w:color w:val="000000"/>
          <w:sz w:val="32"/>
          <w:szCs w:val="32"/>
        </w:rPr>
        <w:t>”</w:t>
      </w:r>
      <w:r>
        <w:rPr>
          <w:rFonts w:hint="eastAsia" w:ascii="仿宋" w:hAnsi="仿宋" w:eastAsia="仿宋"/>
          <w:color w:val="000000"/>
          <w:sz w:val="32"/>
          <w:szCs w:val="32"/>
        </w:rPr>
        <w:t>经费，强化公务接待支出管理，严格遵守公务接待开支范围和开支标准，严格控制陪餐人数，公务接待费大幅下降。</w:t>
      </w:r>
      <w:r>
        <w:rPr>
          <w:rFonts w:ascii="仿宋" w:hAnsi="仿宋" w:eastAsia="仿宋"/>
          <w:color w:val="000000"/>
          <w:sz w:val="32"/>
          <w:szCs w:val="32"/>
        </w:rPr>
        <w:t>其中：</w:t>
      </w:r>
    </w:p>
    <w:p w14:paraId="2CBE0B1F">
      <w:pPr>
        <w:spacing w:line="576" w:lineRule="exact"/>
        <w:ind w:firstLine="640"/>
        <w:jc w:val="left"/>
        <w:rPr>
          <w:rFonts w:ascii="仿宋" w:hAnsi="仿宋" w:eastAsia="仿宋"/>
          <w:color w:val="000000"/>
          <w:sz w:val="32"/>
          <w:szCs w:val="32"/>
        </w:rPr>
      </w:pPr>
      <w:r>
        <w:rPr>
          <w:rFonts w:ascii="仿宋" w:hAnsi="仿宋" w:eastAsia="仿宋"/>
          <w:color w:val="000000"/>
          <w:sz w:val="32"/>
          <w:szCs w:val="32"/>
        </w:rPr>
        <w:t>国内公务接待支出</w:t>
      </w:r>
      <w:r>
        <w:rPr>
          <w:rFonts w:hint="eastAsia" w:ascii="仿宋" w:hAnsi="仿宋" w:eastAsia="仿宋"/>
          <w:color w:val="000000"/>
          <w:sz w:val="32"/>
          <w:szCs w:val="32"/>
          <w:lang w:val="en-US" w:eastAsia="zh-CN"/>
        </w:rPr>
        <w:t>0</w:t>
      </w:r>
      <w:r>
        <w:rPr>
          <w:rFonts w:ascii="仿宋" w:hAnsi="仿宋" w:eastAsia="仿宋"/>
          <w:color w:val="000000"/>
          <w:sz w:val="32"/>
          <w:szCs w:val="32"/>
        </w:rPr>
        <w:t>万元，主要用于执行公务、开展业务活动开支的交通费、住宿费、用餐费等。人次（不包括陪同人员），共计支出</w:t>
      </w:r>
      <w:r>
        <w:rPr>
          <w:rFonts w:hint="eastAsia" w:ascii="仿宋" w:hAnsi="仿宋" w:eastAsia="仿宋"/>
          <w:color w:val="000000"/>
          <w:sz w:val="32"/>
          <w:szCs w:val="32"/>
          <w:lang w:val="en-US" w:eastAsia="zh-CN"/>
        </w:rPr>
        <w:t>0</w:t>
      </w:r>
      <w:r>
        <w:rPr>
          <w:rFonts w:ascii="仿宋" w:hAnsi="仿宋" w:eastAsia="仿宋"/>
          <w:color w:val="000000"/>
          <w:sz w:val="32"/>
          <w:szCs w:val="32"/>
        </w:rPr>
        <w:t>万元。</w:t>
      </w:r>
    </w:p>
    <w:p w14:paraId="5AABDEB0">
      <w:pPr>
        <w:spacing w:line="576" w:lineRule="exact"/>
        <w:ind w:firstLine="640" w:firstLineChars="200"/>
        <w:jc w:val="left"/>
        <w:rPr>
          <w:rFonts w:ascii="仿宋" w:hAnsi="仿宋" w:eastAsia="仿宋"/>
          <w:color w:val="000000"/>
          <w:sz w:val="32"/>
          <w:szCs w:val="32"/>
        </w:rPr>
      </w:pPr>
      <w:r>
        <w:rPr>
          <w:rFonts w:ascii="仿宋" w:hAnsi="仿宋" w:eastAsia="仿宋"/>
          <w:color w:val="000000"/>
          <w:sz w:val="32"/>
          <w:szCs w:val="32"/>
        </w:rPr>
        <w:t>外事接待支出</w:t>
      </w:r>
      <w:r>
        <w:rPr>
          <w:rFonts w:hint="eastAsia" w:ascii="仿宋" w:hAnsi="仿宋" w:eastAsia="仿宋"/>
          <w:color w:val="000000"/>
          <w:sz w:val="32"/>
          <w:szCs w:val="32"/>
        </w:rPr>
        <w:t>0</w:t>
      </w:r>
      <w:r>
        <w:rPr>
          <w:rFonts w:ascii="仿宋" w:hAnsi="仿宋" w:eastAsia="仿宋"/>
          <w:color w:val="000000"/>
          <w:sz w:val="32"/>
          <w:szCs w:val="32"/>
        </w:rPr>
        <w:t>万元。外事接待</w:t>
      </w:r>
      <w:r>
        <w:rPr>
          <w:rFonts w:hint="eastAsia" w:ascii="仿宋" w:hAnsi="仿宋" w:eastAsia="仿宋"/>
          <w:color w:val="000000"/>
          <w:sz w:val="32"/>
          <w:szCs w:val="32"/>
        </w:rPr>
        <w:t>0</w:t>
      </w:r>
      <w:r>
        <w:rPr>
          <w:rFonts w:ascii="仿宋" w:hAnsi="仿宋" w:eastAsia="仿宋"/>
          <w:color w:val="000000"/>
          <w:sz w:val="32"/>
          <w:szCs w:val="32"/>
        </w:rPr>
        <w:t>批次，</w:t>
      </w:r>
      <w:r>
        <w:rPr>
          <w:rFonts w:hint="eastAsia" w:ascii="仿宋" w:hAnsi="仿宋" w:eastAsia="仿宋"/>
          <w:color w:val="000000"/>
          <w:sz w:val="32"/>
          <w:szCs w:val="32"/>
        </w:rPr>
        <w:t>0</w:t>
      </w:r>
      <w:r>
        <w:rPr>
          <w:rFonts w:ascii="仿宋" w:hAnsi="仿宋" w:eastAsia="仿宋"/>
          <w:color w:val="000000"/>
          <w:sz w:val="32"/>
          <w:szCs w:val="32"/>
        </w:rPr>
        <w:t>人次（不包括陪同人员），共计支出</w:t>
      </w:r>
      <w:r>
        <w:rPr>
          <w:rFonts w:hint="eastAsia" w:ascii="仿宋" w:hAnsi="仿宋" w:eastAsia="仿宋"/>
          <w:color w:val="000000"/>
          <w:sz w:val="32"/>
          <w:szCs w:val="32"/>
        </w:rPr>
        <w:t>0</w:t>
      </w:r>
      <w:r>
        <w:rPr>
          <w:rFonts w:ascii="仿宋" w:hAnsi="仿宋" w:eastAsia="仿宋"/>
          <w:color w:val="000000"/>
          <w:sz w:val="32"/>
          <w:szCs w:val="32"/>
        </w:rPr>
        <w:t>万元。</w:t>
      </w:r>
    </w:p>
    <w:p w14:paraId="00414F66">
      <w:pPr>
        <w:spacing w:line="576" w:lineRule="exact"/>
        <w:ind w:firstLine="640"/>
        <w:outlineLvl w:val="1"/>
        <w:rPr>
          <w:rFonts w:ascii="黑体" w:eastAsia="黑体"/>
          <w:b/>
          <w:bCs/>
          <w:color w:val="000000"/>
          <w:sz w:val="32"/>
          <w:szCs w:val="32"/>
        </w:rPr>
      </w:pPr>
      <w:r>
        <w:rPr>
          <w:rFonts w:hint="eastAsia" w:ascii="黑体" w:eastAsia="黑体"/>
          <w:color w:val="000000"/>
          <w:sz w:val="32"/>
          <w:szCs w:val="32"/>
        </w:rPr>
        <w:t>八、</w:t>
      </w:r>
      <w:r>
        <w:rPr>
          <w:rFonts w:hint="eastAsia" w:ascii="黑体" w:eastAsia="黑体"/>
          <w:bCs/>
          <w:color w:val="000000"/>
          <w:sz w:val="32"/>
          <w:szCs w:val="32"/>
        </w:rPr>
        <w:t>政府性基金预算支出决算情况说明</w:t>
      </w:r>
      <w:bookmarkEnd w:id="34"/>
      <w:bookmarkEnd w:id="35"/>
    </w:p>
    <w:p w14:paraId="4EFDCDB8">
      <w:pPr>
        <w:spacing w:line="576" w:lineRule="exact"/>
        <w:ind w:firstLine="640"/>
        <w:jc w:val="left"/>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年政府性基金预算拨款支出0万元。</w:t>
      </w:r>
    </w:p>
    <w:p w14:paraId="54568EFF">
      <w:pPr>
        <w:numPr>
          <w:ilvl w:val="0"/>
          <w:numId w:val="3"/>
        </w:numPr>
        <w:spacing w:line="576" w:lineRule="exact"/>
        <w:ind w:firstLine="640"/>
        <w:jc w:val="left"/>
        <w:outlineLvl w:val="1"/>
        <w:rPr>
          <w:rStyle w:val="34"/>
          <w:rFonts w:ascii="黑体" w:hAnsi="黑体" w:eastAsia="黑体" w:cs="仿宋"/>
          <w:b w:val="0"/>
        </w:rPr>
      </w:pPr>
      <w:bookmarkStart w:id="36" w:name="_Toc15396611"/>
      <w:bookmarkStart w:id="37" w:name="_Toc15377219"/>
      <w:r>
        <w:rPr>
          <w:rStyle w:val="34"/>
          <w:rFonts w:hint="eastAsia" w:ascii="黑体" w:hAnsi="黑体" w:eastAsia="黑体" w:cs="仿宋"/>
          <w:b w:val="0"/>
        </w:rPr>
        <w:t>国有资本经营预算支出决算情况说明</w:t>
      </w:r>
      <w:bookmarkEnd w:id="36"/>
      <w:bookmarkEnd w:id="37"/>
    </w:p>
    <w:p w14:paraId="45F0AC3E">
      <w:pPr>
        <w:spacing w:line="576" w:lineRule="exact"/>
        <w:ind w:firstLine="640"/>
        <w:jc w:val="left"/>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年国有资本经营预算拨款支出0万元。</w:t>
      </w:r>
    </w:p>
    <w:p w14:paraId="6E1BED65">
      <w:pPr>
        <w:spacing w:line="576" w:lineRule="exact"/>
        <w:ind w:firstLine="640" w:firstLineChars="200"/>
        <w:jc w:val="left"/>
        <w:outlineLvl w:val="1"/>
        <w:rPr>
          <w:rStyle w:val="34"/>
          <w:rFonts w:ascii="黑体" w:hAnsi="黑体" w:eastAsia="黑体" w:cs="仿宋"/>
        </w:rPr>
      </w:pPr>
      <w:r>
        <w:rPr>
          <w:rFonts w:hint="eastAsia" w:ascii="黑体" w:hAnsi="黑体" w:eastAsia="黑体" w:cs="仿宋"/>
          <w:sz w:val="32"/>
          <w:szCs w:val="32"/>
        </w:rPr>
        <w:t>十</w:t>
      </w:r>
      <w:r>
        <w:rPr>
          <w:rStyle w:val="34"/>
          <w:rFonts w:hint="eastAsia" w:ascii="黑体" w:hAnsi="黑体" w:eastAsia="黑体" w:cs="仿宋"/>
        </w:rPr>
        <w:t>、</w:t>
      </w:r>
      <w:r>
        <w:rPr>
          <w:rStyle w:val="34"/>
          <w:rFonts w:hint="eastAsia" w:ascii="黑体" w:hAnsi="黑体" w:eastAsia="黑体" w:cs="仿宋"/>
          <w:b w:val="0"/>
        </w:rPr>
        <w:t>其他重要事项的情况说明</w:t>
      </w:r>
    </w:p>
    <w:p w14:paraId="095908E7">
      <w:pPr>
        <w:spacing w:line="576" w:lineRule="exact"/>
        <w:ind w:firstLine="643" w:firstLineChars="200"/>
        <w:jc w:val="left"/>
        <w:outlineLvl w:val="2"/>
        <w:rPr>
          <w:rFonts w:ascii="仿宋" w:hAnsi="仿宋" w:eastAsia="仿宋" w:cs="仿宋"/>
          <w:sz w:val="32"/>
          <w:szCs w:val="32"/>
        </w:rPr>
      </w:pPr>
      <w:r>
        <w:rPr>
          <w:rFonts w:hint="eastAsia" w:ascii="仿宋" w:hAnsi="仿宋" w:eastAsia="仿宋" w:cs="仿宋"/>
          <w:b/>
          <w:sz w:val="32"/>
          <w:szCs w:val="32"/>
        </w:rPr>
        <w:t>（一）机关运行经费支出情况</w:t>
      </w:r>
    </w:p>
    <w:p w14:paraId="488A2AA0">
      <w:pPr>
        <w:spacing w:line="576" w:lineRule="exact"/>
        <w:ind w:firstLine="960" w:firstLineChars="300"/>
        <w:jc w:val="left"/>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年，遂宁市安居区海龙凯歌文化旅游产业园区管理委员机关运行经费财政拨款预算为</w:t>
      </w:r>
      <w:r>
        <w:rPr>
          <w:rFonts w:hint="eastAsia" w:ascii="仿宋" w:hAnsi="仿宋" w:eastAsia="仿宋" w:cs="仿宋"/>
          <w:sz w:val="32"/>
          <w:szCs w:val="32"/>
          <w:lang w:val="en-US" w:eastAsia="zh-CN"/>
        </w:rPr>
        <w:t>21.94</w:t>
      </w:r>
      <w:r>
        <w:rPr>
          <w:rFonts w:hint="eastAsia" w:ascii="仿宋" w:hAnsi="仿宋" w:eastAsia="仿宋" w:cs="仿宋"/>
          <w:sz w:val="32"/>
          <w:szCs w:val="32"/>
        </w:rPr>
        <w:t>万元.</w:t>
      </w:r>
      <w:r>
        <w:rPr>
          <w:rFonts w:hint="eastAsia" w:ascii="仿宋" w:hAnsi="仿宋" w:eastAsia="仿宋" w:cs="仿宋"/>
          <w:kern w:val="0"/>
          <w:sz w:val="32"/>
          <w:szCs w:val="32"/>
        </w:rPr>
        <w:t>，比202</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年</w:t>
      </w:r>
      <w:r>
        <w:rPr>
          <w:rFonts w:hint="eastAsia" w:ascii="仿宋" w:hAnsi="仿宋" w:eastAsia="仿宋" w:cs="仿宋"/>
          <w:kern w:val="0"/>
          <w:sz w:val="32"/>
          <w:szCs w:val="32"/>
          <w:lang w:eastAsia="zh-CN"/>
        </w:rPr>
        <w:t>减少</w:t>
      </w:r>
      <w:r>
        <w:rPr>
          <w:rFonts w:hint="eastAsia" w:ascii="仿宋" w:hAnsi="仿宋" w:eastAsia="仿宋" w:cs="仿宋"/>
          <w:kern w:val="0"/>
          <w:sz w:val="32"/>
          <w:szCs w:val="32"/>
          <w:lang w:val="en-US" w:eastAsia="zh-CN"/>
        </w:rPr>
        <w:t>19.03</w:t>
      </w:r>
      <w:r>
        <w:rPr>
          <w:rFonts w:hint="eastAsia" w:ascii="仿宋" w:hAnsi="仿宋" w:eastAsia="仿宋" w:cs="仿宋"/>
          <w:kern w:val="0"/>
          <w:sz w:val="32"/>
          <w:szCs w:val="32"/>
        </w:rPr>
        <w:t>万元，</w:t>
      </w:r>
      <w:r>
        <w:rPr>
          <w:rFonts w:hint="eastAsia" w:ascii="仿宋" w:hAnsi="仿宋" w:eastAsia="仿宋" w:cs="仿宋"/>
          <w:kern w:val="0"/>
          <w:sz w:val="32"/>
          <w:szCs w:val="32"/>
          <w:lang w:eastAsia="zh-CN"/>
        </w:rPr>
        <w:t>减少</w:t>
      </w:r>
      <w:r>
        <w:rPr>
          <w:rFonts w:hint="eastAsia" w:ascii="仿宋" w:hAnsi="仿宋" w:eastAsia="仿宋" w:cs="仿宋"/>
          <w:kern w:val="0"/>
          <w:sz w:val="32"/>
          <w:szCs w:val="32"/>
          <w:lang w:val="en-US" w:eastAsia="zh-CN"/>
        </w:rPr>
        <w:t>86.73</w:t>
      </w:r>
      <w:r>
        <w:rPr>
          <w:rFonts w:hint="eastAsia" w:ascii="仿宋" w:hAnsi="仿宋" w:eastAsia="仿宋" w:cs="仿宋"/>
          <w:kern w:val="0"/>
          <w:sz w:val="32"/>
          <w:szCs w:val="32"/>
        </w:rPr>
        <w:t>%。主要原因是：公用经费</w:t>
      </w:r>
      <w:r>
        <w:rPr>
          <w:rFonts w:hint="eastAsia" w:ascii="仿宋" w:hAnsi="仿宋" w:eastAsia="仿宋" w:cs="仿宋"/>
          <w:kern w:val="0"/>
          <w:sz w:val="32"/>
          <w:szCs w:val="32"/>
          <w:lang w:eastAsia="zh-CN"/>
        </w:rPr>
        <w:t>减少</w:t>
      </w:r>
      <w:r>
        <w:rPr>
          <w:rFonts w:hint="eastAsia" w:ascii="仿宋" w:hAnsi="仿宋" w:eastAsia="仿宋" w:cs="仿宋"/>
          <w:kern w:val="0"/>
          <w:sz w:val="32"/>
          <w:szCs w:val="32"/>
        </w:rPr>
        <w:t>。</w:t>
      </w:r>
    </w:p>
    <w:p w14:paraId="71558F4A">
      <w:pPr>
        <w:autoSpaceDE w:val="0"/>
        <w:autoSpaceDN w:val="0"/>
        <w:adjustRightInd w:val="0"/>
        <w:spacing w:line="576" w:lineRule="exact"/>
        <w:ind w:firstLine="643" w:firstLineChars="200"/>
        <w:jc w:val="left"/>
        <w:outlineLvl w:val="2"/>
        <w:rPr>
          <w:rFonts w:ascii="仿宋" w:hAnsi="仿宋" w:eastAsia="仿宋" w:cs="仿宋"/>
          <w:b/>
          <w:sz w:val="32"/>
          <w:szCs w:val="32"/>
        </w:rPr>
      </w:pPr>
      <w:bookmarkStart w:id="38" w:name="_Toc15377223"/>
      <w:r>
        <w:rPr>
          <w:rFonts w:hint="eastAsia" w:ascii="仿宋" w:hAnsi="仿宋" w:eastAsia="仿宋" w:cs="仿宋"/>
          <w:b/>
          <w:sz w:val="32"/>
          <w:szCs w:val="32"/>
        </w:rPr>
        <w:t>（二）政府采购支出情况</w:t>
      </w:r>
      <w:bookmarkEnd w:id="38"/>
    </w:p>
    <w:p w14:paraId="2DDC7EE6">
      <w:pPr>
        <w:spacing w:line="576" w:lineRule="exact"/>
        <w:ind w:firstLine="640" w:firstLineChars="200"/>
        <w:jc w:val="left"/>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年，遂宁市安居区海龙凯歌文化旅游产业园区管理委员采购支出总额0万元。</w:t>
      </w:r>
    </w:p>
    <w:p w14:paraId="32D15510">
      <w:pPr>
        <w:autoSpaceDE w:val="0"/>
        <w:autoSpaceDN w:val="0"/>
        <w:adjustRightInd w:val="0"/>
        <w:spacing w:line="576" w:lineRule="exact"/>
        <w:ind w:firstLine="643" w:firstLineChars="200"/>
        <w:jc w:val="left"/>
        <w:outlineLvl w:val="2"/>
        <w:rPr>
          <w:rFonts w:ascii="仿宋" w:hAnsi="仿宋" w:eastAsia="仿宋" w:cs="仿宋"/>
        </w:rPr>
      </w:pPr>
      <w:bookmarkStart w:id="39" w:name="_Toc15377224"/>
      <w:r>
        <w:rPr>
          <w:rFonts w:hint="eastAsia" w:ascii="仿宋" w:hAnsi="仿宋" w:eastAsia="仿宋" w:cs="仿宋"/>
          <w:b/>
          <w:sz w:val="32"/>
          <w:szCs w:val="32"/>
        </w:rPr>
        <w:t>（三）国有资产占有使用情况</w:t>
      </w:r>
      <w:bookmarkEnd w:id="39"/>
    </w:p>
    <w:p w14:paraId="16D507EA">
      <w:pPr>
        <w:pStyle w:val="16"/>
        <w:spacing w:line="576" w:lineRule="exact"/>
        <w:ind w:firstLine="640" w:firstLineChars="200"/>
        <w:jc w:val="left"/>
        <w:rPr>
          <w:rFonts w:ascii="仿宋" w:hAnsi="仿宋" w:eastAsia="仿宋" w:cs="仿宋"/>
          <w:sz w:val="32"/>
          <w:szCs w:val="32"/>
        </w:rPr>
      </w:pPr>
      <w:r>
        <w:rPr>
          <w:rFonts w:hint="eastAsia" w:ascii="仿宋" w:hAnsi="仿宋" w:eastAsia="仿宋" w:cs="仿宋"/>
          <w:sz w:val="32"/>
          <w:szCs w:val="32"/>
        </w:rPr>
        <w:t>截至202</w:t>
      </w:r>
      <w:r>
        <w:rPr>
          <w:rFonts w:hint="eastAsia" w:ascii="仿宋" w:hAnsi="仿宋" w:eastAsia="仿宋" w:cs="仿宋"/>
          <w:sz w:val="32"/>
          <w:szCs w:val="32"/>
          <w:lang w:val="en-US" w:eastAsia="zh-CN"/>
        </w:rPr>
        <w:t>4</w:t>
      </w:r>
      <w:r>
        <w:rPr>
          <w:rFonts w:hint="eastAsia" w:ascii="仿宋" w:hAnsi="仿宋" w:eastAsia="仿宋" w:cs="仿宋"/>
          <w:sz w:val="32"/>
          <w:szCs w:val="32"/>
        </w:rPr>
        <w:t>年12月31日，遂宁市安居区海龙凯歌文化旅游产业园区管理委员人民政府共有车辆0辆。</w:t>
      </w:r>
    </w:p>
    <w:p w14:paraId="1A086FD9">
      <w:pPr>
        <w:autoSpaceDE w:val="0"/>
        <w:autoSpaceDN w:val="0"/>
        <w:adjustRightInd w:val="0"/>
        <w:spacing w:line="576" w:lineRule="exact"/>
        <w:ind w:firstLine="643" w:firstLineChars="200"/>
        <w:jc w:val="left"/>
        <w:outlineLvl w:val="2"/>
        <w:rPr>
          <w:rFonts w:ascii="仿宋" w:hAnsi="仿宋" w:eastAsia="仿宋" w:cs="仿宋"/>
          <w:b/>
          <w:sz w:val="32"/>
          <w:szCs w:val="32"/>
        </w:rPr>
      </w:pPr>
      <w:r>
        <w:rPr>
          <w:rFonts w:hint="eastAsia" w:ascii="仿宋" w:hAnsi="仿宋" w:eastAsia="仿宋" w:cs="仿宋"/>
          <w:b/>
          <w:sz w:val="32"/>
          <w:szCs w:val="32"/>
        </w:rPr>
        <w:t>（四）预算绩效管理情况</w:t>
      </w:r>
    </w:p>
    <w:p w14:paraId="179B647D">
      <w:pPr>
        <w:pStyle w:val="32"/>
        <w:spacing w:line="576" w:lineRule="exact"/>
        <w:ind w:firstLine="640"/>
        <w:jc w:val="left"/>
        <w:rPr>
          <w:rFonts w:ascii="仿宋" w:hAnsi="仿宋" w:eastAsia="仿宋" w:cs="仿宋"/>
          <w:sz w:val="32"/>
          <w:szCs w:val="32"/>
        </w:rPr>
      </w:pPr>
      <w:r>
        <w:rPr>
          <w:rFonts w:hint="eastAsia" w:ascii="仿宋" w:hAnsi="仿宋" w:eastAsia="仿宋" w:cs="仿宋"/>
          <w:sz w:val="32"/>
          <w:szCs w:val="32"/>
        </w:rPr>
        <w:t>根据预算绩效管理要求，本单位在202</w:t>
      </w:r>
      <w:r>
        <w:rPr>
          <w:rFonts w:hint="eastAsia" w:ascii="仿宋" w:hAnsi="仿宋" w:eastAsia="仿宋" w:cs="仿宋"/>
          <w:sz w:val="32"/>
          <w:szCs w:val="32"/>
          <w:lang w:val="en-US" w:eastAsia="zh-CN"/>
        </w:rPr>
        <w:t>4</w:t>
      </w:r>
      <w:r>
        <w:rPr>
          <w:rFonts w:hint="eastAsia" w:ascii="仿宋" w:hAnsi="仿宋" w:eastAsia="仿宋" w:cs="仿宋"/>
          <w:sz w:val="32"/>
          <w:szCs w:val="32"/>
        </w:rPr>
        <w:t>年度预算编制阶段，组织对“文旅园区产业招引产业补助”“文旅园区宣传营销”“省星级现代农业园区创建升星经费”“202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ascii="宋体" w:hAnsi="宋体" w:eastAsia="宋体" w:cs="宋体"/>
          <w:sz w:val="32"/>
          <w:szCs w:val="32"/>
        </w:rPr>
        <w:t>中央、省委</w:t>
      </w:r>
      <w:r>
        <w:rPr>
          <w:rFonts w:hint="eastAsia" w:ascii="仿宋" w:hAnsi="仿宋" w:eastAsia="仿宋" w:cs="仿宋"/>
          <w:sz w:val="32"/>
          <w:szCs w:val="32"/>
        </w:rPr>
        <w:t>财政衔接推进乡村振兴补助资金”等</w:t>
      </w:r>
      <w:r>
        <w:rPr>
          <w:rFonts w:hint="eastAsia" w:ascii="仿宋" w:hAnsi="仿宋" w:eastAsia="仿宋" w:cs="仿宋"/>
          <w:sz w:val="32"/>
          <w:szCs w:val="32"/>
          <w:lang w:val="en-US" w:eastAsia="zh-CN"/>
        </w:rPr>
        <w:t>4</w:t>
      </w:r>
      <w:r>
        <w:rPr>
          <w:rFonts w:hint="eastAsia" w:ascii="仿宋" w:hAnsi="仿宋" w:eastAsia="仿宋" w:cs="仿宋"/>
          <w:sz w:val="32"/>
          <w:szCs w:val="32"/>
        </w:rPr>
        <w:t>个项目开展了预算绩效评估，对</w:t>
      </w:r>
      <w:r>
        <w:rPr>
          <w:rFonts w:hint="eastAsia" w:ascii="仿宋" w:hAnsi="仿宋" w:eastAsia="仿宋" w:cs="仿宋"/>
          <w:sz w:val="32"/>
          <w:szCs w:val="32"/>
          <w:lang w:val="en-US" w:eastAsia="zh-CN"/>
        </w:rPr>
        <w:t>4</w:t>
      </w:r>
      <w:r>
        <w:rPr>
          <w:rFonts w:hint="eastAsia" w:ascii="仿宋" w:hAnsi="仿宋" w:eastAsia="仿宋" w:cs="仿宋"/>
          <w:sz w:val="32"/>
          <w:szCs w:val="32"/>
        </w:rPr>
        <w:t>个项目编制了绩效目标，预算执行过程中，选取了</w:t>
      </w:r>
      <w:r>
        <w:rPr>
          <w:rFonts w:hint="eastAsia" w:ascii="仿宋" w:hAnsi="仿宋" w:eastAsia="仿宋" w:cs="仿宋"/>
          <w:sz w:val="32"/>
          <w:szCs w:val="32"/>
          <w:lang w:val="en-US" w:eastAsia="zh-CN"/>
        </w:rPr>
        <w:t>4</w:t>
      </w:r>
      <w:r>
        <w:rPr>
          <w:rFonts w:hint="eastAsia" w:ascii="仿宋" w:hAnsi="仿宋" w:eastAsia="仿宋" w:cs="仿宋"/>
          <w:sz w:val="32"/>
          <w:szCs w:val="32"/>
        </w:rPr>
        <w:t>个项目开展绩效监控，年终执行完毕后，完成绩效目标情况梳理填报。</w:t>
      </w:r>
    </w:p>
    <w:p w14:paraId="7238EAC7">
      <w:pPr>
        <w:adjustRightInd w:val="0"/>
        <w:snapToGrid w:val="0"/>
        <w:spacing w:line="576" w:lineRule="exact"/>
        <w:ind w:firstLine="640"/>
        <w:jc w:val="left"/>
        <w:outlineLvl w:val="0"/>
        <w:rPr>
          <w:rFonts w:ascii="仿宋" w:hAnsi="仿宋" w:eastAsia="仿宋" w:cs="仿宋"/>
          <w:sz w:val="32"/>
          <w:szCs w:val="32"/>
        </w:rPr>
      </w:pPr>
      <w:r>
        <w:rPr>
          <w:rFonts w:hint="eastAsia" w:ascii="仿宋" w:hAnsi="仿宋" w:eastAsia="仿宋" w:cs="仿宋"/>
          <w:sz w:val="32"/>
          <w:szCs w:val="32"/>
        </w:rPr>
        <w:t>组织对202</w:t>
      </w:r>
      <w:r>
        <w:rPr>
          <w:rFonts w:hint="eastAsia" w:ascii="仿宋" w:hAnsi="仿宋" w:eastAsia="仿宋" w:cs="仿宋"/>
          <w:sz w:val="32"/>
          <w:szCs w:val="32"/>
          <w:lang w:val="en-US" w:eastAsia="zh-CN"/>
        </w:rPr>
        <w:t>4</w:t>
      </w:r>
      <w:r>
        <w:rPr>
          <w:rFonts w:hint="eastAsia" w:ascii="仿宋" w:hAnsi="仿宋" w:eastAsia="仿宋" w:cs="仿宋"/>
          <w:sz w:val="32"/>
          <w:szCs w:val="32"/>
        </w:rPr>
        <w:t>年度一般公共预算全面开展绩效自评，形成遂宁市安居区海龙凯歌文化旅游产业园区管理委员会202</w:t>
      </w:r>
      <w:r>
        <w:rPr>
          <w:rFonts w:hint="eastAsia" w:ascii="仿宋" w:hAnsi="仿宋" w:eastAsia="仿宋" w:cs="仿宋"/>
          <w:sz w:val="32"/>
          <w:szCs w:val="32"/>
          <w:lang w:val="en-US" w:eastAsia="zh-CN"/>
        </w:rPr>
        <w:t>4</w:t>
      </w:r>
      <w:r>
        <w:rPr>
          <w:rFonts w:hint="eastAsia" w:ascii="仿宋" w:hAnsi="仿宋" w:eastAsia="仿宋" w:cs="仿宋"/>
          <w:sz w:val="32"/>
          <w:szCs w:val="32"/>
        </w:rPr>
        <w:t>年部门整体绩效自评报告；“文旅园区产业招引产业补助”“文旅园区宣传营销”“省星级现代农业园区创建升星经费”“202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bookmarkStart w:id="45" w:name="_GoBack"/>
      <w:r>
        <w:rPr>
          <w:rFonts w:ascii="宋体" w:hAnsi="宋体" w:eastAsia="宋体" w:cs="宋体"/>
          <w:sz w:val="32"/>
          <w:szCs w:val="32"/>
        </w:rPr>
        <w:t>中央、省委</w:t>
      </w:r>
      <w:bookmarkEnd w:id="45"/>
      <w:r>
        <w:rPr>
          <w:rFonts w:hint="eastAsia" w:ascii="仿宋" w:hAnsi="仿宋" w:eastAsia="仿宋" w:cs="仿宋"/>
          <w:sz w:val="32"/>
          <w:szCs w:val="32"/>
        </w:rPr>
        <w:t>财政衔接推进乡村振兴补助资金”等预算项目绩效</w:t>
      </w:r>
      <w:r>
        <w:rPr>
          <w:rFonts w:hint="eastAsia" w:ascii="仿宋" w:hAnsi="仿宋" w:eastAsia="仿宋" w:cs="仿宋"/>
          <w:sz w:val="32"/>
          <w:szCs w:val="32"/>
          <w:lang w:eastAsia="zh-CN"/>
        </w:rPr>
        <w:t>进行</w:t>
      </w:r>
      <w:r>
        <w:rPr>
          <w:rFonts w:hint="eastAsia" w:ascii="仿宋" w:hAnsi="仿宋" w:eastAsia="仿宋" w:cs="仿宋"/>
          <w:sz w:val="32"/>
          <w:szCs w:val="32"/>
        </w:rPr>
        <w:t>自评，其中部门整体绩效自评报告自评得分为90分，绩效自评综述：202</w:t>
      </w:r>
      <w:r>
        <w:rPr>
          <w:rFonts w:hint="eastAsia" w:ascii="仿宋" w:hAnsi="仿宋" w:eastAsia="仿宋" w:cs="仿宋"/>
          <w:sz w:val="32"/>
          <w:szCs w:val="32"/>
          <w:lang w:val="en-US" w:eastAsia="zh-CN"/>
        </w:rPr>
        <w:t>4</w:t>
      </w:r>
      <w:r>
        <w:rPr>
          <w:rFonts w:hint="eastAsia" w:ascii="仿宋" w:hAnsi="仿宋" w:eastAsia="仿宋" w:cs="仿宋"/>
          <w:sz w:val="32"/>
          <w:szCs w:val="32"/>
        </w:rPr>
        <w:t>年，我单位通过加强预算收支管理，不断建立健全内部管理制度，梳理内部管理流程，部门整体支出管理情况得到提升，较好的完成了年度工作目标。</w:t>
      </w:r>
    </w:p>
    <w:p w14:paraId="118610E3">
      <w:pPr>
        <w:adjustRightInd w:val="0"/>
        <w:snapToGrid w:val="0"/>
        <w:spacing w:line="576" w:lineRule="exact"/>
        <w:ind w:firstLine="640"/>
        <w:jc w:val="left"/>
        <w:outlineLvl w:val="0"/>
        <w:rPr>
          <w:rFonts w:ascii="仿宋" w:hAnsi="仿宋" w:eastAsia="仿宋" w:cs="仿宋"/>
          <w:sz w:val="32"/>
          <w:szCs w:val="32"/>
        </w:rPr>
      </w:pPr>
      <w:r>
        <w:rPr>
          <w:rFonts w:hint="eastAsia" w:ascii="仿宋" w:hAnsi="仿宋" w:eastAsia="仿宋" w:cs="仿宋"/>
          <w:sz w:val="32"/>
          <w:szCs w:val="32"/>
        </w:rPr>
        <w:t>文旅园区产业招引产业补助专项预算项目绩效自评得分为100分，绩效自评综述：项目全年预算数</w:t>
      </w:r>
      <w:r>
        <w:rPr>
          <w:rFonts w:hint="eastAsia" w:ascii="仿宋" w:hAnsi="仿宋" w:eastAsia="仿宋" w:cs="仿宋"/>
          <w:sz w:val="32"/>
          <w:szCs w:val="32"/>
          <w:lang w:val="en-US" w:eastAsia="zh-CN"/>
        </w:rPr>
        <w:t>5</w:t>
      </w:r>
      <w:r>
        <w:rPr>
          <w:rFonts w:hint="eastAsia" w:ascii="仿宋" w:hAnsi="仿宋" w:eastAsia="仿宋" w:cs="仿宋"/>
          <w:sz w:val="32"/>
          <w:szCs w:val="32"/>
        </w:rPr>
        <w:t>万元，执行数为</w:t>
      </w:r>
      <w:r>
        <w:rPr>
          <w:rFonts w:hint="eastAsia" w:ascii="仿宋" w:hAnsi="仿宋" w:eastAsia="仿宋" w:cs="仿宋"/>
          <w:sz w:val="32"/>
          <w:szCs w:val="32"/>
          <w:lang w:val="en-US" w:eastAsia="zh-CN"/>
        </w:rPr>
        <w:t>5</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100</w:t>
      </w:r>
      <w:r>
        <w:rPr>
          <w:rFonts w:hint="eastAsia" w:ascii="仿宋" w:hAnsi="仿宋" w:eastAsia="仿宋" w:cs="仿宋"/>
          <w:sz w:val="32"/>
          <w:szCs w:val="32"/>
        </w:rPr>
        <w:t xml:space="preserve">%。通过项目实施，提升海龙凯歌文旅园区的产业发展，促进更多社会资本参与旅游开发，提升旅游产品文化品位，提出园区发展方向和思路。 下一步改进措施：大力宣传海龙凯歌，提升海龙凯歌文旅园区建设。 </w:t>
      </w:r>
    </w:p>
    <w:p w14:paraId="78260080">
      <w:pPr>
        <w:adjustRightInd w:val="0"/>
        <w:snapToGrid w:val="0"/>
        <w:spacing w:line="576" w:lineRule="exact"/>
        <w:ind w:firstLine="640"/>
        <w:jc w:val="left"/>
        <w:outlineLvl w:val="0"/>
        <w:rPr>
          <w:rFonts w:ascii="仿宋" w:hAnsi="仿宋" w:eastAsia="仿宋" w:cs="仿宋"/>
          <w:sz w:val="32"/>
          <w:szCs w:val="32"/>
        </w:rPr>
      </w:pPr>
      <w:r>
        <w:rPr>
          <w:rFonts w:hint="eastAsia" w:ascii="仿宋" w:hAnsi="仿宋" w:eastAsia="仿宋" w:cs="仿宋"/>
          <w:sz w:val="32"/>
          <w:szCs w:val="32"/>
        </w:rPr>
        <w:t>省星级现代农业园区创建升星经费目绩效自评得分为100分，绩效自评综述：项目全年预算数</w:t>
      </w:r>
      <w:r>
        <w:rPr>
          <w:rFonts w:hint="eastAsia" w:ascii="仿宋" w:hAnsi="仿宋" w:eastAsia="仿宋" w:cs="仿宋"/>
          <w:sz w:val="32"/>
          <w:szCs w:val="32"/>
          <w:lang w:val="en-US" w:eastAsia="zh-CN"/>
        </w:rPr>
        <w:t>5</w:t>
      </w:r>
      <w:r>
        <w:rPr>
          <w:rFonts w:hint="eastAsia" w:ascii="仿宋" w:hAnsi="仿宋" w:eastAsia="仿宋" w:cs="仿宋"/>
          <w:sz w:val="32"/>
          <w:szCs w:val="32"/>
        </w:rPr>
        <w:t>万元，执行数为</w:t>
      </w:r>
      <w:r>
        <w:rPr>
          <w:rFonts w:hint="eastAsia" w:ascii="仿宋" w:hAnsi="仿宋" w:eastAsia="仿宋" w:cs="仿宋"/>
          <w:sz w:val="32"/>
          <w:szCs w:val="32"/>
          <w:lang w:val="en-US" w:eastAsia="zh-CN"/>
        </w:rPr>
        <w:t>5</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100</w:t>
      </w:r>
      <w:r>
        <w:rPr>
          <w:rFonts w:ascii="仿宋" w:hAnsi="仿宋" w:eastAsia="仿宋" w:cs="仿宋"/>
          <w:sz w:val="32"/>
          <w:szCs w:val="32"/>
        </w:rPr>
        <w:t>%。</w:t>
      </w:r>
      <w:r>
        <w:rPr>
          <w:rFonts w:hint="eastAsia" w:ascii="仿宋" w:hAnsi="仿宋" w:eastAsia="仿宋" w:cs="仿宋"/>
          <w:sz w:val="32"/>
          <w:szCs w:val="32"/>
        </w:rPr>
        <w:t>通过项目的实施，文旅园区景区创建，旅游业态商品培育、开发，促进社会资本参与旅游项目，并制定营销方案并筹备大型营销宣传活动。力求提升园区文化品位，拓宽文化旅</w:t>
      </w:r>
      <w:r>
        <w:rPr>
          <w:rFonts w:ascii="仿宋" w:hAnsi="仿宋" w:eastAsia="仿宋" w:cs="仿宋"/>
          <w:sz w:val="32"/>
          <w:szCs w:val="32"/>
        </w:rPr>
        <w:t>游市场。发现的主要问题：财政专项资金拨付不及时。</w:t>
      </w:r>
      <w:r>
        <w:rPr>
          <w:rFonts w:ascii="仿宋" w:hAnsi="仿宋" w:eastAsia="仿宋" w:cs="仿宋"/>
          <w:kern w:val="0"/>
          <w:sz w:val="32"/>
          <w:szCs w:val="32"/>
        </w:rPr>
        <w:t>下一步改进措施：及时</w:t>
      </w:r>
      <w:r>
        <w:rPr>
          <w:rFonts w:hint="eastAsia" w:ascii="仿宋" w:hAnsi="仿宋" w:eastAsia="仿宋" w:cs="仿宋"/>
          <w:sz w:val="32"/>
          <w:szCs w:val="32"/>
        </w:rPr>
        <w:t>拨付资金。</w:t>
      </w:r>
    </w:p>
    <w:p w14:paraId="348725AD">
      <w:pPr>
        <w:adjustRightInd w:val="0"/>
        <w:snapToGrid w:val="0"/>
        <w:spacing w:line="576" w:lineRule="exact"/>
        <w:ind w:firstLine="1134"/>
        <w:jc w:val="left"/>
        <w:outlineLvl w:val="0"/>
        <w:rPr>
          <w:rFonts w:ascii="仿宋" w:hAnsi="仿宋" w:eastAsia="仿宋" w:cs="仿宋"/>
          <w:sz w:val="32"/>
          <w:szCs w:val="32"/>
        </w:rPr>
      </w:pPr>
      <w:r>
        <w:rPr>
          <w:rFonts w:hint="eastAsia" w:ascii="仿宋" w:hAnsi="仿宋" w:eastAsia="仿宋" w:cs="仿宋"/>
          <w:sz w:val="32"/>
          <w:szCs w:val="32"/>
        </w:rPr>
        <w:t>文旅园区宣传营销项目绩效自评得分为100分，绩效自评综述：项目全年预算数5万元，执行数为5万元，完成</w:t>
      </w:r>
      <w:r>
        <w:rPr>
          <w:rFonts w:ascii="仿宋" w:hAnsi="仿宋" w:eastAsia="仿宋" w:cs="仿宋"/>
          <w:sz w:val="32"/>
          <w:szCs w:val="32"/>
        </w:rPr>
        <w:t>预算的100%。通过项目的实施，文旅园区景区宣传营销，旅游业态商品培育、开发，促进社会资本参与旅游项目，并制定营销方案并筹备大型营销宣传活动。力求提升园区文化品位，拓宽文化旅游</w:t>
      </w:r>
      <w:r>
        <w:rPr>
          <w:rFonts w:hint="eastAsia" w:ascii="仿宋" w:hAnsi="仿宋" w:eastAsia="仿宋" w:cs="仿宋"/>
          <w:sz w:val="32"/>
          <w:szCs w:val="32"/>
        </w:rPr>
        <w:t>市场。发现的主要问题：财政专项资金拨付不及时。下一步改进措施：及时拨付资金。</w:t>
      </w:r>
    </w:p>
    <w:p w14:paraId="423FFEA0">
      <w:pPr>
        <w:adjustRightInd w:val="0"/>
        <w:snapToGrid w:val="0"/>
        <w:spacing w:line="576" w:lineRule="exact"/>
        <w:ind w:firstLine="1134"/>
        <w:jc w:val="left"/>
        <w:outlineLvl w:val="0"/>
        <w:rPr>
          <w:rFonts w:ascii="仿宋" w:hAnsi="仿宋" w:eastAsia="仿宋" w:cs="仿宋"/>
          <w:kern w:val="0"/>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ascii="宋体" w:hAnsi="宋体" w:eastAsia="宋体" w:cs="宋体"/>
          <w:sz w:val="32"/>
          <w:szCs w:val="32"/>
        </w:rPr>
        <w:t>中央、省委</w:t>
      </w:r>
      <w:r>
        <w:rPr>
          <w:rFonts w:hint="eastAsia" w:ascii="仿宋" w:hAnsi="仿宋" w:eastAsia="仿宋" w:cs="仿宋"/>
          <w:sz w:val="32"/>
          <w:szCs w:val="32"/>
        </w:rPr>
        <w:t>财政衔接推进乡村振兴补助资金项目绩效自评得分为100分，绩效自评综述：项目全年预算数</w:t>
      </w:r>
      <w:r>
        <w:rPr>
          <w:rFonts w:hint="eastAsia" w:ascii="仿宋" w:hAnsi="仿宋" w:eastAsia="仿宋" w:cs="仿宋"/>
          <w:sz w:val="32"/>
          <w:szCs w:val="32"/>
          <w:lang w:val="en-US" w:eastAsia="zh-CN"/>
        </w:rPr>
        <w:t>43.67</w:t>
      </w:r>
      <w:r>
        <w:rPr>
          <w:rFonts w:hint="eastAsia" w:ascii="仿宋" w:hAnsi="仿宋" w:eastAsia="仿宋" w:cs="仿宋"/>
          <w:sz w:val="32"/>
          <w:szCs w:val="32"/>
        </w:rPr>
        <w:t>万元，执行数为</w:t>
      </w:r>
      <w:r>
        <w:rPr>
          <w:rFonts w:hint="eastAsia" w:ascii="仿宋" w:hAnsi="仿宋" w:eastAsia="仿宋" w:cs="仿宋"/>
          <w:sz w:val="32"/>
          <w:szCs w:val="32"/>
          <w:lang w:val="en-US" w:eastAsia="zh-CN"/>
        </w:rPr>
        <w:t>43.67</w:t>
      </w:r>
      <w:r>
        <w:rPr>
          <w:rFonts w:ascii="仿宋" w:hAnsi="仿宋" w:eastAsia="仿宋" w:cs="仿宋"/>
          <w:sz w:val="32"/>
          <w:szCs w:val="32"/>
        </w:rPr>
        <w:t>万元，完成预算的100%。通过项目的实施，仙人掌基地、露营基地、房车营地栽种仙人掌10余亩，提升观赏体验、吸引游客、带动消费</w:t>
      </w:r>
      <w:r>
        <w:rPr>
          <w:rFonts w:ascii="仿宋" w:hAnsi="仿宋" w:eastAsia="仿宋" w:cs="仿宋"/>
          <w:kern w:val="0"/>
          <w:sz w:val="32"/>
          <w:szCs w:val="32"/>
        </w:rPr>
        <w:t>。</w:t>
      </w:r>
    </w:p>
    <w:p w14:paraId="544F8900">
      <w:pPr>
        <w:adjustRightInd w:val="0"/>
        <w:snapToGrid w:val="0"/>
        <w:spacing w:line="576" w:lineRule="exact"/>
        <w:ind w:firstLine="1134"/>
        <w:jc w:val="left"/>
        <w:outlineLvl w:val="0"/>
        <w:rPr>
          <w:rFonts w:ascii="仿宋" w:hAnsi="仿宋" w:eastAsia="仿宋" w:cs="仿宋"/>
          <w:color w:val="0000FF"/>
          <w:kern w:val="0"/>
          <w:sz w:val="32"/>
          <w:szCs w:val="32"/>
        </w:rPr>
      </w:pPr>
      <w:r>
        <w:rPr>
          <w:rFonts w:ascii="仿宋" w:hAnsi="仿宋" w:eastAsia="仿宋" w:cs="仿宋"/>
          <w:color w:val="auto"/>
          <w:kern w:val="0"/>
          <w:sz w:val="32"/>
          <w:szCs w:val="32"/>
        </w:rPr>
        <w:t>绩效自评</w:t>
      </w:r>
      <w:r>
        <w:rPr>
          <w:rFonts w:hint="eastAsia" w:ascii="仿宋" w:hAnsi="仿宋" w:eastAsia="仿宋" w:cs="仿宋"/>
          <w:color w:val="auto"/>
          <w:kern w:val="0"/>
          <w:sz w:val="32"/>
          <w:szCs w:val="32"/>
          <w:lang w:eastAsia="zh-CN"/>
        </w:rPr>
        <w:t>表</w:t>
      </w:r>
      <w:r>
        <w:rPr>
          <w:rFonts w:ascii="仿宋" w:hAnsi="仿宋" w:eastAsia="仿宋" w:cs="仿宋"/>
          <w:color w:val="auto"/>
          <w:kern w:val="0"/>
          <w:sz w:val="32"/>
          <w:szCs w:val="32"/>
        </w:rPr>
        <w:t>报告见附件。</w:t>
      </w:r>
    </w:p>
    <w:p w14:paraId="351D77CD">
      <w:pPr>
        <w:rPr>
          <w:rFonts w:ascii="仿宋" w:hAnsi="仿宋" w:eastAsia="仿宋" w:cs="仿宋"/>
          <w:color w:val="0000FF"/>
          <w:kern w:val="0"/>
          <w:sz w:val="32"/>
          <w:szCs w:val="32"/>
        </w:rPr>
      </w:pPr>
    </w:p>
    <w:p w14:paraId="47FAC936">
      <w:pPr>
        <w:rPr>
          <w:rFonts w:ascii="仿宋" w:hAnsi="仿宋" w:eastAsia="仿宋" w:cs="仿宋"/>
          <w:color w:val="0000FF"/>
          <w:kern w:val="0"/>
          <w:sz w:val="32"/>
          <w:szCs w:val="32"/>
        </w:rPr>
      </w:pPr>
    </w:p>
    <w:p w14:paraId="20182808">
      <w:pPr>
        <w:rPr>
          <w:rFonts w:ascii="仿宋" w:hAnsi="仿宋" w:eastAsia="仿宋" w:cs="仿宋"/>
          <w:color w:val="0000FF"/>
          <w:kern w:val="0"/>
          <w:sz w:val="32"/>
          <w:szCs w:val="32"/>
        </w:rPr>
      </w:pPr>
    </w:p>
    <w:p w14:paraId="4310CE3F">
      <w:pPr>
        <w:rPr>
          <w:rFonts w:ascii="仿宋" w:hAnsi="仿宋" w:eastAsia="仿宋" w:cs="仿宋"/>
          <w:color w:val="0000FF"/>
          <w:kern w:val="0"/>
          <w:sz w:val="32"/>
          <w:szCs w:val="32"/>
        </w:rPr>
      </w:pPr>
    </w:p>
    <w:p w14:paraId="72D7903B">
      <w:pPr>
        <w:rPr>
          <w:rFonts w:ascii="仿宋" w:hAnsi="仿宋" w:eastAsia="仿宋" w:cs="仿宋"/>
          <w:color w:val="0000FF"/>
          <w:kern w:val="0"/>
          <w:sz w:val="32"/>
          <w:szCs w:val="32"/>
        </w:rPr>
      </w:pPr>
    </w:p>
    <w:p w14:paraId="6411A135">
      <w:pPr>
        <w:pStyle w:val="2"/>
        <w:keepLines w:val="0"/>
        <w:pageBreakBefore w:val="0"/>
        <w:kinsoku/>
        <w:wordWrap/>
        <w:overflowPunct/>
        <w:topLinePunct w:val="0"/>
        <w:bidi w:val="0"/>
        <w:ind w:firstLine="1760" w:firstLineChars="400"/>
        <w:jc w:val="both"/>
        <w:textAlignment w:val="auto"/>
        <w:rPr>
          <w:rFonts w:hint="eastAsia" w:ascii="仿宋" w:hAnsi="仿宋" w:eastAsia="仿宋" w:cs="仿宋"/>
          <w:b w:val="0"/>
          <w:bCs w:val="0"/>
          <w:i w:val="0"/>
          <w:iCs w:val="0"/>
          <w:color w:val="auto"/>
          <w:sz w:val="32"/>
          <w:szCs w:val="32"/>
          <w:highlight w:val="none"/>
        </w:rPr>
      </w:pPr>
      <w:bookmarkStart w:id="40" w:name="_Toc15396614"/>
      <w:bookmarkStart w:id="41" w:name="_Toc15396616"/>
      <w:bookmarkStart w:id="42" w:name="_Toc15377226"/>
      <w:r>
        <w:rPr>
          <w:rFonts w:hint="eastAsia" w:ascii="黑体" w:hAnsi="黑体" w:eastAsia="黑体" w:cs="Times New Roman"/>
          <w:b w:val="0"/>
          <w:bCs/>
          <w:i w:val="0"/>
          <w:iCs w:val="0"/>
          <w:color w:val="auto"/>
          <w:kern w:val="44"/>
          <w:sz w:val="44"/>
          <w:szCs w:val="44"/>
          <w:lang w:val="en-US" w:eastAsia="zh-CN" w:bidi="ar-SA"/>
        </w:rPr>
        <w:t xml:space="preserve">第三部分 </w:t>
      </w:r>
      <w:r>
        <w:rPr>
          <w:rFonts w:hint="eastAsia" w:ascii="黑体" w:hAnsi="黑体" w:eastAsia="黑体" w:cs="Times New Roman"/>
          <w:b w:val="0"/>
          <w:bCs/>
          <w:i w:val="0"/>
          <w:iCs w:val="0"/>
          <w:color w:val="auto"/>
          <w:sz w:val="44"/>
          <w:szCs w:val="44"/>
          <w:highlight w:val="none"/>
        </w:rPr>
        <w:t>名</w:t>
      </w:r>
      <w:r>
        <w:rPr>
          <w:rStyle w:val="20"/>
          <w:rFonts w:hint="eastAsia" w:ascii="黑体" w:hAnsi="黑体" w:eastAsia="黑体" w:cs="Times New Roman"/>
          <w:b w:val="0"/>
          <w:bCs/>
          <w:i w:val="0"/>
          <w:iCs w:val="0"/>
          <w:color w:val="auto"/>
          <w:highlight w:val="none"/>
        </w:rPr>
        <w:t>词解释</w:t>
      </w:r>
    </w:p>
    <w:p w14:paraId="7279841E">
      <w:pPr>
        <w:keepLines w:val="0"/>
        <w:pageBreakBefore w:val="0"/>
        <w:kinsoku/>
        <w:wordWrap/>
        <w:overflowPunct/>
        <w:topLinePunct w:val="0"/>
        <w:bidi w:val="0"/>
        <w:spacing w:line="560" w:lineRule="exact"/>
        <w:ind w:firstLine="643" w:firstLineChars="200"/>
        <w:jc w:val="both"/>
        <w:textAlignment w:val="auto"/>
        <w:rPr>
          <w:rFonts w:hint="eastAsia" w:ascii="Times New Roman" w:hAnsi="Times New Roman" w:eastAsia="仿宋_GB2312"/>
          <w:color w:val="auto"/>
          <w:sz w:val="32"/>
          <w:szCs w:val="32"/>
        </w:rPr>
      </w:pPr>
      <w:r>
        <w:rPr>
          <w:rFonts w:hint="eastAsia" w:ascii="Times New Roman" w:hAnsi="Times New Roman" w:eastAsia="仿宋_GB2312"/>
          <w:b/>
          <w:bCs/>
          <w:color w:val="auto"/>
          <w:sz w:val="32"/>
          <w:szCs w:val="32"/>
        </w:rPr>
        <w:t>1.财政拨款收入：</w:t>
      </w:r>
      <w:r>
        <w:rPr>
          <w:rFonts w:hint="eastAsia" w:ascii="Times New Roman" w:hAnsi="Times New Roman" w:eastAsia="仿宋_GB2312"/>
          <w:color w:val="auto"/>
          <w:sz w:val="32"/>
          <w:szCs w:val="32"/>
        </w:rPr>
        <w:t>指单位从同级财政部门取得的财政预算资金。</w:t>
      </w:r>
    </w:p>
    <w:p w14:paraId="3EC90617">
      <w:pPr>
        <w:keepLines w:val="0"/>
        <w:pageBreakBefore w:val="0"/>
        <w:kinsoku/>
        <w:wordWrap/>
        <w:overflowPunct/>
        <w:topLinePunct w:val="0"/>
        <w:bidi w:val="0"/>
        <w:spacing w:line="560" w:lineRule="exact"/>
        <w:ind w:firstLine="643" w:firstLineChars="200"/>
        <w:jc w:val="both"/>
        <w:textAlignment w:val="auto"/>
        <w:rPr>
          <w:rFonts w:hint="eastAsia" w:ascii="Times New Roman" w:hAnsi="Times New Roman" w:eastAsia="仿宋_GB2312"/>
          <w:color w:val="auto"/>
          <w:sz w:val="32"/>
          <w:szCs w:val="32"/>
        </w:rPr>
      </w:pPr>
      <w:r>
        <w:rPr>
          <w:rFonts w:hint="eastAsia" w:ascii="Times New Roman" w:hAnsi="Times New Roman" w:eastAsia="仿宋_GB2312"/>
          <w:b/>
          <w:bCs/>
          <w:color w:val="auto"/>
          <w:sz w:val="32"/>
          <w:szCs w:val="32"/>
        </w:rPr>
        <w:t>2.事业收入：</w:t>
      </w:r>
      <w:r>
        <w:rPr>
          <w:rFonts w:hint="eastAsia" w:ascii="Times New Roman" w:hAnsi="Times New Roman" w:eastAsia="仿宋_GB2312"/>
          <w:color w:val="auto"/>
          <w:sz w:val="32"/>
          <w:szCs w:val="32"/>
        </w:rPr>
        <w:t>指事业单位开展专业业务活动及辅助活动取得的收入。</w:t>
      </w:r>
    </w:p>
    <w:p w14:paraId="4A2DEBD2">
      <w:pPr>
        <w:keepLines w:val="0"/>
        <w:pageBreakBefore w:val="0"/>
        <w:kinsoku/>
        <w:wordWrap/>
        <w:overflowPunct/>
        <w:topLinePunct w:val="0"/>
        <w:bidi w:val="0"/>
        <w:spacing w:line="560" w:lineRule="exact"/>
        <w:ind w:firstLine="643" w:firstLineChars="200"/>
        <w:jc w:val="both"/>
        <w:textAlignment w:val="auto"/>
        <w:rPr>
          <w:rFonts w:hint="eastAsia" w:ascii="Times New Roman" w:hAnsi="Times New Roman" w:eastAsia="仿宋_GB2312"/>
          <w:color w:val="auto"/>
          <w:sz w:val="32"/>
          <w:szCs w:val="32"/>
        </w:rPr>
      </w:pPr>
      <w:r>
        <w:rPr>
          <w:rFonts w:hint="eastAsia" w:ascii="Times New Roman" w:hAnsi="Times New Roman" w:eastAsia="仿宋_GB2312"/>
          <w:b/>
          <w:bCs/>
          <w:color w:val="auto"/>
          <w:sz w:val="32"/>
          <w:szCs w:val="32"/>
        </w:rPr>
        <w:t>3.经营收入：</w:t>
      </w:r>
      <w:r>
        <w:rPr>
          <w:rFonts w:hint="eastAsia" w:ascii="Times New Roman" w:hAnsi="Times New Roman" w:eastAsia="仿宋_GB2312"/>
          <w:color w:val="auto"/>
          <w:sz w:val="32"/>
          <w:szCs w:val="32"/>
        </w:rPr>
        <w:t>指事业单位在专业业务活动及其辅助活动之外开展非独立核算经营活动取得的收入。</w:t>
      </w:r>
    </w:p>
    <w:p w14:paraId="475D0F87">
      <w:pPr>
        <w:keepLines w:val="0"/>
        <w:pageBreakBefore w:val="0"/>
        <w:kinsoku/>
        <w:wordWrap/>
        <w:overflowPunct/>
        <w:topLinePunct w:val="0"/>
        <w:bidi w:val="0"/>
        <w:spacing w:line="560" w:lineRule="exact"/>
        <w:ind w:firstLine="643" w:firstLineChars="200"/>
        <w:jc w:val="both"/>
        <w:textAlignment w:val="auto"/>
        <w:rPr>
          <w:rFonts w:hint="eastAsia" w:ascii="Times New Roman" w:hAnsi="Times New Roman" w:eastAsia="仿宋_GB2312"/>
          <w:color w:val="auto"/>
          <w:sz w:val="32"/>
          <w:szCs w:val="32"/>
        </w:rPr>
      </w:pPr>
      <w:r>
        <w:rPr>
          <w:rFonts w:hint="eastAsia" w:ascii="Times New Roman" w:hAnsi="Times New Roman" w:eastAsia="仿宋_GB2312"/>
          <w:b/>
          <w:bCs/>
          <w:color w:val="auto"/>
          <w:sz w:val="32"/>
          <w:szCs w:val="32"/>
        </w:rPr>
        <w:t>4.其他收入：</w:t>
      </w:r>
      <w:r>
        <w:rPr>
          <w:rFonts w:hint="eastAsia" w:ascii="Times New Roman" w:hAnsi="Times New Roman" w:eastAsia="仿宋_GB2312"/>
          <w:color w:val="auto"/>
          <w:sz w:val="32"/>
          <w:szCs w:val="32"/>
        </w:rPr>
        <w:t>指单位取得的除上述收入以外的各项收入。</w:t>
      </w:r>
    </w:p>
    <w:p w14:paraId="5FCB09B3">
      <w:pPr>
        <w:keepLines w:val="0"/>
        <w:pageBreakBefore w:val="0"/>
        <w:kinsoku/>
        <w:wordWrap/>
        <w:overflowPunct/>
        <w:topLinePunct w:val="0"/>
        <w:bidi w:val="0"/>
        <w:spacing w:line="560" w:lineRule="exact"/>
        <w:ind w:firstLine="643" w:firstLineChars="200"/>
        <w:jc w:val="both"/>
        <w:textAlignment w:val="auto"/>
        <w:rPr>
          <w:rFonts w:hint="eastAsia" w:ascii="Times New Roman" w:hAnsi="Times New Roman" w:eastAsia="仿宋_GB2312"/>
          <w:color w:val="auto"/>
          <w:sz w:val="32"/>
          <w:szCs w:val="32"/>
        </w:rPr>
      </w:pPr>
      <w:r>
        <w:rPr>
          <w:rFonts w:hint="eastAsia" w:ascii="Times New Roman" w:hAnsi="Times New Roman" w:eastAsia="仿宋_GB2312"/>
          <w:b/>
          <w:bCs/>
          <w:color w:val="auto"/>
          <w:sz w:val="32"/>
          <w:szCs w:val="32"/>
        </w:rPr>
        <w:t>5.年初结转和结余：</w:t>
      </w:r>
      <w:r>
        <w:rPr>
          <w:rFonts w:hint="eastAsia" w:ascii="Times New Roman" w:hAnsi="Times New Roman" w:eastAsia="仿宋_GB2312"/>
          <w:color w:val="auto"/>
          <w:sz w:val="32"/>
          <w:szCs w:val="32"/>
        </w:rPr>
        <w:t>指以前年度尚未完成、结转到本年按有关规定继续使用的资金。</w:t>
      </w:r>
    </w:p>
    <w:p w14:paraId="0AD89700">
      <w:pPr>
        <w:keepLines w:val="0"/>
        <w:pageBreakBefore w:val="0"/>
        <w:kinsoku/>
        <w:wordWrap/>
        <w:overflowPunct/>
        <w:topLinePunct w:val="0"/>
        <w:bidi w:val="0"/>
        <w:spacing w:line="560" w:lineRule="exact"/>
        <w:ind w:firstLine="643" w:firstLineChars="200"/>
        <w:jc w:val="both"/>
        <w:textAlignment w:val="auto"/>
        <w:rPr>
          <w:rFonts w:hint="eastAsia" w:ascii="Times New Roman" w:hAnsi="Times New Roman" w:eastAsia="仿宋_GB2312"/>
          <w:color w:val="auto"/>
          <w:sz w:val="32"/>
          <w:szCs w:val="32"/>
        </w:rPr>
      </w:pPr>
      <w:r>
        <w:rPr>
          <w:rFonts w:hint="eastAsia" w:ascii="Times New Roman" w:hAnsi="Times New Roman" w:eastAsia="仿宋_GB2312"/>
          <w:b/>
          <w:bCs/>
          <w:color w:val="auto"/>
          <w:sz w:val="32"/>
          <w:szCs w:val="32"/>
          <w:lang w:val="en-US" w:eastAsia="zh-CN"/>
        </w:rPr>
        <w:t>6</w:t>
      </w:r>
      <w:r>
        <w:rPr>
          <w:rFonts w:hint="eastAsia" w:eastAsia="仿宋_GB2312"/>
          <w:b/>
          <w:bCs/>
          <w:sz w:val="32"/>
          <w:szCs w:val="32"/>
          <w:lang w:val="en-US" w:eastAsia="zh-CN"/>
        </w:rPr>
        <w:t>.</w:t>
      </w:r>
      <w:r>
        <w:rPr>
          <w:rFonts w:hint="eastAsia" w:ascii="Times New Roman" w:hAnsi="Times New Roman" w:eastAsia="仿宋_GB2312"/>
          <w:b/>
          <w:bCs/>
          <w:color w:val="auto"/>
          <w:sz w:val="32"/>
          <w:szCs w:val="32"/>
        </w:rPr>
        <w:t>年末结转和结余：</w:t>
      </w:r>
      <w:r>
        <w:rPr>
          <w:rFonts w:hint="eastAsia" w:ascii="Times New Roman" w:hAnsi="Times New Roman" w:eastAsia="仿宋_GB2312"/>
          <w:color w:val="auto"/>
          <w:sz w:val="32"/>
          <w:szCs w:val="32"/>
        </w:rPr>
        <w:t>指单位按有关规定结转到下年或以后年度继续使用的资金。</w:t>
      </w:r>
    </w:p>
    <w:p w14:paraId="5707FFA4">
      <w:pPr>
        <w:keepLines w:val="0"/>
        <w:pageBreakBefore w:val="0"/>
        <w:kinsoku/>
        <w:wordWrap/>
        <w:overflowPunct/>
        <w:topLinePunct w:val="0"/>
        <w:bidi w:val="0"/>
        <w:spacing w:line="560" w:lineRule="exact"/>
        <w:ind w:firstLine="643" w:firstLineChars="200"/>
        <w:jc w:val="both"/>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b/>
          <w:bCs/>
          <w:color w:val="auto"/>
          <w:sz w:val="32"/>
          <w:szCs w:val="32"/>
          <w:lang w:val="en-US" w:eastAsia="zh-CN"/>
        </w:rPr>
        <w:t>7.一般公共服务支出（类）人大事务（款）人大监督（项）</w:t>
      </w:r>
      <w:r>
        <w:rPr>
          <w:rFonts w:hint="eastAsia" w:eastAsia="仿宋_GB2312"/>
          <w:b/>
          <w:bCs/>
          <w:sz w:val="32"/>
          <w:szCs w:val="32"/>
          <w:lang w:val="en-US" w:eastAsia="zh-CN"/>
        </w:rPr>
        <w:t>：</w:t>
      </w:r>
      <w:r>
        <w:rPr>
          <w:rFonts w:hint="eastAsia" w:ascii="Times New Roman" w:hAnsi="Times New Roman" w:eastAsia="仿宋_GB2312"/>
          <w:color w:val="auto"/>
          <w:sz w:val="32"/>
          <w:szCs w:val="32"/>
          <w:lang w:val="en-US" w:eastAsia="zh-CN"/>
        </w:rPr>
        <w:t>指乡人大代表监督、视察等经费。</w:t>
      </w:r>
    </w:p>
    <w:p w14:paraId="25ADC4B0">
      <w:pPr>
        <w:keepLines w:val="0"/>
        <w:pageBreakBefore w:val="0"/>
        <w:kinsoku/>
        <w:wordWrap/>
        <w:overflowPunct/>
        <w:topLinePunct w:val="0"/>
        <w:bidi w:val="0"/>
        <w:spacing w:line="560" w:lineRule="exact"/>
        <w:ind w:firstLine="643" w:firstLineChars="200"/>
        <w:jc w:val="both"/>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b/>
          <w:bCs/>
          <w:color w:val="auto"/>
          <w:sz w:val="32"/>
          <w:szCs w:val="32"/>
          <w:lang w:val="en-US" w:eastAsia="zh-CN"/>
        </w:rPr>
        <w:t>8.一般公共服务支出（类）人大事务（款）代表工作（项）</w:t>
      </w:r>
      <w:r>
        <w:rPr>
          <w:rFonts w:hint="eastAsia" w:eastAsia="仿宋_GB2312"/>
          <w:b/>
          <w:bCs/>
          <w:sz w:val="32"/>
          <w:szCs w:val="32"/>
          <w:lang w:val="en-US" w:eastAsia="zh-CN"/>
        </w:rPr>
        <w:t>：</w:t>
      </w:r>
      <w:r>
        <w:rPr>
          <w:rFonts w:hint="eastAsia" w:ascii="Times New Roman" w:hAnsi="Times New Roman" w:eastAsia="仿宋_GB2312"/>
          <w:color w:val="auto"/>
          <w:sz w:val="32"/>
          <w:szCs w:val="32"/>
          <w:lang w:val="en-US" w:eastAsia="zh-CN"/>
        </w:rPr>
        <w:t>指乡镇人大代表差旅费、误工费及会议费等。</w:t>
      </w:r>
    </w:p>
    <w:p w14:paraId="3C00482E">
      <w:pPr>
        <w:keepLines w:val="0"/>
        <w:pageBreakBefore w:val="0"/>
        <w:kinsoku/>
        <w:wordWrap/>
        <w:overflowPunct/>
        <w:topLinePunct w:val="0"/>
        <w:bidi w:val="0"/>
        <w:spacing w:line="560" w:lineRule="exact"/>
        <w:ind w:firstLine="643" w:firstLineChars="200"/>
        <w:jc w:val="both"/>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b/>
          <w:bCs/>
          <w:color w:val="auto"/>
          <w:sz w:val="32"/>
          <w:szCs w:val="32"/>
          <w:lang w:val="en-US" w:eastAsia="zh-CN"/>
        </w:rPr>
        <w:t>9.一般公共服务支出（类）政府办公厅（室）及相关机构事务（款）行政运行（项）</w:t>
      </w:r>
      <w:r>
        <w:rPr>
          <w:rFonts w:hint="eastAsia" w:eastAsia="仿宋_GB2312"/>
          <w:b/>
          <w:bCs/>
          <w:sz w:val="32"/>
          <w:szCs w:val="32"/>
          <w:lang w:val="en-US" w:eastAsia="zh-CN"/>
        </w:rPr>
        <w:t>：</w:t>
      </w:r>
      <w:r>
        <w:rPr>
          <w:rFonts w:hint="eastAsia" w:ascii="Times New Roman" w:hAnsi="Times New Roman" w:eastAsia="仿宋_GB2312"/>
          <w:color w:val="auto"/>
          <w:sz w:val="32"/>
          <w:szCs w:val="32"/>
          <w:lang w:val="en-US" w:eastAsia="zh-CN"/>
        </w:rPr>
        <w:t>指人员基本工资、津贴补贴、绩效目标、福利费、办公费、手续费、差旅费、电费、邮电费等。</w:t>
      </w:r>
    </w:p>
    <w:p w14:paraId="1A7D79F1">
      <w:pPr>
        <w:keepLines w:val="0"/>
        <w:pageBreakBefore w:val="0"/>
        <w:kinsoku/>
        <w:wordWrap/>
        <w:overflowPunct/>
        <w:topLinePunct w:val="0"/>
        <w:bidi w:val="0"/>
        <w:spacing w:line="560" w:lineRule="exact"/>
        <w:ind w:firstLine="643" w:firstLineChars="200"/>
        <w:jc w:val="both"/>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b/>
          <w:bCs/>
          <w:color w:val="auto"/>
          <w:sz w:val="32"/>
          <w:szCs w:val="32"/>
          <w:lang w:val="en-US" w:eastAsia="zh-CN"/>
        </w:rPr>
        <w:t>10.一般公共服务（类）政府办公厅（室）及相关机构事务（款）事业运行（项）</w:t>
      </w:r>
      <w:r>
        <w:rPr>
          <w:rFonts w:hint="eastAsia" w:eastAsia="仿宋_GB2312"/>
          <w:b/>
          <w:bCs/>
          <w:sz w:val="32"/>
          <w:szCs w:val="32"/>
          <w:lang w:val="en-US" w:eastAsia="zh-CN"/>
        </w:rPr>
        <w:t>：</w:t>
      </w:r>
      <w:r>
        <w:rPr>
          <w:rFonts w:hint="eastAsia" w:ascii="Times New Roman" w:hAnsi="Times New Roman" w:eastAsia="仿宋_GB2312"/>
          <w:color w:val="auto"/>
          <w:sz w:val="32"/>
          <w:szCs w:val="32"/>
          <w:lang w:val="en-US" w:eastAsia="zh-CN"/>
        </w:rPr>
        <w:t>指事业干部绩效发放。</w:t>
      </w:r>
    </w:p>
    <w:p w14:paraId="676A95DE">
      <w:pPr>
        <w:keepLines w:val="0"/>
        <w:pageBreakBefore w:val="0"/>
        <w:kinsoku/>
        <w:wordWrap/>
        <w:overflowPunct/>
        <w:topLinePunct w:val="0"/>
        <w:bidi w:val="0"/>
        <w:spacing w:line="560" w:lineRule="exact"/>
        <w:ind w:firstLine="643" w:firstLineChars="200"/>
        <w:jc w:val="both"/>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b/>
          <w:bCs/>
          <w:color w:val="auto"/>
          <w:sz w:val="32"/>
          <w:szCs w:val="32"/>
          <w:lang w:val="en-US" w:eastAsia="zh-CN"/>
        </w:rPr>
        <w:t>11.一般公共服务支出（类）政府办公厅（室）及相关机构事务（款）其他政府办公厅（室）及相关机构事务支出（项）</w:t>
      </w:r>
      <w:r>
        <w:rPr>
          <w:rFonts w:hint="eastAsia" w:eastAsia="仿宋_GB2312"/>
          <w:b/>
          <w:bCs/>
          <w:sz w:val="32"/>
          <w:szCs w:val="32"/>
          <w:lang w:val="en-US" w:eastAsia="zh-CN"/>
        </w:rPr>
        <w:t>：</w:t>
      </w:r>
      <w:r>
        <w:rPr>
          <w:rFonts w:hint="eastAsia" w:ascii="Times New Roman" w:hAnsi="Times New Roman" w:eastAsia="仿宋_GB2312"/>
          <w:color w:val="auto"/>
          <w:sz w:val="32"/>
          <w:szCs w:val="32"/>
          <w:lang w:val="en-US" w:eastAsia="zh-CN"/>
        </w:rPr>
        <w:t>指差旅费、伙食补助费、维修维护费等。</w:t>
      </w:r>
    </w:p>
    <w:p w14:paraId="4E532EE9">
      <w:pPr>
        <w:keepLines w:val="0"/>
        <w:pageBreakBefore w:val="0"/>
        <w:kinsoku/>
        <w:wordWrap/>
        <w:overflowPunct/>
        <w:topLinePunct w:val="0"/>
        <w:bidi w:val="0"/>
        <w:spacing w:line="560" w:lineRule="exact"/>
        <w:ind w:firstLine="643" w:firstLineChars="200"/>
        <w:jc w:val="both"/>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b/>
          <w:bCs/>
          <w:color w:val="auto"/>
          <w:sz w:val="32"/>
          <w:szCs w:val="32"/>
          <w:lang w:val="en-US" w:eastAsia="zh-CN"/>
        </w:rPr>
        <w:t>12.一般公共服务（类）统计信息事务（款）其他统计信息事务支出（项）</w:t>
      </w:r>
      <w:r>
        <w:rPr>
          <w:rFonts w:hint="eastAsia" w:eastAsia="仿宋_GB2312"/>
          <w:b/>
          <w:bCs/>
          <w:sz w:val="32"/>
          <w:szCs w:val="32"/>
          <w:lang w:val="en-US" w:eastAsia="zh-CN"/>
        </w:rPr>
        <w:t>：</w:t>
      </w:r>
      <w:r>
        <w:rPr>
          <w:rFonts w:hint="eastAsia" w:ascii="Times New Roman" w:hAnsi="Times New Roman" w:eastAsia="仿宋_GB2312"/>
          <w:color w:val="auto"/>
          <w:sz w:val="32"/>
          <w:szCs w:val="32"/>
          <w:lang w:val="en-US" w:eastAsia="zh-CN"/>
        </w:rPr>
        <w:t>指统计工作印刷费、差旅费、务工费等。</w:t>
      </w:r>
    </w:p>
    <w:p w14:paraId="090B8D1B">
      <w:pPr>
        <w:keepLines w:val="0"/>
        <w:pageBreakBefore w:val="0"/>
        <w:kinsoku/>
        <w:wordWrap/>
        <w:overflowPunct/>
        <w:topLinePunct w:val="0"/>
        <w:bidi w:val="0"/>
        <w:spacing w:line="560" w:lineRule="exact"/>
        <w:ind w:firstLine="643" w:firstLineChars="200"/>
        <w:jc w:val="both"/>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b/>
          <w:bCs/>
          <w:color w:val="auto"/>
          <w:sz w:val="32"/>
          <w:szCs w:val="32"/>
          <w:lang w:val="en-US" w:eastAsia="zh-CN"/>
        </w:rPr>
        <w:t>13.一般公共服务（类）信访事务（款）其他信访事务支出（项）</w:t>
      </w:r>
      <w:r>
        <w:rPr>
          <w:rFonts w:hint="eastAsia" w:eastAsia="仿宋_GB2312"/>
          <w:b/>
          <w:bCs/>
          <w:sz w:val="32"/>
          <w:szCs w:val="32"/>
          <w:lang w:val="en-US" w:eastAsia="zh-CN"/>
        </w:rPr>
        <w:t>：</w:t>
      </w:r>
      <w:r>
        <w:rPr>
          <w:rFonts w:hint="eastAsia" w:ascii="Times New Roman" w:hAnsi="Times New Roman" w:eastAsia="仿宋_GB2312"/>
          <w:color w:val="auto"/>
          <w:sz w:val="32"/>
          <w:szCs w:val="32"/>
          <w:lang w:val="en-US" w:eastAsia="zh-CN"/>
        </w:rPr>
        <w:t>指信访工作印刷费、差旅费、务工费。</w:t>
      </w:r>
    </w:p>
    <w:p w14:paraId="49C1A478">
      <w:pPr>
        <w:keepLines w:val="0"/>
        <w:pageBreakBefore w:val="0"/>
        <w:kinsoku/>
        <w:wordWrap/>
        <w:overflowPunct/>
        <w:topLinePunct w:val="0"/>
        <w:bidi w:val="0"/>
        <w:spacing w:line="560" w:lineRule="exact"/>
        <w:ind w:firstLine="643" w:firstLineChars="200"/>
        <w:jc w:val="both"/>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b/>
          <w:bCs/>
          <w:color w:val="auto"/>
          <w:sz w:val="32"/>
          <w:szCs w:val="32"/>
          <w:lang w:val="en-US" w:eastAsia="zh-CN"/>
        </w:rPr>
        <w:t>14.文化旅游体育与传媒支出（类）文化和旅游（款）其他文化支出（项）</w:t>
      </w:r>
      <w:r>
        <w:rPr>
          <w:rFonts w:hint="eastAsia" w:eastAsia="仿宋_GB2312"/>
          <w:b/>
          <w:bCs/>
          <w:sz w:val="32"/>
          <w:szCs w:val="32"/>
          <w:lang w:val="en-US" w:eastAsia="zh-CN"/>
        </w:rPr>
        <w:t>：</w:t>
      </w:r>
      <w:r>
        <w:rPr>
          <w:rFonts w:hint="eastAsia" w:ascii="Times New Roman" w:hAnsi="Times New Roman" w:eastAsia="仿宋_GB2312"/>
          <w:color w:val="auto"/>
          <w:sz w:val="32"/>
          <w:szCs w:val="32"/>
          <w:lang w:val="en-US" w:eastAsia="zh-CN"/>
        </w:rPr>
        <w:t>指人员基本工资、津贴补贴、绩效目标、福利费、办公费、手续费、差旅费等。</w:t>
      </w:r>
    </w:p>
    <w:p w14:paraId="5E29E235">
      <w:pPr>
        <w:keepLines w:val="0"/>
        <w:pageBreakBefore w:val="0"/>
        <w:kinsoku/>
        <w:wordWrap/>
        <w:overflowPunct/>
        <w:topLinePunct w:val="0"/>
        <w:bidi w:val="0"/>
        <w:spacing w:line="560" w:lineRule="exact"/>
        <w:ind w:firstLine="643" w:firstLineChars="200"/>
        <w:jc w:val="both"/>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b/>
          <w:bCs/>
          <w:color w:val="auto"/>
          <w:sz w:val="32"/>
          <w:szCs w:val="32"/>
          <w:lang w:val="en-US" w:eastAsia="zh-CN"/>
        </w:rPr>
        <w:t>15.社会保障和就业支出（类）行政事业单位养老支出（款）行政单位离退休（项）</w:t>
      </w:r>
      <w:r>
        <w:rPr>
          <w:rFonts w:hint="eastAsia" w:eastAsia="仿宋_GB2312"/>
          <w:b/>
          <w:bCs/>
          <w:sz w:val="32"/>
          <w:szCs w:val="32"/>
          <w:lang w:val="en-US" w:eastAsia="zh-CN"/>
        </w:rPr>
        <w:t>：</w:t>
      </w:r>
      <w:r>
        <w:rPr>
          <w:rFonts w:hint="eastAsia" w:ascii="Times New Roman" w:hAnsi="Times New Roman" w:eastAsia="仿宋_GB2312"/>
          <w:color w:val="auto"/>
          <w:sz w:val="32"/>
          <w:szCs w:val="32"/>
          <w:lang w:val="en-US" w:eastAsia="zh-CN"/>
        </w:rPr>
        <w:t>指退休干部生活补助。</w:t>
      </w:r>
    </w:p>
    <w:p w14:paraId="1951FA3E">
      <w:pPr>
        <w:keepLines w:val="0"/>
        <w:pageBreakBefore w:val="0"/>
        <w:kinsoku/>
        <w:wordWrap/>
        <w:overflowPunct/>
        <w:topLinePunct w:val="0"/>
        <w:bidi w:val="0"/>
        <w:spacing w:line="560" w:lineRule="exact"/>
        <w:ind w:firstLine="643" w:firstLineChars="200"/>
        <w:jc w:val="both"/>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b/>
          <w:bCs/>
          <w:color w:val="auto"/>
          <w:sz w:val="32"/>
          <w:szCs w:val="32"/>
          <w:lang w:val="en-US" w:eastAsia="zh-CN"/>
        </w:rPr>
        <w:t>16.社会保障和就业支出（类）行政事业单位离退休（款）机关事业单位基本养老保险缴费支出（项）</w:t>
      </w:r>
      <w:r>
        <w:rPr>
          <w:rFonts w:hint="eastAsia" w:eastAsia="仿宋_GB2312"/>
          <w:b/>
          <w:bCs/>
          <w:sz w:val="32"/>
          <w:szCs w:val="32"/>
          <w:lang w:val="en-US" w:eastAsia="zh-CN"/>
        </w:rPr>
        <w:t>：</w:t>
      </w:r>
      <w:r>
        <w:rPr>
          <w:rFonts w:hint="eastAsia" w:ascii="Times New Roman" w:hAnsi="Times New Roman" w:eastAsia="仿宋_GB2312"/>
          <w:color w:val="auto"/>
          <w:sz w:val="32"/>
          <w:szCs w:val="32"/>
          <w:lang w:val="en-US" w:eastAsia="zh-CN"/>
        </w:rPr>
        <w:t>指机关事业单位基本养老保险缴费。</w:t>
      </w:r>
    </w:p>
    <w:p w14:paraId="00AAEFCD">
      <w:pPr>
        <w:keepLines w:val="0"/>
        <w:pageBreakBefore w:val="0"/>
        <w:kinsoku/>
        <w:wordWrap/>
        <w:overflowPunct/>
        <w:topLinePunct w:val="0"/>
        <w:bidi w:val="0"/>
        <w:spacing w:line="560" w:lineRule="exact"/>
        <w:ind w:firstLine="643" w:firstLineChars="200"/>
        <w:jc w:val="both"/>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b/>
          <w:bCs/>
          <w:color w:val="auto"/>
          <w:sz w:val="32"/>
          <w:szCs w:val="32"/>
          <w:lang w:val="en-US" w:eastAsia="zh-CN"/>
        </w:rPr>
        <w:t>17.社会保障和就业支出（类）其他社会保障和就业支出（款）其他社会保障和就业支出（项）</w:t>
      </w:r>
      <w:r>
        <w:rPr>
          <w:rFonts w:hint="eastAsia" w:eastAsia="仿宋_GB2312"/>
          <w:b/>
          <w:bCs/>
          <w:sz w:val="32"/>
          <w:szCs w:val="32"/>
          <w:lang w:val="en-US" w:eastAsia="zh-CN"/>
        </w:rPr>
        <w:t>：</w:t>
      </w:r>
      <w:r>
        <w:rPr>
          <w:rFonts w:hint="eastAsia" w:ascii="Times New Roman" w:hAnsi="Times New Roman" w:eastAsia="仿宋_GB2312"/>
          <w:color w:val="auto"/>
          <w:sz w:val="32"/>
          <w:szCs w:val="32"/>
          <w:lang w:val="en-US" w:eastAsia="zh-CN"/>
        </w:rPr>
        <w:t>指人员工伤保险和失业保险支出。</w:t>
      </w:r>
    </w:p>
    <w:p w14:paraId="3B6F0B56">
      <w:pPr>
        <w:keepLines w:val="0"/>
        <w:pageBreakBefore w:val="0"/>
        <w:kinsoku/>
        <w:wordWrap/>
        <w:overflowPunct/>
        <w:topLinePunct w:val="0"/>
        <w:bidi w:val="0"/>
        <w:spacing w:line="560" w:lineRule="exact"/>
        <w:ind w:firstLine="643" w:firstLineChars="200"/>
        <w:jc w:val="both"/>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b/>
          <w:bCs/>
          <w:color w:val="auto"/>
          <w:sz w:val="32"/>
          <w:szCs w:val="32"/>
          <w:lang w:val="en-US" w:eastAsia="zh-CN"/>
        </w:rPr>
        <w:t>18.卫生健康支出（类）卫生健康管理事务（款）行政运行（项）</w:t>
      </w:r>
      <w:r>
        <w:rPr>
          <w:rFonts w:hint="eastAsia" w:eastAsia="仿宋_GB2312"/>
          <w:b/>
          <w:bCs/>
          <w:sz w:val="32"/>
          <w:szCs w:val="32"/>
          <w:lang w:val="en-US" w:eastAsia="zh-CN"/>
        </w:rPr>
        <w:t>：</w:t>
      </w:r>
      <w:r>
        <w:rPr>
          <w:rFonts w:hint="eastAsia" w:ascii="Times New Roman" w:hAnsi="Times New Roman" w:eastAsia="仿宋_GB2312"/>
          <w:color w:val="auto"/>
          <w:sz w:val="32"/>
          <w:szCs w:val="32"/>
          <w:lang w:val="en-US" w:eastAsia="zh-CN"/>
        </w:rPr>
        <w:t>指人员基本工资、津贴补贴、绩效目标。</w:t>
      </w:r>
    </w:p>
    <w:p w14:paraId="17DC01AE">
      <w:pPr>
        <w:keepLines w:val="0"/>
        <w:pageBreakBefore w:val="0"/>
        <w:kinsoku/>
        <w:wordWrap/>
        <w:overflowPunct/>
        <w:topLinePunct w:val="0"/>
        <w:bidi w:val="0"/>
        <w:spacing w:line="560" w:lineRule="exact"/>
        <w:ind w:firstLine="643" w:firstLineChars="200"/>
        <w:jc w:val="both"/>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b/>
          <w:bCs/>
          <w:color w:val="auto"/>
          <w:sz w:val="32"/>
          <w:szCs w:val="32"/>
          <w:lang w:val="en-US" w:eastAsia="zh-CN"/>
        </w:rPr>
        <w:t>19.卫生健康支出（类）行政事业单位医疗（款）行政单位医疗（项）</w:t>
      </w:r>
      <w:r>
        <w:rPr>
          <w:rFonts w:hint="eastAsia" w:eastAsia="仿宋_GB2312"/>
          <w:b/>
          <w:bCs/>
          <w:sz w:val="32"/>
          <w:szCs w:val="32"/>
          <w:lang w:val="en-US" w:eastAsia="zh-CN"/>
        </w:rPr>
        <w:t>：</w:t>
      </w:r>
      <w:r>
        <w:rPr>
          <w:rFonts w:hint="eastAsia" w:ascii="Times New Roman" w:hAnsi="Times New Roman" w:eastAsia="仿宋_GB2312"/>
          <w:color w:val="auto"/>
          <w:sz w:val="32"/>
          <w:szCs w:val="32"/>
          <w:lang w:val="en-US" w:eastAsia="zh-CN"/>
        </w:rPr>
        <w:t>指基本医疗保险缴费、其他社会保障缴费。</w:t>
      </w:r>
    </w:p>
    <w:p w14:paraId="75FA791D">
      <w:pPr>
        <w:keepLines w:val="0"/>
        <w:pageBreakBefore w:val="0"/>
        <w:kinsoku/>
        <w:wordWrap/>
        <w:overflowPunct/>
        <w:topLinePunct w:val="0"/>
        <w:bidi w:val="0"/>
        <w:spacing w:line="560" w:lineRule="exact"/>
        <w:ind w:firstLine="643" w:firstLineChars="200"/>
        <w:jc w:val="both"/>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b/>
          <w:bCs/>
          <w:color w:val="auto"/>
          <w:sz w:val="32"/>
          <w:szCs w:val="32"/>
          <w:lang w:val="en-US" w:eastAsia="zh-CN"/>
        </w:rPr>
        <w:t>20.卫生健康支出（类）行政事业单位医疗（款）事业单位医疗（项）</w:t>
      </w:r>
      <w:r>
        <w:rPr>
          <w:rFonts w:hint="eastAsia" w:eastAsia="仿宋_GB2312"/>
          <w:b/>
          <w:bCs/>
          <w:sz w:val="32"/>
          <w:szCs w:val="32"/>
          <w:lang w:val="en-US" w:eastAsia="zh-CN"/>
        </w:rPr>
        <w:t>：</w:t>
      </w:r>
      <w:r>
        <w:rPr>
          <w:rFonts w:hint="eastAsia" w:ascii="Times New Roman" w:hAnsi="Times New Roman" w:eastAsia="仿宋_GB2312"/>
          <w:color w:val="auto"/>
          <w:sz w:val="32"/>
          <w:szCs w:val="32"/>
          <w:lang w:val="en-US" w:eastAsia="zh-CN"/>
        </w:rPr>
        <w:t>指基本医疗保险缴费、其他社会保障缴费。</w:t>
      </w:r>
    </w:p>
    <w:p w14:paraId="667638FF">
      <w:pPr>
        <w:keepLines w:val="0"/>
        <w:pageBreakBefore w:val="0"/>
        <w:kinsoku/>
        <w:wordWrap/>
        <w:overflowPunct/>
        <w:topLinePunct w:val="0"/>
        <w:bidi w:val="0"/>
        <w:spacing w:line="560" w:lineRule="exact"/>
        <w:ind w:firstLine="643" w:firstLineChars="200"/>
        <w:jc w:val="both"/>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b/>
          <w:bCs/>
          <w:color w:val="auto"/>
          <w:sz w:val="32"/>
          <w:szCs w:val="32"/>
          <w:lang w:val="en-US" w:eastAsia="zh-CN"/>
        </w:rPr>
        <w:t>21.卫生健康支出（类）行政事业单位医疗（款）公务员医疗补助（项）</w:t>
      </w:r>
      <w:r>
        <w:rPr>
          <w:rFonts w:hint="eastAsia" w:eastAsia="仿宋_GB2312"/>
          <w:b/>
          <w:bCs/>
          <w:sz w:val="32"/>
          <w:szCs w:val="32"/>
          <w:lang w:val="en-US" w:eastAsia="zh-CN"/>
        </w:rPr>
        <w:t>：</w:t>
      </w:r>
      <w:r>
        <w:rPr>
          <w:rFonts w:hint="eastAsia" w:ascii="Times New Roman" w:hAnsi="Times New Roman" w:eastAsia="仿宋_GB2312"/>
          <w:color w:val="auto"/>
          <w:sz w:val="32"/>
          <w:szCs w:val="32"/>
          <w:lang w:val="en-US" w:eastAsia="zh-CN"/>
        </w:rPr>
        <w:t>指公务员医疗补助缴费。</w:t>
      </w:r>
    </w:p>
    <w:p w14:paraId="08DF0307">
      <w:pPr>
        <w:keepLines w:val="0"/>
        <w:pageBreakBefore w:val="0"/>
        <w:kinsoku/>
        <w:wordWrap/>
        <w:overflowPunct/>
        <w:topLinePunct w:val="0"/>
        <w:bidi w:val="0"/>
        <w:spacing w:line="560" w:lineRule="exact"/>
        <w:ind w:firstLine="643" w:firstLineChars="200"/>
        <w:jc w:val="both"/>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b/>
          <w:bCs/>
          <w:color w:val="auto"/>
          <w:sz w:val="32"/>
          <w:szCs w:val="32"/>
          <w:lang w:val="en-US" w:eastAsia="zh-CN"/>
        </w:rPr>
        <w:t>22.节能环保支出（类）污染防治（款）水体（项）</w:t>
      </w:r>
      <w:r>
        <w:rPr>
          <w:rFonts w:hint="eastAsia" w:eastAsia="仿宋_GB2312"/>
          <w:b/>
          <w:bCs/>
          <w:sz w:val="32"/>
          <w:szCs w:val="32"/>
          <w:lang w:val="en-US" w:eastAsia="zh-CN"/>
        </w:rPr>
        <w:t>：</w:t>
      </w:r>
      <w:r>
        <w:rPr>
          <w:rFonts w:hint="eastAsia" w:ascii="Times New Roman" w:hAnsi="Times New Roman" w:eastAsia="仿宋_GB2312"/>
          <w:color w:val="auto"/>
          <w:sz w:val="32"/>
          <w:szCs w:val="32"/>
          <w:lang w:val="en-US" w:eastAsia="zh-CN"/>
        </w:rPr>
        <w:t>指农村环境保护中的劳务费、其他交通费等。</w:t>
      </w:r>
    </w:p>
    <w:p w14:paraId="06F4D162">
      <w:pPr>
        <w:keepLines w:val="0"/>
        <w:pageBreakBefore w:val="0"/>
        <w:kinsoku/>
        <w:wordWrap/>
        <w:overflowPunct/>
        <w:topLinePunct w:val="0"/>
        <w:bidi w:val="0"/>
        <w:spacing w:line="560" w:lineRule="exact"/>
        <w:ind w:firstLine="643" w:firstLineChars="200"/>
        <w:jc w:val="both"/>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b/>
          <w:bCs/>
          <w:color w:val="auto"/>
          <w:sz w:val="32"/>
          <w:szCs w:val="32"/>
          <w:lang w:val="en-US" w:eastAsia="zh-CN"/>
        </w:rPr>
        <w:t>23.城乡社区支出（类）城乡社区公共设施（款）其他城乡社区公共设施支出（项）</w:t>
      </w:r>
      <w:r>
        <w:rPr>
          <w:rFonts w:hint="eastAsia" w:eastAsia="仿宋_GB2312"/>
          <w:b/>
          <w:bCs/>
          <w:sz w:val="32"/>
          <w:szCs w:val="32"/>
          <w:lang w:val="en-US" w:eastAsia="zh-CN"/>
        </w:rPr>
        <w:t>：</w:t>
      </w:r>
      <w:r>
        <w:rPr>
          <w:rFonts w:hint="eastAsia" w:ascii="Times New Roman" w:hAnsi="Times New Roman" w:eastAsia="仿宋_GB2312"/>
          <w:color w:val="auto"/>
          <w:sz w:val="32"/>
          <w:szCs w:val="32"/>
          <w:lang w:val="en-US" w:eastAsia="zh-CN"/>
        </w:rPr>
        <w:t>指基础设施及街道维护费等。</w:t>
      </w:r>
    </w:p>
    <w:p w14:paraId="43D3E5CA">
      <w:pPr>
        <w:keepLines w:val="0"/>
        <w:pageBreakBefore w:val="0"/>
        <w:kinsoku/>
        <w:wordWrap/>
        <w:overflowPunct/>
        <w:topLinePunct w:val="0"/>
        <w:bidi w:val="0"/>
        <w:spacing w:line="560" w:lineRule="exact"/>
        <w:ind w:firstLine="643" w:firstLineChars="200"/>
        <w:jc w:val="both"/>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b/>
          <w:bCs/>
          <w:color w:val="auto"/>
          <w:sz w:val="32"/>
          <w:szCs w:val="32"/>
          <w:lang w:val="en-US" w:eastAsia="zh-CN"/>
        </w:rPr>
        <w:t>24.农林水支出（类）农业农村（款）事业运行（项）</w:t>
      </w:r>
      <w:r>
        <w:rPr>
          <w:rFonts w:hint="eastAsia" w:eastAsia="仿宋_GB2312"/>
          <w:b/>
          <w:bCs/>
          <w:sz w:val="32"/>
          <w:szCs w:val="32"/>
          <w:lang w:val="en-US" w:eastAsia="zh-CN"/>
        </w:rPr>
        <w:t>：</w:t>
      </w:r>
      <w:r>
        <w:rPr>
          <w:rFonts w:hint="eastAsia" w:ascii="Times New Roman" w:hAnsi="Times New Roman" w:eastAsia="仿宋_GB2312"/>
          <w:color w:val="auto"/>
          <w:sz w:val="32"/>
          <w:szCs w:val="32"/>
          <w:lang w:val="en-US" w:eastAsia="zh-CN"/>
        </w:rPr>
        <w:t>指人员基本工资、津贴补贴、绩效目标、办公费、差旅费、福利费等。</w:t>
      </w:r>
    </w:p>
    <w:p w14:paraId="708B8ED0">
      <w:pPr>
        <w:keepLines w:val="0"/>
        <w:pageBreakBefore w:val="0"/>
        <w:kinsoku/>
        <w:wordWrap/>
        <w:overflowPunct/>
        <w:topLinePunct w:val="0"/>
        <w:bidi w:val="0"/>
        <w:spacing w:line="560" w:lineRule="exact"/>
        <w:ind w:firstLine="643" w:firstLineChars="200"/>
        <w:jc w:val="both"/>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b/>
          <w:bCs/>
          <w:color w:val="auto"/>
          <w:sz w:val="32"/>
          <w:szCs w:val="32"/>
          <w:lang w:val="en-US" w:eastAsia="zh-CN"/>
        </w:rPr>
        <w:t>25.农林水支出（类）水利（款）水利行业业务管理（项）</w:t>
      </w:r>
      <w:r>
        <w:rPr>
          <w:rFonts w:hint="eastAsia" w:eastAsia="仿宋_GB2312"/>
          <w:b/>
          <w:bCs/>
          <w:sz w:val="32"/>
          <w:szCs w:val="32"/>
          <w:lang w:val="en-US" w:eastAsia="zh-CN"/>
        </w:rPr>
        <w:t>：</w:t>
      </w:r>
      <w:r>
        <w:rPr>
          <w:rFonts w:hint="eastAsia" w:ascii="Times New Roman" w:hAnsi="Times New Roman" w:eastAsia="仿宋_GB2312"/>
          <w:color w:val="auto"/>
          <w:sz w:val="32"/>
          <w:szCs w:val="32"/>
          <w:lang w:val="en-US" w:eastAsia="zh-CN"/>
        </w:rPr>
        <w:t>指堤防整治项目工作经费。</w:t>
      </w:r>
    </w:p>
    <w:p w14:paraId="007D8286">
      <w:pPr>
        <w:keepLines w:val="0"/>
        <w:pageBreakBefore w:val="0"/>
        <w:kinsoku/>
        <w:wordWrap/>
        <w:overflowPunct/>
        <w:topLinePunct w:val="0"/>
        <w:bidi w:val="0"/>
        <w:spacing w:line="560" w:lineRule="exact"/>
        <w:ind w:firstLine="643" w:firstLineChars="200"/>
        <w:jc w:val="both"/>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b/>
          <w:bCs/>
          <w:color w:val="auto"/>
          <w:sz w:val="32"/>
          <w:szCs w:val="32"/>
          <w:lang w:val="en-US" w:eastAsia="zh-CN"/>
        </w:rPr>
        <w:t>26.农林水支出（类）农村综合改革（款）对村民委员会和村党支部的补助（项）</w:t>
      </w:r>
      <w:r>
        <w:rPr>
          <w:rFonts w:hint="eastAsia" w:eastAsia="仿宋_GB2312"/>
          <w:b/>
          <w:bCs/>
          <w:sz w:val="32"/>
          <w:szCs w:val="32"/>
          <w:lang w:val="en-US" w:eastAsia="zh-CN"/>
        </w:rPr>
        <w:t>：</w:t>
      </w:r>
      <w:r>
        <w:rPr>
          <w:rFonts w:hint="eastAsia" w:ascii="Times New Roman" w:hAnsi="Times New Roman" w:eastAsia="仿宋_GB2312"/>
          <w:color w:val="auto"/>
          <w:sz w:val="32"/>
          <w:szCs w:val="32"/>
          <w:lang w:val="en-US" w:eastAsia="zh-CN"/>
        </w:rPr>
        <w:t>指村干部工资、基层组织活动和公共服务运行经费。</w:t>
      </w:r>
    </w:p>
    <w:p w14:paraId="350B3420">
      <w:pPr>
        <w:keepLines w:val="0"/>
        <w:pageBreakBefore w:val="0"/>
        <w:kinsoku/>
        <w:wordWrap/>
        <w:overflowPunct/>
        <w:topLinePunct w:val="0"/>
        <w:bidi w:val="0"/>
        <w:spacing w:line="560" w:lineRule="exact"/>
        <w:ind w:firstLine="643" w:firstLineChars="200"/>
        <w:jc w:val="both"/>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b/>
          <w:bCs/>
          <w:color w:val="auto"/>
          <w:sz w:val="32"/>
          <w:szCs w:val="32"/>
          <w:lang w:val="en-US" w:eastAsia="zh-CN"/>
        </w:rPr>
        <w:t>27.</w:t>
      </w:r>
      <w:r>
        <w:rPr>
          <w:rFonts w:hint="eastAsia" w:ascii="Times New Roman" w:hAnsi="Times New Roman" w:eastAsia="仿宋_GB2312"/>
          <w:b/>
          <w:bCs/>
          <w:color w:val="auto"/>
          <w:sz w:val="32"/>
          <w:szCs w:val="32"/>
          <w:lang w:eastAsia="zh-CN"/>
        </w:rPr>
        <w:t>农林水支出（类）其他农林水支出（款）其他农林水支出（项）</w:t>
      </w:r>
      <w:r>
        <w:rPr>
          <w:rFonts w:hint="eastAsia" w:eastAsia="仿宋_GB2312"/>
          <w:b/>
          <w:bCs/>
          <w:sz w:val="32"/>
          <w:szCs w:val="32"/>
          <w:lang w:val="en-US" w:eastAsia="zh-CN"/>
        </w:rPr>
        <w:t>：</w:t>
      </w:r>
      <w:r>
        <w:rPr>
          <w:rFonts w:hint="eastAsia" w:ascii="Times New Roman" w:hAnsi="Times New Roman" w:eastAsia="仿宋_GB2312"/>
          <w:color w:val="auto"/>
          <w:sz w:val="32"/>
          <w:szCs w:val="32"/>
          <w:lang w:val="en-US" w:eastAsia="zh-CN"/>
        </w:rPr>
        <w:t>指民生实事票决制项目经费、及网格员保险费等。</w:t>
      </w:r>
    </w:p>
    <w:p w14:paraId="71C41667">
      <w:pPr>
        <w:keepLines w:val="0"/>
        <w:pageBreakBefore w:val="0"/>
        <w:kinsoku/>
        <w:wordWrap/>
        <w:overflowPunct/>
        <w:topLinePunct w:val="0"/>
        <w:bidi w:val="0"/>
        <w:spacing w:line="560" w:lineRule="exact"/>
        <w:ind w:firstLine="643"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eastAsia="仿宋_GB2312" w:cs="Times New Roman"/>
          <w:b/>
          <w:bCs/>
          <w:color w:val="auto"/>
          <w:kern w:val="2"/>
          <w:sz w:val="32"/>
          <w:szCs w:val="32"/>
          <w:lang w:val="en-US" w:eastAsia="zh-CN" w:bidi="ar-SA"/>
        </w:rPr>
        <w:t>28</w:t>
      </w:r>
      <w:r>
        <w:rPr>
          <w:rFonts w:hint="eastAsia" w:ascii="Times New Roman" w:hAnsi="Times New Roman" w:eastAsia="仿宋_GB2312" w:cs="Times New Roman"/>
          <w:b/>
          <w:bCs/>
          <w:color w:val="auto"/>
          <w:kern w:val="2"/>
          <w:sz w:val="32"/>
          <w:szCs w:val="32"/>
          <w:lang w:val="en-US" w:eastAsia="zh-CN" w:bidi="ar-SA"/>
        </w:rPr>
        <w:t>.住房保障支出（类）住房改革支出（款）住房公积金（项）</w:t>
      </w:r>
      <w:r>
        <w:rPr>
          <w:rFonts w:hint="eastAsia" w:eastAsia="仿宋_GB2312"/>
          <w:b/>
          <w:bCs/>
          <w:sz w:val="32"/>
          <w:szCs w:val="32"/>
          <w:lang w:val="en-US" w:eastAsia="zh-CN"/>
        </w:rPr>
        <w:t>：</w:t>
      </w:r>
      <w:r>
        <w:rPr>
          <w:rFonts w:hint="eastAsia" w:ascii="Times New Roman" w:eastAsia="仿宋_GB2312"/>
          <w:color w:val="auto"/>
          <w:sz w:val="32"/>
          <w:szCs w:val="32"/>
          <w:lang w:val="en-US" w:eastAsia="zh-CN"/>
        </w:rPr>
        <w:t>指</w:t>
      </w:r>
      <w:r>
        <w:rPr>
          <w:rFonts w:hint="eastAsia" w:ascii="Times New Roman" w:hAnsi="Times New Roman" w:eastAsia="仿宋_GB2312" w:cs="Times New Roman"/>
          <w:color w:val="auto"/>
          <w:kern w:val="2"/>
          <w:sz w:val="32"/>
          <w:szCs w:val="32"/>
          <w:lang w:val="en-US" w:eastAsia="zh-CN" w:bidi="ar-SA"/>
        </w:rPr>
        <w:t>缴纳住房公积金。</w:t>
      </w:r>
    </w:p>
    <w:p w14:paraId="3CF46A75">
      <w:pPr>
        <w:keepLines w:val="0"/>
        <w:pageBreakBefore w:val="0"/>
        <w:kinsoku/>
        <w:wordWrap/>
        <w:overflowPunct/>
        <w:topLinePunct w:val="0"/>
        <w:bidi w:val="0"/>
        <w:spacing w:line="560" w:lineRule="exact"/>
        <w:ind w:firstLine="643"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eastAsia="仿宋_GB2312" w:cs="Times New Roman"/>
          <w:b/>
          <w:bCs/>
          <w:color w:val="auto"/>
          <w:kern w:val="2"/>
          <w:sz w:val="32"/>
          <w:szCs w:val="32"/>
          <w:lang w:val="en-US" w:eastAsia="zh-CN" w:bidi="ar-SA"/>
        </w:rPr>
        <w:t>29.灾害防治及应急管理支出（类）应急管理事物（款）应急救援（项）</w:t>
      </w:r>
      <w:r>
        <w:rPr>
          <w:rFonts w:hint="eastAsia" w:eastAsia="仿宋_GB2312"/>
          <w:b/>
          <w:bCs/>
          <w:sz w:val="32"/>
          <w:szCs w:val="32"/>
          <w:lang w:val="en-US" w:eastAsia="zh-CN"/>
        </w:rPr>
        <w:t>：</w:t>
      </w:r>
      <w:r>
        <w:rPr>
          <w:rFonts w:hint="eastAsia" w:ascii="Times New Roman" w:eastAsia="仿宋_GB2312"/>
          <w:color w:val="auto"/>
          <w:sz w:val="32"/>
          <w:szCs w:val="32"/>
          <w:lang w:val="en-US" w:eastAsia="zh-CN"/>
        </w:rPr>
        <w:t>指</w:t>
      </w:r>
      <w:r>
        <w:rPr>
          <w:rFonts w:hint="eastAsia" w:ascii="Times New Roman" w:eastAsia="仿宋_GB2312" w:cs="Times New Roman"/>
          <w:color w:val="auto"/>
          <w:kern w:val="2"/>
          <w:sz w:val="32"/>
          <w:szCs w:val="32"/>
          <w:lang w:val="en-US" w:eastAsia="zh-CN" w:bidi="ar-SA"/>
        </w:rPr>
        <w:t>安全生产、森林防火、食品安全等宣传费、劳务费、差旅费等。</w:t>
      </w:r>
    </w:p>
    <w:p w14:paraId="702E088F">
      <w:pPr>
        <w:keepLines w:val="0"/>
        <w:pageBreakBefore w:val="0"/>
        <w:kinsoku/>
        <w:wordWrap/>
        <w:overflowPunct/>
        <w:topLinePunct w:val="0"/>
        <w:bidi w:val="0"/>
        <w:spacing w:line="560" w:lineRule="exact"/>
        <w:ind w:firstLine="643" w:firstLineChars="200"/>
        <w:jc w:val="both"/>
        <w:textAlignment w:val="auto"/>
        <w:rPr>
          <w:rFonts w:hint="eastAsia" w:ascii="Times New Roman" w:eastAsia="仿宋_GB2312"/>
          <w:color w:val="auto"/>
          <w:sz w:val="32"/>
          <w:szCs w:val="32"/>
        </w:rPr>
      </w:pPr>
      <w:r>
        <w:rPr>
          <w:rFonts w:hint="eastAsia" w:ascii="Times New Roman" w:eastAsia="仿宋_GB2312"/>
          <w:b/>
          <w:bCs/>
          <w:color w:val="auto"/>
          <w:sz w:val="32"/>
          <w:szCs w:val="32"/>
          <w:lang w:val="en-US" w:eastAsia="zh-CN"/>
        </w:rPr>
        <w:t>3</w:t>
      </w:r>
      <w:r>
        <w:rPr>
          <w:rFonts w:hint="eastAsia" w:eastAsia="仿宋_GB2312"/>
          <w:b/>
          <w:bCs/>
          <w:sz w:val="32"/>
          <w:szCs w:val="32"/>
          <w:lang w:val="en-US" w:eastAsia="zh-CN"/>
        </w:rPr>
        <w:t>0</w:t>
      </w:r>
      <w:r>
        <w:rPr>
          <w:rFonts w:hint="eastAsia" w:ascii="Times New Roman" w:eastAsia="仿宋_GB2312"/>
          <w:b/>
          <w:bCs/>
          <w:color w:val="auto"/>
          <w:sz w:val="32"/>
          <w:szCs w:val="32"/>
        </w:rPr>
        <w:t>.基本支出：</w:t>
      </w:r>
      <w:r>
        <w:rPr>
          <w:rFonts w:hint="eastAsia" w:ascii="Times New Roman" w:eastAsia="仿宋_GB2312"/>
          <w:color w:val="auto"/>
          <w:sz w:val="32"/>
          <w:szCs w:val="32"/>
        </w:rPr>
        <w:t>指为保障机构正常运转、完成日常工作任务而发生的人员支出和公用支出。</w:t>
      </w:r>
    </w:p>
    <w:p w14:paraId="63AFC281">
      <w:pPr>
        <w:keepLines w:val="0"/>
        <w:pageBreakBefore w:val="0"/>
        <w:kinsoku/>
        <w:wordWrap/>
        <w:overflowPunct/>
        <w:topLinePunct w:val="0"/>
        <w:bidi w:val="0"/>
        <w:spacing w:line="560" w:lineRule="exact"/>
        <w:ind w:firstLine="643" w:firstLineChars="200"/>
        <w:jc w:val="both"/>
        <w:textAlignment w:val="auto"/>
        <w:rPr>
          <w:rFonts w:hint="eastAsia" w:ascii="Times New Roman" w:eastAsia="仿宋_GB2312"/>
          <w:color w:val="auto"/>
          <w:sz w:val="32"/>
          <w:szCs w:val="32"/>
        </w:rPr>
      </w:pPr>
      <w:r>
        <w:rPr>
          <w:rFonts w:hint="eastAsia" w:ascii="Times New Roman" w:eastAsia="仿宋_GB2312"/>
          <w:b/>
          <w:bCs/>
          <w:color w:val="auto"/>
          <w:sz w:val="32"/>
          <w:szCs w:val="32"/>
          <w:lang w:val="en-US" w:eastAsia="zh-CN"/>
        </w:rPr>
        <w:t>3</w:t>
      </w:r>
      <w:r>
        <w:rPr>
          <w:rFonts w:hint="eastAsia" w:eastAsia="仿宋_GB2312"/>
          <w:b/>
          <w:bCs/>
          <w:sz w:val="32"/>
          <w:szCs w:val="32"/>
          <w:lang w:val="en-US" w:eastAsia="zh-CN"/>
        </w:rPr>
        <w:t>1</w:t>
      </w:r>
      <w:r>
        <w:rPr>
          <w:rFonts w:hint="eastAsia" w:ascii="Times New Roman" w:eastAsia="仿宋_GB2312"/>
          <w:b/>
          <w:bCs/>
          <w:color w:val="auto"/>
          <w:sz w:val="32"/>
          <w:szCs w:val="32"/>
        </w:rPr>
        <w:t>.项目支出：</w:t>
      </w:r>
      <w:r>
        <w:rPr>
          <w:rFonts w:hint="eastAsia" w:ascii="Times New Roman" w:eastAsia="仿宋_GB2312"/>
          <w:color w:val="auto"/>
          <w:sz w:val="32"/>
          <w:szCs w:val="32"/>
        </w:rPr>
        <w:t>指在基本支出之外为完成特定行政任务和事业发展目标所发生的支出。</w:t>
      </w:r>
    </w:p>
    <w:p w14:paraId="1B8B9E63">
      <w:pPr>
        <w:keepLines w:val="0"/>
        <w:pageBreakBefore w:val="0"/>
        <w:kinsoku/>
        <w:wordWrap/>
        <w:overflowPunct/>
        <w:topLinePunct w:val="0"/>
        <w:bidi w:val="0"/>
        <w:spacing w:line="560" w:lineRule="exact"/>
        <w:ind w:firstLine="643" w:firstLineChars="200"/>
        <w:jc w:val="both"/>
        <w:textAlignment w:val="auto"/>
        <w:rPr>
          <w:rFonts w:hint="eastAsia" w:ascii="Times New Roman" w:eastAsia="仿宋_GB2312"/>
          <w:color w:val="auto"/>
          <w:sz w:val="32"/>
          <w:szCs w:val="32"/>
        </w:rPr>
      </w:pPr>
      <w:r>
        <w:rPr>
          <w:rFonts w:hint="eastAsia" w:ascii="Times New Roman" w:eastAsia="仿宋_GB2312"/>
          <w:b/>
          <w:bCs/>
          <w:color w:val="auto"/>
          <w:sz w:val="32"/>
          <w:szCs w:val="32"/>
          <w:lang w:val="en-US" w:eastAsia="zh-CN"/>
        </w:rPr>
        <w:t>3</w:t>
      </w:r>
      <w:r>
        <w:rPr>
          <w:rFonts w:hint="eastAsia" w:eastAsia="仿宋_GB2312"/>
          <w:b/>
          <w:bCs/>
          <w:sz w:val="32"/>
          <w:szCs w:val="32"/>
          <w:lang w:val="en-US" w:eastAsia="zh-CN"/>
        </w:rPr>
        <w:t>2</w:t>
      </w:r>
      <w:r>
        <w:rPr>
          <w:rFonts w:hint="eastAsia" w:ascii="Times New Roman" w:eastAsia="仿宋_GB2312"/>
          <w:b/>
          <w:bCs/>
          <w:color w:val="auto"/>
          <w:sz w:val="32"/>
          <w:szCs w:val="32"/>
        </w:rPr>
        <w:t>.经营支出：</w:t>
      </w:r>
      <w:r>
        <w:rPr>
          <w:rFonts w:hint="eastAsia" w:ascii="Times New Roman" w:eastAsia="仿宋_GB2312"/>
          <w:color w:val="auto"/>
          <w:sz w:val="32"/>
          <w:szCs w:val="32"/>
        </w:rPr>
        <w:t>指事业单位在专业业务活动及其辅助活动之外开展非独立核算经营活动发生的支出。</w:t>
      </w:r>
    </w:p>
    <w:p w14:paraId="4A18AAC3">
      <w:pPr>
        <w:keepLines w:val="0"/>
        <w:pageBreakBefore w:val="0"/>
        <w:kinsoku/>
        <w:wordWrap/>
        <w:overflowPunct/>
        <w:topLinePunct w:val="0"/>
        <w:bidi w:val="0"/>
        <w:spacing w:line="560" w:lineRule="exact"/>
        <w:ind w:firstLine="643" w:firstLineChars="200"/>
        <w:jc w:val="both"/>
        <w:textAlignment w:val="auto"/>
        <w:rPr>
          <w:rFonts w:hint="eastAsia" w:ascii="Times New Roman" w:hAnsi="Times New Roman" w:eastAsia="仿宋_GB2312"/>
          <w:color w:val="auto"/>
          <w:sz w:val="32"/>
          <w:szCs w:val="32"/>
        </w:rPr>
      </w:pPr>
      <w:r>
        <w:rPr>
          <w:rFonts w:hint="eastAsia" w:ascii="Times New Roman" w:hAnsi="Times New Roman" w:eastAsia="仿宋_GB2312"/>
          <w:b/>
          <w:bCs/>
          <w:color w:val="auto"/>
          <w:sz w:val="32"/>
          <w:szCs w:val="32"/>
          <w:lang w:val="en-US" w:eastAsia="zh-CN"/>
        </w:rPr>
        <w:t>3</w:t>
      </w:r>
      <w:r>
        <w:rPr>
          <w:rFonts w:hint="eastAsia" w:eastAsia="仿宋_GB2312"/>
          <w:b/>
          <w:bCs/>
          <w:sz w:val="32"/>
          <w:szCs w:val="32"/>
          <w:lang w:val="en-US" w:eastAsia="zh-CN"/>
        </w:rPr>
        <w:t>3</w:t>
      </w:r>
      <w:r>
        <w:rPr>
          <w:rFonts w:hint="eastAsia" w:ascii="Times New Roman" w:hAnsi="Times New Roman" w:eastAsia="仿宋_GB2312"/>
          <w:b/>
          <w:bCs/>
          <w:color w:val="auto"/>
          <w:sz w:val="32"/>
          <w:szCs w:val="32"/>
        </w:rPr>
        <w:t>.“三公”经费：</w:t>
      </w:r>
      <w:r>
        <w:rPr>
          <w:rFonts w:hint="eastAsia" w:ascii="Times New Roman" w:hAnsi="Times New Roman" w:eastAsia="仿宋_GB2312"/>
          <w:color w:val="auto"/>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1534768">
      <w:pPr>
        <w:keepLines w:val="0"/>
        <w:pageBreakBefore w:val="0"/>
        <w:kinsoku/>
        <w:wordWrap/>
        <w:overflowPunct/>
        <w:topLinePunct w:val="0"/>
        <w:bidi w:val="0"/>
        <w:spacing w:line="560" w:lineRule="exact"/>
        <w:ind w:firstLine="643" w:firstLineChars="200"/>
        <w:jc w:val="both"/>
        <w:textAlignment w:val="auto"/>
        <w:rPr>
          <w:rFonts w:hint="eastAsia" w:ascii="Times New Roman" w:eastAsia="仿宋_GB2312"/>
          <w:color w:val="auto"/>
          <w:sz w:val="32"/>
          <w:szCs w:val="32"/>
        </w:rPr>
      </w:pPr>
      <w:r>
        <w:rPr>
          <w:rFonts w:hint="eastAsia" w:ascii="Times New Roman" w:eastAsia="仿宋_GB2312"/>
          <w:b/>
          <w:bCs/>
          <w:color w:val="auto"/>
          <w:sz w:val="32"/>
          <w:szCs w:val="32"/>
          <w:lang w:val="en-US" w:eastAsia="zh-CN"/>
        </w:rPr>
        <w:t>3</w:t>
      </w:r>
      <w:r>
        <w:rPr>
          <w:rFonts w:hint="eastAsia" w:eastAsia="仿宋_GB2312"/>
          <w:b/>
          <w:bCs/>
          <w:sz w:val="32"/>
          <w:szCs w:val="32"/>
          <w:lang w:val="en-US" w:eastAsia="zh-CN"/>
        </w:rPr>
        <w:t>4</w:t>
      </w:r>
      <w:r>
        <w:rPr>
          <w:rFonts w:hint="eastAsia" w:ascii="Times New Roman" w:eastAsia="仿宋_GB2312"/>
          <w:b/>
          <w:bCs/>
          <w:color w:val="auto"/>
          <w:sz w:val="32"/>
          <w:szCs w:val="32"/>
        </w:rPr>
        <w:t>.机关运行经费：</w:t>
      </w:r>
      <w:r>
        <w:rPr>
          <w:rFonts w:hint="eastAsia" w:ascii="Times New Roman" w:eastAsia="仿宋_GB2312"/>
          <w:color w:val="auto"/>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5EFA65E">
      <w:pPr>
        <w:keepLines w:val="0"/>
        <w:pageBreakBefore w:val="0"/>
        <w:kinsoku/>
        <w:wordWrap/>
        <w:overflowPunct/>
        <w:topLinePunct w:val="0"/>
        <w:bidi w:val="0"/>
        <w:spacing w:line="560" w:lineRule="exact"/>
        <w:ind w:firstLineChars="200"/>
        <w:jc w:val="both"/>
        <w:textAlignment w:val="auto"/>
        <w:rPr>
          <w:rFonts w:hint="eastAsia" w:ascii="Times New Roman" w:hAnsi="Times New Roman" w:eastAsia="仿宋_GB2312" w:cs="Times New Roman"/>
          <w:b w:val="0"/>
          <w:bCs w:val="0"/>
          <w:i w:val="0"/>
          <w:iCs w:val="0"/>
          <w:color w:val="auto"/>
          <w:sz w:val="32"/>
          <w:szCs w:val="32"/>
          <w:highlight w:val="none"/>
        </w:rPr>
      </w:pPr>
    </w:p>
    <w:p w14:paraId="23EBC2F1">
      <w:pPr>
        <w:spacing w:line="556" w:lineRule="exact"/>
        <w:ind w:firstLine="640" w:firstLineChars="200"/>
        <w:jc w:val="left"/>
        <w:rPr>
          <w:rFonts w:ascii="仿宋" w:hAnsi="仿宋" w:eastAsia="仿宋" w:cs="仿宋"/>
          <w:sz w:val="32"/>
          <w:szCs w:val="32"/>
        </w:rPr>
      </w:pPr>
    </w:p>
    <w:p w14:paraId="6F9E9C79">
      <w:pPr>
        <w:pStyle w:val="15"/>
      </w:pPr>
    </w:p>
    <w:p w14:paraId="1F99D4CD">
      <w:pPr>
        <w:pStyle w:val="9"/>
        <w:ind w:left="420"/>
      </w:pPr>
    </w:p>
    <w:p w14:paraId="5A3EC134">
      <w:pPr>
        <w:pStyle w:val="9"/>
        <w:ind w:left="420"/>
      </w:pPr>
    </w:p>
    <w:p w14:paraId="7DDBC8C4">
      <w:pPr>
        <w:pStyle w:val="9"/>
        <w:ind w:left="420"/>
      </w:pPr>
    </w:p>
    <w:p w14:paraId="696BF9CE">
      <w:pPr>
        <w:pStyle w:val="9"/>
        <w:ind w:left="420"/>
      </w:pPr>
    </w:p>
    <w:p w14:paraId="465FC667">
      <w:pPr>
        <w:pStyle w:val="9"/>
        <w:ind w:left="420"/>
        <w:rPr>
          <w:rFonts w:hint="eastAsia"/>
        </w:rPr>
      </w:pPr>
    </w:p>
    <w:p w14:paraId="497E0C5D">
      <w:pPr>
        <w:pStyle w:val="9"/>
        <w:ind w:left="420"/>
        <w:rPr>
          <w:rFonts w:hint="eastAsia"/>
        </w:rPr>
      </w:pPr>
    </w:p>
    <w:p w14:paraId="028C1EFB">
      <w:pPr>
        <w:pStyle w:val="9"/>
        <w:ind w:left="420"/>
        <w:rPr>
          <w:rFonts w:hint="eastAsia"/>
        </w:rPr>
      </w:pPr>
    </w:p>
    <w:p w14:paraId="4454698F">
      <w:pPr>
        <w:pStyle w:val="9"/>
        <w:ind w:left="420"/>
        <w:rPr>
          <w:rFonts w:hint="eastAsia"/>
        </w:rPr>
      </w:pPr>
    </w:p>
    <w:p w14:paraId="7D959AC4">
      <w:pPr>
        <w:pStyle w:val="9"/>
        <w:ind w:left="420"/>
        <w:rPr>
          <w:rFonts w:hint="eastAsia"/>
        </w:rPr>
      </w:pPr>
    </w:p>
    <w:p w14:paraId="3F6D6026">
      <w:pPr>
        <w:pStyle w:val="9"/>
        <w:ind w:left="420"/>
        <w:rPr>
          <w:rFonts w:hint="eastAsia"/>
        </w:rPr>
      </w:pPr>
    </w:p>
    <w:p w14:paraId="09A747BF">
      <w:pPr>
        <w:pStyle w:val="9"/>
        <w:ind w:left="420"/>
        <w:rPr>
          <w:rFonts w:hint="eastAsia"/>
        </w:rPr>
      </w:pPr>
    </w:p>
    <w:p w14:paraId="2C7F6334">
      <w:pPr>
        <w:pStyle w:val="9"/>
        <w:ind w:left="420"/>
        <w:rPr>
          <w:rFonts w:hint="eastAsia"/>
        </w:rPr>
      </w:pPr>
    </w:p>
    <w:p w14:paraId="602EA9CE">
      <w:pPr>
        <w:pStyle w:val="9"/>
        <w:ind w:left="420"/>
        <w:rPr>
          <w:rFonts w:hint="eastAsia"/>
        </w:rPr>
      </w:pPr>
    </w:p>
    <w:p w14:paraId="4ED13A45">
      <w:pPr>
        <w:spacing w:line="554" w:lineRule="exact"/>
        <w:ind w:firstLine="3520" w:firstLineChars="800"/>
        <w:jc w:val="both"/>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第四部分 附件</w:t>
      </w:r>
      <w:bookmarkEnd w:id="40"/>
    </w:p>
    <w:p w14:paraId="5782DB19">
      <w:pPr>
        <w:spacing w:line="554" w:lineRule="exact"/>
        <w:ind w:firstLine="1760" w:firstLineChars="400"/>
        <w:jc w:val="both"/>
        <w:rPr>
          <w:rFonts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202</w:t>
      </w:r>
      <w:r>
        <w:rPr>
          <w:rFonts w:hint="eastAsia" w:ascii="方正小标宋_GBK" w:hAnsi="方正小标宋_GBK" w:eastAsia="方正小标宋_GBK" w:cs="方正小标宋_GBK"/>
          <w:sz w:val="44"/>
          <w:szCs w:val="44"/>
          <w:shd w:val="clear" w:color="auto" w:fill="FFFFFF"/>
          <w:lang w:val="en-US" w:eastAsia="zh-CN"/>
        </w:rPr>
        <w:t>4</w:t>
      </w:r>
      <w:r>
        <w:rPr>
          <w:rFonts w:hint="eastAsia" w:ascii="方正小标宋_GBK" w:hAnsi="方正小标宋_GBK" w:eastAsia="方正小标宋_GBK" w:cs="方正小标宋_GBK"/>
          <w:sz w:val="44"/>
          <w:szCs w:val="44"/>
          <w:shd w:val="clear" w:color="auto" w:fill="FFFFFF"/>
        </w:rPr>
        <w:t>年部门整体支出绩效报告</w:t>
      </w:r>
    </w:p>
    <w:p w14:paraId="638F69DC">
      <w:pPr>
        <w:pStyle w:val="3"/>
        <w:spacing w:before="120" w:after="120" w:line="554" w:lineRule="exact"/>
        <w:ind w:firstLine="640" w:firstLineChars="200"/>
        <w:jc w:val="left"/>
        <w:rPr>
          <w:lang w:val="zh-CN"/>
        </w:rPr>
      </w:pPr>
      <w:r>
        <w:rPr>
          <w:rFonts w:hint="eastAsia" w:ascii="黑体" w:eastAsia="黑体"/>
          <w:b w:val="0"/>
          <w:lang w:val="zh-CN"/>
        </w:rPr>
        <w:t>一、部门（单位）概况</w:t>
      </w:r>
    </w:p>
    <w:p w14:paraId="64B2604E">
      <w:pPr>
        <w:autoSpaceDE w:val="0"/>
        <w:autoSpaceDN w:val="0"/>
        <w:adjustRightInd w:val="0"/>
        <w:spacing w:before="120" w:after="120" w:line="554" w:lineRule="exact"/>
        <w:ind w:firstLine="643" w:firstLineChars="200"/>
        <w:jc w:val="left"/>
        <w:outlineLvl w:val="2"/>
        <w:rPr>
          <w:rFonts w:ascii="仿宋" w:hAnsi="仿宋" w:eastAsia="仿宋"/>
          <w:b/>
          <w:sz w:val="32"/>
          <w:szCs w:val="32"/>
          <w:lang w:val="zh-CN"/>
        </w:rPr>
      </w:pPr>
      <w:r>
        <w:rPr>
          <w:rFonts w:hint="eastAsia" w:ascii="仿宋" w:hAnsi="仿宋" w:eastAsia="仿宋"/>
          <w:b/>
          <w:sz w:val="32"/>
          <w:szCs w:val="32"/>
          <w:lang w:val="zh-CN"/>
        </w:rPr>
        <w:t>（一）机构组成。</w:t>
      </w:r>
    </w:p>
    <w:p w14:paraId="4B95FD0A">
      <w:pPr>
        <w:spacing w:before="120" w:after="120" w:line="554" w:lineRule="exact"/>
        <w:ind w:firstLine="800" w:firstLineChars="250"/>
        <w:jc w:val="left"/>
        <w:rPr>
          <w:rFonts w:ascii="仿宋" w:hAnsi="仿宋" w:eastAsia="仿宋"/>
          <w:sz w:val="32"/>
          <w:szCs w:val="32"/>
        </w:rPr>
      </w:pPr>
      <w:r>
        <w:rPr>
          <w:rFonts w:hint="eastAsia" w:ascii="仿宋" w:hAnsi="仿宋" w:eastAsia="仿宋"/>
          <w:sz w:val="32"/>
          <w:szCs w:val="32"/>
        </w:rPr>
        <w:t>四川省遂宁市安居区海龙凯歌文化旅游产业园区管理委员会下属二级单位</w:t>
      </w:r>
      <w:r>
        <w:rPr>
          <w:rFonts w:ascii="仿宋" w:hAnsi="仿宋" w:eastAsia="仿宋"/>
          <w:sz w:val="32"/>
          <w:szCs w:val="32"/>
        </w:rPr>
        <w:t>0</w:t>
      </w:r>
      <w:r>
        <w:rPr>
          <w:rFonts w:hint="eastAsia" w:ascii="仿宋" w:hAnsi="仿宋" w:eastAsia="仿宋"/>
          <w:sz w:val="32"/>
          <w:szCs w:val="32"/>
        </w:rPr>
        <w:t>个，其中行政单位</w:t>
      </w:r>
      <w:r>
        <w:rPr>
          <w:rFonts w:ascii="仿宋" w:hAnsi="仿宋" w:eastAsia="仿宋"/>
          <w:sz w:val="32"/>
          <w:szCs w:val="32"/>
        </w:rPr>
        <w:t>0</w:t>
      </w:r>
      <w:r>
        <w:rPr>
          <w:rFonts w:hint="eastAsia" w:ascii="仿宋" w:hAnsi="仿宋" w:eastAsia="仿宋"/>
          <w:sz w:val="32"/>
          <w:szCs w:val="32"/>
        </w:rPr>
        <w:t>个，参照公务员法管理的事业单位</w:t>
      </w:r>
      <w:r>
        <w:rPr>
          <w:rFonts w:hint="eastAsia" w:ascii="仿宋" w:hAnsi="仿宋" w:eastAsia="仿宋"/>
          <w:bCs/>
          <w:sz w:val="32"/>
          <w:szCs w:val="32"/>
        </w:rPr>
        <w:t>0</w:t>
      </w:r>
      <w:r>
        <w:rPr>
          <w:rFonts w:hint="eastAsia" w:ascii="仿宋" w:hAnsi="仿宋" w:eastAsia="仿宋"/>
          <w:sz w:val="32"/>
          <w:szCs w:val="32"/>
        </w:rPr>
        <w:t>个，其他事业单位</w:t>
      </w:r>
      <w:r>
        <w:rPr>
          <w:rFonts w:ascii="仿宋" w:hAnsi="仿宋" w:eastAsia="仿宋"/>
          <w:sz w:val="32"/>
          <w:szCs w:val="32"/>
        </w:rPr>
        <w:t>0</w:t>
      </w:r>
      <w:r>
        <w:rPr>
          <w:rFonts w:hint="eastAsia" w:ascii="仿宋" w:hAnsi="仿宋" w:eastAsia="仿宋"/>
          <w:sz w:val="32"/>
          <w:szCs w:val="32"/>
        </w:rPr>
        <w:t>个。</w:t>
      </w:r>
    </w:p>
    <w:p w14:paraId="7D7F0367">
      <w:pPr>
        <w:autoSpaceDE w:val="0"/>
        <w:autoSpaceDN w:val="0"/>
        <w:adjustRightInd w:val="0"/>
        <w:spacing w:line="554" w:lineRule="exact"/>
        <w:ind w:firstLine="643" w:firstLineChars="200"/>
        <w:jc w:val="left"/>
        <w:outlineLvl w:val="2"/>
        <w:rPr>
          <w:rFonts w:ascii="仿宋" w:hAnsi="仿宋" w:eastAsia="仿宋"/>
          <w:b/>
          <w:sz w:val="32"/>
          <w:szCs w:val="32"/>
          <w:lang w:val="zh-CN"/>
        </w:rPr>
      </w:pPr>
      <w:r>
        <w:rPr>
          <w:rFonts w:hint="eastAsia" w:ascii="仿宋" w:hAnsi="仿宋" w:eastAsia="仿宋"/>
          <w:b/>
          <w:sz w:val="32"/>
          <w:szCs w:val="32"/>
          <w:lang w:val="zh-CN"/>
        </w:rPr>
        <w:t>（二）机构职能。</w:t>
      </w:r>
    </w:p>
    <w:p w14:paraId="78CCE63A">
      <w:pPr>
        <w:spacing w:line="554" w:lineRule="exact"/>
        <w:ind w:firstLine="800" w:firstLineChars="250"/>
        <w:jc w:val="left"/>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贯彻</w:t>
      </w:r>
      <w:r>
        <w:rPr>
          <w:rFonts w:hint="eastAsia" w:ascii="仿宋" w:hAnsi="仿宋" w:eastAsia="仿宋"/>
          <w:sz w:val="32"/>
          <w:szCs w:val="32"/>
        </w:rPr>
        <w:t>党的路线、方针、政策</w:t>
      </w:r>
      <w:r>
        <w:rPr>
          <w:rFonts w:ascii="仿宋" w:hAnsi="仿宋" w:eastAsia="仿宋"/>
          <w:sz w:val="32"/>
          <w:szCs w:val="32"/>
        </w:rPr>
        <w:t>执行本级人民代表大会的决议和上级国家行政机关的决定和命令，发布决定和命令。</w:t>
      </w:r>
    </w:p>
    <w:p w14:paraId="205F3286">
      <w:pPr>
        <w:spacing w:line="554" w:lineRule="exact"/>
        <w:ind w:firstLine="800" w:firstLineChars="250"/>
        <w:jc w:val="left"/>
        <w:rPr>
          <w:rFonts w:ascii="仿宋" w:hAnsi="仿宋" w:eastAsia="仿宋"/>
          <w:sz w:val="32"/>
          <w:szCs w:val="32"/>
        </w:rPr>
      </w:pPr>
      <w:r>
        <w:rPr>
          <w:rFonts w:hint="eastAsia" w:ascii="仿宋" w:hAnsi="仿宋" w:eastAsia="仿宋"/>
          <w:sz w:val="32"/>
          <w:szCs w:val="32"/>
        </w:rPr>
        <w:t>（2）负责园区内经济发展规划和区域发展规划的编制、经批准后组织实施，对固定资产投资项目进行审核，负责园区文旅项目包装储备和申报工作</w:t>
      </w:r>
    </w:p>
    <w:p w14:paraId="6434A77F">
      <w:pPr>
        <w:spacing w:line="554" w:lineRule="exact"/>
        <w:ind w:firstLine="800" w:firstLineChars="250"/>
        <w:jc w:val="left"/>
        <w:rPr>
          <w:rFonts w:ascii="仿宋" w:hAnsi="仿宋" w:eastAsia="仿宋"/>
          <w:sz w:val="32"/>
          <w:szCs w:val="32"/>
        </w:rPr>
      </w:pPr>
      <w:r>
        <w:rPr>
          <w:rFonts w:hint="eastAsia" w:ascii="仿宋" w:hAnsi="仿宋" w:eastAsia="仿宋"/>
          <w:sz w:val="32"/>
          <w:szCs w:val="32"/>
        </w:rPr>
        <w:t>（3）负责招商引资、投资促进、对外开放及企业服务工作，负责园区旅游资源的开发利用、文旅品牌创建，宣传营销等工作。负责园区A级景区创建及复核工作，负责园区内环境保护、消防安全和安全生产监督管理工作，负责园区消费者权益保障、旅游市场秩序维护等工作，负责园区旅游统计工作，负责园区财务管理。实施园区内财务预算、决算国有资产管理和财务监督工作。</w:t>
      </w:r>
    </w:p>
    <w:p w14:paraId="22166734">
      <w:pPr>
        <w:spacing w:line="554" w:lineRule="exact"/>
        <w:ind w:firstLine="800" w:firstLineChars="250"/>
        <w:jc w:val="left"/>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完成区委、区政府交办的其他事项。</w:t>
      </w:r>
    </w:p>
    <w:p w14:paraId="0BC180C9">
      <w:pPr>
        <w:autoSpaceDE w:val="0"/>
        <w:autoSpaceDN w:val="0"/>
        <w:adjustRightInd w:val="0"/>
        <w:spacing w:line="554" w:lineRule="exact"/>
        <w:ind w:firstLine="643" w:firstLineChars="200"/>
        <w:jc w:val="left"/>
        <w:outlineLvl w:val="2"/>
        <w:rPr>
          <w:rFonts w:ascii="仿宋" w:hAnsi="仿宋" w:eastAsia="仿宋" w:cs="仿宋"/>
          <w:kern w:val="0"/>
          <w:sz w:val="32"/>
          <w:szCs w:val="32"/>
          <w:lang w:val="zh-CN"/>
        </w:rPr>
      </w:pPr>
      <w:r>
        <w:rPr>
          <w:rFonts w:hint="eastAsia" w:ascii="仿宋" w:hAnsi="仿宋" w:eastAsia="仿宋" w:cs="仿宋"/>
          <w:b/>
          <w:sz w:val="32"/>
          <w:szCs w:val="32"/>
          <w:lang w:val="zh-CN"/>
        </w:rPr>
        <w:t>（三）人员概况。</w:t>
      </w:r>
    </w:p>
    <w:p w14:paraId="5DE18FDF">
      <w:pPr>
        <w:spacing w:line="554" w:lineRule="exact"/>
        <w:ind w:firstLine="800" w:firstLineChars="250"/>
        <w:jc w:val="left"/>
        <w:rPr>
          <w:rFonts w:ascii="仿宋" w:hAnsi="仿宋" w:eastAsia="仿宋"/>
          <w:color w:val="0000FF"/>
          <w:sz w:val="32"/>
          <w:szCs w:val="32"/>
        </w:rPr>
      </w:pPr>
      <w:r>
        <w:rPr>
          <w:rFonts w:hint="eastAsia" w:ascii="仿宋" w:hAnsi="仿宋" w:eastAsia="仿宋"/>
          <w:color w:val="auto"/>
          <w:sz w:val="32"/>
          <w:szCs w:val="32"/>
        </w:rPr>
        <w:t>202</w:t>
      </w:r>
      <w:r>
        <w:rPr>
          <w:rFonts w:hint="eastAsia" w:ascii="仿宋" w:hAnsi="仿宋" w:eastAsia="仿宋"/>
          <w:color w:val="auto"/>
          <w:sz w:val="32"/>
          <w:szCs w:val="32"/>
          <w:lang w:val="en-US" w:eastAsia="zh-CN"/>
        </w:rPr>
        <w:t>4</w:t>
      </w:r>
      <w:r>
        <w:rPr>
          <w:rFonts w:hint="eastAsia" w:ascii="仿宋" w:hAnsi="仿宋" w:eastAsia="仿宋"/>
          <w:color w:val="auto"/>
          <w:sz w:val="32"/>
          <w:szCs w:val="32"/>
        </w:rPr>
        <w:t>年12月末，海龙凯歌文化旅游产业园区实有人数</w:t>
      </w:r>
      <w:r>
        <w:rPr>
          <w:rFonts w:hint="eastAsia" w:ascii="仿宋" w:hAnsi="仿宋" w:eastAsia="仿宋"/>
          <w:color w:val="auto"/>
          <w:sz w:val="32"/>
          <w:szCs w:val="32"/>
          <w:lang w:val="en-US" w:eastAsia="zh-CN"/>
        </w:rPr>
        <w:t>11人</w:t>
      </w:r>
      <w:r>
        <w:rPr>
          <w:rFonts w:hint="eastAsia" w:ascii="仿宋" w:hAnsi="仿宋" w:eastAsia="仿宋"/>
          <w:color w:val="auto"/>
          <w:sz w:val="32"/>
          <w:szCs w:val="32"/>
        </w:rPr>
        <w:t>，其中：在职</w:t>
      </w:r>
      <w:r>
        <w:rPr>
          <w:rFonts w:hint="eastAsia" w:ascii="仿宋" w:hAnsi="仿宋" w:eastAsia="仿宋"/>
          <w:color w:val="auto"/>
          <w:sz w:val="32"/>
          <w:szCs w:val="32"/>
          <w:lang w:val="en-US" w:eastAsia="zh-CN"/>
        </w:rPr>
        <w:t>11</w:t>
      </w:r>
      <w:r>
        <w:rPr>
          <w:rFonts w:hint="eastAsia" w:ascii="仿宋" w:hAnsi="仿宋" w:eastAsia="仿宋"/>
          <w:color w:val="auto"/>
          <w:sz w:val="32"/>
          <w:szCs w:val="32"/>
        </w:rPr>
        <w:t>人(备注：行政编制6人、事业编制5人）</w:t>
      </w:r>
    </w:p>
    <w:p w14:paraId="7EA7CCD2">
      <w:pPr>
        <w:pStyle w:val="3"/>
        <w:spacing w:line="554" w:lineRule="exact"/>
        <w:ind w:firstLine="643" w:firstLineChars="200"/>
        <w:jc w:val="left"/>
        <w:rPr>
          <w:rFonts w:ascii="仿宋" w:hAnsi="仿宋" w:eastAsia="仿宋" w:cs="仿宋"/>
        </w:rPr>
      </w:pPr>
      <w:r>
        <w:rPr>
          <w:rFonts w:hint="eastAsia" w:ascii="仿宋" w:hAnsi="仿宋" w:eastAsia="仿宋" w:cs="仿宋"/>
        </w:rPr>
        <w:t>二、部门财政资金收支情况</w:t>
      </w:r>
    </w:p>
    <w:p w14:paraId="6635C41A">
      <w:pPr>
        <w:autoSpaceDE w:val="0"/>
        <w:autoSpaceDN w:val="0"/>
        <w:adjustRightInd w:val="0"/>
        <w:spacing w:line="554" w:lineRule="exact"/>
        <w:ind w:firstLine="643" w:firstLineChars="200"/>
        <w:jc w:val="left"/>
        <w:outlineLvl w:val="2"/>
        <w:rPr>
          <w:rFonts w:ascii="仿宋" w:hAnsi="仿宋" w:eastAsia="仿宋"/>
          <w:b/>
          <w:sz w:val="32"/>
          <w:szCs w:val="32"/>
          <w:lang w:val="zh-CN"/>
        </w:rPr>
      </w:pPr>
      <w:r>
        <w:rPr>
          <w:rFonts w:hint="eastAsia" w:ascii="仿宋" w:hAnsi="仿宋" w:eastAsia="仿宋"/>
          <w:b/>
          <w:sz w:val="32"/>
          <w:szCs w:val="32"/>
          <w:lang w:val="zh-CN"/>
        </w:rPr>
        <w:t>（一）部门财政资金收入情况。</w:t>
      </w:r>
    </w:p>
    <w:p w14:paraId="445F28AA">
      <w:pPr>
        <w:spacing w:line="554" w:lineRule="exact"/>
        <w:ind w:firstLine="960" w:firstLineChars="300"/>
        <w:jc w:val="left"/>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年本年收入合计264.74万元，上年财政拨款结转结余0万元，其中：一般公共预算财政拨款收入264.74万元，占100%。</w:t>
      </w:r>
    </w:p>
    <w:p w14:paraId="4EA50440">
      <w:pPr>
        <w:autoSpaceDE w:val="0"/>
        <w:autoSpaceDN w:val="0"/>
        <w:adjustRightInd w:val="0"/>
        <w:spacing w:line="554" w:lineRule="exact"/>
        <w:ind w:firstLine="643" w:firstLineChars="200"/>
        <w:jc w:val="left"/>
        <w:outlineLvl w:val="2"/>
        <w:rPr>
          <w:rFonts w:ascii="仿宋" w:hAnsi="仿宋" w:eastAsia="仿宋"/>
          <w:b/>
          <w:sz w:val="32"/>
          <w:szCs w:val="32"/>
          <w:lang w:val="zh-CN"/>
        </w:rPr>
      </w:pPr>
      <w:r>
        <w:rPr>
          <w:rFonts w:hint="eastAsia" w:ascii="仿宋" w:hAnsi="仿宋" w:eastAsia="仿宋"/>
          <w:b/>
          <w:sz w:val="32"/>
          <w:szCs w:val="32"/>
          <w:lang w:val="zh-CN"/>
        </w:rPr>
        <w:t>（二）部门财政资金支出情况。</w:t>
      </w:r>
    </w:p>
    <w:p w14:paraId="173EF7B8">
      <w:pPr>
        <w:spacing w:line="554" w:lineRule="exact"/>
        <w:ind w:firstLine="640" w:firstLineChars="200"/>
        <w:jc w:val="left"/>
        <w:rPr>
          <w:rFonts w:ascii="仿宋_GB2312" w:hAnsi="仿宋_GB2312" w:eastAsia="仿宋_GB2312" w:cs="仿宋_GB2312"/>
          <w:color w:val="000000"/>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sz w:val="32"/>
          <w:szCs w:val="32"/>
        </w:rPr>
        <w:t>年本年支出合计264.74万元，其中：基本支出</w:t>
      </w:r>
      <w:r>
        <w:rPr>
          <w:rFonts w:hint="eastAsia" w:ascii="仿宋" w:hAnsi="仿宋" w:eastAsia="仿宋"/>
          <w:sz w:val="32"/>
          <w:szCs w:val="32"/>
          <w:lang w:val="en-US" w:eastAsia="zh-CN"/>
        </w:rPr>
        <w:t>191.07</w:t>
      </w:r>
      <w:r>
        <w:rPr>
          <w:rFonts w:hint="eastAsia" w:ascii="仿宋" w:hAnsi="仿宋" w:eastAsia="仿宋"/>
          <w:sz w:val="32"/>
          <w:szCs w:val="32"/>
        </w:rPr>
        <w:t>万元，占</w:t>
      </w:r>
      <w:r>
        <w:rPr>
          <w:rFonts w:hint="eastAsia" w:ascii="仿宋" w:hAnsi="仿宋" w:eastAsia="仿宋"/>
          <w:sz w:val="32"/>
          <w:szCs w:val="32"/>
          <w:lang w:val="en-US" w:eastAsia="zh-CN"/>
        </w:rPr>
        <w:t>72.17</w:t>
      </w:r>
      <w:r>
        <w:rPr>
          <w:rFonts w:ascii="仿宋" w:hAnsi="仿宋" w:eastAsia="仿宋"/>
          <w:sz w:val="32"/>
          <w:szCs w:val="32"/>
        </w:rPr>
        <w:t>%</w:t>
      </w:r>
      <w:r>
        <w:rPr>
          <w:rFonts w:hint="eastAsia" w:ascii="仿宋" w:hAnsi="仿宋" w:eastAsia="仿宋"/>
          <w:sz w:val="32"/>
          <w:szCs w:val="32"/>
        </w:rPr>
        <w:t>；项目支出73.67万元，占</w:t>
      </w:r>
      <w:r>
        <w:rPr>
          <w:rFonts w:hint="eastAsia" w:ascii="仿宋" w:hAnsi="仿宋" w:eastAsia="仿宋"/>
          <w:sz w:val="32"/>
          <w:szCs w:val="32"/>
          <w:lang w:val="en-US" w:eastAsia="zh-CN"/>
        </w:rPr>
        <w:t>27.73</w:t>
      </w:r>
      <w:r>
        <w:rPr>
          <w:rFonts w:ascii="仿宋" w:hAnsi="仿宋" w:eastAsia="仿宋"/>
          <w:sz w:val="32"/>
          <w:szCs w:val="32"/>
        </w:rPr>
        <w:t>%</w:t>
      </w:r>
      <w:r>
        <w:rPr>
          <w:rFonts w:hint="eastAsia" w:ascii="仿宋_GB2312" w:hAnsi="仿宋_GB2312" w:eastAsia="仿宋_GB2312" w:cs="仿宋_GB2312"/>
          <w:color w:val="000000"/>
          <w:sz w:val="32"/>
          <w:szCs w:val="32"/>
        </w:rPr>
        <w:t>。</w:t>
      </w:r>
    </w:p>
    <w:p w14:paraId="24E1FCF5">
      <w:pPr>
        <w:numPr>
          <w:ilvl w:val="0"/>
          <w:numId w:val="4"/>
        </w:numPr>
        <w:autoSpaceDE w:val="0"/>
        <w:autoSpaceDN w:val="0"/>
        <w:adjustRightInd w:val="0"/>
        <w:spacing w:line="554" w:lineRule="exact"/>
        <w:ind w:firstLine="643" w:firstLineChars="200"/>
        <w:jc w:val="left"/>
        <w:outlineLvl w:val="2"/>
        <w:rPr>
          <w:rFonts w:ascii="仿宋" w:hAnsi="仿宋" w:eastAsia="仿宋"/>
          <w:b/>
          <w:sz w:val="32"/>
          <w:szCs w:val="32"/>
          <w:lang w:val="zh-CN"/>
        </w:rPr>
      </w:pPr>
      <w:r>
        <w:rPr>
          <w:rFonts w:ascii="仿宋" w:hAnsi="仿宋" w:eastAsia="仿宋"/>
          <w:b/>
          <w:sz w:val="32"/>
          <w:szCs w:val="32"/>
          <w:lang w:val="zh-CN"/>
        </w:rPr>
        <w:t>部门预算绩效分析</w:t>
      </w:r>
    </w:p>
    <w:p w14:paraId="5B50B67A">
      <w:pPr>
        <w:autoSpaceDE w:val="0"/>
        <w:autoSpaceDN w:val="0"/>
        <w:adjustRightInd w:val="0"/>
        <w:spacing w:line="554" w:lineRule="exact"/>
        <w:ind w:firstLine="643" w:firstLineChars="200"/>
        <w:jc w:val="left"/>
        <w:outlineLvl w:val="2"/>
        <w:rPr>
          <w:rFonts w:ascii="仿宋" w:hAnsi="仿宋" w:eastAsia="仿宋"/>
          <w:b/>
          <w:sz w:val="32"/>
          <w:szCs w:val="32"/>
          <w:lang w:val="zh-CN"/>
        </w:rPr>
      </w:pPr>
      <w:r>
        <w:rPr>
          <w:rFonts w:ascii="仿宋" w:hAnsi="仿宋" w:eastAsia="仿宋"/>
          <w:b/>
          <w:sz w:val="32"/>
          <w:szCs w:val="32"/>
          <w:lang w:val="zh-CN"/>
        </w:rPr>
        <w:t>（一）</w:t>
      </w:r>
      <w:r>
        <w:rPr>
          <w:rFonts w:hint="eastAsia" w:ascii="仿宋" w:hAnsi="仿宋" w:eastAsia="仿宋"/>
          <w:b/>
          <w:sz w:val="32"/>
          <w:szCs w:val="32"/>
          <w:lang w:val="zh-CN"/>
        </w:rPr>
        <w:t>部门预算</w:t>
      </w:r>
      <w:r>
        <w:rPr>
          <w:rFonts w:ascii="仿宋" w:hAnsi="仿宋" w:eastAsia="仿宋"/>
          <w:b/>
          <w:sz w:val="32"/>
          <w:szCs w:val="32"/>
          <w:lang w:val="zh-CN"/>
        </w:rPr>
        <w:t>总体绩效分析</w:t>
      </w:r>
    </w:p>
    <w:p w14:paraId="669F5EE2">
      <w:pPr>
        <w:autoSpaceDE w:val="0"/>
        <w:autoSpaceDN w:val="0"/>
        <w:adjustRightInd w:val="0"/>
        <w:spacing w:line="554" w:lineRule="exact"/>
        <w:ind w:firstLine="964" w:firstLineChars="300"/>
        <w:jc w:val="left"/>
        <w:outlineLvl w:val="2"/>
        <w:rPr>
          <w:rFonts w:ascii="仿宋" w:hAnsi="仿宋" w:eastAsia="仿宋"/>
          <w:b/>
          <w:sz w:val="32"/>
          <w:szCs w:val="32"/>
          <w:lang w:val="zh-CN"/>
        </w:rPr>
      </w:pPr>
      <w:r>
        <w:rPr>
          <w:rFonts w:hint="eastAsia" w:ascii="仿宋" w:hAnsi="仿宋" w:eastAsia="仿宋"/>
          <w:b/>
          <w:sz w:val="32"/>
          <w:szCs w:val="32"/>
          <w:lang w:val="zh-CN"/>
        </w:rPr>
        <w:t>1.履职效能</w:t>
      </w:r>
    </w:p>
    <w:p w14:paraId="31DB9DB7">
      <w:pPr>
        <w:spacing w:line="554" w:lineRule="exact"/>
        <w:ind w:left="210" w:leftChars="100" w:firstLine="800" w:firstLineChars="250"/>
        <w:jc w:val="left"/>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年，在区委、区政府的坚强领导下海龙凯歌园区</w:t>
      </w:r>
      <w:r>
        <w:rPr>
          <w:rFonts w:hint="eastAsia" w:ascii="仿宋" w:hAnsi="仿宋" w:eastAsia="仿宋"/>
          <w:sz w:val="32"/>
          <w:szCs w:val="32"/>
        </w:rPr>
        <w:t>贯彻党的路线、方针、政策和上级党委的决议、指示，全面推进党的政治建设、思想建设、组织建设、作风建设、纪律建设，把制度建设贯穿其中;研究园区内重大经济社会发展问题;负责园区党的组织、思想、党风廉政、纪律检查、意识形态工作和领导班子建设;负责园区宣传和精神文明建设工作;负责园区机构编制、干部人事管理工作;负责园区工会、共青团、妇联等群团工作;完成区委交办的其他任务。</w:t>
      </w:r>
      <w:r>
        <w:rPr>
          <w:rFonts w:ascii="仿宋" w:hAnsi="仿宋" w:eastAsia="仿宋" w:cs="仿宋"/>
          <w:sz w:val="32"/>
          <w:szCs w:val="32"/>
        </w:rPr>
        <w:t>全年人员经费支出</w:t>
      </w:r>
      <w:r>
        <w:rPr>
          <w:rFonts w:hint="eastAsia" w:ascii="仿宋" w:hAnsi="仿宋" w:eastAsia="仿宋" w:cs="仿宋"/>
          <w:sz w:val="32"/>
          <w:szCs w:val="32"/>
          <w:lang w:val="en-US" w:eastAsia="zh-CN"/>
        </w:rPr>
        <w:t>168.44</w:t>
      </w:r>
      <w:r>
        <w:rPr>
          <w:rFonts w:hint="eastAsia" w:ascii="仿宋" w:hAnsi="仿宋" w:eastAsia="仿宋" w:cs="仿宋"/>
          <w:sz w:val="32"/>
          <w:szCs w:val="32"/>
        </w:rPr>
        <w:t>万元，每月按时发放工资、津贴补贴、缴纳住房公积金和基本养老保险、医保金等社会保险缴费,缴纳覆盖率和足额率均达到100%；公用经费支出</w:t>
      </w:r>
      <w:r>
        <w:rPr>
          <w:rFonts w:hint="eastAsia" w:ascii="仿宋" w:hAnsi="仿宋" w:eastAsia="仿宋" w:cs="仿宋"/>
          <w:sz w:val="32"/>
          <w:szCs w:val="32"/>
          <w:lang w:val="en-US" w:eastAsia="zh-CN"/>
        </w:rPr>
        <w:t>21.94</w:t>
      </w:r>
      <w:r>
        <w:rPr>
          <w:rFonts w:hint="eastAsia" w:ascii="仿宋" w:hAnsi="仿宋" w:eastAsia="仿宋" w:cs="仿宋"/>
          <w:sz w:val="32"/>
          <w:szCs w:val="32"/>
        </w:rPr>
        <w:t>万元，及时支付履行职能所需的日常开支，保障机关的正常运行，运转保障率达到100%；项目支出</w:t>
      </w:r>
      <w:r>
        <w:rPr>
          <w:rFonts w:hint="eastAsia" w:ascii="仿宋" w:hAnsi="仿宋" w:eastAsia="仿宋" w:cs="仿宋"/>
          <w:sz w:val="32"/>
          <w:szCs w:val="32"/>
          <w:lang w:val="en-US" w:eastAsia="zh-CN"/>
        </w:rPr>
        <w:t>73.67</w:t>
      </w:r>
      <w:r>
        <w:rPr>
          <w:rFonts w:hint="eastAsia" w:ascii="仿宋" w:hAnsi="仿宋" w:eastAsia="仿宋" w:cs="仿宋"/>
          <w:sz w:val="32"/>
          <w:szCs w:val="32"/>
        </w:rPr>
        <w:t>万元，保障了园区各个项目的顺利实施，促进了全镇社会经济发展，人民群众生活水平及满意度进一步的提升。</w:t>
      </w:r>
    </w:p>
    <w:p w14:paraId="6A50AE00">
      <w:pPr>
        <w:autoSpaceDE w:val="0"/>
        <w:autoSpaceDN w:val="0"/>
        <w:adjustRightInd w:val="0"/>
        <w:spacing w:line="554" w:lineRule="exact"/>
        <w:ind w:firstLine="964" w:firstLineChars="300"/>
        <w:jc w:val="left"/>
        <w:outlineLvl w:val="2"/>
        <w:rPr>
          <w:rFonts w:ascii="仿宋" w:hAnsi="仿宋" w:eastAsia="仿宋"/>
          <w:b/>
          <w:sz w:val="32"/>
          <w:szCs w:val="32"/>
          <w:lang w:val="zh-CN"/>
        </w:rPr>
      </w:pPr>
      <w:r>
        <w:rPr>
          <w:rFonts w:hint="eastAsia" w:ascii="仿宋" w:hAnsi="仿宋" w:eastAsia="仿宋"/>
          <w:b/>
          <w:sz w:val="32"/>
          <w:szCs w:val="32"/>
          <w:lang w:val="zh-CN"/>
        </w:rPr>
        <w:t>2.预算管理</w:t>
      </w:r>
    </w:p>
    <w:p w14:paraId="39B187B1">
      <w:pPr>
        <w:adjustRightInd w:val="0"/>
        <w:snapToGrid w:val="0"/>
        <w:spacing w:line="554" w:lineRule="exact"/>
        <w:ind w:firstLine="640" w:firstLineChars="200"/>
        <w:contextualSpacing/>
        <w:jc w:val="left"/>
        <w:rPr>
          <w:rFonts w:ascii="楷体_GB2312" w:hAnsi="楷体_GB2312" w:eastAsia="楷体_GB2312" w:cs="楷体_GB2312"/>
          <w:color w:val="0000FF"/>
          <w:kern w:val="0"/>
          <w:sz w:val="32"/>
          <w:szCs w:val="32"/>
          <w:shd w:val="clear" w:color="auto" w:fill="FFFFFF"/>
          <w:lang w:val="zh-CN"/>
        </w:rPr>
      </w:pPr>
      <w:r>
        <w:rPr>
          <w:rFonts w:hint="eastAsia" w:ascii="仿宋" w:hAnsi="仿宋" w:eastAsia="仿宋" w:cs="仿宋"/>
          <w:sz w:val="32"/>
          <w:szCs w:val="32"/>
          <w:lang w:val="zh-CN"/>
        </w:rPr>
        <w:t>海龙凯歌园区</w:t>
      </w:r>
      <w:r>
        <w:rPr>
          <w:rFonts w:hint="eastAsia" w:ascii="仿宋" w:hAnsi="仿宋" w:eastAsia="仿宋" w:cs="仿宋"/>
          <w:sz w:val="32"/>
          <w:szCs w:val="32"/>
        </w:rPr>
        <w:t>严格按照</w:t>
      </w:r>
      <w:r>
        <w:rPr>
          <w:rFonts w:hint="eastAsia" w:ascii="仿宋" w:hAnsi="仿宋" w:eastAsia="仿宋" w:cs="仿宋"/>
          <w:sz w:val="32"/>
          <w:szCs w:val="32"/>
          <w:lang w:eastAsia="zh-CN"/>
        </w:rPr>
        <w:t>《中华人民共和国预算法》</w:t>
      </w:r>
      <w:r>
        <w:rPr>
          <w:rFonts w:hint="eastAsia" w:ascii="仿宋" w:hAnsi="仿宋" w:eastAsia="仿宋" w:cs="仿宋"/>
          <w:sz w:val="32"/>
          <w:szCs w:val="32"/>
        </w:rPr>
        <w:t>和区财政局202</w:t>
      </w:r>
      <w:r>
        <w:rPr>
          <w:rFonts w:hint="eastAsia" w:ascii="仿宋" w:hAnsi="仿宋" w:eastAsia="仿宋" w:cs="仿宋"/>
          <w:sz w:val="32"/>
          <w:szCs w:val="32"/>
          <w:lang w:val="en-US" w:eastAsia="zh-CN"/>
        </w:rPr>
        <w:t>4</w:t>
      </w:r>
      <w:r>
        <w:rPr>
          <w:rFonts w:hint="eastAsia" w:ascii="仿宋" w:hAnsi="仿宋" w:eastAsia="仿宋" w:cs="仿宋"/>
          <w:sz w:val="32"/>
          <w:szCs w:val="32"/>
        </w:rPr>
        <w:t>年部门预算编制口径, 结合年度工作任务安排编制预算。202</w:t>
      </w:r>
      <w:r>
        <w:rPr>
          <w:rFonts w:hint="eastAsia" w:ascii="仿宋" w:hAnsi="仿宋" w:eastAsia="仿宋" w:cs="仿宋"/>
          <w:sz w:val="32"/>
          <w:szCs w:val="32"/>
          <w:lang w:val="en-US" w:eastAsia="zh-CN"/>
        </w:rPr>
        <w:t>4</w:t>
      </w:r>
      <w:r>
        <w:rPr>
          <w:rFonts w:hint="eastAsia" w:ascii="仿宋" w:hAnsi="仿宋" w:eastAsia="仿宋" w:cs="仿宋"/>
          <w:sz w:val="32"/>
          <w:szCs w:val="32"/>
        </w:rPr>
        <w:t>年收入总计</w:t>
      </w:r>
      <w:r>
        <w:rPr>
          <w:rFonts w:hint="eastAsia" w:ascii="仿宋" w:hAnsi="仿宋" w:eastAsia="仿宋" w:cs="仿宋"/>
          <w:sz w:val="32"/>
          <w:szCs w:val="32"/>
          <w:lang w:val="en-US" w:eastAsia="zh-CN"/>
        </w:rPr>
        <w:t>264.74</w:t>
      </w:r>
      <w:r>
        <w:rPr>
          <w:rFonts w:hint="eastAsia" w:ascii="仿宋" w:hAnsi="仿宋" w:eastAsia="仿宋" w:cs="仿宋"/>
          <w:sz w:val="32"/>
          <w:szCs w:val="32"/>
        </w:rPr>
        <w:t>万元，完成全年预算100%，年末无结转结余，</w:t>
      </w:r>
      <w:r>
        <w:rPr>
          <w:rFonts w:ascii="仿宋" w:hAnsi="仿宋" w:eastAsia="仿宋" w:cs="仿宋"/>
          <w:sz w:val="32"/>
          <w:szCs w:val="32"/>
        </w:rPr>
        <w:t xml:space="preserve"> 一般性支出</w:t>
      </w:r>
      <w:r>
        <w:rPr>
          <w:rFonts w:hint="eastAsia" w:ascii="仿宋" w:hAnsi="仿宋" w:eastAsia="仿宋" w:cs="仿宋"/>
          <w:sz w:val="32"/>
          <w:szCs w:val="32"/>
        </w:rPr>
        <w:t>264.74万元，支出控制率100%。</w:t>
      </w:r>
    </w:p>
    <w:p w14:paraId="5FAB6587">
      <w:pPr>
        <w:autoSpaceDE w:val="0"/>
        <w:autoSpaceDN w:val="0"/>
        <w:adjustRightInd w:val="0"/>
        <w:spacing w:line="554" w:lineRule="exact"/>
        <w:ind w:firstLine="964" w:firstLineChars="300"/>
        <w:jc w:val="left"/>
        <w:outlineLvl w:val="2"/>
        <w:rPr>
          <w:rFonts w:ascii="仿宋" w:hAnsi="仿宋" w:eastAsia="仿宋"/>
          <w:b/>
          <w:sz w:val="32"/>
          <w:szCs w:val="32"/>
          <w:lang w:val="zh-CN"/>
        </w:rPr>
      </w:pPr>
      <w:r>
        <w:rPr>
          <w:rFonts w:hint="eastAsia" w:ascii="仿宋" w:hAnsi="仿宋" w:eastAsia="仿宋"/>
          <w:b/>
          <w:sz w:val="32"/>
          <w:szCs w:val="32"/>
          <w:lang w:val="zh-CN"/>
        </w:rPr>
        <w:t>3.财务管理</w:t>
      </w:r>
    </w:p>
    <w:p w14:paraId="6ACC9DDD">
      <w:pPr>
        <w:adjustRightInd w:val="0"/>
        <w:snapToGrid w:val="0"/>
        <w:spacing w:line="554" w:lineRule="exact"/>
        <w:ind w:firstLine="640" w:firstLineChars="200"/>
        <w:contextualSpacing/>
        <w:jc w:val="left"/>
        <w:rPr>
          <w:rFonts w:ascii="仿宋" w:hAnsi="仿宋" w:eastAsia="仿宋" w:cs="仿宋"/>
          <w:sz w:val="32"/>
          <w:szCs w:val="32"/>
        </w:rPr>
      </w:pPr>
      <w:r>
        <w:rPr>
          <w:rFonts w:ascii="仿宋" w:hAnsi="仿宋" w:eastAsia="仿宋" w:cs="仿宋"/>
          <w:sz w:val="32"/>
          <w:szCs w:val="32"/>
        </w:rPr>
        <w:t>202</w:t>
      </w:r>
      <w:r>
        <w:rPr>
          <w:rFonts w:hint="eastAsia" w:ascii="仿宋" w:hAnsi="仿宋" w:eastAsia="仿宋" w:cs="仿宋"/>
          <w:sz w:val="32"/>
          <w:szCs w:val="32"/>
          <w:lang w:val="en-US" w:eastAsia="zh-CN"/>
        </w:rPr>
        <w:t>4</w:t>
      </w:r>
      <w:r>
        <w:rPr>
          <w:rFonts w:ascii="仿宋" w:hAnsi="仿宋" w:eastAsia="仿宋" w:cs="仿宋"/>
          <w:sz w:val="32"/>
          <w:szCs w:val="32"/>
        </w:rPr>
        <w:t>年所有资金实行专款专用。项目支出均有相关的授权审批，资金拨付严格审批程序，使用规范，会计核算结果真实、准确。</w:t>
      </w:r>
    </w:p>
    <w:p w14:paraId="3CA5C9A6">
      <w:pPr>
        <w:autoSpaceDE w:val="0"/>
        <w:autoSpaceDN w:val="0"/>
        <w:adjustRightInd w:val="0"/>
        <w:spacing w:line="554" w:lineRule="exact"/>
        <w:ind w:firstLine="964" w:firstLineChars="300"/>
        <w:jc w:val="left"/>
        <w:outlineLvl w:val="2"/>
        <w:rPr>
          <w:rFonts w:ascii="仿宋" w:hAnsi="仿宋" w:eastAsia="仿宋"/>
          <w:b/>
          <w:sz w:val="32"/>
          <w:szCs w:val="32"/>
          <w:lang w:val="zh-CN"/>
        </w:rPr>
      </w:pPr>
      <w:r>
        <w:rPr>
          <w:rFonts w:hint="eastAsia" w:ascii="仿宋" w:hAnsi="仿宋" w:eastAsia="仿宋"/>
          <w:b/>
          <w:sz w:val="32"/>
          <w:szCs w:val="32"/>
          <w:lang w:val="zh-CN"/>
        </w:rPr>
        <w:t>4.资产管理</w:t>
      </w:r>
    </w:p>
    <w:p w14:paraId="7BEED148">
      <w:pPr>
        <w:adjustRightInd w:val="0"/>
        <w:snapToGrid w:val="0"/>
        <w:spacing w:line="554" w:lineRule="exact"/>
        <w:ind w:firstLine="640" w:firstLineChars="200"/>
        <w:contextualSpacing/>
        <w:jc w:val="left"/>
        <w:rPr>
          <w:rFonts w:ascii="仿宋" w:hAnsi="仿宋" w:eastAsia="仿宋" w:cs="仿宋"/>
          <w:sz w:val="32"/>
          <w:szCs w:val="32"/>
        </w:rPr>
      </w:pPr>
      <w:r>
        <w:rPr>
          <w:rFonts w:hint="eastAsia" w:ascii="仿宋" w:hAnsi="仿宋" w:eastAsia="仿宋" w:cs="仿宋"/>
          <w:sz w:val="32"/>
          <w:szCs w:val="32"/>
          <w:lang w:val="zh-CN"/>
        </w:rPr>
        <w:t>202</w:t>
      </w:r>
      <w:r>
        <w:rPr>
          <w:rFonts w:hint="eastAsia" w:ascii="仿宋" w:hAnsi="仿宋" w:eastAsia="仿宋" w:cs="仿宋"/>
          <w:sz w:val="32"/>
          <w:szCs w:val="32"/>
          <w:lang w:val="en-US" w:eastAsia="zh-CN"/>
        </w:rPr>
        <w:t>4</w:t>
      </w:r>
      <w:r>
        <w:rPr>
          <w:rFonts w:hint="eastAsia" w:ascii="仿宋" w:hAnsi="仿宋" w:eastAsia="仿宋" w:cs="仿宋"/>
          <w:sz w:val="32"/>
          <w:szCs w:val="32"/>
          <w:lang w:val="zh-CN"/>
        </w:rPr>
        <w:t>年，海龙凯歌园区严格按照有关规定管理固定资产。资产管理工作程序规范，会计核算结果真实、</w:t>
      </w:r>
      <w:r>
        <w:rPr>
          <w:rFonts w:ascii="仿宋" w:hAnsi="仿宋" w:eastAsia="仿宋" w:cs="仿宋"/>
          <w:sz w:val="32"/>
          <w:szCs w:val="32"/>
        </w:rPr>
        <w:t>准确。</w:t>
      </w:r>
      <w:r>
        <w:rPr>
          <w:rFonts w:hint="eastAsia" w:ascii="仿宋" w:hAnsi="仿宋" w:eastAsia="仿宋" w:cs="仿宋"/>
          <w:sz w:val="32"/>
          <w:szCs w:val="32"/>
        </w:rPr>
        <w:t>资产配置合理、保管完善，并按要求进行资产盘点。</w:t>
      </w:r>
    </w:p>
    <w:p w14:paraId="61046280">
      <w:pPr>
        <w:autoSpaceDE w:val="0"/>
        <w:autoSpaceDN w:val="0"/>
        <w:adjustRightInd w:val="0"/>
        <w:spacing w:line="554" w:lineRule="exact"/>
        <w:ind w:firstLine="964" w:firstLineChars="300"/>
        <w:jc w:val="left"/>
        <w:outlineLvl w:val="2"/>
        <w:rPr>
          <w:rFonts w:ascii="仿宋" w:hAnsi="仿宋" w:eastAsia="仿宋"/>
          <w:b/>
          <w:sz w:val="32"/>
          <w:szCs w:val="32"/>
          <w:lang w:val="zh-CN"/>
        </w:rPr>
      </w:pPr>
      <w:r>
        <w:rPr>
          <w:rFonts w:hint="eastAsia" w:ascii="仿宋" w:hAnsi="仿宋" w:eastAsia="仿宋"/>
          <w:b/>
          <w:sz w:val="32"/>
          <w:szCs w:val="32"/>
          <w:lang w:val="zh-CN"/>
        </w:rPr>
        <w:t>5.采购管理</w:t>
      </w:r>
    </w:p>
    <w:p w14:paraId="699F4C38">
      <w:pPr>
        <w:adjustRightInd w:val="0"/>
        <w:snapToGrid w:val="0"/>
        <w:spacing w:line="554" w:lineRule="exact"/>
        <w:ind w:firstLine="640" w:firstLineChars="200"/>
        <w:contextualSpacing/>
        <w:jc w:val="left"/>
        <w:rPr>
          <w:rFonts w:ascii="仿宋" w:hAnsi="仿宋" w:eastAsia="仿宋" w:cs="仿宋"/>
          <w:sz w:val="32"/>
          <w:szCs w:val="32"/>
        </w:rPr>
      </w:pPr>
      <w:r>
        <w:rPr>
          <w:rFonts w:hint="eastAsia" w:ascii="仿宋" w:hAnsi="仿宋" w:eastAsia="仿宋" w:cs="仿宋"/>
          <w:sz w:val="32"/>
          <w:szCs w:val="32"/>
          <w:lang w:val="zh-CN"/>
        </w:rPr>
        <w:t>海龙凯歌园区围绕支持中小企业发展，202</w:t>
      </w:r>
      <w:r>
        <w:rPr>
          <w:rFonts w:hint="eastAsia" w:ascii="仿宋" w:hAnsi="仿宋" w:eastAsia="仿宋" w:cs="仿宋"/>
          <w:sz w:val="32"/>
          <w:szCs w:val="32"/>
          <w:lang w:val="en-US" w:eastAsia="zh-CN"/>
        </w:rPr>
        <w:t>4</w:t>
      </w:r>
      <w:r>
        <w:rPr>
          <w:rFonts w:hint="eastAsia" w:ascii="仿宋" w:hAnsi="仿宋" w:eastAsia="仿宋" w:cs="仿宋"/>
          <w:sz w:val="32"/>
          <w:szCs w:val="32"/>
          <w:lang w:val="zh-CN"/>
        </w:rPr>
        <w:t>年度政府采购支出总额0万元，授予中小企业合同金额0万元，占政府采购支出总额的100%。围绕支持中小企业发展、采购执行率进行绩效分析</w:t>
      </w:r>
      <w:r>
        <w:rPr>
          <w:rFonts w:hint="eastAsia" w:ascii="仿宋" w:hAnsi="仿宋" w:eastAsia="仿宋" w:cs="仿宋"/>
          <w:sz w:val="32"/>
          <w:szCs w:val="32"/>
        </w:rPr>
        <w:t>。</w:t>
      </w:r>
    </w:p>
    <w:p w14:paraId="34AAD71D">
      <w:pPr>
        <w:adjustRightInd w:val="0"/>
        <w:snapToGrid w:val="0"/>
        <w:spacing w:line="554" w:lineRule="exact"/>
        <w:ind w:firstLine="643" w:firstLineChars="200"/>
        <w:contextualSpacing/>
        <w:jc w:val="left"/>
        <w:rPr>
          <w:rFonts w:eastAsia="仿宋_GB2312"/>
          <w:sz w:val="32"/>
          <w:szCs w:val="32"/>
        </w:rPr>
      </w:pPr>
      <w:r>
        <w:rPr>
          <w:rFonts w:eastAsia="楷体_GB2312"/>
          <w:b/>
          <w:bCs/>
          <w:kern w:val="0"/>
          <w:sz w:val="32"/>
          <w:szCs w:val="32"/>
          <w:shd w:val="clear" w:color="auto" w:fill="FFFFFF"/>
          <w:lang w:val="zh-CN"/>
        </w:rPr>
        <w:t>（二）部门预算项目绩效分析</w:t>
      </w:r>
    </w:p>
    <w:p w14:paraId="07615152">
      <w:pPr>
        <w:adjustRightInd w:val="0"/>
        <w:snapToGrid w:val="0"/>
        <w:spacing w:line="554" w:lineRule="exact"/>
        <w:ind w:firstLine="640" w:firstLineChars="200"/>
        <w:contextualSpacing/>
        <w:jc w:val="left"/>
        <w:rPr>
          <w:rFonts w:ascii="仿宋" w:hAnsi="仿宋" w:eastAsia="仿宋" w:cs="仿宋"/>
          <w:sz w:val="32"/>
          <w:szCs w:val="32"/>
          <w:lang w:val="zh-CN"/>
        </w:rPr>
      </w:pPr>
      <w:r>
        <w:rPr>
          <w:rFonts w:hint="eastAsia" w:ascii="仿宋" w:hAnsi="仿宋" w:eastAsia="仿宋" w:cs="仿宋"/>
          <w:sz w:val="32"/>
          <w:szCs w:val="32"/>
          <w:lang w:val="zh-CN"/>
        </w:rPr>
        <w:t xml:space="preserve">常年项目绩效分析。该类项目总数 </w:t>
      </w:r>
      <w:r>
        <w:rPr>
          <w:rFonts w:hint="eastAsia" w:ascii="仿宋" w:hAnsi="仿宋" w:eastAsia="仿宋" w:cs="仿宋"/>
          <w:sz w:val="32"/>
          <w:szCs w:val="32"/>
          <w:lang w:val="en-US" w:eastAsia="zh-CN"/>
        </w:rPr>
        <w:t>4</w:t>
      </w:r>
      <w:r>
        <w:rPr>
          <w:rFonts w:hint="eastAsia" w:ascii="仿宋" w:hAnsi="仿宋" w:eastAsia="仿宋" w:cs="仿宋"/>
          <w:sz w:val="32"/>
          <w:szCs w:val="32"/>
          <w:lang w:val="zh-CN"/>
        </w:rPr>
        <w:t>个，涉及预算总金额</w:t>
      </w:r>
      <w:r>
        <w:rPr>
          <w:rFonts w:hint="eastAsia" w:ascii="仿宋" w:hAnsi="仿宋" w:eastAsia="仿宋" w:cs="仿宋"/>
          <w:sz w:val="32"/>
          <w:szCs w:val="32"/>
          <w:lang w:val="en-US" w:eastAsia="zh-CN"/>
        </w:rPr>
        <w:t>73.67</w:t>
      </w:r>
      <w:r>
        <w:rPr>
          <w:rFonts w:hint="eastAsia" w:ascii="仿宋" w:hAnsi="仿宋" w:eastAsia="仿宋" w:cs="仿宋"/>
          <w:sz w:val="32"/>
          <w:szCs w:val="32"/>
          <w:lang w:val="zh-CN"/>
        </w:rPr>
        <w:t>万元，1—12月预算执行总体进度为 100 %，其中：预算结余率大于10%的项目共计 0个。</w:t>
      </w:r>
    </w:p>
    <w:p w14:paraId="47799171">
      <w:pPr>
        <w:adjustRightInd w:val="0"/>
        <w:snapToGrid w:val="0"/>
        <w:spacing w:line="554" w:lineRule="exact"/>
        <w:ind w:firstLine="640" w:firstLineChars="200"/>
        <w:contextualSpacing/>
        <w:jc w:val="left"/>
        <w:rPr>
          <w:rFonts w:ascii="仿宋" w:hAnsi="仿宋" w:eastAsia="仿宋" w:cs="仿宋"/>
          <w:sz w:val="32"/>
          <w:szCs w:val="32"/>
        </w:rPr>
      </w:pPr>
      <w:r>
        <w:rPr>
          <w:rFonts w:hint="eastAsia" w:ascii="楷体_GB2312" w:hAnsi="楷体_GB2312" w:eastAsia="楷体_GB2312" w:cs="楷体_GB2312"/>
          <w:kern w:val="0"/>
          <w:sz w:val="32"/>
          <w:szCs w:val="32"/>
          <w:shd w:val="clear" w:color="auto" w:fill="FFFFFF"/>
        </w:rPr>
        <w:t>1.</w:t>
      </w:r>
      <w:r>
        <w:rPr>
          <w:rFonts w:hint="eastAsia" w:ascii="楷体_GB2312" w:hAnsi="楷体_GB2312" w:eastAsia="楷体_GB2312" w:cs="楷体_GB2312"/>
          <w:kern w:val="0"/>
          <w:sz w:val="32"/>
          <w:szCs w:val="32"/>
          <w:shd w:val="clear" w:color="auto" w:fill="FFFFFF"/>
          <w:lang w:val="zh-CN"/>
        </w:rPr>
        <w:t>项目决策：</w:t>
      </w: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年，根据区财政要求，将部门整体的绩效目标细化分解为具体量化的项目，设立了项目绩效目标，目标明确、细化、量化，与部门年度的任务数或计划数相对应，与本年度部门预算资金相匹配</w:t>
      </w:r>
      <w:r>
        <w:rPr>
          <w:rFonts w:ascii="仿宋" w:hAnsi="仿宋" w:eastAsia="仿宋" w:cs="仿宋"/>
          <w:sz w:val="32"/>
          <w:szCs w:val="32"/>
        </w:rPr>
        <w:t>。</w:t>
      </w:r>
    </w:p>
    <w:p w14:paraId="03BF4E4B">
      <w:pPr>
        <w:adjustRightInd w:val="0"/>
        <w:snapToGrid w:val="0"/>
        <w:spacing w:line="554" w:lineRule="exact"/>
        <w:ind w:firstLine="640" w:firstLineChars="200"/>
        <w:contextualSpacing/>
        <w:jc w:val="left"/>
        <w:rPr>
          <w:szCs w:val="32"/>
        </w:rPr>
      </w:pPr>
      <w:r>
        <w:rPr>
          <w:rFonts w:hint="eastAsia" w:ascii="楷体_GB2312" w:hAnsi="楷体_GB2312" w:eastAsia="楷体_GB2312" w:cs="楷体_GB2312"/>
          <w:kern w:val="0"/>
          <w:sz w:val="32"/>
          <w:szCs w:val="32"/>
          <w:shd w:val="clear" w:color="auto" w:fill="FFFFFF"/>
        </w:rPr>
        <w:t>2.项目执行：</w:t>
      </w: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海龙凯歌园区各个项目经费严格按照年初设定的目标方向管理和使用，途中未进行项目预算的调整；所有项目支出符合国家财经法规和财务管理制度规定以及有关专项资金管理办法的规定；资金的拨付有完整的审批程序和手续，不存在截留、挤占、挪用、虚列支出等情况</w:t>
      </w:r>
      <w:r>
        <w:rPr>
          <w:szCs w:val="32"/>
        </w:rPr>
        <w:t>。</w:t>
      </w:r>
    </w:p>
    <w:p w14:paraId="430157E4">
      <w:pPr>
        <w:adjustRightInd w:val="0"/>
        <w:snapToGrid w:val="0"/>
        <w:spacing w:line="554" w:lineRule="exact"/>
        <w:ind w:firstLine="640" w:firstLineChars="200"/>
        <w:contextualSpacing/>
        <w:jc w:val="left"/>
        <w:rPr>
          <w:rFonts w:eastAsia="楷体_GB2312"/>
          <w:color w:val="0000FF"/>
          <w:sz w:val="32"/>
          <w:szCs w:val="32"/>
          <w:lang w:bidi="ar"/>
        </w:rPr>
      </w:pPr>
      <w:r>
        <w:rPr>
          <w:rFonts w:hint="eastAsia" w:ascii="楷体_GB2312" w:hAnsi="楷体_GB2312" w:eastAsia="楷体_GB2312" w:cs="楷体_GB2312"/>
          <w:kern w:val="0"/>
          <w:sz w:val="32"/>
          <w:szCs w:val="32"/>
          <w:shd w:val="clear" w:color="auto" w:fill="FFFFFF"/>
        </w:rPr>
        <w:t>3.</w:t>
      </w:r>
      <w:r>
        <w:rPr>
          <w:rFonts w:hint="eastAsia" w:ascii="楷体_GB2312" w:hAnsi="楷体_GB2312" w:eastAsia="楷体_GB2312" w:cs="楷体_GB2312"/>
          <w:kern w:val="0"/>
          <w:sz w:val="32"/>
          <w:szCs w:val="32"/>
          <w:shd w:val="clear" w:color="auto" w:fill="FFFFFF"/>
          <w:lang w:val="zh-CN"/>
        </w:rPr>
        <w:t>目标实现：</w:t>
      </w:r>
      <w:r>
        <w:rPr>
          <w:rFonts w:hint="eastAsia" w:ascii="仿宋" w:hAnsi="仿宋" w:eastAsia="仿宋" w:cs="仿宋"/>
          <w:sz w:val="32"/>
          <w:szCs w:val="32"/>
        </w:rPr>
        <w:t>海龙凯歌园区</w:t>
      </w:r>
      <w:r>
        <w:rPr>
          <w:rFonts w:ascii="仿宋" w:hAnsi="仿宋" w:eastAsia="仿宋" w:cs="仿宋"/>
          <w:sz w:val="32"/>
          <w:szCs w:val="32"/>
        </w:rPr>
        <w:t>202</w:t>
      </w:r>
      <w:r>
        <w:rPr>
          <w:rFonts w:hint="eastAsia" w:ascii="仿宋" w:hAnsi="仿宋" w:eastAsia="仿宋" w:cs="仿宋"/>
          <w:sz w:val="32"/>
          <w:szCs w:val="32"/>
          <w:lang w:val="en-US" w:eastAsia="zh-CN"/>
        </w:rPr>
        <w:t>4</w:t>
      </w:r>
      <w:r>
        <w:rPr>
          <w:rFonts w:ascii="仿宋" w:hAnsi="仿宋" w:eastAsia="仿宋" w:cs="仿宋"/>
          <w:sz w:val="32"/>
          <w:szCs w:val="32"/>
        </w:rPr>
        <w:t>年各个项目都按既定目标完成，未出现偏离，达到了预定效果</w:t>
      </w:r>
      <w:r>
        <w:rPr>
          <w:szCs w:val="32"/>
        </w:rPr>
        <w:t>。</w:t>
      </w:r>
    </w:p>
    <w:p w14:paraId="0E6B9BCC">
      <w:pPr>
        <w:widowControl/>
        <w:adjustRightInd w:val="0"/>
        <w:snapToGrid w:val="0"/>
        <w:spacing w:line="554" w:lineRule="exact"/>
        <w:ind w:firstLine="643" w:firstLineChars="200"/>
        <w:contextualSpacing/>
        <w:jc w:val="left"/>
        <w:rPr>
          <w:rFonts w:eastAsia="楷体_GB2312"/>
          <w:b/>
          <w:bCs/>
          <w:kern w:val="0"/>
          <w:sz w:val="32"/>
          <w:szCs w:val="32"/>
          <w:shd w:val="clear" w:color="auto" w:fill="FFFFFF"/>
          <w:lang w:val="zh-CN"/>
        </w:rPr>
      </w:pPr>
      <w:r>
        <w:rPr>
          <w:rFonts w:eastAsia="楷体_GB2312"/>
          <w:b/>
          <w:bCs/>
          <w:kern w:val="0"/>
          <w:sz w:val="32"/>
          <w:szCs w:val="32"/>
          <w:shd w:val="clear" w:color="auto" w:fill="FFFFFF"/>
          <w:lang w:val="zh-CN"/>
        </w:rPr>
        <w:t>（</w:t>
      </w:r>
      <w:r>
        <w:rPr>
          <w:rFonts w:hint="eastAsia" w:eastAsia="楷体_GB2312"/>
          <w:b/>
          <w:bCs/>
          <w:kern w:val="0"/>
          <w:sz w:val="32"/>
          <w:szCs w:val="32"/>
          <w:shd w:val="clear" w:color="auto" w:fill="FFFFFF"/>
          <w:lang w:val="zh-CN"/>
        </w:rPr>
        <w:t>三</w:t>
      </w:r>
      <w:r>
        <w:rPr>
          <w:rFonts w:eastAsia="楷体_GB2312"/>
          <w:b/>
          <w:bCs/>
          <w:kern w:val="0"/>
          <w:sz w:val="32"/>
          <w:szCs w:val="32"/>
          <w:shd w:val="clear" w:color="auto" w:fill="FFFFFF"/>
          <w:lang w:val="zh-CN"/>
        </w:rPr>
        <w:t>）重点领域绩效分析</w:t>
      </w:r>
    </w:p>
    <w:p w14:paraId="7B4FC41D">
      <w:pPr>
        <w:widowControl/>
        <w:adjustRightInd w:val="0"/>
        <w:snapToGrid w:val="0"/>
        <w:spacing w:line="554" w:lineRule="exact"/>
        <w:ind w:firstLine="640" w:firstLineChars="200"/>
        <w:contextualSpacing/>
        <w:jc w:val="left"/>
        <w:rPr>
          <w:color w:val="000000"/>
          <w:kern w:val="0"/>
          <w:szCs w:val="32"/>
          <w:shd w:val="clear" w:color="auto" w:fill="FFFFFF"/>
        </w:rPr>
      </w:pPr>
      <w:r>
        <w:rPr>
          <w:rFonts w:hint="eastAsia" w:ascii="仿宋" w:hAnsi="仿宋" w:eastAsia="仿宋" w:cs="仿宋"/>
          <w:sz w:val="32"/>
          <w:szCs w:val="32"/>
        </w:rPr>
        <w:t>海龙凯歌园区</w:t>
      </w:r>
      <w:r>
        <w:rPr>
          <w:rFonts w:ascii="仿宋" w:hAnsi="仿宋" w:eastAsia="仿宋" w:cs="仿宋"/>
          <w:sz w:val="32"/>
          <w:szCs w:val="32"/>
        </w:rPr>
        <w:t>202</w:t>
      </w:r>
      <w:r>
        <w:rPr>
          <w:rFonts w:hint="eastAsia" w:ascii="仿宋" w:hAnsi="仿宋" w:eastAsia="仿宋" w:cs="仿宋"/>
          <w:sz w:val="32"/>
          <w:szCs w:val="32"/>
          <w:lang w:val="en-US" w:eastAsia="zh-CN"/>
        </w:rPr>
        <w:t>4</w:t>
      </w:r>
      <w:r>
        <w:rPr>
          <w:rFonts w:ascii="仿宋" w:hAnsi="仿宋" w:eastAsia="仿宋" w:cs="仿宋"/>
          <w:sz w:val="32"/>
          <w:szCs w:val="32"/>
        </w:rPr>
        <w:t>年度</w:t>
      </w:r>
      <w:r>
        <w:rPr>
          <w:rFonts w:hint="eastAsia" w:ascii="仿宋" w:hAnsi="仿宋" w:eastAsia="仿宋" w:cs="仿宋"/>
          <w:sz w:val="32"/>
          <w:szCs w:val="32"/>
        </w:rPr>
        <w:t>无</w:t>
      </w:r>
      <w:r>
        <w:rPr>
          <w:rFonts w:ascii="仿宋" w:hAnsi="仿宋" w:eastAsia="仿宋" w:cs="仿宋"/>
          <w:sz w:val="32"/>
          <w:szCs w:val="32"/>
        </w:rPr>
        <w:t>涉及国有资本、行政事业性国有资产、债券资金、政府采购和政府购买服务等重点领域</w:t>
      </w:r>
      <w:r>
        <w:rPr>
          <w:szCs w:val="32"/>
        </w:rPr>
        <w:t>。</w:t>
      </w:r>
    </w:p>
    <w:p w14:paraId="6C0CEFE0">
      <w:pPr>
        <w:widowControl/>
        <w:adjustRightInd w:val="0"/>
        <w:snapToGrid w:val="0"/>
        <w:spacing w:line="554" w:lineRule="exact"/>
        <w:ind w:firstLine="643" w:firstLineChars="200"/>
        <w:contextualSpacing/>
        <w:jc w:val="left"/>
        <w:rPr>
          <w:rFonts w:ascii="仿宋" w:hAnsi="仿宋" w:eastAsia="仿宋" w:cs="仿宋"/>
          <w:b/>
          <w:sz w:val="32"/>
          <w:szCs w:val="32"/>
          <w:lang w:val="zh-CN"/>
        </w:rPr>
      </w:pPr>
      <w:r>
        <w:rPr>
          <w:rFonts w:hint="eastAsia" w:ascii="仿宋" w:hAnsi="仿宋" w:eastAsia="仿宋" w:cs="仿宋"/>
          <w:b/>
          <w:sz w:val="32"/>
          <w:szCs w:val="32"/>
          <w:lang w:val="zh-CN"/>
        </w:rPr>
        <w:t>（四）结果应用情况</w:t>
      </w:r>
    </w:p>
    <w:p w14:paraId="14C9B5A6">
      <w:pPr>
        <w:snapToGrid w:val="0"/>
        <w:spacing w:before="120" w:after="120" w:line="554" w:lineRule="exact"/>
        <w:ind w:firstLine="640" w:firstLineChars="200"/>
        <w:jc w:val="left"/>
        <w:rPr>
          <w:rFonts w:ascii="仿宋" w:hAnsi="仿宋" w:eastAsia="仿宋" w:cs="仿宋"/>
          <w:sz w:val="32"/>
          <w:szCs w:val="32"/>
        </w:rPr>
      </w:pPr>
      <w:r>
        <w:rPr>
          <w:rFonts w:hint="eastAsia" w:ascii="仿宋" w:hAnsi="仿宋" w:eastAsia="仿宋" w:cs="仿宋"/>
          <w:sz w:val="32"/>
          <w:szCs w:val="32"/>
        </w:rPr>
        <w:t>通过整体支出绩效自评，一是及时调整和优化本部门后续项目和以后年度预算支出的方向和结构，合理配置资源。二是完善项目管理办法，切实提高项目管理水平，建立激励与约束机制，强化评价结果在项目申报和预算编制中的有效应用。三是促进规范使用项目资金。</w:t>
      </w:r>
    </w:p>
    <w:p w14:paraId="019E9B3B">
      <w:pPr>
        <w:pStyle w:val="3"/>
        <w:spacing w:before="120" w:after="120" w:line="554" w:lineRule="exact"/>
        <w:ind w:firstLine="643" w:firstLineChars="200"/>
        <w:jc w:val="left"/>
        <w:rPr>
          <w:rFonts w:ascii="仿宋" w:hAnsi="仿宋" w:eastAsia="仿宋" w:cs="仿宋"/>
          <w:bCs w:val="0"/>
        </w:rPr>
      </w:pPr>
      <w:r>
        <w:rPr>
          <w:rFonts w:hint="eastAsia" w:ascii="仿宋" w:hAnsi="仿宋" w:eastAsia="仿宋" w:cs="仿宋"/>
          <w:bCs w:val="0"/>
        </w:rPr>
        <w:t>四、评价结论及建议</w:t>
      </w:r>
    </w:p>
    <w:p w14:paraId="1A85CDD7">
      <w:pPr>
        <w:autoSpaceDE w:val="0"/>
        <w:autoSpaceDN w:val="0"/>
        <w:adjustRightInd w:val="0"/>
        <w:spacing w:before="120" w:after="120" w:line="554" w:lineRule="exact"/>
        <w:ind w:firstLine="643" w:firstLineChars="200"/>
        <w:jc w:val="left"/>
        <w:outlineLvl w:val="2"/>
        <w:rPr>
          <w:rFonts w:ascii="仿宋" w:hAnsi="仿宋" w:eastAsia="仿宋" w:cs="仿宋"/>
          <w:b/>
          <w:sz w:val="32"/>
          <w:szCs w:val="32"/>
          <w:lang w:val="zh-CN"/>
        </w:rPr>
      </w:pPr>
      <w:r>
        <w:rPr>
          <w:rFonts w:hint="eastAsia" w:ascii="仿宋" w:hAnsi="仿宋" w:eastAsia="仿宋" w:cs="仿宋"/>
          <w:b/>
          <w:sz w:val="32"/>
          <w:szCs w:val="32"/>
          <w:lang w:val="zh-CN"/>
        </w:rPr>
        <w:t>（一）评价结论</w:t>
      </w:r>
    </w:p>
    <w:p w14:paraId="25283275">
      <w:pPr>
        <w:spacing w:line="554" w:lineRule="exact"/>
        <w:ind w:firstLine="960" w:firstLineChars="300"/>
        <w:jc w:val="left"/>
        <w:rPr>
          <w:rFonts w:ascii="仿宋" w:hAnsi="仿宋" w:eastAsia="仿宋" w:cs="仿宋"/>
          <w:sz w:val="32"/>
        </w:rPr>
      </w:pPr>
      <w:r>
        <w:rPr>
          <w:rFonts w:hint="eastAsia" w:ascii="仿宋" w:hAnsi="仿宋" w:eastAsia="仿宋" w:cs="仿宋"/>
          <w:sz w:val="32"/>
        </w:rPr>
        <w:t>202</w:t>
      </w:r>
      <w:r>
        <w:rPr>
          <w:rFonts w:hint="eastAsia" w:ascii="仿宋" w:hAnsi="仿宋" w:eastAsia="仿宋" w:cs="仿宋"/>
          <w:sz w:val="32"/>
          <w:lang w:val="en-US" w:eastAsia="zh-CN"/>
        </w:rPr>
        <w:t>4</w:t>
      </w:r>
      <w:r>
        <w:rPr>
          <w:rFonts w:hint="eastAsia" w:ascii="仿宋" w:hAnsi="仿宋" w:eastAsia="仿宋" w:cs="仿宋"/>
          <w:sz w:val="32"/>
        </w:rPr>
        <w:t>年，我园区通过加强预算收支管理，不断建立健全内部管理制度，梳理内部管理流程，部门整体支出管理情况得到提升，较好的完成了年度工作目标。根据部门整体支出绩效评价指标体系，对202</w:t>
      </w:r>
      <w:r>
        <w:rPr>
          <w:rFonts w:hint="eastAsia" w:ascii="仿宋" w:hAnsi="仿宋" w:eastAsia="仿宋" w:cs="仿宋"/>
          <w:sz w:val="32"/>
          <w:lang w:val="en-US" w:eastAsia="zh-CN"/>
        </w:rPr>
        <w:t>4</w:t>
      </w:r>
      <w:r>
        <w:rPr>
          <w:rFonts w:hint="eastAsia" w:ascii="仿宋" w:hAnsi="仿宋" w:eastAsia="仿宋" w:cs="仿宋"/>
          <w:sz w:val="32"/>
        </w:rPr>
        <w:t>年整体支出开展绩效自评，自评得分90分（见附件1）。</w:t>
      </w:r>
    </w:p>
    <w:p w14:paraId="34F17F69">
      <w:pPr>
        <w:autoSpaceDE w:val="0"/>
        <w:autoSpaceDN w:val="0"/>
        <w:adjustRightInd w:val="0"/>
        <w:spacing w:line="554" w:lineRule="exact"/>
        <w:ind w:firstLine="643" w:firstLineChars="200"/>
        <w:jc w:val="left"/>
        <w:outlineLvl w:val="2"/>
        <w:rPr>
          <w:rFonts w:ascii="仿宋" w:hAnsi="仿宋" w:eastAsia="仿宋" w:cs="仿宋"/>
          <w:b/>
          <w:sz w:val="32"/>
          <w:szCs w:val="32"/>
          <w:lang w:val="zh-CN"/>
        </w:rPr>
      </w:pPr>
      <w:r>
        <w:rPr>
          <w:rFonts w:hint="eastAsia" w:ascii="仿宋" w:hAnsi="仿宋" w:eastAsia="仿宋" w:cs="仿宋"/>
          <w:b/>
          <w:sz w:val="32"/>
          <w:szCs w:val="32"/>
          <w:lang w:val="zh-CN"/>
        </w:rPr>
        <w:t>（二）存在问题</w:t>
      </w:r>
    </w:p>
    <w:p w14:paraId="39B21149">
      <w:pPr>
        <w:spacing w:line="554"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一是预算编制测算明确性、合理性有待提高，二是绩效目标动态监控不够。</w:t>
      </w:r>
    </w:p>
    <w:p w14:paraId="78495FEA">
      <w:pPr>
        <w:autoSpaceDE w:val="0"/>
        <w:autoSpaceDN w:val="0"/>
        <w:adjustRightInd w:val="0"/>
        <w:spacing w:line="554" w:lineRule="exact"/>
        <w:ind w:firstLine="643" w:firstLineChars="200"/>
        <w:jc w:val="left"/>
        <w:outlineLvl w:val="2"/>
        <w:rPr>
          <w:rFonts w:ascii="仿宋" w:hAnsi="仿宋" w:eastAsia="仿宋" w:cs="仿宋"/>
          <w:b/>
          <w:sz w:val="32"/>
          <w:szCs w:val="32"/>
          <w:lang w:val="zh-CN"/>
        </w:rPr>
      </w:pPr>
      <w:r>
        <w:rPr>
          <w:rFonts w:hint="eastAsia" w:ascii="仿宋" w:hAnsi="仿宋" w:eastAsia="仿宋" w:cs="仿宋"/>
          <w:b/>
          <w:sz w:val="32"/>
          <w:szCs w:val="32"/>
          <w:lang w:val="zh-CN"/>
        </w:rPr>
        <w:t>（三）改进建议</w:t>
      </w:r>
    </w:p>
    <w:p w14:paraId="3F6F298E">
      <w:pPr>
        <w:spacing w:line="554" w:lineRule="exact"/>
        <w:ind w:firstLine="640" w:firstLineChars="200"/>
        <w:jc w:val="left"/>
        <w:rPr>
          <w:rFonts w:hint="eastAsia" w:ascii="仿宋" w:hAnsi="仿宋" w:eastAsia="仿宋" w:cs="仿宋"/>
          <w:sz w:val="32"/>
          <w:szCs w:val="32"/>
        </w:rPr>
      </w:pPr>
      <w:r>
        <w:rPr>
          <w:rFonts w:hint="eastAsia" w:ascii="仿宋" w:hAnsi="仿宋" w:eastAsia="仿宋" w:cs="仿宋"/>
          <w:color w:val="000000"/>
          <w:sz w:val="32"/>
          <w:szCs w:val="32"/>
        </w:rPr>
        <w:t>一是加强对部门职能的梳理明确各项具体工作职责。二是结合部门中长期规划和年度工作计划明确年度主要工作任务。三是加强项目开展进度的跟踪，开展项目绩效评价确保项目绩效目标的完成</w:t>
      </w:r>
      <w:r>
        <w:rPr>
          <w:rFonts w:hint="eastAsia" w:ascii="仿宋" w:hAnsi="仿宋" w:eastAsia="仿宋" w:cs="仿宋"/>
          <w:sz w:val="32"/>
          <w:szCs w:val="32"/>
        </w:rPr>
        <w:t>。</w:t>
      </w:r>
    </w:p>
    <w:p w14:paraId="0BEBBE65">
      <w:pPr>
        <w:pStyle w:val="15"/>
        <w:rPr>
          <w:rFonts w:hint="eastAsia" w:ascii="仿宋" w:hAnsi="仿宋" w:eastAsia="仿宋" w:cs="仿宋"/>
          <w:sz w:val="32"/>
          <w:szCs w:val="32"/>
        </w:rPr>
      </w:pPr>
    </w:p>
    <w:p w14:paraId="34716652">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1.部门整体支出绩效自评表</w:t>
      </w:r>
    </w:p>
    <w:p w14:paraId="6E43FB3B">
      <w:pPr>
        <w:keepNext w:val="0"/>
        <w:keepLines w:val="0"/>
        <w:pageBreakBefore w:val="0"/>
        <w:kinsoku/>
        <w:wordWrap/>
        <w:overflowPunct/>
        <w:topLinePunct w:val="0"/>
        <w:autoSpaceDE/>
        <w:autoSpaceDN/>
        <w:bidi w:val="0"/>
        <w:spacing w:line="560" w:lineRule="exact"/>
        <w:ind w:firstLine="1600" w:firstLineChars="500"/>
        <w:textAlignment w:val="auto"/>
        <w:rPr>
          <w:rFonts w:hint="eastAsia" w:ascii="Times New Roman" w:hAnsi="Times New Roman" w:eastAsia="仿宋_GB2312" w:cs="Times New Roman"/>
          <w:sz w:val="32"/>
          <w:szCs w:val="32"/>
          <w:lang w:val="zh-CN" w:eastAsia="zh-CN" w:bidi="ar"/>
        </w:rPr>
      </w:pPr>
      <w:r>
        <w:rPr>
          <w:rFonts w:hint="eastAsia" w:ascii="Times New Roman" w:hAnsi="Times New Roman" w:eastAsia="仿宋_GB2312" w:cs="Times New Roman"/>
          <w:kern w:val="2"/>
          <w:sz w:val="32"/>
          <w:szCs w:val="32"/>
          <w:u w:val="none"/>
          <w:lang w:val="en-US" w:eastAsia="zh-CN" w:bidi="ar"/>
        </w:rPr>
        <w:t>2.部门预算项目支出绩效自评表（2024年度）</w:t>
      </w:r>
    </w:p>
    <w:p w14:paraId="7E92EE56">
      <w:pPr>
        <w:pStyle w:val="9"/>
        <w:rPr>
          <w:rFonts w:hint="eastAsia" w:ascii="仿宋" w:hAnsi="仿宋" w:eastAsia="仿宋" w:cs="仿宋"/>
          <w:sz w:val="32"/>
          <w:szCs w:val="32"/>
        </w:rPr>
      </w:pPr>
    </w:p>
    <w:tbl>
      <w:tblPr>
        <w:tblStyle w:val="19"/>
        <w:tblW w:w="9973"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3"/>
        <w:gridCol w:w="960"/>
        <w:gridCol w:w="870"/>
        <w:gridCol w:w="1695"/>
        <w:gridCol w:w="1470"/>
        <w:gridCol w:w="1277"/>
        <w:gridCol w:w="478"/>
        <w:gridCol w:w="2250"/>
      </w:tblGrid>
      <w:tr w14:paraId="33594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973" w:type="dxa"/>
            <w:gridSpan w:val="8"/>
            <w:tcBorders>
              <w:top w:val="single" w:color="000000" w:sz="4" w:space="0"/>
              <w:left w:val="single" w:color="000000" w:sz="4" w:space="0"/>
              <w:bottom w:val="single" w:color="000000" w:sz="4" w:space="0"/>
              <w:right w:val="single" w:color="000000" w:sz="4" w:space="0"/>
            </w:tcBorders>
            <w:noWrap w:val="0"/>
            <w:vAlign w:val="center"/>
          </w:tcPr>
          <w:p w14:paraId="748A95DA">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部门整体支出绩效自评表</w:t>
            </w:r>
          </w:p>
        </w:tc>
      </w:tr>
      <w:tr w14:paraId="1844A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973" w:type="dxa"/>
            <w:gridSpan w:val="8"/>
            <w:tcBorders>
              <w:top w:val="single" w:color="000000" w:sz="4" w:space="0"/>
              <w:left w:val="single" w:color="000000" w:sz="4" w:space="0"/>
              <w:bottom w:val="single" w:color="000000" w:sz="4" w:space="0"/>
              <w:right w:val="single" w:color="000000" w:sz="4" w:space="0"/>
            </w:tcBorders>
            <w:noWrap w:val="0"/>
            <w:vAlign w:val="center"/>
          </w:tcPr>
          <w:p w14:paraId="332AC1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（2024年度）</w:t>
            </w:r>
          </w:p>
        </w:tc>
      </w:tr>
      <w:tr w14:paraId="29AB2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73" w:type="dxa"/>
            <w:gridSpan w:val="8"/>
            <w:tcBorders>
              <w:top w:val="single" w:color="000000" w:sz="4" w:space="0"/>
              <w:left w:val="single" w:color="000000" w:sz="4" w:space="0"/>
              <w:bottom w:val="single" w:color="000000" w:sz="4" w:space="0"/>
              <w:right w:val="single" w:color="000000" w:sz="4" w:space="0"/>
            </w:tcBorders>
            <w:noWrap w:val="0"/>
            <w:vAlign w:val="center"/>
          </w:tcPr>
          <w:p w14:paraId="1B385EB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14:paraId="101A2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03" w:type="dxa"/>
            <w:gridSpan w:val="3"/>
            <w:tcBorders>
              <w:top w:val="single" w:color="000000" w:sz="4" w:space="0"/>
              <w:left w:val="single" w:color="000000" w:sz="4" w:space="0"/>
              <w:bottom w:val="single" w:color="000000" w:sz="4" w:space="0"/>
              <w:right w:val="single" w:color="000000" w:sz="4" w:space="0"/>
            </w:tcBorders>
            <w:noWrap w:val="0"/>
            <w:vAlign w:val="center"/>
          </w:tcPr>
          <w:p w14:paraId="4F060C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部门名称</w:t>
            </w:r>
          </w:p>
        </w:tc>
        <w:tc>
          <w:tcPr>
            <w:tcW w:w="7170" w:type="dxa"/>
            <w:gridSpan w:val="5"/>
            <w:tcBorders>
              <w:top w:val="single" w:color="000000" w:sz="4" w:space="0"/>
              <w:left w:val="single" w:color="000000" w:sz="4" w:space="0"/>
              <w:bottom w:val="single" w:color="000000" w:sz="4" w:space="0"/>
              <w:right w:val="single" w:color="000000" w:sz="4" w:space="0"/>
            </w:tcBorders>
            <w:noWrap w:val="0"/>
            <w:vAlign w:val="center"/>
          </w:tcPr>
          <w:p w14:paraId="0A60876D">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遂宁市安居区海龙凯歌文化旅游产业园区管理委员会部门</w:t>
            </w:r>
          </w:p>
        </w:tc>
      </w:tr>
      <w:tr w14:paraId="2B9FB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973" w:type="dxa"/>
            <w:vMerge w:val="restart"/>
            <w:tcBorders>
              <w:top w:val="single" w:color="000000" w:sz="4" w:space="0"/>
              <w:left w:val="single" w:color="000000" w:sz="4" w:space="0"/>
              <w:bottom w:val="single" w:color="000000" w:sz="4" w:space="0"/>
              <w:right w:val="single" w:color="000000" w:sz="4" w:space="0"/>
            </w:tcBorders>
            <w:noWrap w:val="0"/>
            <w:vAlign w:val="center"/>
          </w:tcPr>
          <w:p w14:paraId="5C1B41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年度部门整体支出</w:t>
            </w:r>
            <w:r>
              <w:rPr>
                <w:rStyle w:val="40"/>
                <w:lang w:val="en-US" w:eastAsia="zh-CN" w:bidi="ar"/>
              </w:rPr>
              <w:t>预算安排、执行情况</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14:paraId="1A90D7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年初预算数</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12D74F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追加预算数</w:t>
            </w:r>
          </w:p>
        </w:tc>
        <w:tc>
          <w:tcPr>
            <w:tcW w:w="1470" w:type="dxa"/>
            <w:tcBorders>
              <w:top w:val="single" w:color="000000" w:sz="4" w:space="0"/>
              <w:left w:val="single" w:color="000000" w:sz="4" w:space="0"/>
              <w:bottom w:val="single" w:color="000000" w:sz="4" w:space="0"/>
              <w:right w:val="single" w:color="000000" w:sz="4" w:space="0"/>
            </w:tcBorders>
            <w:noWrap/>
            <w:vAlign w:val="center"/>
          </w:tcPr>
          <w:p w14:paraId="03DA543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年末决算数</w:t>
            </w:r>
          </w:p>
        </w:tc>
        <w:tc>
          <w:tcPr>
            <w:tcW w:w="4005" w:type="dxa"/>
            <w:gridSpan w:val="3"/>
            <w:tcBorders>
              <w:top w:val="single" w:color="000000" w:sz="4" w:space="0"/>
              <w:left w:val="single" w:color="000000" w:sz="4" w:space="0"/>
              <w:bottom w:val="single" w:color="000000" w:sz="4" w:space="0"/>
              <w:right w:val="single" w:color="000000" w:sz="4" w:space="0"/>
            </w:tcBorders>
            <w:noWrap w:val="0"/>
            <w:vAlign w:val="center"/>
          </w:tcPr>
          <w:p w14:paraId="0E70B694">
            <w:pPr>
              <w:jc w:val="center"/>
              <w:rPr>
                <w:rFonts w:hint="eastAsia" w:ascii="宋体" w:hAnsi="宋体" w:eastAsia="宋体" w:cs="宋体"/>
                <w:i w:val="0"/>
                <w:iCs w:val="0"/>
                <w:color w:val="000000"/>
                <w:sz w:val="20"/>
                <w:szCs w:val="20"/>
                <w:u w:val="none"/>
              </w:rPr>
            </w:pPr>
            <w:r>
              <w:rPr>
                <w:rFonts w:hint="eastAsia" w:ascii="宋体" w:hAnsi="宋体" w:cs="宋体"/>
                <w:kern w:val="0"/>
                <w:sz w:val="20"/>
                <w:szCs w:val="20"/>
              </w:rPr>
              <w:t>预算执行率</w:t>
            </w:r>
          </w:p>
        </w:tc>
      </w:tr>
      <w:tr w14:paraId="120F2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A6C6A1">
            <w:pPr>
              <w:jc w:val="center"/>
              <w:rPr>
                <w:rFonts w:hint="eastAsia" w:ascii="宋体" w:hAnsi="宋体" w:eastAsia="宋体" w:cs="宋体"/>
                <w:i w:val="0"/>
                <w:iCs w:val="0"/>
                <w:color w:val="000000"/>
                <w:sz w:val="18"/>
                <w:szCs w:val="18"/>
                <w:u w:val="none"/>
              </w:rPr>
            </w:pP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14:paraId="1F1C8308">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221.19</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6AA4132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43.55</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6455DB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264.74</w:t>
            </w:r>
          </w:p>
        </w:tc>
        <w:tc>
          <w:tcPr>
            <w:tcW w:w="4005" w:type="dxa"/>
            <w:gridSpan w:val="3"/>
            <w:tcBorders>
              <w:top w:val="single" w:color="000000" w:sz="4" w:space="0"/>
              <w:left w:val="single" w:color="000000" w:sz="4" w:space="0"/>
              <w:bottom w:val="single" w:color="000000" w:sz="4" w:space="0"/>
              <w:right w:val="single" w:color="000000" w:sz="4" w:space="0"/>
            </w:tcBorders>
            <w:noWrap w:val="0"/>
            <w:vAlign w:val="center"/>
          </w:tcPr>
          <w:p w14:paraId="65CBC216">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r>
      <w:tr w14:paraId="6760A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3" w:type="dxa"/>
            <w:vMerge w:val="restart"/>
            <w:tcBorders>
              <w:top w:val="single" w:color="000000" w:sz="4" w:space="0"/>
              <w:left w:val="single" w:color="000000" w:sz="4" w:space="0"/>
              <w:bottom w:val="single" w:color="000000" w:sz="4" w:space="0"/>
              <w:right w:val="single" w:color="000000" w:sz="4" w:space="0"/>
            </w:tcBorders>
            <w:noWrap w:val="0"/>
            <w:vAlign w:val="center"/>
          </w:tcPr>
          <w:p w14:paraId="63EC8E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年度总体目标</w:t>
            </w:r>
          </w:p>
        </w:tc>
        <w:tc>
          <w:tcPr>
            <w:tcW w:w="9000" w:type="dxa"/>
            <w:gridSpan w:val="7"/>
            <w:vMerge w:val="restart"/>
            <w:tcBorders>
              <w:top w:val="single" w:color="000000" w:sz="4" w:space="0"/>
              <w:left w:val="single" w:color="000000" w:sz="4" w:space="0"/>
              <w:bottom w:val="single" w:color="000000" w:sz="4" w:space="0"/>
              <w:right w:val="single" w:color="000000" w:sz="4" w:space="0"/>
            </w:tcBorders>
            <w:noWrap w:val="0"/>
            <w:vAlign w:val="center"/>
          </w:tcPr>
          <w:p w14:paraId="3645A3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贯彻党的路线和方针，落实区委、区政府的重要决策和工作部署，负责园区内经济发展规划，和区域发展规划编制及园区文旅项目包装储备工作及招商引资、投资促进、对外开放及企业服务等工作。</w:t>
            </w:r>
          </w:p>
        </w:tc>
      </w:tr>
      <w:tr w14:paraId="06E7F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AE3FFB">
            <w:pPr>
              <w:jc w:val="center"/>
              <w:rPr>
                <w:rFonts w:hint="eastAsia" w:ascii="宋体" w:hAnsi="宋体" w:eastAsia="宋体" w:cs="宋体"/>
                <w:i w:val="0"/>
                <w:iCs w:val="0"/>
                <w:color w:val="000000"/>
                <w:sz w:val="18"/>
                <w:szCs w:val="18"/>
                <w:u w:val="none"/>
              </w:rPr>
            </w:pPr>
          </w:p>
        </w:tc>
        <w:tc>
          <w:tcPr>
            <w:tcW w:w="9000"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14:paraId="0A8DDBE0">
            <w:pPr>
              <w:rPr>
                <w:rFonts w:hint="eastAsia" w:ascii="宋体" w:hAnsi="宋体" w:eastAsia="宋体" w:cs="宋体"/>
                <w:i w:val="0"/>
                <w:iCs w:val="0"/>
                <w:color w:val="000000"/>
                <w:sz w:val="18"/>
                <w:szCs w:val="18"/>
                <w:u w:val="none"/>
              </w:rPr>
            </w:pPr>
          </w:p>
        </w:tc>
      </w:tr>
      <w:tr w14:paraId="5C9E0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8A32E2">
            <w:pPr>
              <w:jc w:val="center"/>
              <w:rPr>
                <w:rFonts w:hint="eastAsia" w:ascii="宋体" w:hAnsi="宋体" w:eastAsia="宋体" w:cs="宋体"/>
                <w:i w:val="0"/>
                <w:iCs w:val="0"/>
                <w:color w:val="000000"/>
                <w:sz w:val="18"/>
                <w:szCs w:val="18"/>
                <w:u w:val="none"/>
              </w:rPr>
            </w:pPr>
          </w:p>
        </w:tc>
        <w:tc>
          <w:tcPr>
            <w:tcW w:w="9000"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14:paraId="5D3F4FB4">
            <w:pPr>
              <w:rPr>
                <w:rFonts w:hint="eastAsia" w:ascii="宋体" w:hAnsi="宋体" w:eastAsia="宋体" w:cs="宋体"/>
                <w:i w:val="0"/>
                <w:iCs w:val="0"/>
                <w:color w:val="000000"/>
                <w:sz w:val="18"/>
                <w:szCs w:val="18"/>
                <w:u w:val="none"/>
              </w:rPr>
            </w:pPr>
          </w:p>
        </w:tc>
      </w:tr>
      <w:tr w14:paraId="71722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F1C619">
            <w:pPr>
              <w:jc w:val="center"/>
              <w:rPr>
                <w:rFonts w:hint="eastAsia" w:ascii="宋体" w:hAnsi="宋体" w:eastAsia="宋体" w:cs="宋体"/>
                <w:i w:val="0"/>
                <w:iCs w:val="0"/>
                <w:color w:val="000000"/>
                <w:sz w:val="18"/>
                <w:szCs w:val="18"/>
                <w:u w:val="none"/>
              </w:rPr>
            </w:pPr>
          </w:p>
        </w:tc>
        <w:tc>
          <w:tcPr>
            <w:tcW w:w="9000"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14:paraId="5E88CC41">
            <w:pPr>
              <w:rPr>
                <w:rFonts w:hint="eastAsia" w:ascii="宋体" w:hAnsi="宋体" w:eastAsia="宋体" w:cs="宋体"/>
                <w:i w:val="0"/>
                <w:iCs w:val="0"/>
                <w:color w:val="000000"/>
                <w:sz w:val="18"/>
                <w:szCs w:val="18"/>
                <w:u w:val="none"/>
              </w:rPr>
            </w:pPr>
          </w:p>
        </w:tc>
      </w:tr>
      <w:tr w14:paraId="3119C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07AE92">
            <w:pPr>
              <w:jc w:val="center"/>
              <w:rPr>
                <w:rFonts w:hint="eastAsia" w:ascii="宋体" w:hAnsi="宋体" w:eastAsia="宋体" w:cs="宋体"/>
                <w:i w:val="0"/>
                <w:iCs w:val="0"/>
                <w:color w:val="000000"/>
                <w:sz w:val="18"/>
                <w:szCs w:val="18"/>
                <w:u w:val="none"/>
              </w:rPr>
            </w:pPr>
          </w:p>
        </w:tc>
        <w:tc>
          <w:tcPr>
            <w:tcW w:w="9000"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14:paraId="794BC20D">
            <w:pPr>
              <w:rPr>
                <w:rFonts w:hint="eastAsia" w:ascii="宋体" w:hAnsi="宋体" w:eastAsia="宋体" w:cs="宋体"/>
                <w:i w:val="0"/>
                <w:iCs w:val="0"/>
                <w:color w:val="000000"/>
                <w:sz w:val="18"/>
                <w:szCs w:val="18"/>
                <w:u w:val="none"/>
              </w:rPr>
            </w:pPr>
          </w:p>
        </w:tc>
      </w:tr>
      <w:tr w14:paraId="79F8E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5D1FB0">
            <w:pPr>
              <w:jc w:val="center"/>
              <w:rPr>
                <w:rFonts w:hint="eastAsia" w:ascii="宋体" w:hAnsi="宋体" w:eastAsia="宋体" w:cs="宋体"/>
                <w:i w:val="0"/>
                <w:iCs w:val="0"/>
                <w:color w:val="000000"/>
                <w:sz w:val="18"/>
                <w:szCs w:val="18"/>
                <w:u w:val="none"/>
              </w:rPr>
            </w:pPr>
          </w:p>
        </w:tc>
        <w:tc>
          <w:tcPr>
            <w:tcW w:w="9000"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14:paraId="112ADD08">
            <w:pPr>
              <w:rPr>
                <w:rFonts w:hint="eastAsia" w:ascii="宋体" w:hAnsi="宋体" w:eastAsia="宋体" w:cs="宋体"/>
                <w:i w:val="0"/>
                <w:iCs w:val="0"/>
                <w:color w:val="000000"/>
                <w:sz w:val="18"/>
                <w:szCs w:val="18"/>
                <w:u w:val="none"/>
              </w:rPr>
            </w:pPr>
          </w:p>
        </w:tc>
      </w:tr>
      <w:tr w14:paraId="26F4B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B865F6">
            <w:pPr>
              <w:jc w:val="center"/>
              <w:rPr>
                <w:rFonts w:hint="eastAsia" w:ascii="宋体" w:hAnsi="宋体" w:eastAsia="宋体" w:cs="宋体"/>
                <w:i w:val="0"/>
                <w:iCs w:val="0"/>
                <w:color w:val="000000"/>
                <w:sz w:val="18"/>
                <w:szCs w:val="18"/>
                <w:u w:val="none"/>
              </w:rPr>
            </w:pPr>
          </w:p>
        </w:tc>
        <w:tc>
          <w:tcPr>
            <w:tcW w:w="9000"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14:paraId="0C227523">
            <w:pPr>
              <w:rPr>
                <w:rFonts w:hint="eastAsia" w:ascii="宋体" w:hAnsi="宋体" w:eastAsia="宋体" w:cs="宋体"/>
                <w:i w:val="0"/>
                <w:iCs w:val="0"/>
                <w:color w:val="000000"/>
                <w:sz w:val="18"/>
                <w:szCs w:val="18"/>
                <w:u w:val="none"/>
              </w:rPr>
            </w:pPr>
          </w:p>
        </w:tc>
      </w:tr>
      <w:tr w14:paraId="7B978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3" w:type="dxa"/>
            <w:vMerge w:val="restart"/>
            <w:tcBorders>
              <w:top w:val="single" w:color="000000" w:sz="4" w:space="0"/>
              <w:left w:val="single" w:color="000000" w:sz="4" w:space="0"/>
              <w:bottom w:val="single" w:color="000000" w:sz="4" w:space="0"/>
              <w:right w:val="single" w:color="000000" w:sz="4" w:space="0"/>
            </w:tcBorders>
            <w:noWrap w:val="0"/>
            <w:vAlign w:val="center"/>
          </w:tcPr>
          <w:p w14:paraId="2F5650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年度主要任务</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14:paraId="3C69FD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任务名称</w:t>
            </w:r>
          </w:p>
        </w:tc>
        <w:tc>
          <w:tcPr>
            <w:tcW w:w="7170" w:type="dxa"/>
            <w:gridSpan w:val="5"/>
            <w:tcBorders>
              <w:top w:val="single" w:color="000000" w:sz="4" w:space="0"/>
              <w:left w:val="single" w:color="000000" w:sz="4" w:space="0"/>
              <w:bottom w:val="single" w:color="000000" w:sz="4" w:space="0"/>
              <w:right w:val="single" w:color="000000" w:sz="4" w:space="0"/>
            </w:tcBorders>
            <w:noWrap w:val="0"/>
            <w:vAlign w:val="center"/>
          </w:tcPr>
          <w:p w14:paraId="1AAF69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主要内容</w:t>
            </w:r>
          </w:p>
        </w:tc>
      </w:tr>
      <w:tr w14:paraId="37896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C34C73">
            <w:pPr>
              <w:jc w:val="center"/>
              <w:rPr>
                <w:rFonts w:hint="eastAsia" w:ascii="宋体" w:hAnsi="宋体" w:eastAsia="宋体" w:cs="宋体"/>
                <w:i w:val="0"/>
                <w:iCs w:val="0"/>
                <w:color w:val="000000"/>
                <w:sz w:val="18"/>
                <w:szCs w:val="18"/>
                <w:u w:val="none"/>
              </w:rPr>
            </w:pP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14:paraId="79D7D5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产业招引</w:t>
            </w:r>
          </w:p>
        </w:tc>
        <w:tc>
          <w:tcPr>
            <w:tcW w:w="7170" w:type="dxa"/>
            <w:gridSpan w:val="5"/>
            <w:tcBorders>
              <w:top w:val="single" w:color="000000" w:sz="4" w:space="0"/>
              <w:left w:val="single" w:color="000000" w:sz="4" w:space="0"/>
              <w:bottom w:val="single" w:color="000000" w:sz="4" w:space="0"/>
              <w:right w:val="single" w:color="000000" w:sz="4" w:space="0"/>
            </w:tcBorders>
            <w:noWrap w:val="0"/>
            <w:vAlign w:val="center"/>
          </w:tcPr>
          <w:p w14:paraId="798E24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为进一步加大招商引资工作力度，拓展招商引资信息渠道，提升招商引资工作的质量和水平提供经费保障。</w:t>
            </w:r>
          </w:p>
        </w:tc>
      </w:tr>
      <w:tr w14:paraId="5CD3C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16229D">
            <w:pPr>
              <w:jc w:val="center"/>
              <w:rPr>
                <w:rFonts w:hint="eastAsia" w:ascii="宋体" w:hAnsi="宋体" w:eastAsia="宋体" w:cs="宋体"/>
                <w:i w:val="0"/>
                <w:iCs w:val="0"/>
                <w:color w:val="000000"/>
                <w:sz w:val="18"/>
                <w:szCs w:val="18"/>
                <w:u w:val="none"/>
              </w:rPr>
            </w:pP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14:paraId="600747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文旅园区宣传</w:t>
            </w:r>
          </w:p>
        </w:tc>
        <w:tc>
          <w:tcPr>
            <w:tcW w:w="7170" w:type="dxa"/>
            <w:gridSpan w:val="5"/>
            <w:tcBorders>
              <w:top w:val="single" w:color="000000" w:sz="4" w:space="0"/>
              <w:left w:val="single" w:color="000000" w:sz="4" w:space="0"/>
              <w:bottom w:val="single" w:color="000000" w:sz="4" w:space="0"/>
              <w:right w:val="single" w:color="000000" w:sz="4" w:space="0"/>
            </w:tcBorders>
            <w:noWrap w:val="0"/>
            <w:vAlign w:val="center"/>
          </w:tcPr>
          <w:p w14:paraId="65F789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为打造海龙凯歌做好宣传.</w:t>
            </w:r>
          </w:p>
        </w:tc>
      </w:tr>
      <w:tr w14:paraId="601E2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55EE3B">
            <w:pPr>
              <w:jc w:val="center"/>
              <w:rPr>
                <w:rFonts w:hint="eastAsia" w:ascii="宋体" w:hAnsi="宋体" w:eastAsia="宋体" w:cs="宋体"/>
                <w:i w:val="0"/>
                <w:iCs w:val="0"/>
                <w:color w:val="000000"/>
                <w:sz w:val="18"/>
                <w:szCs w:val="18"/>
                <w:u w:val="none"/>
              </w:rPr>
            </w:pP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14:paraId="02EABF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rPr>
              <w:t>人员支出</w:t>
            </w:r>
          </w:p>
        </w:tc>
        <w:tc>
          <w:tcPr>
            <w:tcW w:w="7170" w:type="dxa"/>
            <w:gridSpan w:val="5"/>
            <w:tcBorders>
              <w:top w:val="single" w:color="000000" w:sz="4" w:space="0"/>
              <w:left w:val="single" w:color="000000" w:sz="4" w:space="0"/>
              <w:bottom w:val="single" w:color="000000" w:sz="4" w:space="0"/>
              <w:right w:val="single" w:color="000000" w:sz="4" w:space="0"/>
            </w:tcBorders>
            <w:noWrap w:val="0"/>
            <w:vAlign w:val="center"/>
          </w:tcPr>
          <w:p w14:paraId="1876F5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海龙凯歌文旅园区地点分散为分散办公模式，保障人员日常办公运转。</w:t>
            </w:r>
          </w:p>
        </w:tc>
      </w:tr>
      <w:tr w14:paraId="24CE6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99ABEC">
            <w:pPr>
              <w:jc w:val="center"/>
              <w:rPr>
                <w:rFonts w:hint="eastAsia" w:ascii="宋体" w:hAnsi="宋体" w:eastAsia="宋体" w:cs="宋体"/>
                <w:i w:val="0"/>
                <w:iCs w:val="0"/>
                <w:color w:val="000000"/>
                <w:sz w:val="18"/>
                <w:szCs w:val="18"/>
                <w:u w:val="none"/>
              </w:rPr>
            </w:pP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14:paraId="01F6C8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公用支出</w:t>
            </w:r>
          </w:p>
        </w:tc>
        <w:tc>
          <w:tcPr>
            <w:tcW w:w="7170" w:type="dxa"/>
            <w:gridSpan w:val="5"/>
            <w:tcBorders>
              <w:top w:val="single" w:color="000000" w:sz="4" w:space="0"/>
              <w:left w:val="single" w:color="000000" w:sz="4" w:space="0"/>
              <w:bottom w:val="single" w:color="000000" w:sz="4" w:space="0"/>
              <w:right w:val="single" w:color="000000" w:sz="4" w:space="0"/>
            </w:tcBorders>
            <w:noWrap w:val="0"/>
            <w:vAlign w:val="center"/>
          </w:tcPr>
          <w:p w14:paraId="696C5B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通过预算执行，保障园区工作人员正常办公、生活秩序等活动经费。</w:t>
            </w:r>
          </w:p>
        </w:tc>
      </w:tr>
      <w:tr w14:paraId="665F7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669D99">
            <w:pPr>
              <w:jc w:val="center"/>
              <w:rPr>
                <w:rFonts w:hint="eastAsia" w:ascii="宋体" w:hAnsi="宋体" w:eastAsia="宋体" w:cs="宋体"/>
                <w:i w:val="0"/>
                <w:iCs w:val="0"/>
                <w:color w:val="000000"/>
                <w:sz w:val="18"/>
                <w:szCs w:val="18"/>
                <w:u w:val="none"/>
              </w:rPr>
            </w:pP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14:paraId="74FDA0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创建省星级现代农业园  </w:t>
            </w:r>
          </w:p>
        </w:tc>
        <w:tc>
          <w:tcPr>
            <w:tcW w:w="7170" w:type="dxa"/>
            <w:gridSpan w:val="5"/>
            <w:tcBorders>
              <w:top w:val="single" w:color="000000" w:sz="4" w:space="0"/>
              <w:left w:val="single" w:color="000000" w:sz="4" w:space="0"/>
              <w:bottom w:val="single" w:color="000000" w:sz="4" w:space="0"/>
              <w:right w:val="single" w:color="000000" w:sz="4" w:space="0"/>
            </w:tcBorders>
            <w:noWrap w:val="0"/>
            <w:vAlign w:val="center"/>
          </w:tcPr>
          <w:p w14:paraId="772648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为更好创建省星级现代农业园提供经费保障，扩大宣传力度。 </w:t>
            </w:r>
          </w:p>
        </w:tc>
      </w:tr>
      <w:tr w14:paraId="2E648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3" w:type="dxa"/>
            <w:vMerge w:val="restart"/>
            <w:tcBorders>
              <w:top w:val="single" w:color="000000" w:sz="4" w:space="0"/>
              <w:left w:val="single" w:color="000000" w:sz="4" w:space="0"/>
              <w:bottom w:val="single" w:color="000000" w:sz="4" w:space="0"/>
              <w:right w:val="single" w:color="000000" w:sz="4" w:space="0"/>
            </w:tcBorders>
            <w:noWrap w:val="0"/>
            <w:vAlign w:val="center"/>
          </w:tcPr>
          <w:p w14:paraId="0FEDFB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年度绩效指标</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698F4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C56BD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1F7AE0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E7282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14:paraId="126575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3B548C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56A86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63D26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7C8A9A">
            <w:pPr>
              <w:jc w:val="center"/>
              <w:rPr>
                <w:rFonts w:hint="eastAsia" w:ascii="宋体" w:hAnsi="宋体" w:eastAsia="宋体" w:cs="宋体"/>
                <w:i w:val="0"/>
                <w:iCs w:val="0"/>
                <w:color w:val="000000"/>
                <w:sz w:val="18"/>
                <w:szCs w:val="18"/>
                <w:u w:val="none"/>
              </w:rPr>
            </w:pPr>
          </w:p>
        </w:tc>
        <w:tc>
          <w:tcPr>
            <w:tcW w:w="960" w:type="dxa"/>
            <w:vMerge w:val="restart"/>
            <w:tcBorders>
              <w:top w:val="single" w:color="000000" w:sz="4" w:space="0"/>
              <w:left w:val="single" w:color="000000" w:sz="4" w:space="0"/>
              <w:bottom w:val="single" w:color="000000" w:sz="4" w:space="0"/>
              <w:right w:val="single" w:color="000000" w:sz="4" w:space="0"/>
            </w:tcBorders>
            <w:noWrap w:val="0"/>
            <w:vAlign w:val="center"/>
          </w:tcPr>
          <w:p w14:paraId="7D7DC1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1A8D2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72FF35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财力保障人数</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EF97C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=11人</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14:paraId="240EAB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11人</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34CD9B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1746D1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16383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933B21">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26277A">
            <w:pPr>
              <w:jc w:val="left"/>
              <w:rPr>
                <w:rFonts w:hint="eastAsia" w:ascii="宋体" w:hAnsi="宋体" w:eastAsia="宋体" w:cs="宋体"/>
                <w:i w:val="0"/>
                <w:iCs w:val="0"/>
                <w:color w:val="000000"/>
                <w:sz w:val="18"/>
                <w:szCs w:val="18"/>
                <w:u w:val="none"/>
              </w:rPr>
            </w:pPr>
          </w:p>
        </w:tc>
        <w:tc>
          <w:tcPr>
            <w:tcW w:w="870" w:type="dxa"/>
            <w:vMerge w:val="restart"/>
            <w:tcBorders>
              <w:top w:val="single" w:color="000000" w:sz="4" w:space="0"/>
              <w:left w:val="single" w:color="000000" w:sz="4" w:space="0"/>
              <w:bottom w:val="single" w:color="000000" w:sz="4" w:space="0"/>
              <w:right w:val="single" w:color="000000" w:sz="4" w:space="0"/>
            </w:tcBorders>
            <w:noWrap w:val="0"/>
            <w:vAlign w:val="center"/>
          </w:tcPr>
          <w:p w14:paraId="00CFCE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08C698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保障全镇资金使用率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F9BDA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14:paraId="3759A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28AE25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154825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2FA74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24225C">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6F3EA9">
            <w:pPr>
              <w:jc w:val="left"/>
              <w:rPr>
                <w:rFonts w:hint="eastAsia" w:ascii="宋体" w:hAnsi="宋体" w:eastAsia="宋体" w:cs="宋体"/>
                <w:i w:val="0"/>
                <w:iCs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295240">
            <w:pPr>
              <w:jc w:val="left"/>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3EAE54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部门预算执行完成进度</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A7854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14:paraId="2EF507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0BE38A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8BDEE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67640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C976B8">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BEEA89">
            <w:pPr>
              <w:jc w:val="left"/>
              <w:rPr>
                <w:rFonts w:hint="eastAsia" w:ascii="宋体" w:hAnsi="宋体" w:eastAsia="宋体" w:cs="宋体"/>
                <w:i w:val="0"/>
                <w:iCs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07CAEF">
            <w:pPr>
              <w:jc w:val="left"/>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577E9A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公用经费/三公经费控制度</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FCEC3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14:paraId="07D241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02A615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7FB6AC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6E1DB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31CF91">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F030DC">
            <w:pPr>
              <w:jc w:val="left"/>
              <w:rPr>
                <w:rFonts w:hint="eastAsia" w:ascii="宋体" w:hAnsi="宋体" w:eastAsia="宋体" w:cs="宋体"/>
                <w:i w:val="0"/>
                <w:iCs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BF6CA7">
            <w:pPr>
              <w:jc w:val="left"/>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2271C0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固定资产利用率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6B60F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14:paraId="2D50A5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424F01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A9F57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28BC3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9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9E8EAF">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62941B">
            <w:pPr>
              <w:jc w:val="left"/>
              <w:rPr>
                <w:rFonts w:hint="eastAsia" w:ascii="宋体" w:hAnsi="宋体" w:eastAsia="宋体" w:cs="宋体"/>
                <w:i w:val="0"/>
                <w:iCs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49E9AC">
            <w:pPr>
              <w:jc w:val="left"/>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459DCB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年中监控取消额度及年末结余注销额度</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CD0D0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14:paraId="50E535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017343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7073E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0E7A8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BB5EB7">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8ACDEF">
            <w:pPr>
              <w:jc w:val="left"/>
              <w:rPr>
                <w:rFonts w:hint="eastAsia" w:ascii="宋体" w:hAnsi="宋体" w:eastAsia="宋体" w:cs="宋体"/>
                <w:i w:val="0"/>
                <w:iCs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53AEA6">
            <w:pPr>
              <w:jc w:val="left"/>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0AF316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项目绩效完成偏离度</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2DC1F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14:paraId="7DB142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0732CA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A5101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49F49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233208">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56FF33">
            <w:pPr>
              <w:jc w:val="left"/>
              <w:rPr>
                <w:rFonts w:hint="eastAsia" w:ascii="宋体" w:hAnsi="宋体" w:eastAsia="宋体" w:cs="宋体"/>
                <w:i w:val="0"/>
                <w:iCs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6FF09C">
            <w:pPr>
              <w:jc w:val="left"/>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32DEA1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预算编制准确性</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F2509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14:paraId="069E1B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36E6D2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9D796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56F7C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50FE0B">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2EA8CE">
            <w:pPr>
              <w:jc w:val="left"/>
              <w:rPr>
                <w:rFonts w:hint="eastAsia" w:ascii="宋体" w:hAnsi="宋体" w:eastAsia="宋体" w:cs="宋体"/>
                <w:i w:val="0"/>
                <w:iCs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A32B89">
            <w:pPr>
              <w:jc w:val="left"/>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684395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AD1FF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14:paraId="7F81B5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28D9B8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145123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0518E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8399F1">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186146">
            <w:pPr>
              <w:jc w:val="left"/>
              <w:rPr>
                <w:rFonts w:hint="eastAsia" w:ascii="宋体" w:hAnsi="宋体" w:eastAsia="宋体" w:cs="宋体"/>
                <w:i w:val="0"/>
                <w:iCs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9E2E8D">
            <w:pPr>
              <w:jc w:val="left"/>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78F445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政府采购执行率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982B3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14:paraId="6494C7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763B2B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797736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7ECBD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486CD6">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C335DB">
            <w:pPr>
              <w:jc w:val="lef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F35D6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7AD223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完成时间</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13F71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1年</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14:paraId="27FE79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1年</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449F42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0D014A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57B44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9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6A0BFD">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2A446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1D80D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3A1D78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提高村民生活水平</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75742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14:paraId="390A2F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15AF71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13B866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31DF7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9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E53CAE">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3EA8C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61062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5E992A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CDBD6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14:paraId="28685E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2AB349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94811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05110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9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20BDCD">
            <w:pPr>
              <w:jc w:val="center"/>
              <w:rPr>
                <w:rFonts w:hint="eastAsia" w:ascii="宋体" w:hAnsi="宋体" w:eastAsia="宋体" w:cs="宋体"/>
                <w:i w:val="0"/>
                <w:iCs w:val="0"/>
                <w:color w:val="000000"/>
                <w:sz w:val="18"/>
                <w:szCs w:val="18"/>
                <w:u w:val="none"/>
              </w:rPr>
            </w:pPr>
          </w:p>
        </w:tc>
        <w:tc>
          <w:tcPr>
            <w:tcW w:w="960" w:type="dxa"/>
            <w:vMerge w:val="restart"/>
            <w:tcBorders>
              <w:top w:val="single" w:color="000000" w:sz="4" w:space="0"/>
              <w:left w:val="single" w:color="000000" w:sz="4" w:space="0"/>
              <w:bottom w:val="single" w:color="000000" w:sz="4" w:space="0"/>
              <w:right w:val="single" w:color="000000" w:sz="4" w:space="0"/>
            </w:tcBorders>
            <w:noWrap w:val="0"/>
            <w:vAlign w:val="center"/>
          </w:tcPr>
          <w:p w14:paraId="250AA5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870" w:type="dxa"/>
            <w:vMerge w:val="restart"/>
            <w:tcBorders>
              <w:top w:val="single" w:color="000000" w:sz="4" w:space="0"/>
              <w:left w:val="single" w:color="000000" w:sz="4" w:space="0"/>
              <w:bottom w:val="single" w:color="000000" w:sz="4" w:space="0"/>
              <w:right w:val="single" w:color="000000" w:sz="4" w:space="0"/>
            </w:tcBorders>
            <w:noWrap w:val="0"/>
            <w:vAlign w:val="center"/>
          </w:tcPr>
          <w:p w14:paraId="4A2098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1F3CBC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公用经费安排</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FC598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21.94万元</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14:paraId="7D166978">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22"/>
                <w:szCs w:val="22"/>
                <w:u w:val="none"/>
                <w:lang w:val="en-US" w:eastAsia="zh-CN" w:bidi="ar"/>
              </w:rPr>
              <w:t>21.94万元</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6331F2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15421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0B067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F75BDE">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15B47F">
            <w:pPr>
              <w:jc w:val="left"/>
              <w:rPr>
                <w:rFonts w:hint="eastAsia" w:ascii="宋体" w:hAnsi="宋体" w:eastAsia="宋体" w:cs="宋体"/>
                <w:i w:val="0"/>
                <w:iCs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F2963F">
            <w:pPr>
              <w:jc w:val="left"/>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4F2AB2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人员经费安排</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E9ED04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22"/>
                <w:szCs w:val="22"/>
                <w:u w:val="none"/>
                <w:lang w:val="en-US" w:eastAsia="zh-CN" w:bidi="ar"/>
              </w:rPr>
              <w:t>168.44万元</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14:paraId="7D76026A">
            <w:pPr>
              <w:keepNext w:val="0"/>
              <w:keepLines w:val="0"/>
              <w:widowControl/>
              <w:suppressLineNumbers w:val="0"/>
              <w:jc w:val="both"/>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22"/>
                <w:szCs w:val="22"/>
                <w:u w:val="none"/>
                <w:lang w:val="en-US" w:eastAsia="zh-CN" w:bidi="ar"/>
              </w:rPr>
              <w:t>168.4万元</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40BEC8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63928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4FD41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4F444C">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14C7FB">
            <w:pPr>
              <w:jc w:val="left"/>
              <w:rPr>
                <w:rFonts w:hint="eastAsia" w:ascii="宋体" w:hAnsi="宋体" w:eastAsia="宋体" w:cs="宋体"/>
                <w:i w:val="0"/>
                <w:iCs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47D6F2">
            <w:pPr>
              <w:jc w:val="left"/>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3A62F5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项目经费安排</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4C244AC">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22"/>
                <w:szCs w:val="22"/>
                <w:u w:val="none"/>
                <w:lang w:val="en-US" w:eastAsia="zh-CN" w:bidi="ar"/>
              </w:rPr>
              <w:t>73.67万元</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14:paraId="5E1A3F60">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22"/>
                <w:szCs w:val="22"/>
                <w:u w:val="none"/>
                <w:lang w:val="en-US" w:eastAsia="zh-CN" w:bidi="ar"/>
              </w:rPr>
              <w:t>73.67万元</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33AF9B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90390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1EB03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73" w:type="dxa"/>
            <w:tcBorders>
              <w:top w:val="single" w:color="000000" w:sz="4" w:space="0"/>
              <w:left w:val="single" w:color="000000" w:sz="4" w:space="0"/>
              <w:bottom w:val="nil"/>
              <w:right w:val="single" w:color="000000" w:sz="4" w:space="0"/>
            </w:tcBorders>
            <w:noWrap w:val="0"/>
            <w:vAlign w:val="center"/>
          </w:tcPr>
          <w:p w14:paraId="6891AAE9">
            <w:pPr>
              <w:jc w:val="center"/>
              <w:rPr>
                <w:rFonts w:hint="eastAsia" w:ascii="宋体" w:hAnsi="宋体" w:eastAsia="宋体" w:cs="宋体"/>
                <w:i w:val="0"/>
                <w:iCs w:val="0"/>
                <w:color w:val="000000"/>
                <w:sz w:val="18"/>
                <w:szCs w:val="18"/>
                <w:u w:val="none"/>
              </w:rPr>
            </w:pPr>
          </w:p>
        </w:tc>
        <w:tc>
          <w:tcPr>
            <w:tcW w:w="6272" w:type="dxa"/>
            <w:gridSpan w:val="5"/>
            <w:tcBorders>
              <w:top w:val="single" w:color="000000" w:sz="4" w:space="0"/>
              <w:left w:val="single" w:color="000000" w:sz="4" w:space="0"/>
              <w:bottom w:val="nil"/>
              <w:right w:val="single" w:color="000000" w:sz="4" w:space="0"/>
            </w:tcBorders>
            <w:noWrap w:val="0"/>
            <w:vAlign w:val="center"/>
          </w:tcPr>
          <w:p w14:paraId="2EF1E3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478" w:type="dxa"/>
            <w:tcBorders>
              <w:top w:val="single" w:color="000000" w:sz="4" w:space="0"/>
              <w:left w:val="single" w:color="000000" w:sz="4" w:space="0"/>
              <w:bottom w:val="nil"/>
              <w:right w:val="single" w:color="000000" w:sz="4" w:space="0"/>
            </w:tcBorders>
            <w:noWrap w:val="0"/>
            <w:vAlign w:val="center"/>
          </w:tcPr>
          <w:p w14:paraId="0B0DDC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250" w:type="dxa"/>
            <w:tcBorders>
              <w:top w:val="single" w:color="000000" w:sz="4" w:space="0"/>
              <w:left w:val="single" w:color="000000" w:sz="4" w:space="0"/>
              <w:bottom w:val="nil"/>
              <w:right w:val="single" w:color="000000" w:sz="4" w:space="0"/>
            </w:tcBorders>
            <w:noWrap w:val="0"/>
            <w:vAlign w:val="center"/>
          </w:tcPr>
          <w:p w14:paraId="39CDD8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77E83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973" w:type="dxa"/>
            <w:tcBorders>
              <w:top w:val="single" w:color="000000" w:sz="4" w:space="0"/>
              <w:left w:val="single" w:color="000000" w:sz="4" w:space="0"/>
              <w:bottom w:val="single" w:color="000000" w:sz="4" w:space="0"/>
              <w:right w:val="single" w:color="000000" w:sz="4" w:space="0"/>
            </w:tcBorders>
            <w:noWrap w:val="0"/>
            <w:vAlign w:val="center"/>
          </w:tcPr>
          <w:p w14:paraId="3F7405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评价结论</w:t>
            </w:r>
          </w:p>
        </w:tc>
        <w:tc>
          <w:tcPr>
            <w:tcW w:w="9000" w:type="dxa"/>
            <w:gridSpan w:val="7"/>
            <w:tcBorders>
              <w:top w:val="single" w:color="000000" w:sz="4" w:space="0"/>
              <w:left w:val="single" w:color="000000" w:sz="4" w:space="0"/>
              <w:bottom w:val="single" w:color="000000" w:sz="4" w:space="0"/>
              <w:right w:val="single" w:color="000000" w:sz="4" w:space="0"/>
            </w:tcBorders>
            <w:noWrap w:val="0"/>
            <w:vAlign w:val="center"/>
          </w:tcPr>
          <w:p w14:paraId="7230AB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2024年单位完成了预算设置目标，在部门决算执行数为264.74万元，比预算增加43.55万元；经单位自评得分为100分。</w:t>
            </w:r>
          </w:p>
        </w:tc>
      </w:tr>
      <w:tr w14:paraId="3676A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973" w:type="dxa"/>
            <w:tcBorders>
              <w:top w:val="single" w:color="000000" w:sz="4" w:space="0"/>
              <w:left w:val="single" w:color="000000" w:sz="4" w:space="0"/>
              <w:bottom w:val="single" w:color="000000" w:sz="4" w:space="0"/>
              <w:right w:val="single" w:color="000000" w:sz="4" w:space="0"/>
            </w:tcBorders>
            <w:noWrap w:val="0"/>
            <w:vAlign w:val="center"/>
          </w:tcPr>
          <w:p w14:paraId="1CD95E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存在问题</w:t>
            </w:r>
          </w:p>
        </w:tc>
        <w:tc>
          <w:tcPr>
            <w:tcW w:w="9000" w:type="dxa"/>
            <w:gridSpan w:val="7"/>
            <w:tcBorders>
              <w:top w:val="single" w:color="000000" w:sz="4" w:space="0"/>
              <w:left w:val="single" w:color="000000" w:sz="4" w:space="0"/>
              <w:bottom w:val="single" w:color="000000" w:sz="4" w:space="0"/>
              <w:right w:val="single" w:color="000000" w:sz="4" w:space="0"/>
            </w:tcBorders>
            <w:noWrap w:val="0"/>
            <w:vAlign w:val="center"/>
          </w:tcPr>
          <w:p w14:paraId="4883A4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1.预算绩效目标设置的准确度、预算绩效的管理能力、预算执行进度有待进一步提高；2.农业产业发展特色不明显，对农业产业化经营投入和服务不够，缺乏资金和技术扶持；3.农村基础设施建设仍需大力加强。</w:t>
            </w:r>
          </w:p>
        </w:tc>
      </w:tr>
      <w:tr w14:paraId="344F8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973" w:type="dxa"/>
            <w:tcBorders>
              <w:top w:val="single" w:color="000000" w:sz="4" w:space="0"/>
              <w:left w:val="single" w:color="000000" w:sz="4" w:space="0"/>
              <w:bottom w:val="single" w:color="000000" w:sz="4" w:space="0"/>
              <w:right w:val="single" w:color="000000" w:sz="4" w:space="0"/>
            </w:tcBorders>
            <w:noWrap w:val="0"/>
            <w:vAlign w:val="center"/>
          </w:tcPr>
          <w:p w14:paraId="3EB680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改进措施</w:t>
            </w:r>
          </w:p>
        </w:tc>
        <w:tc>
          <w:tcPr>
            <w:tcW w:w="9000" w:type="dxa"/>
            <w:gridSpan w:val="7"/>
            <w:tcBorders>
              <w:top w:val="single" w:color="000000" w:sz="4" w:space="0"/>
              <w:left w:val="single" w:color="000000" w:sz="4" w:space="0"/>
              <w:bottom w:val="single" w:color="000000" w:sz="4" w:space="0"/>
              <w:right w:val="single" w:color="000000" w:sz="4" w:space="0"/>
            </w:tcBorders>
            <w:noWrap w:val="0"/>
            <w:vAlign w:val="center"/>
          </w:tcPr>
          <w:p w14:paraId="72ECD755">
            <w:pPr>
              <w:keepNext w:val="0"/>
              <w:keepLines w:val="0"/>
              <w:widowControl/>
              <w:suppressLineNumbers w:val="0"/>
              <w:jc w:val="center"/>
              <w:textAlignment w:val="center"/>
              <w:rPr>
                <w:rFonts w:hint="eastAsia" w:ascii="Times New Roman" w:hAnsi="Times New Roman"/>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我们将更加科学合理地编制绩效目标，进一步完善我单位绩效管理制度，提高部门预算执行进度。</w:t>
            </w:r>
          </w:p>
        </w:tc>
      </w:tr>
    </w:tbl>
    <w:p w14:paraId="15C28C62">
      <w:pPr>
        <w:spacing w:line="576" w:lineRule="exact"/>
        <w:jc w:val="both"/>
        <w:rPr>
          <w:rFonts w:ascii="方正小标宋简体" w:hAnsi="宋体" w:eastAsia="方正小标宋简体"/>
          <w:color w:val="000000"/>
          <w:kern w:val="0"/>
          <w:sz w:val="44"/>
          <w:szCs w:val="44"/>
        </w:rPr>
      </w:pPr>
      <w:r>
        <w:rPr>
          <w:rFonts w:hint="eastAsia" w:ascii="方正小标宋简体" w:hAnsi="宋体" w:eastAsia="方正小标宋简体" w:cs="Times New Roman"/>
          <w:color w:val="000000"/>
          <w:kern w:val="0"/>
          <w:sz w:val="30"/>
          <w:szCs w:val="30"/>
          <w:lang w:val="en-US" w:eastAsia="zh-CN" w:bidi="ar-SA"/>
        </w:rPr>
        <w:t>附表2</w:t>
      </w:r>
      <w:r>
        <w:rPr>
          <w:rFonts w:hint="eastAsia" w:asciiTheme="majorEastAsia" w:hAnsiTheme="majorEastAsia" w:eastAsiaTheme="majorEastAsia" w:cstheme="majorEastAsia"/>
          <w:color w:val="000000"/>
          <w:kern w:val="0"/>
          <w:sz w:val="32"/>
          <w:szCs w:val="32"/>
          <w:lang w:val="en-US" w:eastAsia="zh-CN"/>
        </w:rPr>
        <w:t>：</w:t>
      </w:r>
    </w:p>
    <w:tbl>
      <w:tblPr>
        <w:tblStyle w:val="19"/>
        <w:tblW w:w="9855" w:type="dxa"/>
        <w:tblInd w:w="108" w:type="dxa"/>
        <w:tblLayout w:type="fixed"/>
        <w:tblCellMar>
          <w:top w:w="0" w:type="dxa"/>
          <w:left w:w="108" w:type="dxa"/>
          <w:bottom w:w="0" w:type="dxa"/>
          <w:right w:w="108" w:type="dxa"/>
        </w:tblCellMar>
      </w:tblPr>
      <w:tblGrid>
        <w:gridCol w:w="577"/>
        <w:gridCol w:w="576"/>
        <w:gridCol w:w="690"/>
        <w:gridCol w:w="1278"/>
        <w:gridCol w:w="396"/>
        <w:gridCol w:w="842"/>
        <w:gridCol w:w="475"/>
        <w:gridCol w:w="846"/>
        <w:gridCol w:w="1831"/>
        <w:gridCol w:w="486"/>
        <w:gridCol w:w="1858"/>
      </w:tblGrid>
      <w:tr w14:paraId="39621668">
        <w:tblPrEx>
          <w:tblCellMar>
            <w:top w:w="0" w:type="dxa"/>
            <w:left w:w="108" w:type="dxa"/>
            <w:bottom w:w="0" w:type="dxa"/>
            <w:right w:w="108" w:type="dxa"/>
          </w:tblCellMar>
        </w:tblPrEx>
        <w:trPr>
          <w:trHeight w:val="904" w:hRule="atLeast"/>
        </w:trPr>
        <w:tc>
          <w:tcPr>
            <w:tcW w:w="985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2DF238A">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w:t>
            </w:r>
            <w:r>
              <w:rPr>
                <w:rFonts w:hint="eastAsia" w:ascii="黑体" w:hAnsi="黑体" w:eastAsia="黑体" w:cs="宋体"/>
                <w:b/>
                <w:bCs/>
                <w:color w:val="000000"/>
                <w:kern w:val="0"/>
                <w:sz w:val="30"/>
                <w:szCs w:val="30"/>
                <w:lang w:val="en-US" w:eastAsia="zh-CN"/>
              </w:rPr>
              <w:t>4</w:t>
            </w:r>
            <w:r>
              <w:rPr>
                <w:rFonts w:hint="eastAsia" w:ascii="黑体" w:hAnsi="黑体" w:eastAsia="黑体" w:cs="宋体"/>
                <w:b/>
                <w:bCs/>
                <w:color w:val="000000"/>
                <w:kern w:val="0"/>
                <w:sz w:val="30"/>
                <w:szCs w:val="30"/>
              </w:rPr>
              <w:t>年度）</w:t>
            </w:r>
          </w:p>
        </w:tc>
      </w:tr>
      <w:tr w14:paraId="3B6FA29B">
        <w:tblPrEx>
          <w:tblCellMar>
            <w:top w:w="0" w:type="dxa"/>
            <w:left w:w="108" w:type="dxa"/>
            <w:bottom w:w="0" w:type="dxa"/>
            <w:right w:w="108" w:type="dxa"/>
          </w:tblCellMar>
        </w:tblPrEx>
        <w:trPr>
          <w:trHeight w:val="285" w:hRule="atLeast"/>
        </w:trPr>
        <w:tc>
          <w:tcPr>
            <w:tcW w:w="11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39CF27">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8702" w:type="dxa"/>
            <w:gridSpan w:val="9"/>
            <w:tcBorders>
              <w:top w:val="single" w:color="000000" w:sz="4" w:space="0"/>
              <w:left w:val="nil"/>
              <w:bottom w:val="single" w:color="000000" w:sz="4" w:space="0"/>
              <w:right w:val="single" w:color="000000" w:sz="4" w:space="0"/>
            </w:tcBorders>
            <w:shd w:val="clear" w:color="auto" w:fill="auto"/>
            <w:vAlign w:val="center"/>
          </w:tcPr>
          <w:p w14:paraId="0F35394C">
            <w:pPr>
              <w:widowControl/>
              <w:jc w:val="left"/>
              <w:rPr>
                <w:rFonts w:ascii="宋体" w:hAnsi="宋体" w:cs="宋体"/>
                <w:color w:val="000000"/>
                <w:kern w:val="0"/>
                <w:sz w:val="18"/>
                <w:szCs w:val="18"/>
              </w:rPr>
            </w:pPr>
            <w:r>
              <w:rPr>
                <w:rFonts w:hint="eastAsia" w:ascii="宋体" w:hAnsi="宋体" w:cs="宋体"/>
                <w:color w:val="000000"/>
                <w:kern w:val="0"/>
                <w:sz w:val="18"/>
                <w:szCs w:val="18"/>
              </w:rPr>
              <w:t>51090424T000011510943-2024年</w:t>
            </w:r>
            <w:r>
              <w:rPr>
                <w:rFonts w:ascii="宋体" w:hAnsi="宋体" w:eastAsia="宋体" w:cs="宋体"/>
                <w:sz w:val="18"/>
                <w:szCs w:val="18"/>
              </w:rPr>
              <w:t>中央、省委</w:t>
            </w:r>
            <w:r>
              <w:rPr>
                <w:rFonts w:hint="eastAsia" w:ascii="宋体" w:hAnsi="宋体" w:cs="宋体"/>
                <w:color w:val="000000"/>
                <w:kern w:val="0"/>
                <w:sz w:val="18"/>
                <w:szCs w:val="18"/>
              </w:rPr>
              <w:t>财政衔接推进乡村振兴补助资金</w:t>
            </w:r>
          </w:p>
        </w:tc>
      </w:tr>
      <w:tr w14:paraId="4AEB2AE2">
        <w:tblPrEx>
          <w:tblCellMar>
            <w:top w:w="0" w:type="dxa"/>
            <w:left w:w="108" w:type="dxa"/>
            <w:bottom w:w="0" w:type="dxa"/>
            <w:right w:w="108" w:type="dxa"/>
          </w:tblCellMar>
        </w:tblPrEx>
        <w:trPr>
          <w:trHeight w:val="514" w:hRule="atLeast"/>
        </w:trPr>
        <w:tc>
          <w:tcPr>
            <w:tcW w:w="11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838F43">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681" w:type="dxa"/>
            <w:gridSpan w:val="5"/>
            <w:tcBorders>
              <w:top w:val="single" w:color="000000" w:sz="4" w:space="0"/>
              <w:left w:val="nil"/>
              <w:bottom w:val="single" w:color="000000" w:sz="4" w:space="0"/>
              <w:right w:val="single" w:color="000000" w:sz="4" w:space="0"/>
            </w:tcBorders>
            <w:shd w:val="clear" w:color="auto" w:fill="auto"/>
            <w:vAlign w:val="center"/>
          </w:tcPr>
          <w:p w14:paraId="4C85F726">
            <w:pPr>
              <w:widowControl/>
              <w:jc w:val="left"/>
              <w:rPr>
                <w:rFonts w:ascii="宋体" w:hAnsi="宋体" w:cs="宋体"/>
                <w:color w:val="000000"/>
                <w:kern w:val="0"/>
                <w:sz w:val="18"/>
                <w:szCs w:val="18"/>
              </w:rPr>
            </w:pPr>
            <w:r>
              <w:rPr>
                <w:rFonts w:hint="eastAsia" w:ascii="宋体" w:hAnsi="宋体" w:cs="宋体"/>
                <w:color w:val="000000"/>
                <w:kern w:val="0"/>
                <w:sz w:val="18"/>
                <w:szCs w:val="18"/>
              </w:rPr>
              <w:t>遂宁市安居区海龙凯歌文化旅游产业园区管理委员会部门</w:t>
            </w:r>
          </w:p>
        </w:tc>
        <w:tc>
          <w:tcPr>
            <w:tcW w:w="846" w:type="dxa"/>
            <w:tcBorders>
              <w:top w:val="nil"/>
              <w:left w:val="nil"/>
              <w:bottom w:val="nil"/>
              <w:right w:val="nil"/>
            </w:tcBorders>
            <w:shd w:val="clear" w:color="auto" w:fill="auto"/>
            <w:vAlign w:val="center"/>
          </w:tcPr>
          <w:p w14:paraId="2B2442B5">
            <w:pPr>
              <w:widowControl/>
              <w:jc w:val="left"/>
              <w:rPr>
                <w:rFonts w:hint="eastAsia" w:ascii="黑体" w:hAnsi="黑体" w:cs="宋体"/>
                <w:color w:val="000000"/>
                <w:kern w:val="0"/>
                <w:sz w:val="18"/>
                <w:szCs w:val="18"/>
              </w:rPr>
            </w:pPr>
            <w:r>
              <w:rPr>
                <w:rFonts w:ascii="黑体" w:hAnsi="黑体" w:cs="宋体"/>
                <w:color w:val="000000"/>
                <w:kern w:val="0"/>
                <w:sz w:val="18"/>
                <w:szCs w:val="18"/>
              </w:rPr>
              <w:t>实施单位 （盖章）</w:t>
            </w:r>
          </w:p>
        </w:tc>
        <w:tc>
          <w:tcPr>
            <w:tcW w:w="4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878655">
            <w:pPr>
              <w:widowControl/>
              <w:jc w:val="center"/>
              <w:rPr>
                <w:rFonts w:ascii="宋体" w:hAnsi="宋体" w:cs="宋体"/>
                <w:color w:val="000000"/>
                <w:kern w:val="0"/>
                <w:sz w:val="18"/>
                <w:szCs w:val="18"/>
              </w:rPr>
            </w:pPr>
            <w:r>
              <w:rPr>
                <w:rFonts w:hint="eastAsia" w:ascii="宋体" w:hAnsi="宋体" w:cs="宋体"/>
                <w:color w:val="000000"/>
                <w:kern w:val="0"/>
                <w:sz w:val="18"/>
                <w:szCs w:val="18"/>
              </w:rPr>
              <w:t>遂宁市安居区海龙凯歌文化旅游产业园区管理委员会</w:t>
            </w:r>
          </w:p>
        </w:tc>
      </w:tr>
      <w:tr w14:paraId="31DB9AB5">
        <w:tblPrEx>
          <w:tblCellMar>
            <w:top w:w="0" w:type="dxa"/>
            <w:left w:w="108" w:type="dxa"/>
            <w:bottom w:w="0" w:type="dxa"/>
            <w:right w:w="108" w:type="dxa"/>
          </w:tblCellMar>
        </w:tblPrEx>
        <w:trPr>
          <w:trHeight w:val="285" w:hRule="atLeast"/>
        </w:trPr>
        <w:tc>
          <w:tcPr>
            <w:tcW w:w="577" w:type="dxa"/>
            <w:vMerge w:val="restart"/>
            <w:tcBorders>
              <w:top w:val="nil"/>
              <w:left w:val="single" w:color="000000" w:sz="4" w:space="0"/>
              <w:bottom w:val="single" w:color="000000" w:sz="4" w:space="0"/>
              <w:right w:val="single" w:color="000000" w:sz="4" w:space="0"/>
            </w:tcBorders>
            <w:shd w:val="clear" w:color="auto" w:fill="auto"/>
            <w:vAlign w:val="center"/>
          </w:tcPr>
          <w:p w14:paraId="581E5840">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14:paraId="24A40FA5">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3681" w:type="dxa"/>
            <w:gridSpan w:val="5"/>
            <w:tcBorders>
              <w:top w:val="single" w:color="000000" w:sz="4" w:space="0"/>
              <w:left w:val="nil"/>
              <w:bottom w:val="single" w:color="000000" w:sz="4" w:space="0"/>
              <w:right w:val="single" w:color="000000" w:sz="4" w:space="0"/>
            </w:tcBorders>
            <w:shd w:val="clear" w:color="auto" w:fill="auto"/>
            <w:vAlign w:val="center"/>
          </w:tcPr>
          <w:p w14:paraId="0E9E782C">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5021" w:type="dxa"/>
            <w:gridSpan w:val="4"/>
            <w:tcBorders>
              <w:top w:val="single" w:color="000000" w:sz="4" w:space="0"/>
              <w:left w:val="nil"/>
              <w:bottom w:val="single" w:color="000000" w:sz="4" w:space="0"/>
              <w:right w:val="single" w:color="000000" w:sz="4" w:space="0"/>
            </w:tcBorders>
            <w:shd w:val="clear" w:color="auto" w:fill="auto"/>
            <w:vAlign w:val="center"/>
          </w:tcPr>
          <w:p w14:paraId="677B3F75">
            <w:pPr>
              <w:widowControl/>
              <w:jc w:val="center"/>
              <w:rPr>
                <w:rFonts w:hint="eastAsia" w:ascii="黑体" w:hAnsi="黑体" w:cs="宋体"/>
                <w:color w:val="000000"/>
                <w:kern w:val="0"/>
                <w:sz w:val="18"/>
                <w:szCs w:val="18"/>
              </w:rPr>
            </w:pPr>
            <w:r>
              <w:rPr>
                <w:rFonts w:ascii="黑体" w:hAnsi="黑体" w:cs="宋体"/>
                <w:color w:val="000000"/>
                <w:kern w:val="0"/>
                <w:sz w:val="18"/>
                <w:szCs w:val="18"/>
              </w:rPr>
              <w:t>年度目标完成情况</w:t>
            </w:r>
          </w:p>
        </w:tc>
      </w:tr>
      <w:tr w14:paraId="5D9EF0D1">
        <w:tblPrEx>
          <w:tblCellMar>
            <w:top w:w="0" w:type="dxa"/>
            <w:left w:w="108" w:type="dxa"/>
            <w:bottom w:w="0" w:type="dxa"/>
            <w:right w:w="108" w:type="dxa"/>
          </w:tblCellMar>
        </w:tblPrEx>
        <w:trPr>
          <w:trHeight w:val="709" w:hRule="atLeast"/>
        </w:trPr>
        <w:tc>
          <w:tcPr>
            <w:tcW w:w="577" w:type="dxa"/>
            <w:vMerge w:val="continue"/>
            <w:tcBorders>
              <w:top w:val="nil"/>
              <w:left w:val="single" w:color="000000" w:sz="4" w:space="0"/>
              <w:bottom w:val="single" w:color="000000" w:sz="4" w:space="0"/>
              <w:right w:val="single" w:color="000000" w:sz="4" w:space="0"/>
            </w:tcBorders>
            <w:vAlign w:val="center"/>
          </w:tcPr>
          <w:p w14:paraId="31F48138">
            <w:pPr>
              <w:widowControl/>
              <w:jc w:val="left"/>
              <w:rPr>
                <w:rFonts w:ascii="宋体" w:hAnsi="宋体" w:cs="宋体"/>
                <w:color w:val="000000"/>
                <w:kern w:val="0"/>
                <w:sz w:val="18"/>
                <w:szCs w:val="18"/>
              </w:rPr>
            </w:pPr>
          </w:p>
        </w:tc>
        <w:tc>
          <w:tcPr>
            <w:tcW w:w="576" w:type="dxa"/>
            <w:vMerge w:val="continue"/>
            <w:tcBorders>
              <w:top w:val="nil"/>
              <w:left w:val="single" w:color="000000" w:sz="4" w:space="0"/>
              <w:bottom w:val="single" w:color="000000" w:sz="4" w:space="0"/>
              <w:right w:val="single" w:color="000000" w:sz="4" w:space="0"/>
            </w:tcBorders>
            <w:vAlign w:val="center"/>
          </w:tcPr>
          <w:p w14:paraId="31CB5AE8">
            <w:pPr>
              <w:widowControl/>
              <w:jc w:val="left"/>
              <w:rPr>
                <w:rFonts w:ascii="宋体" w:hAnsi="宋体" w:cs="宋体"/>
                <w:color w:val="000000"/>
                <w:kern w:val="0"/>
                <w:sz w:val="18"/>
                <w:szCs w:val="18"/>
              </w:rPr>
            </w:pPr>
          </w:p>
        </w:tc>
        <w:tc>
          <w:tcPr>
            <w:tcW w:w="3681" w:type="dxa"/>
            <w:gridSpan w:val="5"/>
            <w:tcBorders>
              <w:top w:val="single" w:color="000000" w:sz="4" w:space="0"/>
              <w:left w:val="nil"/>
              <w:bottom w:val="single" w:color="000000" w:sz="4" w:space="0"/>
              <w:right w:val="single" w:color="000000" w:sz="4" w:space="0"/>
            </w:tcBorders>
            <w:shd w:val="clear" w:color="auto" w:fill="auto"/>
            <w:vAlign w:val="center"/>
          </w:tcPr>
          <w:p w14:paraId="3A33B833">
            <w:pPr>
              <w:widowControl/>
              <w:jc w:val="left"/>
              <w:rPr>
                <w:rFonts w:ascii="宋体" w:hAnsi="宋体" w:cs="宋体"/>
                <w:color w:val="000000"/>
                <w:kern w:val="0"/>
                <w:sz w:val="18"/>
                <w:szCs w:val="18"/>
              </w:rPr>
            </w:pPr>
            <w:r>
              <w:rPr>
                <w:rFonts w:hint="eastAsia" w:ascii="宋体" w:hAnsi="宋体" w:cs="宋体"/>
                <w:color w:val="000000"/>
                <w:kern w:val="0"/>
                <w:sz w:val="18"/>
                <w:szCs w:val="18"/>
              </w:rPr>
              <w:t>农业品种培优、品质提升、品牌打造，推动产销对接和消费帮扶，支持产业配套基础设施建设，促进村级集体经济发展</w:t>
            </w:r>
          </w:p>
        </w:tc>
        <w:tc>
          <w:tcPr>
            <w:tcW w:w="5021" w:type="dxa"/>
            <w:gridSpan w:val="4"/>
            <w:tcBorders>
              <w:top w:val="single" w:color="000000" w:sz="4" w:space="0"/>
              <w:left w:val="nil"/>
              <w:bottom w:val="single" w:color="000000" w:sz="4" w:space="0"/>
              <w:right w:val="single" w:color="000000" w:sz="4" w:space="0"/>
            </w:tcBorders>
            <w:shd w:val="clear" w:color="auto" w:fill="auto"/>
            <w:vAlign w:val="center"/>
          </w:tcPr>
          <w:p w14:paraId="55BB756C">
            <w:pPr>
              <w:widowControl/>
              <w:jc w:val="left"/>
              <w:rPr>
                <w:rFonts w:ascii="宋体" w:hAnsi="宋体" w:cs="宋体"/>
                <w:color w:val="000000"/>
                <w:kern w:val="0"/>
                <w:sz w:val="18"/>
                <w:szCs w:val="18"/>
              </w:rPr>
            </w:pPr>
            <w:r>
              <w:rPr>
                <w:rFonts w:hint="eastAsia" w:ascii="宋体" w:hAnsi="宋体" w:cs="宋体"/>
                <w:color w:val="000000"/>
                <w:kern w:val="0"/>
                <w:sz w:val="18"/>
                <w:szCs w:val="18"/>
              </w:rPr>
              <w:t>202</w:t>
            </w:r>
            <w:r>
              <w:rPr>
                <w:rFonts w:hint="eastAsia" w:ascii="宋体" w:hAnsi="宋体" w:cs="宋体"/>
                <w:color w:val="000000"/>
                <w:kern w:val="0"/>
                <w:sz w:val="18"/>
                <w:szCs w:val="18"/>
                <w:lang w:val="en-US" w:eastAsia="zh-CN"/>
              </w:rPr>
              <w:t>4</w:t>
            </w:r>
            <w:r>
              <w:rPr>
                <w:rFonts w:hint="eastAsia" w:ascii="宋体" w:hAnsi="宋体" w:cs="宋体"/>
                <w:color w:val="000000"/>
                <w:kern w:val="0"/>
                <w:sz w:val="18"/>
                <w:szCs w:val="18"/>
              </w:rPr>
              <w:t>年园区完成产业配套基础设施建设，促进村级集体经济发展.</w:t>
            </w:r>
          </w:p>
        </w:tc>
      </w:tr>
      <w:tr w14:paraId="1C9AD6DA">
        <w:tblPrEx>
          <w:tblCellMar>
            <w:top w:w="0" w:type="dxa"/>
            <w:left w:w="108" w:type="dxa"/>
            <w:bottom w:w="0" w:type="dxa"/>
            <w:right w:w="108" w:type="dxa"/>
          </w:tblCellMar>
        </w:tblPrEx>
        <w:trPr>
          <w:trHeight w:val="694" w:hRule="atLeast"/>
        </w:trPr>
        <w:tc>
          <w:tcPr>
            <w:tcW w:w="577" w:type="dxa"/>
            <w:vMerge w:val="continue"/>
            <w:tcBorders>
              <w:top w:val="nil"/>
              <w:left w:val="single" w:color="000000" w:sz="4" w:space="0"/>
              <w:bottom w:val="single" w:color="000000" w:sz="4" w:space="0"/>
              <w:right w:val="single" w:color="000000" w:sz="4" w:space="0"/>
            </w:tcBorders>
            <w:vAlign w:val="center"/>
          </w:tcPr>
          <w:p w14:paraId="18F78883">
            <w:pPr>
              <w:widowControl/>
              <w:jc w:val="left"/>
              <w:rPr>
                <w:rFonts w:ascii="宋体" w:hAnsi="宋体" w:cs="宋体"/>
                <w:color w:val="000000"/>
                <w:kern w:val="0"/>
                <w:sz w:val="18"/>
                <w:szCs w:val="18"/>
              </w:rPr>
            </w:pPr>
          </w:p>
        </w:tc>
        <w:tc>
          <w:tcPr>
            <w:tcW w:w="576" w:type="dxa"/>
            <w:tcBorders>
              <w:top w:val="nil"/>
              <w:left w:val="nil"/>
              <w:bottom w:val="single" w:color="000000" w:sz="4" w:space="0"/>
              <w:right w:val="single" w:color="000000" w:sz="4" w:space="0"/>
            </w:tcBorders>
            <w:shd w:val="clear" w:color="auto" w:fill="auto"/>
            <w:vAlign w:val="center"/>
          </w:tcPr>
          <w:p w14:paraId="27480206">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8702" w:type="dxa"/>
            <w:gridSpan w:val="9"/>
            <w:tcBorders>
              <w:top w:val="single" w:color="000000" w:sz="4" w:space="0"/>
              <w:left w:val="nil"/>
              <w:bottom w:val="single" w:color="000000" w:sz="4" w:space="0"/>
              <w:right w:val="single" w:color="000000" w:sz="4" w:space="0"/>
            </w:tcBorders>
            <w:shd w:val="clear" w:color="auto" w:fill="auto"/>
            <w:vAlign w:val="center"/>
          </w:tcPr>
          <w:p w14:paraId="583D83E0">
            <w:pPr>
              <w:widowControl/>
              <w:jc w:val="left"/>
              <w:rPr>
                <w:rFonts w:ascii="宋体" w:hAnsi="宋体" w:cs="宋体"/>
                <w:color w:val="000000"/>
                <w:kern w:val="0"/>
                <w:sz w:val="18"/>
                <w:szCs w:val="18"/>
              </w:rPr>
            </w:pPr>
            <w:r>
              <w:rPr>
                <w:rFonts w:hint="eastAsia" w:ascii="宋体" w:hAnsi="宋体" w:cs="宋体"/>
                <w:color w:val="000000"/>
                <w:kern w:val="0"/>
                <w:sz w:val="18"/>
                <w:szCs w:val="18"/>
              </w:rPr>
              <w:t>培育和壮大特色优势产业：支持农业品种培优、品质提升、品牌打造，推动产销对接和消费帮扶，支持产业配套基础设施建设，促进村级集体经济发展</w:t>
            </w:r>
          </w:p>
        </w:tc>
      </w:tr>
      <w:tr w14:paraId="68B91F37">
        <w:tblPrEx>
          <w:tblCellMar>
            <w:top w:w="0" w:type="dxa"/>
            <w:left w:w="108" w:type="dxa"/>
            <w:bottom w:w="0" w:type="dxa"/>
            <w:right w:w="108" w:type="dxa"/>
          </w:tblCellMar>
        </w:tblPrEx>
        <w:trPr>
          <w:trHeight w:val="360" w:hRule="atLeast"/>
        </w:trPr>
        <w:tc>
          <w:tcPr>
            <w:tcW w:w="577" w:type="dxa"/>
            <w:vMerge w:val="restart"/>
            <w:tcBorders>
              <w:top w:val="nil"/>
              <w:left w:val="single" w:color="000000" w:sz="4" w:space="0"/>
              <w:bottom w:val="single" w:color="000000" w:sz="4" w:space="0"/>
              <w:right w:val="single" w:color="000000" w:sz="4" w:space="0"/>
            </w:tcBorders>
            <w:shd w:val="clear" w:color="auto" w:fill="auto"/>
            <w:vAlign w:val="center"/>
          </w:tcPr>
          <w:p w14:paraId="0F887046">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576" w:type="dxa"/>
            <w:tcBorders>
              <w:top w:val="nil"/>
              <w:left w:val="nil"/>
              <w:bottom w:val="single" w:color="000000" w:sz="4" w:space="0"/>
              <w:right w:val="single" w:color="000000" w:sz="4" w:space="0"/>
            </w:tcBorders>
            <w:shd w:val="clear" w:color="auto" w:fill="auto"/>
            <w:vAlign w:val="center"/>
          </w:tcPr>
          <w:p w14:paraId="00D35FE6">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690" w:type="dxa"/>
            <w:tcBorders>
              <w:top w:val="nil"/>
              <w:left w:val="nil"/>
              <w:bottom w:val="single" w:color="000000" w:sz="4" w:space="0"/>
              <w:right w:val="single" w:color="000000" w:sz="4" w:space="0"/>
            </w:tcBorders>
            <w:shd w:val="clear" w:color="auto" w:fill="auto"/>
            <w:vAlign w:val="center"/>
          </w:tcPr>
          <w:p w14:paraId="21249AEB">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78" w:type="dxa"/>
            <w:tcBorders>
              <w:top w:val="nil"/>
              <w:left w:val="nil"/>
              <w:bottom w:val="single" w:color="000000" w:sz="4" w:space="0"/>
              <w:right w:val="single" w:color="000000" w:sz="4" w:space="0"/>
            </w:tcBorders>
            <w:shd w:val="clear" w:color="auto" w:fill="auto"/>
            <w:vAlign w:val="center"/>
          </w:tcPr>
          <w:p w14:paraId="21621D5E">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713" w:type="dxa"/>
            <w:gridSpan w:val="3"/>
            <w:tcBorders>
              <w:top w:val="single" w:color="000000" w:sz="4" w:space="0"/>
              <w:left w:val="nil"/>
              <w:bottom w:val="single" w:color="000000" w:sz="4" w:space="0"/>
              <w:right w:val="single" w:color="000000" w:sz="4" w:space="0"/>
            </w:tcBorders>
            <w:shd w:val="clear" w:color="auto" w:fill="auto"/>
            <w:vAlign w:val="center"/>
          </w:tcPr>
          <w:p w14:paraId="43F4FE28">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846" w:type="dxa"/>
            <w:tcBorders>
              <w:top w:val="nil"/>
              <w:left w:val="nil"/>
              <w:bottom w:val="single" w:color="000000" w:sz="4" w:space="0"/>
              <w:right w:val="single" w:color="000000" w:sz="4" w:space="0"/>
            </w:tcBorders>
            <w:shd w:val="clear" w:color="auto" w:fill="auto"/>
            <w:vAlign w:val="center"/>
          </w:tcPr>
          <w:p w14:paraId="1971A22B">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1831" w:type="dxa"/>
            <w:tcBorders>
              <w:top w:val="nil"/>
              <w:left w:val="nil"/>
              <w:bottom w:val="single" w:color="000000" w:sz="4" w:space="0"/>
              <w:right w:val="single" w:color="000000" w:sz="4" w:space="0"/>
            </w:tcBorders>
            <w:shd w:val="clear" w:color="auto" w:fill="auto"/>
            <w:vAlign w:val="center"/>
          </w:tcPr>
          <w:p w14:paraId="127DCE89">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86" w:type="dxa"/>
            <w:tcBorders>
              <w:top w:val="nil"/>
              <w:left w:val="nil"/>
              <w:bottom w:val="single" w:color="000000" w:sz="4" w:space="0"/>
              <w:right w:val="single" w:color="000000" w:sz="4" w:space="0"/>
            </w:tcBorders>
            <w:shd w:val="clear" w:color="auto" w:fill="auto"/>
            <w:vAlign w:val="center"/>
          </w:tcPr>
          <w:p w14:paraId="57B255E7">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858" w:type="dxa"/>
            <w:tcBorders>
              <w:top w:val="nil"/>
              <w:left w:val="nil"/>
              <w:bottom w:val="single" w:color="000000" w:sz="4" w:space="0"/>
              <w:right w:val="single" w:color="000000" w:sz="4" w:space="0"/>
            </w:tcBorders>
            <w:shd w:val="clear" w:color="auto" w:fill="auto"/>
            <w:vAlign w:val="center"/>
          </w:tcPr>
          <w:p w14:paraId="176CDD3A">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7FFD0EB7">
        <w:tblPrEx>
          <w:tblCellMar>
            <w:top w:w="0" w:type="dxa"/>
            <w:left w:w="108" w:type="dxa"/>
            <w:bottom w:w="0" w:type="dxa"/>
            <w:right w:w="108" w:type="dxa"/>
          </w:tblCellMar>
        </w:tblPrEx>
        <w:trPr>
          <w:trHeight w:val="345" w:hRule="atLeast"/>
        </w:trPr>
        <w:tc>
          <w:tcPr>
            <w:tcW w:w="577" w:type="dxa"/>
            <w:vMerge w:val="continue"/>
            <w:tcBorders>
              <w:top w:val="nil"/>
              <w:left w:val="single" w:color="000000" w:sz="4" w:space="0"/>
              <w:bottom w:val="single" w:color="000000" w:sz="4" w:space="0"/>
              <w:right w:val="single" w:color="000000" w:sz="4" w:space="0"/>
            </w:tcBorders>
            <w:vAlign w:val="center"/>
          </w:tcPr>
          <w:p w14:paraId="4C537B5F">
            <w:pPr>
              <w:widowControl/>
              <w:jc w:val="left"/>
              <w:rPr>
                <w:rFonts w:ascii="宋体" w:hAnsi="宋体" w:cs="宋体"/>
                <w:color w:val="000000"/>
                <w:kern w:val="0"/>
                <w:sz w:val="18"/>
                <w:szCs w:val="18"/>
              </w:rPr>
            </w:pPr>
          </w:p>
        </w:tc>
        <w:tc>
          <w:tcPr>
            <w:tcW w:w="576" w:type="dxa"/>
            <w:tcBorders>
              <w:top w:val="nil"/>
              <w:left w:val="nil"/>
              <w:bottom w:val="single" w:color="000000" w:sz="4" w:space="0"/>
              <w:right w:val="single" w:color="000000" w:sz="4" w:space="0"/>
            </w:tcBorders>
            <w:shd w:val="clear" w:color="auto" w:fill="auto"/>
            <w:vAlign w:val="center"/>
          </w:tcPr>
          <w:p w14:paraId="07048A51">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690" w:type="dxa"/>
            <w:tcBorders>
              <w:top w:val="nil"/>
              <w:left w:val="nil"/>
              <w:bottom w:val="single" w:color="000000" w:sz="4" w:space="0"/>
              <w:right w:val="single" w:color="000000" w:sz="4" w:space="0"/>
            </w:tcBorders>
            <w:shd w:val="clear" w:color="auto" w:fill="auto"/>
            <w:vAlign w:val="center"/>
          </w:tcPr>
          <w:p w14:paraId="04B9D93D">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78" w:type="dxa"/>
            <w:tcBorders>
              <w:top w:val="nil"/>
              <w:left w:val="nil"/>
              <w:bottom w:val="single" w:color="000000" w:sz="4" w:space="0"/>
              <w:right w:val="single" w:color="000000" w:sz="4" w:space="0"/>
            </w:tcBorders>
            <w:shd w:val="clear" w:color="auto" w:fill="auto"/>
            <w:vAlign w:val="center"/>
          </w:tcPr>
          <w:p w14:paraId="3B002F4A">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43.67</w:t>
            </w:r>
          </w:p>
        </w:tc>
        <w:tc>
          <w:tcPr>
            <w:tcW w:w="1713" w:type="dxa"/>
            <w:gridSpan w:val="3"/>
            <w:tcBorders>
              <w:top w:val="single" w:color="000000" w:sz="4" w:space="0"/>
              <w:left w:val="nil"/>
              <w:bottom w:val="single" w:color="000000" w:sz="4" w:space="0"/>
              <w:right w:val="single" w:color="000000" w:sz="4" w:space="0"/>
            </w:tcBorders>
            <w:shd w:val="clear" w:color="auto" w:fill="auto"/>
            <w:vAlign w:val="center"/>
          </w:tcPr>
          <w:p w14:paraId="7D581B65">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43.67</w:t>
            </w:r>
          </w:p>
        </w:tc>
        <w:tc>
          <w:tcPr>
            <w:tcW w:w="846" w:type="dxa"/>
            <w:tcBorders>
              <w:top w:val="nil"/>
              <w:left w:val="nil"/>
              <w:bottom w:val="single" w:color="000000" w:sz="4" w:space="0"/>
              <w:right w:val="single" w:color="000000" w:sz="4" w:space="0"/>
            </w:tcBorders>
            <w:shd w:val="clear" w:color="auto" w:fill="auto"/>
            <w:vAlign w:val="center"/>
          </w:tcPr>
          <w:p w14:paraId="47DBFF46">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1831" w:type="dxa"/>
            <w:tcBorders>
              <w:top w:val="nil"/>
              <w:left w:val="nil"/>
              <w:bottom w:val="single" w:color="000000" w:sz="4" w:space="0"/>
              <w:right w:val="single" w:color="000000" w:sz="4" w:space="0"/>
            </w:tcBorders>
            <w:shd w:val="clear" w:color="auto" w:fill="auto"/>
            <w:vAlign w:val="center"/>
          </w:tcPr>
          <w:p w14:paraId="1ECDF58D">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86" w:type="dxa"/>
            <w:tcBorders>
              <w:top w:val="nil"/>
              <w:left w:val="nil"/>
              <w:bottom w:val="single" w:color="000000" w:sz="4" w:space="0"/>
              <w:right w:val="single" w:color="000000" w:sz="4" w:space="0"/>
            </w:tcBorders>
            <w:shd w:val="clear" w:color="auto" w:fill="auto"/>
            <w:vAlign w:val="center"/>
          </w:tcPr>
          <w:p w14:paraId="37A71CC2">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858" w:type="dxa"/>
            <w:vMerge w:val="restart"/>
            <w:tcBorders>
              <w:top w:val="nil"/>
              <w:left w:val="single" w:color="000000" w:sz="4" w:space="0"/>
              <w:bottom w:val="single" w:color="000000" w:sz="4" w:space="0"/>
              <w:right w:val="single" w:color="000000" w:sz="4" w:space="0"/>
            </w:tcBorders>
            <w:shd w:val="clear" w:color="auto" w:fill="auto"/>
            <w:vAlign w:val="center"/>
          </w:tcPr>
          <w:p w14:paraId="10D757D3">
            <w:pPr>
              <w:widowControl/>
              <w:jc w:val="left"/>
              <w:rPr>
                <w:rFonts w:hint="eastAsia" w:ascii="黑体" w:hAnsi="黑体" w:cs="宋体"/>
                <w:i/>
                <w:iCs/>
                <w:color w:val="000000"/>
                <w:kern w:val="0"/>
                <w:sz w:val="18"/>
                <w:szCs w:val="18"/>
              </w:rPr>
            </w:pPr>
            <w:r>
              <w:rPr>
                <w:rFonts w:ascii="黑体" w:hAnsi="黑体" w:cs="宋体"/>
                <w:i/>
                <w:iCs/>
                <w:color w:val="000000"/>
                <w:kern w:val="0"/>
                <w:sz w:val="18"/>
                <w:szCs w:val="18"/>
              </w:rPr>
              <w:t>　</w:t>
            </w:r>
          </w:p>
        </w:tc>
      </w:tr>
      <w:tr w14:paraId="31E9B736">
        <w:tblPrEx>
          <w:tblCellMar>
            <w:top w:w="0" w:type="dxa"/>
            <w:left w:w="108" w:type="dxa"/>
            <w:bottom w:w="0" w:type="dxa"/>
            <w:right w:w="108" w:type="dxa"/>
          </w:tblCellMar>
        </w:tblPrEx>
        <w:trPr>
          <w:trHeight w:val="906" w:hRule="atLeast"/>
        </w:trPr>
        <w:tc>
          <w:tcPr>
            <w:tcW w:w="577" w:type="dxa"/>
            <w:vMerge w:val="continue"/>
            <w:tcBorders>
              <w:top w:val="nil"/>
              <w:left w:val="single" w:color="000000" w:sz="4" w:space="0"/>
              <w:bottom w:val="single" w:color="000000" w:sz="4" w:space="0"/>
              <w:right w:val="single" w:color="000000" w:sz="4" w:space="0"/>
            </w:tcBorders>
            <w:vAlign w:val="center"/>
          </w:tcPr>
          <w:p w14:paraId="3C394CA8">
            <w:pPr>
              <w:widowControl/>
              <w:jc w:val="left"/>
              <w:rPr>
                <w:rFonts w:ascii="宋体" w:hAnsi="宋体" w:cs="宋体"/>
                <w:color w:val="000000"/>
                <w:kern w:val="0"/>
                <w:sz w:val="18"/>
                <w:szCs w:val="18"/>
              </w:rPr>
            </w:pPr>
          </w:p>
        </w:tc>
        <w:tc>
          <w:tcPr>
            <w:tcW w:w="576" w:type="dxa"/>
            <w:tcBorders>
              <w:top w:val="nil"/>
              <w:left w:val="nil"/>
              <w:bottom w:val="single" w:color="000000" w:sz="4" w:space="0"/>
              <w:right w:val="single" w:color="000000" w:sz="4" w:space="0"/>
            </w:tcBorders>
            <w:shd w:val="clear" w:color="auto" w:fill="auto"/>
            <w:vAlign w:val="center"/>
          </w:tcPr>
          <w:p w14:paraId="0866DA7F">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690" w:type="dxa"/>
            <w:tcBorders>
              <w:top w:val="nil"/>
              <w:left w:val="nil"/>
              <w:bottom w:val="single" w:color="000000" w:sz="4" w:space="0"/>
              <w:right w:val="single" w:color="000000" w:sz="4" w:space="0"/>
            </w:tcBorders>
            <w:shd w:val="clear" w:color="auto" w:fill="auto"/>
            <w:vAlign w:val="center"/>
          </w:tcPr>
          <w:p w14:paraId="4D3BA7E0">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78" w:type="dxa"/>
            <w:tcBorders>
              <w:top w:val="nil"/>
              <w:left w:val="nil"/>
              <w:bottom w:val="single" w:color="000000" w:sz="4" w:space="0"/>
              <w:right w:val="single" w:color="000000" w:sz="4" w:space="0"/>
            </w:tcBorders>
            <w:shd w:val="clear" w:color="auto" w:fill="auto"/>
            <w:vAlign w:val="center"/>
          </w:tcPr>
          <w:p w14:paraId="5F7EB320">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43.67</w:t>
            </w:r>
          </w:p>
        </w:tc>
        <w:tc>
          <w:tcPr>
            <w:tcW w:w="1713" w:type="dxa"/>
            <w:gridSpan w:val="3"/>
            <w:tcBorders>
              <w:top w:val="single" w:color="000000" w:sz="4" w:space="0"/>
              <w:left w:val="nil"/>
              <w:bottom w:val="single" w:color="000000" w:sz="4" w:space="0"/>
              <w:right w:val="single" w:color="000000" w:sz="4" w:space="0"/>
            </w:tcBorders>
            <w:shd w:val="clear" w:color="auto" w:fill="auto"/>
            <w:vAlign w:val="center"/>
          </w:tcPr>
          <w:p w14:paraId="473706C3">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43.67</w:t>
            </w:r>
          </w:p>
        </w:tc>
        <w:tc>
          <w:tcPr>
            <w:tcW w:w="846" w:type="dxa"/>
            <w:tcBorders>
              <w:top w:val="nil"/>
              <w:left w:val="nil"/>
              <w:bottom w:val="single" w:color="000000" w:sz="4" w:space="0"/>
              <w:right w:val="single" w:color="000000" w:sz="4" w:space="0"/>
            </w:tcBorders>
            <w:shd w:val="clear" w:color="auto" w:fill="auto"/>
            <w:vAlign w:val="center"/>
          </w:tcPr>
          <w:p w14:paraId="62124C56">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1831" w:type="dxa"/>
            <w:tcBorders>
              <w:top w:val="nil"/>
              <w:left w:val="nil"/>
              <w:bottom w:val="single" w:color="000000" w:sz="4" w:space="0"/>
              <w:right w:val="single" w:color="000000" w:sz="4" w:space="0"/>
            </w:tcBorders>
            <w:shd w:val="clear" w:color="auto" w:fill="auto"/>
            <w:vAlign w:val="center"/>
          </w:tcPr>
          <w:p w14:paraId="3672B625">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14:paraId="43663646">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858" w:type="dxa"/>
            <w:vMerge w:val="continue"/>
            <w:tcBorders>
              <w:top w:val="nil"/>
              <w:left w:val="single" w:color="000000" w:sz="4" w:space="0"/>
              <w:bottom w:val="single" w:color="000000" w:sz="4" w:space="0"/>
              <w:right w:val="single" w:color="000000" w:sz="4" w:space="0"/>
            </w:tcBorders>
            <w:vAlign w:val="center"/>
          </w:tcPr>
          <w:p w14:paraId="7BDE6683">
            <w:pPr>
              <w:widowControl/>
              <w:jc w:val="left"/>
              <w:rPr>
                <w:rFonts w:hint="eastAsia" w:ascii="黑体" w:hAnsi="黑体" w:cs="宋体"/>
                <w:i/>
                <w:iCs/>
                <w:color w:val="000000"/>
                <w:kern w:val="0"/>
                <w:sz w:val="18"/>
                <w:szCs w:val="18"/>
              </w:rPr>
            </w:pPr>
          </w:p>
        </w:tc>
      </w:tr>
      <w:tr w14:paraId="10AC1F95">
        <w:tblPrEx>
          <w:tblCellMar>
            <w:top w:w="0" w:type="dxa"/>
            <w:left w:w="108" w:type="dxa"/>
            <w:bottom w:w="0" w:type="dxa"/>
            <w:right w:w="108" w:type="dxa"/>
          </w:tblCellMar>
        </w:tblPrEx>
        <w:trPr>
          <w:trHeight w:val="409" w:hRule="atLeast"/>
        </w:trPr>
        <w:tc>
          <w:tcPr>
            <w:tcW w:w="577" w:type="dxa"/>
            <w:vMerge w:val="continue"/>
            <w:tcBorders>
              <w:top w:val="nil"/>
              <w:left w:val="single" w:color="000000" w:sz="4" w:space="0"/>
              <w:bottom w:val="single" w:color="000000" w:sz="4" w:space="0"/>
              <w:right w:val="single" w:color="000000" w:sz="4" w:space="0"/>
            </w:tcBorders>
            <w:vAlign w:val="center"/>
          </w:tcPr>
          <w:p w14:paraId="1A44FAD9">
            <w:pPr>
              <w:widowControl/>
              <w:jc w:val="left"/>
              <w:rPr>
                <w:rFonts w:ascii="宋体" w:hAnsi="宋体" w:cs="宋体"/>
                <w:color w:val="000000"/>
                <w:kern w:val="0"/>
                <w:sz w:val="18"/>
                <w:szCs w:val="18"/>
              </w:rPr>
            </w:pPr>
          </w:p>
        </w:tc>
        <w:tc>
          <w:tcPr>
            <w:tcW w:w="576" w:type="dxa"/>
            <w:tcBorders>
              <w:top w:val="nil"/>
              <w:left w:val="nil"/>
              <w:bottom w:val="single" w:color="000000" w:sz="4" w:space="0"/>
              <w:right w:val="single" w:color="000000" w:sz="4" w:space="0"/>
            </w:tcBorders>
            <w:shd w:val="clear" w:color="auto" w:fill="auto"/>
            <w:vAlign w:val="center"/>
          </w:tcPr>
          <w:p w14:paraId="2CF24E48">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690" w:type="dxa"/>
            <w:tcBorders>
              <w:top w:val="nil"/>
              <w:left w:val="nil"/>
              <w:bottom w:val="single" w:color="000000" w:sz="4" w:space="0"/>
              <w:right w:val="single" w:color="000000" w:sz="4" w:space="0"/>
            </w:tcBorders>
            <w:shd w:val="clear" w:color="auto" w:fill="auto"/>
            <w:vAlign w:val="center"/>
          </w:tcPr>
          <w:p w14:paraId="5D4C523A">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78" w:type="dxa"/>
            <w:tcBorders>
              <w:top w:val="nil"/>
              <w:left w:val="nil"/>
              <w:bottom w:val="single" w:color="000000" w:sz="4" w:space="0"/>
              <w:right w:val="single" w:color="000000" w:sz="4" w:space="0"/>
            </w:tcBorders>
            <w:shd w:val="clear" w:color="auto" w:fill="auto"/>
            <w:vAlign w:val="center"/>
          </w:tcPr>
          <w:p w14:paraId="10D99A33">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713" w:type="dxa"/>
            <w:gridSpan w:val="3"/>
            <w:tcBorders>
              <w:top w:val="single" w:color="000000" w:sz="4" w:space="0"/>
              <w:left w:val="nil"/>
              <w:bottom w:val="single" w:color="000000" w:sz="4" w:space="0"/>
              <w:right w:val="single" w:color="000000" w:sz="4" w:space="0"/>
            </w:tcBorders>
            <w:shd w:val="clear" w:color="auto" w:fill="auto"/>
            <w:vAlign w:val="center"/>
          </w:tcPr>
          <w:p w14:paraId="1B438474">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46" w:type="dxa"/>
            <w:tcBorders>
              <w:top w:val="nil"/>
              <w:left w:val="nil"/>
              <w:bottom w:val="single" w:color="000000" w:sz="4" w:space="0"/>
              <w:right w:val="single" w:color="000000" w:sz="4" w:space="0"/>
            </w:tcBorders>
            <w:shd w:val="clear" w:color="auto" w:fill="auto"/>
            <w:vAlign w:val="center"/>
          </w:tcPr>
          <w:p w14:paraId="50D72D55">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831" w:type="dxa"/>
            <w:tcBorders>
              <w:top w:val="nil"/>
              <w:left w:val="nil"/>
              <w:bottom w:val="single" w:color="000000" w:sz="4" w:space="0"/>
              <w:right w:val="single" w:color="000000" w:sz="4" w:space="0"/>
            </w:tcBorders>
            <w:shd w:val="clear" w:color="auto" w:fill="auto"/>
            <w:vAlign w:val="center"/>
          </w:tcPr>
          <w:p w14:paraId="7387FF1E">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14:paraId="17FD86FA">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858" w:type="dxa"/>
            <w:vMerge w:val="continue"/>
            <w:tcBorders>
              <w:top w:val="nil"/>
              <w:left w:val="single" w:color="000000" w:sz="4" w:space="0"/>
              <w:bottom w:val="single" w:color="000000" w:sz="4" w:space="0"/>
              <w:right w:val="single" w:color="000000" w:sz="4" w:space="0"/>
            </w:tcBorders>
            <w:vAlign w:val="center"/>
          </w:tcPr>
          <w:p w14:paraId="7228160B">
            <w:pPr>
              <w:widowControl/>
              <w:jc w:val="left"/>
              <w:rPr>
                <w:rFonts w:hint="eastAsia" w:ascii="黑体" w:hAnsi="黑体" w:cs="宋体"/>
                <w:i/>
                <w:iCs/>
                <w:color w:val="000000"/>
                <w:kern w:val="0"/>
                <w:sz w:val="18"/>
                <w:szCs w:val="18"/>
              </w:rPr>
            </w:pPr>
          </w:p>
        </w:tc>
      </w:tr>
      <w:tr w14:paraId="57773709">
        <w:tblPrEx>
          <w:tblCellMar>
            <w:top w:w="0" w:type="dxa"/>
            <w:left w:w="108" w:type="dxa"/>
            <w:bottom w:w="0" w:type="dxa"/>
            <w:right w:w="108" w:type="dxa"/>
          </w:tblCellMar>
        </w:tblPrEx>
        <w:trPr>
          <w:trHeight w:val="360" w:hRule="atLeast"/>
        </w:trPr>
        <w:tc>
          <w:tcPr>
            <w:tcW w:w="577" w:type="dxa"/>
            <w:vMerge w:val="continue"/>
            <w:tcBorders>
              <w:top w:val="nil"/>
              <w:left w:val="single" w:color="000000" w:sz="4" w:space="0"/>
              <w:bottom w:val="single" w:color="000000" w:sz="4" w:space="0"/>
              <w:right w:val="single" w:color="000000" w:sz="4" w:space="0"/>
            </w:tcBorders>
            <w:vAlign w:val="center"/>
          </w:tcPr>
          <w:p w14:paraId="308C83C9">
            <w:pPr>
              <w:widowControl/>
              <w:jc w:val="left"/>
              <w:rPr>
                <w:rFonts w:ascii="宋体" w:hAnsi="宋体" w:cs="宋体"/>
                <w:color w:val="000000"/>
                <w:kern w:val="0"/>
                <w:sz w:val="18"/>
                <w:szCs w:val="18"/>
              </w:rPr>
            </w:pPr>
          </w:p>
        </w:tc>
        <w:tc>
          <w:tcPr>
            <w:tcW w:w="576" w:type="dxa"/>
            <w:tcBorders>
              <w:top w:val="nil"/>
              <w:left w:val="nil"/>
              <w:bottom w:val="single" w:color="000000" w:sz="4" w:space="0"/>
              <w:right w:val="single" w:color="000000" w:sz="4" w:space="0"/>
            </w:tcBorders>
            <w:shd w:val="clear" w:color="auto" w:fill="auto"/>
            <w:vAlign w:val="center"/>
          </w:tcPr>
          <w:p w14:paraId="3C901298">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690" w:type="dxa"/>
            <w:tcBorders>
              <w:top w:val="nil"/>
              <w:left w:val="nil"/>
              <w:bottom w:val="single" w:color="000000" w:sz="4" w:space="0"/>
              <w:right w:val="single" w:color="000000" w:sz="4" w:space="0"/>
            </w:tcBorders>
            <w:shd w:val="clear" w:color="auto" w:fill="auto"/>
            <w:vAlign w:val="center"/>
          </w:tcPr>
          <w:p w14:paraId="3D1CC43F">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78" w:type="dxa"/>
            <w:tcBorders>
              <w:top w:val="nil"/>
              <w:left w:val="nil"/>
              <w:bottom w:val="single" w:color="000000" w:sz="4" w:space="0"/>
              <w:right w:val="single" w:color="000000" w:sz="4" w:space="0"/>
            </w:tcBorders>
            <w:shd w:val="clear" w:color="auto" w:fill="auto"/>
            <w:vAlign w:val="center"/>
          </w:tcPr>
          <w:p w14:paraId="3F8C856A">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713" w:type="dxa"/>
            <w:gridSpan w:val="3"/>
            <w:tcBorders>
              <w:top w:val="single" w:color="000000" w:sz="4" w:space="0"/>
              <w:left w:val="nil"/>
              <w:bottom w:val="single" w:color="000000" w:sz="4" w:space="0"/>
              <w:right w:val="single" w:color="000000" w:sz="4" w:space="0"/>
            </w:tcBorders>
            <w:shd w:val="clear" w:color="auto" w:fill="auto"/>
            <w:vAlign w:val="center"/>
          </w:tcPr>
          <w:p w14:paraId="32031FAF">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46" w:type="dxa"/>
            <w:tcBorders>
              <w:top w:val="nil"/>
              <w:left w:val="nil"/>
              <w:bottom w:val="single" w:color="000000" w:sz="4" w:space="0"/>
              <w:right w:val="single" w:color="000000" w:sz="4" w:space="0"/>
            </w:tcBorders>
            <w:shd w:val="clear" w:color="auto" w:fill="auto"/>
            <w:vAlign w:val="center"/>
          </w:tcPr>
          <w:p w14:paraId="7CB03E1B">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831" w:type="dxa"/>
            <w:tcBorders>
              <w:top w:val="nil"/>
              <w:left w:val="nil"/>
              <w:bottom w:val="single" w:color="000000" w:sz="4" w:space="0"/>
              <w:right w:val="single" w:color="000000" w:sz="4" w:space="0"/>
            </w:tcBorders>
            <w:shd w:val="clear" w:color="auto" w:fill="auto"/>
            <w:vAlign w:val="center"/>
          </w:tcPr>
          <w:p w14:paraId="215770BE">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14:paraId="2A498EFD">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858" w:type="dxa"/>
            <w:vMerge w:val="continue"/>
            <w:tcBorders>
              <w:top w:val="nil"/>
              <w:left w:val="single" w:color="000000" w:sz="4" w:space="0"/>
              <w:bottom w:val="single" w:color="000000" w:sz="4" w:space="0"/>
              <w:right w:val="single" w:color="000000" w:sz="4" w:space="0"/>
            </w:tcBorders>
            <w:vAlign w:val="center"/>
          </w:tcPr>
          <w:p w14:paraId="4CC407DF">
            <w:pPr>
              <w:widowControl/>
              <w:jc w:val="left"/>
              <w:rPr>
                <w:rFonts w:hint="eastAsia" w:ascii="黑体" w:hAnsi="黑体" w:cs="宋体"/>
                <w:i/>
                <w:iCs/>
                <w:color w:val="000000"/>
                <w:kern w:val="0"/>
                <w:sz w:val="18"/>
                <w:szCs w:val="18"/>
              </w:rPr>
            </w:pPr>
          </w:p>
        </w:tc>
      </w:tr>
      <w:tr w14:paraId="0AED051D">
        <w:tblPrEx>
          <w:tblCellMar>
            <w:top w:w="0" w:type="dxa"/>
            <w:left w:w="108" w:type="dxa"/>
            <w:bottom w:w="0" w:type="dxa"/>
            <w:right w:w="108" w:type="dxa"/>
          </w:tblCellMar>
        </w:tblPrEx>
        <w:trPr>
          <w:trHeight w:val="338" w:hRule="atLeast"/>
        </w:trPr>
        <w:tc>
          <w:tcPr>
            <w:tcW w:w="577" w:type="dxa"/>
            <w:vMerge w:val="continue"/>
            <w:tcBorders>
              <w:top w:val="nil"/>
              <w:left w:val="single" w:color="000000" w:sz="4" w:space="0"/>
              <w:bottom w:val="single" w:color="000000" w:sz="4" w:space="0"/>
              <w:right w:val="single" w:color="000000" w:sz="4" w:space="0"/>
            </w:tcBorders>
            <w:vAlign w:val="center"/>
          </w:tcPr>
          <w:p w14:paraId="3D694655">
            <w:pPr>
              <w:widowControl/>
              <w:jc w:val="left"/>
              <w:rPr>
                <w:rFonts w:ascii="宋体" w:hAnsi="宋体" w:cs="宋体"/>
                <w:color w:val="000000"/>
                <w:kern w:val="0"/>
                <w:sz w:val="18"/>
                <w:szCs w:val="18"/>
              </w:rPr>
            </w:pPr>
          </w:p>
        </w:tc>
        <w:tc>
          <w:tcPr>
            <w:tcW w:w="576" w:type="dxa"/>
            <w:tcBorders>
              <w:top w:val="nil"/>
              <w:left w:val="nil"/>
              <w:bottom w:val="single" w:color="000000" w:sz="4" w:space="0"/>
              <w:right w:val="single" w:color="000000" w:sz="4" w:space="0"/>
            </w:tcBorders>
            <w:shd w:val="clear" w:color="auto" w:fill="auto"/>
            <w:vAlign w:val="center"/>
          </w:tcPr>
          <w:p w14:paraId="6739FCBA">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690" w:type="dxa"/>
            <w:tcBorders>
              <w:top w:val="nil"/>
              <w:left w:val="nil"/>
              <w:bottom w:val="single" w:color="000000" w:sz="4" w:space="0"/>
              <w:right w:val="single" w:color="000000" w:sz="4" w:space="0"/>
            </w:tcBorders>
            <w:shd w:val="clear" w:color="auto" w:fill="auto"/>
            <w:vAlign w:val="center"/>
          </w:tcPr>
          <w:p w14:paraId="74DF550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78" w:type="dxa"/>
            <w:tcBorders>
              <w:top w:val="nil"/>
              <w:left w:val="nil"/>
              <w:bottom w:val="single" w:color="000000" w:sz="4" w:space="0"/>
              <w:right w:val="single" w:color="000000" w:sz="4" w:space="0"/>
            </w:tcBorders>
            <w:shd w:val="clear" w:color="auto" w:fill="auto"/>
            <w:vAlign w:val="center"/>
          </w:tcPr>
          <w:p w14:paraId="3179429C">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713" w:type="dxa"/>
            <w:gridSpan w:val="3"/>
            <w:tcBorders>
              <w:top w:val="single" w:color="000000" w:sz="4" w:space="0"/>
              <w:left w:val="nil"/>
              <w:bottom w:val="single" w:color="000000" w:sz="4" w:space="0"/>
              <w:right w:val="single" w:color="000000" w:sz="4" w:space="0"/>
            </w:tcBorders>
            <w:shd w:val="clear" w:color="auto" w:fill="auto"/>
            <w:vAlign w:val="center"/>
          </w:tcPr>
          <w:p w14:paraId="392A6E9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846" w:type="dxa"/>
            <w:tcBorders>
              <w:top w:val="nil"/>
              <w:left w:val="nil"/>
              <w:bottom w:val="single" w:color="000000" w:sz="4" w:space="0"/>
              <w:right w:val="single" w:color="000000" w:sz="4" w:space="0"/>
            </w:tcBorders>
            <w:shd w:val="clear" w:color="auto" w:fill="auto"/>
            <w:vAlign w:val="center"/>
          </w:tcPr>
          <w:p w14:paraId="6CE5F62D">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831" w:type="dxa"/>
            <w:tcBorders>
              <w:top w:val="nil"/>
              <w:left w:val="nil"/>
              <w:bottom w:val="single" w:color="000000" w:sz="4" w:space="0"/>
              <w:right w:val="single" w:color="000000" w:sz="4" w:space="0"/>
            </w:tcBorders>
            <w:shd w:val="clear" w:color="auto" w:fill="auto"/>
            <w:vAlign w:val="center"/>
          </w:tcPr>
          <w:p w14:paraId="10F5F8B0">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14:paraId="29AA8D40">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858" w:type="dxa"/>
            <w:vMerge w:val="continue"/>
            <w:tcBorders>
              <w:top w:val="nil"/>
              <w:left w:val="single" w:color="000000" w:sz="4" w:space="0"/>
              <w:bottom w:val="single" w:color="000000" w:sz="4" w:space="0"/>
              <w:right w:val="single" w:color="000000" w:sz="4" w:space="0"/>
            </w:tcBorders>
            <w:vAlign w:val="center"/>
          </w:tcPr>
          <w:p w14:paraId="34F9B926">
            <w:pPr>
              <w:widowControl/>
              <w:jc w:val="left"/>
              <w:rPr>
                <w:rFonts w:hint="eastAsia" w:ascii="黑体" w:hAnsi="黑体" w:cs="宋体"/>
                <w:i/>
                <w:iCs/>
                <w:color w:val="000000"/>
                <w:kern w:val="0"/>
                <w:sz w:val="18"/>
                <w:szCs w:val="18"/>
              </w:rPr>
            </w:pPr>
          </w:p>
        </w:tc>
      </w:tr>
      <w:tr w14:paraId="34A6A459">
        <w:tblPrEx>
          <w:tblCellMar>
            <w:top w:w="0" w:type="dxa"/>
            <w:left w:w="108" w:type="dxa"/>
            <w:bottom w:w="0" w:type="dxa"/>
            <w:right w:w="108" w:type="dxa"/>
          </w:tblCellMar>
        </w:tblPrEx>
        <w:trPr>
          <w:trHeight w:val="454" w:hRule="atLeast"/>
        </w:trPr>
        <w:tc>
          <w:tcPr>
            <w:tcW w:w="577" w:type="dxa"/>
            <w:vMerge w:val="restart"/>
            <w:tcBorders>
              <w:top w:val="nil"/>
              <w:left w:val="single" w:color="000000" w:sz="4" w:space="0"/>
              <w:bottom w:val="single" w:color="000000" w:sz="4" w:space="0"/>
              <w:right w:val="single" w:color="000000" w:sz="4" w:space="0"/>
            </w:tcBorders>
            <w:shd w:val="clear" w:color="auto" w:fill="auto"/>
            <w:vAlign w:val="center"/>
          </w:tcPr>
          <w:p w14:paraId="409B9720">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576" w:type="dxa"/>
            <w:tcBorders>
              <w:top w:val="nil"/>
              <w:left w:val="nil"/>
              <w:bottom w:val="single" w:color="000000" w:sz="4" w:space="0"/>
              <w:right w:val="single" w:color="000000" w:sz="4" w:space="0"/>
            </w:tcBorders>
            <w:shd w:val="clear" w:color="auto" w:fill="auto"/>
            <w:vAlign w:val="center"/>
          </w:tcPr>
          <w:p w14:paraId="2B54A481">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690" w:type="dxa"/>
            <w:tcBorders>
              <w:top w:val="nil"/>
              <w:left w:val="nil"/>
              <w:bottom w:val="single" w:color="000000" w:sz="4" w:space="0"/>
              <w:right w:val="single" w:color="000000" w:sz="4" w:space="0"/>
            </w:tcBorders>
            <w:shd w:val="clear" w:color="auto" w:fill="auto"/>
            <w:vAlign w:val="center"/>
          </w:tcPr>
          <w:p w14:paraId="0B5617D6">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78" w:type="dxa"/>
            <w:tcBorders>
              <w:top w:val="nil"/>
              <w:left w:val="nil"/>
              <w:bottom w:val="single" w:color="000000" w:sz="4" w:space="0"/>
              <w:right w:val="single" w:color="000000" w:sz="4" w:space="0"/>
            </w:tcBorders>
            <w:shd w:val="clear" w:color="auto" w:fill="auto"/>
            <w:vAlign w:val="center"/>
          </w:tcPr>
          <w:p w14:paraId="633E1796">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396" w:type="dxa"/>
            <w:tcBorders>
              <w:top w:val="nil"/>
              <w:left w:val="nil"/>
              <w:bottom w:val="single" w:color="000000" w:sz="4" w:space="0"/>
              <w:right w:val="single" w:color="000000" w:sz="4" w:space="0"/>
            </w:tcBorders>
            <w:shd w:val="clear" w:color="auto" w:fill="auto"/>
            <w:vAlign w:val="center"/>
          </w:tcPr>
          <w:p w14:paraId="04EFB172">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42" w:type="dxa"/>
            <w:tcBorders>
              <w:top w:val="nil"/>
              <w:left w:val="nil"/>
              <w:bottom w:val="single" w:color="000000" w:sz="4" w:space="0"/>
              <w:right w:val="single" w:color="000000" w:sz="4" w:space="0"/>
            </w:tcBorders>
            <w:shd w:val="clear" w:color="auto" w:fill="auto"/>
            <w:vAlign w:val="center"/>
          </w:tcPr>
          <w:p w14:paraId="3E529F9F">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475" w:type="dxa"/>
            <w:tcBorders>
              <w:top w:val="nil"/>
              <w:left w:val="nil"/>
              <w:bottom w:val="single" w:color="000000" w:sz="4" w:space="0"/>
              <w:right w:val="single" w:color="000000" w:sz="4" w:space="0"/>
            </w:tcBorders>
            <w:shd w:val="clear" w:color="auto" w:fill="auto"/>
            <w:vAlign w:val="center"/>
          </w:tcPr>
          <w:p w14:paraId="60F8AB19">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846" w:type="dxa"/>
            <w:tcBorders>
              <w:top w:val="nil"/>
              <w:left w:val="nil"/>
              <w:bottom w:val="single" w:color="000000" w:sz="4" w:space="0"/>
              <w:right w:val="single" w:color="000000" w:sz="4" w:space="0"/>
            </w:tcBorders>
            <w:shd w:val="clear" w:color="auto" w:fill="auto"/>
            <w:vAlign w:val="center"/>
          </w:tcPr>
          <w:p w14:paraId="60207BF6">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1831" w:type="dxa"/>
            <w:tcBorders>
              <w:top w:val="nil"/>
              <w:left w:val="nil"/>
              <w:bottom w:val="single" w:color="000000" w:sz="4" w:space="0"/>
              <w:right w:val="single" w:color="000000" w:sz="4" w:space="0"/>
            </w:tcBorders>
            <w:shd w:val="clear" w:color="auto" w:fill="auto"/>
            <w:vAlign w:val="center"/>
          </w:tcPr>
          <w:p w14:paraId="387AF22F">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86" w:type="dxa"/>
            <w:tcBorders>
              <w:top w:val="nil"/>
              <w:left w:val="nil"/>
              <w:bottom w:val="single" w:color="000000" w:sz="4" w:space="0"/>
              <w:right w:val="single" w:color="000000" w:sz="4" w:space="0"/>
            </w:tcBorders>
            <w:shd w:val="clear" w:color="auto" w:fill="auto"/>
            <w:vAlign w:val="center"/>
          </w:tcPr>
          <w:p w14:paraId="68840A7C">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858" w:type="dxa"/>
            <w:tcBorders>
              <w:top w:val="nil"/>
              <w:left w:val="nil"/>
              <w:bottom w:val="single" w:color="000000" w:sz="4" w:space="0"/>
              <w:right w:val="single" w:color="000000" w:sz="4" w:space="0"/>
            </w:tcBorders>
            <w:shd w:val="clear" w:color="auto" w:fill="auto"/>
            <w:vAlign w:val="center"/>
          </w:tcPr>
          <w:p w14:paraId="4DC0A229">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349CB6AD">
        <w:tblPrEx>
          <w:tblCellMar>
            <w:top w:w="0" w:type="dxa"/>
            <w:left w:w="108" w:type="dxa"/>
            <w:bottom w:w="0" w:type="dxa"/>
            <w:right w:w="108" w:type="dxa"/>
          </w:tblCellMar>
        </w:tblPrEx>
        <w:trPr>
          <w:trHeight w:val="454" w:hRule="atLeast"/>
        </w:trPr>
        <w:tc>
          <w:tcPr>
            <w:tcW w:w="577" w:type="dxa"/>
            <w:vMerge w:val="continue"/>
            <w:tcBorders>
              <w:top w:val="nil"/>
              <w:left w:val="single" w:color="000000" w:sz="4" w:space="0"/>
              <w:bottom w:val="single" w:color="000000" w:sz="4" w:space="0"/>
              <w:right w:val="single" w:color="000000" w:sz="4" w:space="0"/>
            </w:tcBorders>
            <w:vAlign w:val="center"/>
          </w:tcPr>
          <w:p w14:paraId="786D7605">
            <w:pPr>
              <w:widowControl/>
              <w:jc w:val="left"/>
              <w:rPr>
                <w:rFonts w:ascii="宋体" w:hAnsi="宋体" w:cs="宋体"/>
                <w:color w:val="000000"/>
                <w:kern w:val="0"/>
                <w:sz w:val="18"/>
                <w:szCs w:val="18"/>
              </w:rPr>
            </w:pPr>
          </w:p>
        </w:tc>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14:paraId="2B7074C5">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w:t>
            </w:r>
          </w:p>
        </w:tc>
        <w:tc>
          <w:tcPr>
            <w:tcW w:w="690" w:type="dxa"/>
            <w:tcBorders>
              <w:top w:val="nil"/>
              <w:left w:val="nil"/>
              <w:bottom w:val="single" w:color="000000" w:sz="4" w:space="0"/>
              <w:right w:val="single" w:color="000000" w:sz="4" w:space="0"/>
            </w:tcBorders>
            <w:shd w:val="clear" w:color="auto" w:fill="auto"/>
            <w:vAlign w:val="center"/>
          </w:tcPr>
          <w:p w14:paraId="46FE343D">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278" w:type="dxa"/>
            <w:tcBorders>
              <w:top w:val="nil"/>
              <w:left w:val="nil"/>
              <w:bottom w:val="single" w:color="000000" w:sz="4" w:space="0"/>
              <w:right w:val="single" w:color="000000" w:sz="4" w:space="0"/>
            </w:tcBorders>
            <w:shd w:val="clear" w:color="auto" w:fill="auto"/>
            <w:vAlign w:val="center"/>
          </w:tcPr>
          <w:p w14:paraId="7819F58D">
            <w:pPr>
              <w:widowControl/>
              <w:jc w:val="center"/>
              <w:rPr>
                <w:rFonts w:ascii="宋体" w:hAnsi="宋体" w:cs="宋体"/>
                <w:color w:val="000000"/>
                <w:kern w:val="0"/>
                <w:sz w:val="18"/>
                <w:szCs w:val="18"/>
              </w:rPr>
            </w:pPr>
            <w:r>
              <w:rPr>
                <w:rFonts w:hint="eastAsia" w:ascii="宋体" w:hAnsi="宋体" w:cs="宋体"/>
                <w:color w:val="000000"/>
                <w:kern w:val="0"/>
                <w:sz w:val="18"/>
                <w:szCs w:val="18"/>
              </w:rPr>
              <w:t>资金支付准确率</w:t>
            </w:r>
          </w:p>
        </w:tc>
        <w:tc>
          <w:tcPr>
            <w:tcW w:w="396" w:type="dxa"/>
            <w:tcBorders>
              <w:top w:val="nil"/>
              <w:left w:val="nil"/>
              <w:bottom w:val="single" w:color="000000" w:sz="4" w:space="0"/>
              <w:right w:val="single" w:color="000000" w:sz="4" w:space="0"/>
            </w:tcBorders>
            <w:shd w:val="clear" w:color="auto" w:fill="auto"/>
            <w:vAlign w:val="center"/>
          </w:tcPr>
          <w:p w14:paraId="614BBC28">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42" w:type="dxa"/>
            <w:tcBorders>
              <w:top w:val="nil"/>
              <w:left w:val="nil"/>
              <w:bottom w:val="single" w:color="000000" w:sz="4" w:space="0"/>
              <w:right w:val="single" w:color="000000" w:sz="4" w:space="0"/>
            </w:tcBorders>
            <w:shd w:val="clear" w:color="auto" w:fill="auto"/>
            <w:vAlign w:val="center"/>
          </w:tcPr>
          <w:p w14:paraId="1B9DBEFF">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475" w:type="dxa"/>
            <w:tcBorders>
              <w:top w:val="nil"/>
              <w:left w:val="nil"/>
              <w:bottom w:val="single" w:color="000000" w:sz="4" w:space="0"/>
              <w:right w:val="single" w:color="000000" w:sz="4" w:space="0"/>
            </w:tcBorders>
            <w:shd w:val="clear" w:color="auto" w:fill="auto"/>
            <w:vAlign w:val="center"/>
          </w:tcPr>
          <w:p w14:paraId="7BFD7441">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46" w:type="dxa"/>
            <w:tcBorders>
              <w:top w:val="nil"/>
              <w:left w:val="nil"/>
              <w:bottom w:val="single" w:color="000000" w:sz="4" w:space="0"/>
              <w:right w:val="single" w:color="000000" w:sz="4" w:space="0"/>
            </w:tcBorders>
            <w:shd w:val="clear" w:color="auto" w:fill="auto"/>
            <w:vAlign w:val="center"/>
          </w:tcPr>
          <w:p w14:paraId="116C4BA8">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1831" w:type="dxa"/>
            <w:tcBorders>
              <w:top w:val="nil"/>
              <w:left w:val="nil"/>
              <w:bottom w:val="single" w:color="000000" w:sz="4" w:space="0"/>
              <w:right w:val="single" w:color="000000" w:sz="4" w:space="0"/>
            </w:tcBorders>
            <w:shd w:val="clear" w:color="auto" w:fill="auto"/>
            <w:vAlign w:val="center"/>
          </w:tcPr>
          <w:p w14:paraId="6D765160">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486" w:type="dxa"/>
            <w:tcBorders>
              <w:top w:val="nil"/>
              <w:left w:val="nil"/>
              <w:bottom w:val="single" w:color="000000" w:sz="4" w:space="0"/>
              <w:right w:val="single" w:color="000000" w:sz="4" w:space="0"/>
            </w:tcBorders>
            <w:shd w:val="clear" w:color="auto" w:fill="auto"/>
            <w:vAlign w:val="center"/>
          </w:tcPr>
          <w:p w14:paraId="04C62B9D">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858" w:type="dxa"/>
            <w:tcBorders>
              <w:top w:val="nil"/>
              <w:left w:val="nil"/>
              <w:bottom w:val="single" w:color="000000" w:sz="4" w:space="0"/>
              <w:right w:val="single" w:color="000000" w:sz="4" w:space="0"/>
            </w:tcBorders>
            <w:shd w:val="clear" w:color="auto" w:fill="auto"/>
            <w:vAlign w:val="center"/>
          </w:tcPr>
          <w:p w14:paraId="5EE1E8C2">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7E17F056">
        <w:tblPrEx>
          <w:tblCellMar>
            <w:top w:w="0" w:type="dxa"/>
            <w:left w:w="108" w:type="dxa"/>
            <w:bottom w:w="0" w:type="dxa"/>
            <w:right w:w="108" w:type="dxa"/>
          </w:tblCellMar>
        </w:tblPrEx>
        <w:trPr>
          <w:trHeight w:val="454" w:hRule="atLeast"/>
        </w:trPr>
        <w:tc>
          <w:tcPr>
            <w:tcW w:w="577" w:type="dxa"/>
            <w:vMerge w:val="continue"/>
            <w:tcBorders>
              <w:top w:val="nil"/>
              <w:left w:val="single" w:color="000000" w:sz="4" w:space="0"/>
              <w:bottom w:val="single" w:color="000000" w:sz="4" w:space="0"/>
              <w:right w:val="single" w:color="000000" w:sz="4" w:space="0"/>
            </w:tcBorders>
            <w:vAlign w:val="center"/>
          </w:tcPr>
          <w:p w14:paraId="2AD38615">
            <w:pPr>
              <w:widowControl/>
              <w:jc w:val="left"/>
              <w:rPr>
                <w:rFonts w:ascii="宋体" w:hAnsi="宋体" w:cs="宋体"/>
                <w:color w:val="000000"/>
                <w:kern w:val="0"/>
                <w:sz w:val="18"/>
                <w:szCs w:val="18"/>
              </w:rPr>
            </w:pPr>
          </w:p>
        </w:tc>
        <w:tc>
          <w:tcPr>
            <w:tcW w:w="576" w:type="dxa"/>
            <w:vMerge w:val="continue"/>
            <w:tcBorders>
              <w:top w:val="nil"/>
              <w:left w:val="single" w:color="000000" w:sz="4" w:space="0"/>
              <w:bottom w:val="single" w:color="000000" w:sz="4" w:space="0"/>
              <w:right w:val="single" w:color="000000" w:sz="4" w:space="0"/>
            </w:tcBorders>
            <w:vAlign w:val="center"/>
          </w:tcPr>
          <w:p w14:paraId="3F8E9C0A">
            <w:pPr>
              <w:widowControl/>
              <w:jc w:val="left"/>
              <w:rPr>
                <w:rFonts w:ascii="宋体" w:hAnsi="宋体" w:cs="宋体"/>
                <w:color w:val="000000"/>
                <w:kern w:val="0"/>
                <w:sz w:val="18"/>
                <w:szCs w:val="18"/>
              </w:rPr>
            </w:pPr>
          </w:p>
        </w:tc>
        <w:tc>
          <w:tcPr>
            <w:tcW w:w="690" w:type="dxa"/>
            <w:tcBorders>
              <w:top w:val="nil"/>
              <w:left w:val="nil"/>
              <w:bottom w:val="single" w:color="000000" w:sz="4" w:space="0"/>
              <w:right w:val="single" w:color="000000" w:sz="4" w:space="0"/>
            </w:tcBorders>
            <w:shd w:val="clear" w:color="auto" w:fill="auto"/>
            <w:vAlign w:val="center"/>
          </w:tcPr>
          <w:p w14:paraId="1CE1D01B">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1278" w:type="dxa"/>
            <w:tcBorders>
              <w:top w:val="nil"/>
              <w:left w:val="nil"/>
              <w:bottom w:val="single" w:color="000000" w:sz="4" w:space="0"/>
              <w:right w:val="single" w:color="000000" w:sz="4" w:space="0"/>
            </w:tcBorders>
            <w:shd w:val="clear" w:color="auto" w:fill="auto"/>
            <w:vAlign w:val="center"/>
          </w:tcPr>
          <w:p w14:paraId="6F4AF38F">
            <w:pPr>
              <w:widowControl/>
              <w:jc w:val="center"/>
              <w:rPr>
                <w:rFonts w:ascii="宋体" w:hAnsi="宋体" w:cs="宋体"/>
                <w:color w:val="000000"/>
                <w:kern w:val="0"/>
                <w:sz w:val="18"/>
                <w:szCs w:val="18"/>
              </w:rPr>
            </w:pPr>
            <w:r>
              <w:rPr>
                <w:rFonts w:hint="eastAsia" w:ascii="宋体" w:hAnsi="宋体" w:cs="宋体"/>
                <w:color w:val="000000"/>
                <w:kern w:val="0"/>
                <w:sz w:val="18"/>
                <w:szCs w:val="18"/>
              </w:rPr>
              <w:t>202</w:t>
            </w:r>
            <w:r>
              <w:rPr>
                <w:rFonts w:hint="eastAsia" w:ascii="宋体" w:hAnsi="宋体" w:cs="宋体"/>
                <w:color w:val="000000"/>
                <w:kern w:val="0"/>
                <w:sz w:val="18"/>
                <w:szCs w:val="18"/>
                <w:lang w:val="en-US" w:eastAsia="zh-CN"/>
              </w:rPr>
              <w:t>4</w:t>
            </w:r>
            <w:r>
              <w:rPr>
                <w:rFonts w:hint="eastAsia" w:ascii="宋体" w:hAnsi="宋体" w:cs="宋体"/>
                <w:color w:val="000000"/>
                <w:kern w:val="0"/>
                <w:sz w:val="18"/>
                <w:szCs w:val="18"/>
              </w:rPr>
              <w:t>年1-12月</w:t>
            </w:r>
          </w:p>
        </w:tc>
        <w:tc>
          <w:tcPr>
            <w:tcW w:w="396" w:type="dxa"/>
            <w:tcBorders>
              <w:top w:val="nil"/>
              <w:left w:val="nil"/>
              <w:bottom w:val="single" w:color="000000" w:sz="4" w:space="0"/>
              <w:right w:val="single" w:color="000000" w:sz="4" w:space="0"/>
            </w:tcBorders>
            <w:shd w:val="clear" w:color="auto" w:fill="auto"/>
            <w:vAlign w:val="center"/>
          </w:tcPr>
          <w:p w14:paraId="1D0E0063">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42" w:type="dxa"/>
            <w:tcBorders>
              <w:top w:val="nil"/>
              <w:left w:val="nil"/>
              <w:bottom w:val="single" w:color="000000" w:sz="4" w:space="0"/>
              <w:right w:val="single" w:color="000000" w:sz="4" w:space="0"/>
            </w:tcBorders>
            <w:shd w:val="clear" w:color="auto" w:fill="auto"/>
            <w:vAlign w:val="center"/>
          </w:tcPr>
          <w:p w14:paraId="2043E2FD">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475" w:type="dxa"/>
            <w:tcBorders>
              <w:top w:val="nil"/>
              <w:left w:val="nil"/>
              <w:bottom w:val="single" w:color="000000" w:sz="4" w:space="0"/>
              <w:right w:val="single" w:color="000000" w:sz="4" w:space="0"/>
            </w:tcBorders>
            <w:shd w:val="clear" w:color="auto" w:fill="auto"/>
            <w:vAlign w:val="center"/>
          </w:tcPr>
          <w:p w14:paraId="7987C50E">
            <w:pPr>
              <w:widowControl/>
              <w:jc w:val="center"/>
              <w:rPr>
                <w:rFonts w:ascii="宋体" w:hAnsi="宋体" w:cs="宋体"/>
                <w:color w:val="000000"/>
                <w:kern w:val="0"/>
                <w:sz w:val="18"/>
                <w:szCs w:val="18"/>
              </w:rPr>
            </w:pPr>
            <w:r>
              <w:rPr>
                <w:rFonts w:hint="eastAsia" w:ascii="宋体" w:hAnsi="宋体" w:cs="宋体"/>
                <w:color w:val="000000"/>
                <w:kern w:val="0"/>
                <w:sz w:val="18"/>
                <w:szCs w:val="18"/>
              </w:rPr>
              <w:t>月</w:t>
            </w:r>
          </w:p>
        </w:tc>
        <w:tc>
          <w:tcPr>
            <w:tcW w:w="846" w:type="dxa"/>
            <w:tcBorders>
              <w:top w:val="nil"/>
              <w:left w:val="nil"/>
              <w:bottom w:val="single" w:color="000000" w:sz="4" w:space="0"/>
              <w:right w:val="single" w:color="000000" w:sz="4" w:space="0"/>
            </w:tcBorders>
            <w:shd w:val="clear" w:color="auto" w:fill="auto"/>
            <w:vAlign w:val="center"/>
          </w:tcPr>
          <w:p w14:paraId="638DF771">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1831" w:type="dxa"/>
            <w:tcBorders>
              <w:top w:val="nil"/>
              <w:left w:val="nil"/>
              <w:bottom w:val="single" w:color="000000" w:sz="4" w:space="0"/>
              <w:right w:val="single" w:color="000000" w:sz="4" w:space="0"/>
            </w:tcBorders>
            <w:shd w:val="clear" w:color="auto" w:fill="auto"/>
            <w:vAlign w:val="center"/>
          </w:tcPr>
          <w:p w14:paraId="676FFDAF">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86" w:type="dxa"/>
            <w:tcBorders>
              <w:top w:val="nil"/>
              <w:left w:val="nil"/>
              <w:bottom w:val="single" w:color="000000" w:sz="4" w:space="0"/>
              <w:right w:val="single" w:color="000000" w:sz="4" w:space="0"/>
            </w:tcBorders>
            <w:shd w:val="clear" w:color="auto" w:fill="auto"/>
            <w:vAlign w:val="center"/>
          </w:tcPr>
          <w:p w14:paraId="10429B80">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858" w:type="dxa"/>
            <w:tcBorders>
              <w:top w:val="nil"/>
              <w:left w:val="nil"/>
              <w:bottom w:val="single" w:color="000000" w:sz="4" w:space="0"/>
              <w:right w:val="single" w:color="000000" w:sz="4" w:space="0"/>
            </w:tcBorders>
            <w:shd w:val="clear" w:color="auto" w:fill="auto"/>
            <w:vAlign w:val="center"/>
          </w:tcPr>
          <w:p w14:paraId="28BE4CAF">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59814092">
        <w:tblPrEx>
          <w:tblCellMar>
            <w:top w:w="0" w:type="dxa"/>
            <w:left w:w="108" w:type="dxa"/>
            <w:bottom w:w="0" w:type="dxa"/>
            <w:right w:w="108" w:type="dxa"/>
          </w:tblCellMar>
        </w:tblPrEx>
        <w:trPr>
          <w:trHeight w:val="454" w:hRule="atLeast"/>
        </w:trPr>
        <w:tc>
          <w:tcPr>
            <w:tcW w:w="577" w:type="dxa"/>
            <w:vMerge w:val="continue"/>
            <w:tcBorders>
              <w:top w:val="nil"/>
              <w:left w:val="single" w:color="000000" w:sz="4" w:space="0"/>
              <w:bottom w:val="single" w:color="000000" w:sz="4" w:space="0"/>
              <w:right w:val="single" w:color="000000" w:sz="4" w:space="0"/>
            </w:tcBorders>
            <w:vAlign w:val="center"/>
          </w:tcPr>
          <w:p w14:paraId="2D4FE573">
            <w:pPr>
              <w:widowControl/>
              <w:jc w:val="left"/>
              <w:rPr>
                <w:rFonts w:ascii="宋体" w:hAnsi="宋体" w:cs="宋体"/>
                <w:color w:val="000000"/>
                <w:kern w:val="0"/>
                <w:sz w:val="18"/>
                <w:szCs w:val="18"/>
              </w:rPr>
            </w:pPr>
          </w:p>
        </w:tc>
        <w:tc>
          <w:tcPr>
            <w:tcW w:w="576" w:type="dxa"/>
            <w:tcBorders>
              <w:top w:val="nil"/>
              <w:left w:val="nil"/>
              <w:bottom w:val="single" w:color="000000" w:sz="4" w:space="0"/>
              <w:right w:val="single" w:color="000000" w:sz="4" w:space="0"/>
            </w:tcBorders>
            <w:shd w:val="clear" w:color="auto" w:fill="auto"/>
            <w:vAlign w:val="center"/>
          </w:tcPr>
          <w:p w14:paraId="7F539FDE">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690" w:type="dxa"/>
            <w:tcBorders>
              <w:top w:val="nil"/>
              <w:left w:val="nil"/>
              <w:bottom w:val="single" w:color="000000" w:sz="4" w:space="0"/>
              <w:right w:val="single" w:color="000000" w:sz="4" w:space="0"/>
            </w:tcBorders>
            <w:shd w:val="clear" w:color="auto" w:fill="auto"/>
            <w:vAlign w:val="center"/>
          </w:tcPr>
          <w:p w14:paraId="5BDDACEB">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1278" w:type="dxa"/>
            <w:tcBorders>
              <w:top w:val="nil"/>
              <w:left w:val="nil"/>
              <w:bottom w:val="single" w:color="000000" w:sz="4" w:space="0"/>
              <w:right w:val="single" w:color="000000" w:sz="4" w:space="0"/>
            </w:tcBorders>
            <w:shd w:val="clear" w:color="auto" w:fill="auto"/>
            <w:vAlign w:val="center"/>
          </w:tcPr>
          <w:p w14:paraId="317D8D3D">
            <w:pPr>
              <w:widowControl/>
              <w:jc w:val="center"/>
              <w:rPr>
                <w:rFonts w:ascii="宋体" w:hAnsi="宋体" w:cs="宋体"/>
                <w:color w:val="000000"/>
                <w:kern w:val="0"/>
                <w:sz w:val="18"/>
                <w:szCs w:val="18"/>
              </w:rPr>
            </w:pPr>
            <w:r>
              <w:rPr>
                <w:rFonts w:hint="eastAsia" w:ascii="宋体" w:hAnsi="宋体" w:cs="宋体"/>
                <w:color w:val="000000"/>
                <w:kern w:val="0"/>
                <w:sz w:val="18"/>
                <w:szCs w:val="18"/>
              </w:rPr>
              <w:t>通过补助资金的投入，促进了农村产业的发展壮大和转型升级，提高了农业综合效益和农民收入水平。同时，带动了相关产业链的发展，促进了农村经济的多元化和可持续发展通过</w:t>
            </w:r>
          </w:p>
        </w:tc>
        <w:tc>
          <w:tcPr>
            <w:tcW w:w="396" w:type="dxa"/>
            <w:tcBorders>
              <w:top w:val="nil"/>
              <w:left w:val="nil"/>
              <w:bottom w:val="single" w:color="000000" w:sz="4" w:space="0"/>
              <w:right w:val="single" w:color="000000" w:sz="4" w:space="0"/>
            </w:tcBorders>
            <w:shd w:val="clear" w:color="auto" w:fill="auto"/>
            <w:vAlign w:val="center"/>
          </w:tcPr>
          <w:p w14:paraId="2BA3E0F1">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42" w:type="dxa"/>
            <w:tcBorders>
              <w:top w:val="nil"/>
              <w:left w:val="nil"/>
              <w:bottom w:val="single" w:color="000000" w:sz="4" w:space="0"/>
              <w:right w:val="single" w:color="000000" w:sz="4" w:space="0"/>
            </w:tcBorders>
            <w:shd w:val="clear" w:color="auto" w:fill="auto"/>
            <w:vAlign w:val="center"/>
          </w:tcPr>
          <w:p w14:paraId="44031D19">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475" w:type="dxa"/>
            <w:tcBorders>
              <w:top w:val="nil"/>
              <w:left w:val="nil"/>
              <w:bottom w:val="single" w:color="000000" w:sz="4" w:space="0"/>
              <w:right w:val="single" w:color="000000" w:sz="4" w:space="0"/>
            </w:tcBorders>
            <w:shd w:val="clear" w:color="auto" w:fill="auto"/>
            <w:vAlign w:val="center"/>
          </w:tcPr>
          <w:p w14:paraId="587E5A75">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46" w:type="dxa"/>
            <w:tcBorders>
              <w:top w:val="nil"/>
              <w:left w:val="nil"/>
              <w:bottom w:val="single" w:color="000000" w:sz="4" w:space="0"/>
              <w:right w:val="single" w:color="000000" w:sz="4" w:space="0"/>
            </w:tcBorders>
            <w:shd w:val="clear" w:color="auto" w:fill="auto"/>
            <w:vAlign w:val="center"/>
          </w:tcPr>
          <w:p w14:paraId="0A24C0E1">
            <w:pPr>
              <w:widowControl/>
              <w:jc w:val="center"/>
              <w:rPr>
                <w:rFonts w:ascii="宋体" w:hAnsi="宋体" w:cs="宋体"/>
                <w:color w:val="000000"/>
                <w:kern w:val="0"/>
                <w:sz w:val="18"/>
                <w:szCs w:val="18"/>
              </w:rPr>
            </w:pPr>
            <w:r>
              <w:rPr>
                <w:rFonts w:hint="eastAsia" w:ascii="宋体" w:hAnsi="宋体" w:cs="宋体"/>
                <w:color w:val="000000"/>
                <w:kern w:val="0"/>
                <w:sz w:val="18"/>
                <w:szCs w:val="18"/>
              </w:rPr>
              <w:t>96</w:t>
            </w:r>
          </w:p>
        </w:tc>
        <w:tc>
          <w:tcPr>
            <w:tcW w:w="1831" w:type="dxa"/>
            <w:tcBorders>
              <w:top w:val="nil"/>
              <w:left w:val="nil"/>
              <w:bottom w:val="single" w:color="000000" w:sz="4" w:space="0"/>
              <w:right w:val="single" w:color="000000" w:sz="4" w:space="0"/>
            </w:tcBorders>
            <w:shd w:val="clear" w:color="auto" w:fill="auto"/>
            <w:vAlign w:val="center"/>
          </w:tcPr>
          <w:p w14:paraId="5F5E72E8">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86" w:type="dxa"/>
            <w:tcBorders>
              <w:top w:val="nil"/>
              <w:left w:val="nil"/>
              <w:bottom w:val="single" w:color="000000" w:sz="4" w:space="0"/>
              <w:right w:val="single" w:color="000000" w:sz="4" w:space="0"/>
            </w:tcBorders>
            <w:shd w:val="clear" w:color="auto" w:fill="auto"/>
            <w:vAlign w:val="center"/>
          </w:tcPr>
          <w:p w14:paraId="27B9CE34">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1858" w:type="dxa"/>
            <w:tcBorders>
              <w:top w:val="nil"/>
              <w:left w:val="nil"/>
              <w:bottom w:val="single" w:color="000000" w:sz="4" w:space="0"/>
              <w:right w:val="single" w:color="000000" w:sz="4" w:space="0"/>
            </w:tcBorders>
            <w:shd w:val="clear" w:color="auto" w:fill="auto"/>
            <w:vAlign w:val="center"/>
          </w:tcPr>
          <w:p w14:paraId="70D4344F">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6D7AB85B">
        <w:tblPrEx>
          <w:tblCellMar>
            <w:top w:w="0" w:type="dxa"/>
            <w:left w:w="108" w:type="dxa"/>
            <w:bottom w:w="0" w:type="dxa"/>
            <w:right w:w="108" w:type="dxa"/>
          </w:tblCellMar>
        </w:tblPrEx>
        <w:trPr>
          <w:trHeight w:val="454" w:hRule="atLeast"/>
        </w:trPr>
        <w:tc>
          <w:tcPr>
            <w:tcW w:w="577" w:type="dxa"/>
            <w:vMerge w:val="continue"/>
            <w:tcBorders>
              <w:top w:val="nil"/>
              <w:left w:val="single" w:color="000000" w:sz="4" w:space="0"/>
              <w:bottom w:val="single" w:color="000000" w:sz="4" w:space="0"/>
              <w:right w:val="single" w:color="000000" w:sz="4" w:space="0"/>
            </w:tcBorders>
            <w:vAlign w:val="center"/>
          </w:tcPr>
          <w:p w14:paraId="3A854056">
            <w:pPr>
              <w:widowControl/>
              <w:jc w:val="left"/>
              <w:rPr>
                <w:rFonts w:ascii="宋体" w:hAnsi="宋体" w:cs="宋体"/>
                <w:color w:val="000000"/>
                <w:kern w:val="0"/>
                <w:sz w:val="18"/>
                <w:szCs w:val="18"/>
              </w:rPr>
            </w:pPr>
          </w:p>
        </w:tc>
        <w:tc>
          <w:tcPr>
            <w:tcW w:w="576" w:type="dxa"/>
            <w:tcBorders>
              <w:top w:val="nil"/>
              <w:left w:val="nil"/>
              <w:bottom w:val="single" w:color="000000" w:sz="4" w:space="0"/>
              <w:right w:val="single" w:color="000000" w:sz="4" w:space="0"/>
            </w:tcBorders>
            <w:shd w:val="clear" w:color="auto" w:fill="auto"/>
            <w:vAlign w:val="center"/>
          </w:tcPr>
          <w:p w14:paraId="78E4A7CD">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690" w:type="dxa"/>
            <w:tcBorders>
              <w:top w:val="nil"/>
              <w:left w:val="nil"/>
              <w:bottom w:val="single" w:color="000000" w:sz="4" w:space="0"/>
              <w:right w:val="single" w:color="000000" w:sz="4" w:space="0"/>
            </w:tcBorders>
            <w:shd w:val="clear" w:color="auto" w:fill="auto"/>
            <w:vAlign w:val="center"/>
          </w:tcPr>
          <w:p w14:paraId="6DF27BE6">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278" w:type="dxa"/>
            <w:tcBorders>
              <w:top w:val="nil"/>
              <w:left w:val="nil"/>
              <w:bottom w:val="single" w:color="000000" w:sz="4" w:space="0"/>
              <w:right w:val="single" w:color="000000" w:sz="4" w:space="0"/>
            </w:tcBorders>
            <w:shd w:val="clear" w:color="auto" w:fill="auto"/>
            <w:vAlign w:val="center"/>
          </w:tcPr>
          <w:p w14:paraId="0D108F83">
            <w:pPr>
              <w:widowControl/>
              <w:jc w:val="center"/>
              <w:rPr>
                <w:rFonts w:ascii="宋体" w:hAnsi="宋体" w:cs="宋体"/>
                <w:color w:val="000000"/>
                <w:kern w:val="0"/>
                <w:sz w:val="18"/>
                <w:szCs w:val="18"/>
              </w:rPr>
            </w:pPr>
            <w:r>
              <w:rPr>
                <w:rFonts w:hint="eastAsia" w:ascii="宋体" w:hAnsi="宋体" w:cs="宋体"/>
                <w:color w:val="000000"/>
                <w:kern w:val="0"/>
                <w:sz w:val="18"/>
                <w:szCs w:val="18"/>
              </w:rPr>
              <w:t>通过群众满意度调查等方式发现，农民对乡村振兴补助资金项目的实施效果普遍表示满意。</w:t>
            </w:r>
          </w:p>
        </w:tc>
        <w:tc>
          <w:tcPr>
            <w:tcW w:w="396" w:type="dxa"/>
            <w:tcBorders>
              <w:top w:val="nil"/>
              <w:left w:val="nil"/>
              <w:bottom w:val="single" w:color="000000" w:sz="4" w:space="0"/>
              <w:right w:val="single" w:color="000000" w:sz="4" w:space="0"/>
            </w:tcBorders>
            <w:shd w:val="clear" w:color="auto" w:fill="auto"/>
            <w:vAlign w:val="center"/>
          </w:tcPr>
          <w:p w14:paraId="01853840">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42" w:type="dxa"/>
            <w:tcBorders>
              <w:top w:val="nil"/>
              <w:left w:val="nil"/>
              <w:bottom w:val="single" w:color="000000" w:sz="4" w:space="0"/>
              <w:right w:val="single" w:color="000000" w:sz="4" w:space="0"/>
            </w:tcBorders>
            <w:shd w:val="clear" w:color="auto" w:fill="auto"/>
            <w:vAlign w:val="center"/>
          </w:tcPr>
          <w:p w14:paraId="2661045A">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475" w:type="dxa"/>
            <w:tcBorders>
              <w:top w:val="nil"/>
              <w:left w:val="nil"/>
              <w:bottom w:val="single" w:color="000000" w:sz="4" w:space="0"/>
              <w:right w:val="single" w:color="000000" w:sz="4" w:space="0"/>
            </w:tcBorders>
            <w:shd w:val="clear" w:color="auto" w:fill="auto"/>
            <w:vAlign w:val="center"/>
          </w:tcPr>
          <w:p w14:paraId="546A07E8">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46" w:type="dxa"/>
            <w:tcBorders>
              <w:top w:val="nil"/>
              <w:left w:val="nil"/>
              <w:bottom w:val="single" w:color="000000" w:sz="4" w:space="0"/>
              <w:right w:val="single" w:color="000000" w:sz="4" w:space="0"/>
            </w:tcBorders>
            <w:shd w:val="clear" w:color="auto" w:fill="auto"/>
            <w:vAlign w:val="center"/>
          </w:tcPr>
          <w:p w14:paraId="17648EAE">
            <w:pPr>
              <w:widowControl/>
              <w:jc w:val="center"/>
              <w:rPr>
                <w:rFonts w:ascii="宋体" w:hAnsi="宋体" w:cs="宋体"/>
                <w:color w:val="000000"/>
                <w:kern w:val="0"/>
                <w:sz w:val="18"/>
                <w:szCs w:val="18"/>
              </w:rPr>
            </w:pPr>
            <w:r>
              <w:rPr>
                <w:rFonts w:hint="eastAsia" w:ascii="宋体" w:hAnsi="宋体" w:cs="宋体"/>
                <w:color w:val="000000"/>
                <w:kern w:val="0"/>
                <w:sz w:val="18"/>
                <w:szCs w:val="18"/>
              </w:rPr>
              <w:t>96</w:t>
            </w:r>
          </w:p>
        </w:tc>
        <w:tc>
          <w:tcPr>
            <w:tcW w:w="1831" w:type="dxa"/>
            <w:tcBorders>
              <w:top w:val="nil"/>
              <w:left w:val="nil"/>
              <w:bottom w:val="single" w:color="000000" w:sz="4" w:space="0"/>
              <w:right w:val="single" w:color="000000" w:sz="4" w:space="0"/>
            </w:tcBorders>
            <w:shd w:val="clear" w:color="auto" w:fill="auto"/>
            <w:vAlign w:val="center"/>
          </w:tcPr>
          <w:p w14:paraId="1B938764">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86" w:type="dxa"/>
            <w:tcBorders>
              <w:top w:val="nil"/>
              <w:left w:val="nil"/>
              <w:bottom w:val="single" w:color="000000" w:sz="4" w:space="0"/>
              <w:right w:val="single" w:color="000000" w:sz="4" w:space="0"/>
            </w:tcBorders>
            <w:shd w:val="clear" w:color="auto" w:fill="auto"/>
            <w:vAlign w:val="center"/>
          </w:tcPr>
          <w:p w14:paraId="5DA7FB3D">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1858" w:type="dxa"/>
            <w:tcBorders>
              <w:top w:val="nil"/>
              <w:left w:val="nil"/>
              <w:bottom w:val="single" w:color="000000" w:sz="4" w:space="0"/>
              <w:right w:val="single" w:color="000000" w:sz="4" w:space="0"/>
            </w:tcBorders>
            <w:shd w:val="clear" w:color="auto" w:fill="auto"/>
            <w:vAlign w:val="center"/>
          </w:tcPr>
          <w:p w14:paraId="777F17FD">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2D37B6E8">
        <w:tblPrEx>
          <w:tblCellMar>
            <w:top w:w="0" w:type="dxa"/>
            <w:left w:w="108" w:type="dxa"/>
            <w:bottom w:w="0" w:type="dxa"/>
            <w:right w:w="108" w:type="dxa"/>
          </w:tblCellMar>
        </w:tblPrEx>
        <w:trPr>
          <w:trHeight w:val="688" w:hRule="atLeast"/>
        </w:trPr>
        <w:tc>
          <w:tcPr>
            <w:tcW w:w="577" w:type="dxa"/>
            <w:vMerge w:val="continue"/>
            <w:tcBorders>
              <w:top w:val="nil"/>
              <w:left w:val="single" w:color="000000" w:sz="4" w:space="0"/>
              <w:bottom w:val="single" w:color="000000" w:sz="4" w:space="0"/>
              <w:right w:val="single" w:color="000000" w:sz="4" w:space="0"/>
            </w:tcBorders>
            <w:vAlign w:val="center"/>
          </w:tcPr>
          <w:p w14:paraId="018C58D5">
            <w:pPr>
              <w:widowControl/>
              <w:jc w:val="left"/>
              <w:rPr>
                <w:rFonts w:ascii="宋体" w:hAnsi="宋体" w:cs="宋体"/>
                <w:color w:val="000000"/>
                <w:kern w:val="0"/>
                <w:sz w:val="18"/>
                <w:szCs w:val="18"/>
              </w:rPr>
            </w:pPr>
          </w:p>
        </w:tc>
        <w:tc>
          <w:tcPr>
            <w:tcW w:w="576" w:type="dxa"/>
            <w:tcBorders>
              <w:top w:val="nil"/>
              <w:left w:val="nil"/>
              <w:bottom w:val="single" w:color="000000" w:sz="4" w:space="0"/>
              <w:right w:val="single" w:color="000000" w:sz="4" w:space="0"/>
            </w:tcBorders>
            <w:shd w:val="clear" w:color="auto" w:fill="auto"/>
            <w:vAlign w:val="center"/>
          </w:tcPr>
          <w:p w14:paraId="2543618F">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690" w:type="dxa"/>
            <w:tcBorders>
              <w:top w:val="nil"/>
              <w:left w:val="nil"/>
              <w:bottom w:val="single" w:color="000000" w:sz="4" w:space="0"/>
              <w:right w:val="single" w:color="000000" w:sz="4" w:space="0"/>
            </w:tcBorders>
            <w:shd w:val="clear" w:color="auto" w:fill="auto"/>
            <w:vAlign w:val="center"/>
          </w:tcPr>
          <w:p w14:paraId="5360D77D">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经济成本</w:t>
            </w:r>
          </w:p>
        </w:tc>
        <w:tc>
          <w:tcPr>
            <w:tcW w:w="1278" w:type="dxa"/>
            <w:tcBorders>
              <w:top w:val="nil"/>
              <w:left w:val="nil"/>
              <w:bottom w:val="single" w:color="000000" w:sz="4" w:space="0"/>
              <w:right w:val="single" w:color="000000" w:sz="4" w:space="0"/>
            </w:tcBorders>
            <w:shd w:val="clear" w:color="auto" w:fill="auto"/>
            <w:vAlign w:val="center"/>
          </w:tcPr>
          <w:p w14:paraId="06035FAC">
            <w:pPr>
              <w:widowControl/>
              <w:jc w:val="center"/>
              <w:rPr>
                <w:rFonts w:ascii="宋体" w:hAnsi="宋体" w:cs="宋体"/>
                <w:color w:val="000000"/>
                <w:kern w:val="0"/>
                <w:sz w:val="18"/>
                <w:szCs w:val="18"/>
              </w:rPr>
            </w:pPr>
            <w:r>
              <w:rPr>
                <w:rFonts w:hint="eastAsia" w:ascii="宋体" w:hAnsi="宋体" w:cs="宋体"/>
                <w:color w:val="000000"/>
                <w:kern w:val="0"/>
                <w:sz w:val="18"/>
                <w:szCs w:val="18"/>
              </w:rPr>
              <w:t>43.67万元</w:t>
            </w:r>
          </w:p>
        </w:tc>
        <w:tc>
          <w:tcPr>
            <w:tcW w:w="396" w:type="dxa"/>
            <w:tcBorders>
              <w:top w:val="nil"/>
              <w:left w:val="nil"/>
              <w:bottom w:val="single" w:color="000000" w:sz="4" w:space="0"/>
              <w:right w:val="single" w:color="000000" w:sz="4" w:space="0"/>
            </w:tcBorders>
            <w:shd w:val="clear" w:color="auto" w:fill="auto"/>
            <w:vAlign w:val="center"/>
          </w:tcPr>
          <w:p w14:paraId="2C89BC96">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42" w:type="dxa"/>
            <w:tcBorders>
              <w:top w:val="nil"/>
              <w:left w:val="nil"/>
              <w:bottom w:val="single" w:color="000000" w:sz="4" w:space="0"/>
              <w:right w:val="single" w:color="000000" w:sz="4" w:space="0"/>
            </w:tcBorders>
            <w:shd w:val="clear" w:color="auto" w:fill="auto"/>
            <w:vAlign w:val="center"/>
          </w:tcPr>
          <w:p w14:paraId="18B9FFB6">
            <w:pPr>
              <w:widowControl/>
              <w:jc w:val="center"/>
              <w:rPr>
                <w:rFonts w:ascii="宋体" w:hAnsi="宋体" w:cs="宋体"/>
                <w:color w:val="000000"/>
                <w:kern w:val="0"/>
                <w:sz w:val="18"/>
                <w:szCs w:val="18"/>
              </w:rPr>
            </w:pPr>
            <w:r>
              <w:rPr>
                <w:rFonts w:hint="eastAsia" w:ascii="宋体" w:hAnsi="宋体" w:cs="宋体"/>
                <w:color w:val="000000"/>
                <w:kern w:val="0"/>
                <w:sz w:val="18"/>
                <w:szCs w:val="18"/>
              </w:rPr>
              <w:t>43.67</w:t>
            </w:r>
          </w:p>
        </w:tc>
        <w:tc>
          <w:tcPr>
            <w:tcW w:w="475" w:type="dxa"/>
            <w:tcBorders>
              <w:top w:val="nil"/>
              <w:left w:val="nil"/>
              <w:bottom w:val="single" w:color="000000" w:sz="4" w:space="0"/>
              <w:right w:val="single" w:color="000000" w:sz="4" w:space="0"/>
            </w:tcBorders>
            <w:shd w:val="clear" w:color="auto" w:fill="auto"/>
            <w:vAlign w:val="center"/>
          </w:tcPr>
          <w:p w14:paraId="559FFA72">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846" w:type="dxa"/>
            <w:tcBorders>
              <w:top w:val="nil"/>
              <w:left w:val="nil"/>
              <w:bottom w:val="single" w:color="000000" w:sz="4" w:space="0"/>
              <w:right w:val="single" w:color="000000" w:sz="4" w:space="0"/>
            </w:tcBorders>
            <w:shd w:val="clear" w:color="auto" w:fill="auto"/>
            <w:vAlign w:val="center"/>
          </w:tcPr>
          <w:p w14:paraId="7B013CDE">
            <w:pPr>
              <w:widowControl/>
              <w:jc w:val="center"/>
              <w:rPr>
                <w:rFonts w:ascii="宋体" w:hAnsi="宋体" w:cs="宋体"/>
                <w:color w:val="000000"/>
                <w:kern w:val="0"/>
                <w:sz w:val="18"/>
                <w:szCs w:val="18"/>
              </w:rPr>
            </w:pPr>
            <w:r>
              <w:rPr>
                <w:rFonts w:hint="eastAsia" w:ascii="宋体" w:hAnsi="宋体" w:cs="宋体"/>
                <w:color w:val="000000"/>
                <w:kern w:val="0"/>
                <w:sz w:val="18"/>
                <w:szCs w:val="18"/>
              </w:rPr>
              <w:t>43.67</w:t>
            </w:r>
          </w:p>
        </w:tc>
        <w:tc>
          <w:tcPr>
            <w:tcW w:w="1831" w:type="dxa"/>
            <w:tcBorders>
              <w:top w:val="nil"/>
              <w:left w:val="nil"/>
              <w:bottom w:val="single" w:color="000000" w:sz="4" w:space="0"/>
              <w:right w:val="single" w:color="000000" w:sz="4" w:space="0"/>
            </w:tcBorders>
            <w:shd w:val="clear" w:color="auto" w:fill="auto"/>
            <w:vAlign w:val="center"/>
          </w:tcPr>
          <w:p w14:paraId="30EC634E">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86" w:type="dxa"/>
            <w:tcBorders>
              <w:top w:val="nil"/>
              <w:left w:val="nil"/>
              <w:bottom w:val="single" w:color="000000" w:sz="4" w:space="0"/>
              <w:right w:val="single" w:color="000000" w:sz="4" w:space="0"/>
            </w:tcBorders>
            <w:shd w:val="clear" w:color="auto" w:fill="auto"/>
            <w:vAlign w:val="center"/>
          </w:tcPr>
          <w:p w14:paraId="50F820FA">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1858" w:type="dxa"/>
            <w:tcBorders>
              <w:top w:val="nil"/>
              <w:left w:val="nil"/>
              <w:bottom w:val="single" w:color="000000" w:sz="4" w:space="0"/>
              <w:right w:val="single" w:color="000000" w:sz="4" w:space="0"/>
            </w:tcBorders>
            <w:shd w:val="clear" w:color="auto" w:fill="auto"/>
            <w:vAlign w:val="center"/>
          </w:tcPr>
          <w:p w14:paraId="0BB22F05">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49AFD6CE">
        <w:tblPrEx>
          <w:tblCellMar>
            <w:top w:w="0" w:type="dxa"/>
            <w:left w:w="108" w:type="dxa"/>
            <w:bottom w:w="0" w:type="dxa"/>
            <w:right w:w="108" w:type="dxa"/>
          </w:tblCellMar>
        </w:tblPrEx>
        <w:trPr>
          <w:trHeight w:val="285" w:hRule="atLeast"/>
        </w:trPr>
        <w:tc>
          <w:tcPr>
            <w:tcW w:w="56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63F51E9">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1831" w:type="dxa"/>
            <w:tcBorders>
              <w:top w:val="nil"/>
              <w:left w:val="nil"/>
              <w:bottom w:val="single" w:color="000000" w:sz="4" w:space="0"/>
              <w:right w:val="single" w:color="000000" w:sz="4" w:space="0"/>
            </w:tcBorders>
            <w:shd w:val="clear" w:color="auto" w:fill="auto"/>
            <w:vAlign w:val="center"/>
          </w:tcPr>
          <w:p w14:paraId="06BDD12C">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86" w:type="dxa"/>
            <w:tcBorders>
              <w:top w:val="nil"/>
              <w:left w:val="nil"/>
              <w:bottom w:val="single" w:color="000000" w:sz="4" w:space="0"/>
              <w:right w:val="single" w:color="000000" w:sz="4" w:space="0"/>
            </w:tcBorders>
            <w:shd w:val="clear" w:color="auto" w:fill="auto"/>
            <w:vAlign w:val="center"/>
          </w:tcPr>
          <w:p w14:paraId="46511530">
            <w:pPr>
              <w:widowControl/>
              <w:jc w:val="right"/>
              <w:rPr>
                <w:rFonts w:ascii="宋体" w:hAnsi="宋体" w:cs="宋体"/>
                <w:color w:val="000000"/>
                <w:kern w:val="0"/>
                <w:sz w:val="18"/>
                <w:szCs w:val="18"/>
              </w:rPr>
            </w:pPr>
            <w:r>
              <w:rPr>
                <w:rFonts w:hint="eastAsia" w:ascii="宋体" w:hAnsi="宋体" w:cs="宋体"/>
                <w:color w:val="000000"/>
                <w:kern w:val="0"/>
                <w:sz w:val="18"/>
                <w:szCs w:val="18"/>
              </w:rPr>
              <w:t>100</w:t>
            </w:r>
          </w:p>
        </w:tc>
        <w:tc>
          <w:tcPr>
            <w:tcW w:w="1858" w:type="dxa"/>
            <w:tcBorders>
              <w:top w:val="nil"/>
              <w:left w:val="nil"/>
              <w:bottom w:val="single" w:color="000000" w:sz="4" w:space="0"/>
              <w:right w:val="single" w:color="000000" w:sz="4" w:space="0"/>
            </w:tcBorders>
            <w:shd w:val="clear" w:color="auto" w:fill="auto"/>
            <w:vAlign w:val="center"/>
          </w:tcPr>
          <w:p w14:paraId="4D02BCF4">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3EBE5CA8">
        <w:tblPrEx>
          <w:tblCellMar>
            <w:top w:w="0" w:type="dxa"/>
            <w:left w:w="108" w:type="dxa"/>
            <w:bottom w:w="0" w:type="dxa"/>
            <w:right w:w="108" w:type="dxa"/>
          </w:tblCellMar>
        </w:tblPrEx>
        <w:trPr>
          <w:trHeight w:val="604" w:hRule="atLeast"/>
        </w:trPr>
        <w:tc>
          <w:tcPr>
            <w:tcW w:w="577" w:type="dxa"/>
            <w:tcBorders>
              <w:top w:val="nil"/>
              <w:left w:val="single" w:color="000000" w:sz="4" w:space="0"/>
              <w:bottom w:val="single" w:color="000000" w:sz="4" w:space="0"/>
              <w:right w:val="single" w:color="000000" w:sz="4" w:space="0"/>
            </w:tcBorders>
            <w:shd w:val="clear" w:color="auto" w:fill="auto"/>
            <w:vAlign w:val="center"/>
          </w:tcPr>
          <w:p w14:paraId="30AC5175">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9278" w:type="dxa"/>
            <w:gridSpan w:val="10"/>
            <w:tcBorders>
              <w:top w:val="single" w:color="000000" w:sz="4" w:space="0"/>
              <w:left w:val="nil"/>
              <w:bottom w:val="single" w:color="000000" w:sz="4" w:space="0"/>
              <w:right w:val="single" w:color="000000" w:sz="4" w:space="0"/>
            </w:tcBorders>
            <w:shd w:val="clear" w:color="auto" w:fill="auto"/>
            <w:vAlign w:val="center"/>
          </w:tcPr>
          <w:p w14:paraId="5ACCD0F0">
            <w:pPr>
              <w:widowControl/>
              <w:jc w:val="left"/>
              <w:rPr>
                <w:rFonts w:ascii="微软雅黑" w:hAnsi="微软雅黑" w:eastAsia="微软雅黑" w:cs="宋体"/>
                <w:i/>
                <w:iCs/>
                <w:color w:val="000000"/>
                <w:kern w:val="0"/>
                <w:sz w:val="16"/>
                <w:szCs w:val="16"/>
              </w:rPr>
            </w:pPr>
            <w:r>
              <w:rPr>
                <w:rFonts w:hint="eastAsia" w:ascii="宋体" w:hAnsi="宋体" w:cs="宋体"/>
                <w:color w:val="000000"/>
                <w:kern w:val="0"/>
                <w:sz w:val="18"/>
                <w:szCs w:val="18"/>
              </w:rPr>
              <w:t>财政衔接推进乡村振兴补助经费在资金投入、使用、管理和最终效果等方面均取得了显著成效。未来应继续加强资金监管和绩效管理力度，确保资金精准投入、高效使用并持续发挥效益。</w:t>
            </w:r>
          </w:p>
        </w:tc>
      </w:tr>
      <w:tr w14:paraId="10352288">
        <w:tblPrEx>
          <w:tblCellMar>
            <w:top w:w="0" w:type="dxa"/>
            <w:left w:w="108" w:type="dxa"/>
            <w:bottom w:w="0" w:type="dxa"/>
            <w:right w:w="108" w:type="dxa"/>
          </w:tblCellMar>
        </w:tblPrEx>
        <w:trPr>
          <w:trHeight w:val="574" w:hRule="atLeast"/>
        </w:trPr>
        <w:tc>
          <w:tcPr>
            <w:tcW w:w="577" w:type="dxa"/>
            <w:tcBorders>
              <w:top w:val="nil"/>
              <w:left w:val="single" w:color="000000" w:sz="4" w:space="0"/>
              <w:bottom w:val="single" w:color="000000" w:sz="4" w:space="0"/>
              <w:right w:val="single" w:color="000000" w:sz="4" w:space="0"/>
            </w:tcBorders>
            <w:shd w:val="clear" w:color="auto" w:fill="auto"/>
            <w:vAlign w:val="center"/>
          </w:tcPr>
          <w:p w14:paraId="49AC1845">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9278" w:type="dxa"/>
            <w:gridSpan w:val="10"/>
            <w:tcBorders>
              <w:top w:val="single" w:color="000000" w:sz="4" w:space="0"/>
              <w:left w:val="nil"/>
              <w:bottom w:val="single" w:color="000000" w:sz="4" w:space="0"/>
              <w:right w:val="single" w:color="000000" w:sz="4" w:space="0"/>
            </w:tcBorders>
            <w:shd w:val="clear" w:color="auto" w:fill="auto"/>
            <w:vAlign w:val="center"/>
          </w:tcPr>
          <w:p w14:paraId="6D8445E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资金监管和绩效管理力度不足</w:t>
            </w:r>
          </w:p>
        </w:tc>
      </w:tr>
      <w:tr w14:paraId="727C2632">
        <w:tblPrEx>
          <w:tblCellMar>
            <w:top w:w="0" w:type="dxa"/>
            <w:left w:w="108" w:type="dxa"/>
            <w:bottom w:w="0" w:type="dxa"/>
            <w:right w:w="108" w:type="dxa"/>
          </w:tblCellMar>
        </w:tblPrEx>
        <w:trPr>
          <w:trHeight w:val="634" w:hRule="atLeast"/>
        </w:trPr>
        <w:tc>
          <w:tcPr>
            <w:tcW w:w="577" w:type="dxa"/>
            <w:tcBorders>
              <w:top w:val="nil"/>
              <w:left w:val="single" w:color="000000" w:sz="4" w:space="0"/>
              <w:bottom w:val="single" w:color="000000" w:sz="4" w:space="0"/>
              <w:right w:val="single" w:color="000000" w:sz="4" w:space="0"/>
            </w:tcBorders>
            <w:shd w:val="clear" w:color="auto" w:fill="auto"/>
            <w:vAlign w:val="center"/>
          </w:tcPr>
          <w:p w14:paraId="3731FD45">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9278" w:type="dxa"/>
            <w:gridSpan w:val="10"/>
            <w:tcBorders>
              <w:top w:val="single" w:color="000000" w:sz="4" w:space="0"/>
              <w:left w:val="nil"/>
              <w:bottom w:val="single" w:color="000000" w:sz="4" w:space="0"/>
              <w:right w:val="single" w:color="000000" w:sz="4" w:space="0"/>
            </w:tcBorders>
            <w:shd w:val="clear" w:color="auto" w:fill="auto"/>
            <w:vAlign w:val="center"/>
          </w:tcPr>
          <w:p w14:paraId="4BBE97A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加强资金监管和绩效管理力度，确保资金精准投入、高效使用并持续发挥效益。</w:t>
            </w:r>
          </w:p>
        </w:tc>
      </w:tr>
      <w:tr w14:paraId="0307F19D">
        <w:tblPrEx>
          <w:tblCellMar>
            <w:top w:w="0" w:type="dxa"/>
            <w:left w:w="108" w:type="dxa"/>
            <w:bottom w:w="0" w:type="dxa"/>
            <w:right w:w="108" w:type="dxa"/>
          </w:tblCellMar>
        </w:tblPrEx>
        <w:trPr>
          <w:trHeight w:val="285" w:hRule="atLeast"/>
        </w:trPr>
        <w:tc>
          <w:tcPr>
            <w:tcW w:w="35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EEBDE7">
            <w:pPr>
              <w:widowControl/>
              <w:jc w:val="left"/>
              <w:rPr>
                <w:rFonts w:hint="eastAsia" w:ascii="黑体" w:hAnsi="黑体" w:cs="宋体"/>
                <w:color w:val="000000"/>
                <w:kern w:val="0"/>
                <w:sz w:val="18"/>
                <w:szCs w:val="18"/>
              </w:rPr>
            </w:pPr>
            <w:r>
              <w:rPr>
                <w:rFonts w:ascii="黑体" w:hAnsi="黑体" w:cs="宋体"/>
                <w:color w:val="000000"/>
                <w:kern w:val="0"/>
                <w:sz w:val="18"/>
                <w:szCs w:val="18"/>
              </w:rPr>
              <w:t>项目负责人：肖命钦</w:t>
            </w:r>
          </w:p>
        </w:tc>
        <w:tc>
          <w:tcPr>
            <w:tcW w:w="6338" w:type="dxa"/>
            <w:gridSpan w:val="6"/>
            <w:tcBorders>
              <w:top w:val="single" w:color="000000" w:sz="4" w:space="0"/>
              <w:left w:val="nil"/>
              <w:bottom w:val="single" w:color="000000" w:sz="4" w:space="0"/>
              <w:right w:val="single" w:color="000000" w:sz="4" w:space="0"/>
            </w:tcBorders>
            <w:shd w:val="clear" w:color="auto" w:fill="auto"/>
            <w:vAlign w:val="center"/>
          </w:tcPr>
          <w:p w14:paraId="322B805E">
            <w:pPr>
              <w:widowControl/>
              <w:jc w:val="left"/>
              <w:rPr>
                <w:rFonts w:hint="eastAsia" w:ascii="黑体" w:hAnsi="黑体" w:cs="宋体"/>
                <w:color w:val="000000"/>
                <w:kern w:val="0"/>
                <w:sz w:val="18"/>
                <w:szCs w:val="18"/>
              </w:rPr>
            </w:pPr>
            <w:r>
              <w:rPr>
                <w:rFonts w:ascii="黑体" w:hAnsi="黑体" w:cs="宋体"/>
                <w:color w:val="000000"/>
                <w:kern w:val="0"/>
                <w:sz w:val="18"/>
                <w:szCs w:val="18"/>
              </w:rPr>
              <w:t>财务负责人：段高辉</w:t>
            </w:r>
          </w:p>
        </w:tc>
      </w:tr>
    </w:tbl>
    <w:p w14:paraId="225B95BF">
      <w:pPr>
        <w:spacing w:line="576" w:lineRule="exact"/>
        <w:jc w:val="center"/>
        <w:rPr>
          <w:rFonts w:ascii="方正小标宋简体" w:hAnsi="宋体" w:eastAsia="方正小标宋简体"/>
          <w:color w:val="000000"/>
          <w:kern w:val="0"/>
          <w:sz w:val="44"/>
          <w:szCs w:val="44"/>
        </w:rPr>
      </w:pPr>
    </w:p>
    <w:p w14:paraId="1A0C28A6">
      <w:pPr>
        <w:pStyle w:val="15"/>
      </w:pPr>
    </w:p>
    <w:tbl>
      <w:tblPr>
        <w:tblStyle w:val="19"/>
        <w:tblW w:w="9831" w:type="dxa"/>
        <w:tblInd w:w="108" w:type="dxa"/>
        <w:tblLayout w:type="fixed"/>
        <w:tblCellMar>
          <w:top w:w="0" w:type="dxa"/>
          <w:left w:w="108" w:type="dxa"/>
          <w:bottom w:w="0" w:type="dxa"/>
          <w:right w:w="108" w:type="dxa"/>
        </w:tblCellMar>
      </w:tblPr>
      <w:tblGrid>
        <w:gridCol w:w="577"/>
        <w:gridCol w:w="576"/>
        <w:gridCol w:w="690"/>
        <w:gridCol w:w="1278"/>
        <w:gridCol w:w="396"/>
        <w:gridCol w:w="842"/>
        <w:gridCol w:w="581"/>
        <w:gridCol w:w="740"/>
        <w:gridCol w:w="1831"/>
        <w:gridCol w:w="486"/>
        <w:gridCol w:w="1834"/>
      </w:tblGrid>
      <w:tr w14:paraId="10D2DE22">
        <w:tblPrEx>
          <w:tblCellMar>
            <w:top w:w="0" w:type="dxa"/>
            <w:left w:w="108" w:type="dxa"/>
            <w:bottom w:w="0" w:type="dxa"/>
            <w:right w:w="108" w:type="dxa"/>
          </w:tblCellMar>
        </w:tblPrEx>
        <w:trPr>
          <w:trHeight w:val="904" w:hRule="atLeast"/>
        </w:trPr>
        <w:tc>
          <w:tcPr>
            <w:tcW w:w="983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4EBAA06">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w:t>
            </w:r>
            <w:r>
              <w:rPr>
                <w:rFonts w:hint="eastAsia" w:ascii="黑体" w:hAnsi="黑体" w:eastAsia="黑体" w:cs="宋体"/>
                <w:b/>
                <w:bCs/>
                <w:color w:val="000000"/>
                <w:kern w:val="0"/>
                <w:sz w:val="30"/>
                <w:szCs w:val="30"/>
                <w:lang w:val="en-US" w:eastAsia="zh-CN"/>
              </w:rPr>
              <w:t>4</w:t>
            </w:r>
            <w:r>
              <w:rPr>
                <w:rFonts w:hint="eastAsia" w:ascii="黑体" w:hAnsi="黑体" w:eastAsia="黑体" w:cs="宋体"/>
                <w:b/>
                <w:bCs/>
                <w:color w:val="000000"/>
                <w:kern w:val="0"/>
                <w:sz w:val="30"/>
                <w:szCs w:val="30"/>
              </w:rPr>
              <w:t>年度）</w:t>
            </w:r>
          </w:p>
        </w:tc>
      </w:tr>
      <w:tr w14:paraId="46A68EDC">
        <w:tblPrEx>
          <w:tblCellMar>
            <w:top w:w="0" w:type="dxa"/>
            <w:left w:w="108" w:type="dxa"/>
            <w:bottom w:w="0" w:type="dxa"/>
            <w:right w:w="108" w:type="dxa"/>
          </w:tblCellMar>
        </w:tblPrEx>
        <w:trPr>
          <w:trHeight w:val="285" w:hRule="atLeast"/>
        </w:trPr>
        <w:tc>
          <w:tcPr>
            <w:tcW w:w="11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CE7C91">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8678" w:type="dxa"/>
            <w:gridSpan w:val="9"/>
            <w:tcBorders>
              <w:top w:val="single" w:color="000000" w:sz="4" w:space="0"/>
              <w:left w:val="nil"/>
              <w:bottom w:val="single" w:color="000000" w:sz="4" w:space="0"/>
              <w:right w:val="single" w:color="000000" w:sz="4" w:space="0"/>
            </w:tcBorders>
            <w:shd w:val="clear" w:color="auto" w:fill="auto"/>
            <w:vAlign w:val="center"/>
          </w:tcPr>
          <w:p w14:paraId="4775B151">
            <w:pPr>
              <w:widowControl/>
              <w:jc w:val="left"/>
              <w:rPr>
                <w:rFonts w:ascii="宋体" w:hAnsi="宋体" w:cs="宋体"/>
                <w:color w:val="000000"/>
                <w:kern w:val="0"/>
                <w:sz w:val="18"/>
                <w:szCs w:val="18"/>
              </w:rPr>
            </w:pPr>
            <w:r>
              <w:rPr>
                <w:rFonts w:hint="eastAsia" w:ascii="宋体" w:hAnsi="宋体" w:cs="宋体"/>
                <w:color w:val="000000"/>
                <w:kern w:val="0"/>
                <w:sz w:val="18"/>
                <w:szCs w:val="18"/>
              </w:rPr>
              <w:t>51090423T000008853863-文旅园区产业招引产业补助</w:t>
            </w:r>
          </w:p>
        </w:tc>
      </w:tr>
      <w:tr w14:paraId="538861DB">
        <w:tblPrEx>
          <w:tblCellMar>
            <w:top w:w="0" w:type="dxa"/>
            <w:left w:w="108" w:type="dxa"/>
            <w:bottom w:w="0" w:type="dxa"/>
            <w:right w:w="108" w:type="dxa"/>
          </w:tblCellMar>
        </w:tblPrEx>
        <w:trPr>
          <w:trHeight w:val="514" w:hRule="atLeast"/>
        </w:trPr>
        <w:tc>
          <w:tcPr>
            <w:tcW w:w="11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C05949">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787" w:type="dxa"/>
            <w:gridSpan w:val="5"/>
            <w:tcBorders>
              <w:top w:val="single" w:color="000000" w:sz="4" w:space="0"/>
              <w:left w:val="nil"/>
              <w:bottom w:val="single" w:color="000000" w:sz="4" w:space="0"/>
              <w:right w:val="single" w:color="000000" w:sz="4" w:space="0"/>
            </w:tcBorders>
            <w:shd w:val="clear" w:color="auto" w:fill="auto"/>
            <w:vAlign w:val="center"/>
          </w:tcPr>
          <w:p w14:paraId="5BB6B499">
            <w:pPr>
              <w:widowControl/>
              <w:jc w:val="left"/>
              <w:rPr>
                <w:rFonts w:ascii="宋体" w:hAnsi="宋体" w:cs="宋体"/>
                <w:color w:val="000000"/>
                <w:kern w:val="0"/>
                <w:sz w:val="18"/>
                <w:szCs w:val="18"/>
              </w:rPr>
            </w:pPr>
            <w:r>
              <w:rPr>
                <w:rFonts w:hint="eastAsia" w:ascii="宋体" w:hAnsi="宋体" w:cs="宋体"/>
                <w:color w:val="000000"/>
                <w:kern w:val="0"/>
                <w:sz w:val="18"/>
                <w:szCs w:val="18"/>
              </w:rPr>
              <w:t>遂宁市安居区海龙凯歌文化旅游产业园区管理委员会部门</w:t>
            </w:r>
          </w:p>
        </w:tc>
        <w:tc>
          <w:tcPr>
            <w:tcW w:w="740" w:type="dxa"/>
            <w:tcBorders>
              <w:top w:val="nil"/>
              <w:left w:val="nil"/>
              <w:bottom w:val="nil"/>
              <w:right w:val="nil"/>
            </w:tcBorders>
            <w:shd w:val="clear" w:color="auto" w:fill="auto"/>
            <w:vAlign w:val="center"/>
          </w:tcPr>
          <w:p w14:paraId="3D3B2E26">
            <w:pPr>
              <w:widowControl/>
              <w:jc w:val="left"/>
              <w:rPr>
                <w:rFonts w:hint="eastAsia" w:ascii="黑体" w:hAnsi="黑体" w:cs="宋体"/>
                <w:color w:val="000000"/>
                <w:kern w:val="0"/>
                <w:sz w:val="18"/>
                <w:szCs w:val="18"/>
              </w:rPr>
            </w:pPr>
            <w:r>
              <w:rPr>
                <w:rFonts w:ascii="黑体" w:hAnsi="黑体" w:cs="宋体"/>
                <w:color w:val="000000"/>
                <w:kern w:val="0"/>
                <w:sz w:val="18"/>
                <w:szCs w:val="18"/>
              </w:rPr>
              <w:t>实施单位 （盖章）</w:t>
            </w:r>
          </w:p>
        </w:tc>
        <w:tc>
          <w:tcPr>
            <w:tcW w:w="41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AE2316">
            <w:pPr>
              <w:widowControl/>
              <w:jc w:val="center"/>
              <w:rPr>
                <w:rFonts w:ascii="宋体" w:hAnsi="宋体" w:cs="宋体"/>
                <w:color w:val="000000"/>
                <w:kern w:val="0"/>
                <w:sz w:val="18"/>
                <w:szCs w:val="18"/>
              </w:rPr>
            </w:pPr>
            <w:r>
              <w:rPr>
                <w:rFonts w:hint="eastAsia" w:ascii="宋体" w:hAnsi="宋体" w:cs="宋体"/>
                <w:color w:val="000000"/>
                <w:kern w:val="0"/>
                <w:sz w:val="18"/>
                <w:szCs w:val="18"/>
              </w:rPr>
              <w:t>遂宁市安居区海龙凯歌文化旅游产业园区管理委员会</w:t>
            </w:r>
          </w:p>
        </w:tc>
      </w:tr>
      <w:tr w14:paraId="28DC206A">
        <w:tblPrEx>
          <w:tblCellMar>
            <w:top w:w="0" w:type="dxa"/>
            <w:left w:w="108" w:type="dxa"/>
            <w:bottom w:w="0" w:type="dxa"/>
            <w:right w:w="108" w:type="dxa"/>
          </w:tblCellMar>
        </w:tblPrEx>
        <w:trPr>
          <w:trHeight w:val="285" w:hRule="atLeast"/>
        </w:trPr>
        <w:tc>
          <w:tcPr>
            <w:tcW w:w="577" w:type="dxa"/>
            <w:vMerge w:val="restart"/>
            <w:tcBorders>
              <w:top w:val="nil"/>
              <w:left w:val="single" w:color="000000" w:sz="4" w:space="0"/>
              <w:bottom w:val="single" w:color="000000" w:sz="4" w:space="0"/>
              <w:right w:val="single" w:color="000000" w:sz="4" w:space="0"/>
            </w:tcBorders>
            <w:shd w:val="clear" w:color="auto" w:fill="auto"/>
            <w:vAlign w:val="center"/>
          </w:tcPr>
          <w:p w14:paraId="4358789F">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14:paraId="36C605DA">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3787" w:type="dxa"/>
            <w:gridSpan w:val="5"/>
            <w:tcBorders>
              <w:top w:val="single" w:color="000000" w:sz="4" w:space="0"/>
              <w:left w:val="nil"/>
              <w:bottom w:val="single" w:color="000000" w:sz="4" w:space="0"/>
              <w:right w:val="single" w:color="000000" w:sz="4" w:space="0"/>
            </w:tcBorders>
            <w:shd w:val="clear" w:color="auto" w:fill="auto"/>
            <w:vAlign w:val="center"/>
          </w:tcPr>
          <w:p w14:paraId="29695A6A">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4891" w:type="dxa"/>
            <w:gridSpan w:val="4"/>
            <w:tcBorders>
              <w:top w:val="single" w:color="000000" w:sz="4" w:space="0"/>
              <w:left w:val="nil"/>
              <w:bottom w:val="single" w:color="000000" w:sz="4" w:space="0"/>
              <w:right w:val="single" w:color="000000" w:sz="4" w:space="0"/>
            </w:tcBorders>
            <w:shd w:val="clear" w:color="auto" w:fill="auto"/>
            <w:vAlign w:val="center"/>
          </w:tcPr>
          <w:p w14:paraId="42AC71B3">
            <w:pPr>
              <w:widowControl/>
              <w:jc w:val="center"/>
              <w:rPr>
                <w:rFonts w:hint="eastAsia" w:ascii="黑体" w:hAnsi="黑体" w:cs="宋体"/>
                <w:color w:val="000000"/>
                <w:kern w:val="0"/>
                <w:sz w:val="18"/>
                <w:szCs w:val="18"/>
              </w:rPr>
            </w:pPr>
            <w:r>
              <w:rPr>
                <w:rFonts w:ascii="黑体" w:hAnsi="黑体" w:cs="宋体"/>
                <w:color w:val="000000"/>
                <w:kern w:val="0"/>
                <w:sz w:val="18"/>
                <w:szCs w:val="18"/>
              </w:rPr>
              <w:t>年度目标完成情况</w:t>
            </w:r>
          </w:p>
        </w:tc>
      </w:tr>
      <w:tr w14:paraId="13975041">
        <w:tblPrEx>
          <w:tblCellMar>
            <w:top w:w="0" w:type="dxa"/>
            <w:left w:w="108" w:type="dxa"/>
            <w:bottom w:w="0" w:type="dxa"/>
            <w:right w:w="108" w:type="dxa"/>
          </w:tblCellMar>
        </w:tblPrEx>
        <w:trPr>
          <w:trHeight w:val="709" w:hRule="atLeast"/>
        </w:trPr>
        <w:tc>
          <w:tcPr>
            <w:tcW w:w="577" w:type="dxa"/>
            <w:vMerge w:val="continue"/>
            <w:tcBorders>
              <w:top w:val="nil"/>
              <w:left w:val="single" w:color="000000" w:sz="4" w:space="0"/>
              <w:bottom w:val="single" w:color="000000" w:sz="4" w:space="0"/>
              <w:right w:val="single" w:color="000000" w:sz="4" w:space="0"/>
            </w:tcBorders>
            <w:vAlign w:val="center"/>
          </w:tcPr>
          <w:p w14:paraId="7B374193">
            <w:pPr>
              <w:widowControl/>
              <w:jc w:val="left"/>
              <w:rPr>
                <w:rFonts w:ascii="宋体" w:hAnsi="宋体" w:cs="宋体"/>
                <w:color w:val="000000"/>
                <w:kern w:val="0"/>
                <w:sz w:val="18"/>
                <w:szCs w:val="18"/>
              </w:rPr>
            </w:pPr>
          </w:p>
        </w:tc>
        <w:tc>
          <w:tcPr>
            <w:tcW w:w="576" w:type="dxa"/>
            <w:vMerge w:val="continue"/>
            <w:tcBorders>
              <w:top w:val="nil"/>
              <w:left w:val="single" w:color="000000" w:sz="4" w:space="0"/>
              <w:bottom w:val="single" w:color="000000" w:sz="4" w:space="0"/>
              <w:right w:val="single" w:color="000000" w:sz="4" w:space="0"/>
            </w:tcBorders>
            <w:vAlign w:val="center"/>
          </w:tcPr>
          <w:p w14:paraId="621E787A">
            <w:pPr>
              <w:widowControl/>
              <w:jc w:val="left"/>
              <w:rPr>
                <w:rFonts w:ascii="宋体" w:hAnsi="宋体" w:cs="宋体"/>
                <w:color w:val="000000"/>
                <w:kern w:val="0"/>
                <w:sz w:val="18"/>
                <w:szCs w:val="18"/>
              </w:rPr>
            </w:pPr>
          </w:p>
        </w:tc>
        <w:tc>
          <w:tcPr>
            <w:tcW w:w="3787" w:type="dxa"/>
            <w:gridSpan w:val="5"/>
            <w:tcBorders>
              <w:top w:val="single" w:color="000000" w:sz="4" w:space="0"/>
              <w:left w:val="nil"/>
              <w:bottom w:val="single" w:color="000000" w:sz="4" w:space="0"/>
              <w:right w:val="single" w:color="000000" w:sz="4" w:space="0"/>
            </w:tcBorders>
            <w:shd w:val="clear" w:color="auto" w:fill="auto"/>
            <w:vAlign w:val="center"/>
          </w:tcPr>
          <w:p w14:paraId="4706B691">
            <w:pPr>
              <w:widowControl/>
              <w:jc w:val="left"/>
              <w:rPr>
                <w:rFonts w:ascii="宋体" w:hAnsi="宋体" w:cs="宋体"/>
                <w:color w:val="000000"/>
                <w:kern w:val="0"/>
                <w:sz w:val="18"/>
                <w:szCs w:val="18"/>
              </w:rPr>
            </w:pPr>
            <w:r>
              <w:rPr>
                <w:rFonts w:hint="eastAsia" w:ascii="宋体" w:hAnsi="宋体" w:cs="宋体"/>
                <w:color w:val="000000"/>
                <w:kern w:val="0"/>
                <w:sz w:val="18"/>
                <w:szCs w:val="18"/>
              </w:rPr>
              <w:t>提升区海龙凯歌文旅园区的产业发展，促进更多社会资本参与旅游开发，提升旅游产品文化品位，提出园区发展方向和思路。</w:t>
            </w:r>
          </w:p>
        </w:tc>
        <w:tc>
          <w:tcPr>
            <w:tcW w:w="4891" w:type="dxa"/>
            <w:gridSpan w:val="4"/>
            <w:tcBorders>
              <w:top w:val="single" w:color="000000" w:sz="4" w:space="0"/>
              <w:left w:val="nil"/>
              <w:bottom w:val="single" w:color="000000" w:sz="4" w:space="0"/>
              <w:right w:val="single" w:color="000000" w:sz="4" w:space="0"/>
            </w:tcBorders>
            <w:shd w:val="clear" w:color="auto" w:fill="auto"/>
            <w:vAlign w:val="center"/>
          </w:tcPr>
          <w:p w14:paraId="28D2B83F">
            <w:pPr>
              <w:widowControl/>
              <w:jc w:val="left"/>
              <w:rPr>
                <w:rFonts w:ascii="宋体" w:hAnsi="宋体" w:cs="宋体"/>
                <w:color w:val="000000"/>
                <w:kern w:val="0"/>
                <w:sz w:val="18"/>
                <w:szCs w:val="18"/>
              </w:rPr>
            </w:pPr>
            <w:r>
              <w:rPr>
                <w:rFonts w:hint="eastAsia" w:ascii="宋体" w:hAnsi="宋体" w:cs="宋体"/>
                <w:color w:val="000000"/>
                <w:kern w:val="0"/>
                <w:sz w:val="18"/>
                <w:szCs w:val="18"/>
                <w:lang w:eastAsia="zh-CN"/>
              </w:rPr>
              <w:t>完成</w:t>
            </w:r>
            <w:r>
              <w:rPr>
                <w:rFonts w:hint="eastAsia" w:ascii="宋体" w:hAnsi="宋体" w:cs="宋体"/>
                <w:color w:val="000000"/>
                <w:kern w:val="0"/>
                <w:sz w:val="18"/>
                <w:szCs w:val="18"/>
              </w:rPr>
              <w:t>提升区海龙凯歌文旅园区的产业发展，促进更多社会资本参与旅游开发，提升旅游产品文化品位，提出园区发展方向和思路。</w:t>
            </w:r>
          </w:p>
        </w:tc>
      </w:tr>
      <w:tr w14:paraId="1B96321A">
        <w:tblPrEx>
          <w:tblCellMar>
            <w:top w:w="0" w:type="dxa"/>
            <w:left w:w="108" w:type="dxa"/>
            <w:bottom w:w="0" w:type="dxa"/>
            <w:right w:w="108" w:type="dxa"/>
          </w:tblCellMar>
        </w:tblPrEx>
        <w:trPr>
          <w:trHeight w:val="694" w:hRule="atLeast"/>
        </w:trPr>
        <w:tc>
          <w:tcPr>
            <w:tcW w:w="577" w:type="dxa"/>
            <w:vMerge w:val="continue"/>
            <w:tcBorders>
              <w:top w:val="nil"/>
              <w:left w:val="single" w:color="000000" w:sz="4" w:space="0"/>
              <w:bottom w:val="single" w:color="000000" w:sz="4" w:space="0"/>
              <w:right w:val="single" w:color="000000" w:sz="4" w:space="0"/>
            </w:tcBorders>
            <w:vAlign w:val="center"/>
          </w:tcPr>
          <w:p w14:paraId="5F4D1F20">
            <w:pPr>
              <w:widowControl/>
              <w:jc w:val="left"/>
              <w:rPr>
                <w:rFonts w:ascii="宋体" w:hAnsi="宋体" w:cs="宋体"/>
                <w:color w:val="000000"/>
                <w:kern w:val="0"/>
                <w:sz w:val="18"/>
                <w:szCs w:val="18"/>
              </w:rPr>
            </w:pPr>
          </w:p>
        </w:tc>
        <w:tc>
          <w:tcPr>
            <w:tcW w:w="576" w:type="dxa"/>
            <w:tcBorders>
              <w:top w:val="nil"/>
              <w:left w:val="nil"/>
              <w:bottom w:val="single" w:color="000000" w:sz="4" w:space="0"/>
              <w:right w:val="single" w:color="000000" w:sz="4" w:space="0"/>
            </w:tcBorders>
            <w:shd w:val="clear" w:color="auto" w:fill="auto"/>
            <w:vAlign w:val="center"/>
          </w:tcPr>
          <w:p w14:paraId="15A12BEA">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8678" w:type="dxa"/>
            <w:gridSpan w:val="9"/>
            <w:tcBorders>
              <w:top w:val="single" w:color="000000" w:sz="4" w:space="0"/>
              <w:left w:val="nil"/>
              <w:bottom w:val="single" w:color="000000" w:sz="4" w:space="0"/>
              <w:right w:val="single" w:color="000000" w:sz="4" w:space="0"/>
            </w:tcBorders>
            <w:shd w:val="clear" w:color="auto" w:fill="auto"/>
            <w:vAlign w:val="center"/>
          </w:tcPr>
          <w:p w14:paraId="32197B94">
            <w:pPr>
              <w:widowControl/>
              <w:jc w:val="left"/>
              <w:rPr>
                <w:rFonts w:ascii="宋体" w:hAnsi="宋体" w:cs="宋体"/>
                <w:color w:val="000000"/>
                <w:kern w:val="0"/>
                <w:sz w:val="18"/>
                <w:szCs w:val="18"/>
              </w:rPr>
            </w:pPr>
            <w:r>
              <w:rPr>
                <w:rFonts w:hint="eastAsia" w:ascii="宋体" w:hAnsi="宋体" w:cs="宋体"/>
                <w:color w:val="000000"/>
                <w:kern w:val="0"/>
                <w:sz w:val="18"/>
                <w:szCs w:val="18"/>
              </w:rPr>
              <w:t>培育和壮大特色优势产业：支持农业品种培优、品质提升、品牌打造，推动产销对接和消费帮扶，支持产业配套基础设施建设，促进村级集体经济发展</w:t>
            </w:r>
          </w:p>
        </w:tc>
      </w:tr>
      <w:tr w14:paraId="50C893DC">
        <w:tblPrEx>
          <w:tblCellMar>
            <w:top w:w="0" w:type="dxa"/>
            <w:left w:w="108" w:type="dxa"/>
            <w:bottom w:w="0" w:type="dxa"/>
            <w:right w:w="108" w:type="dxa"/>
          </w:tblCellMar>
        </w:tblPrEx>
        <w:trPr>
          <w:trHeight w:val="360" w:hRule="atLeast"/>
        </w:trPr>
        <w:tc>
          <w:tcPr>
            <w:tcW w:w="577" w:type="dxa"/>
            <w:vMerge w:val="restart"/>
            <w:tcBorders>
              <w:top w:val="nil"/>
              <w:left w:val="single" w:color="000000" w:sz="4" w:space="0"/>
              <w:bottom w:val="single" w:color="000000" w:sz="4" w:space="0"/>
              <w:right w:val="single" w:color="000000" w:sz="4" w:space="0"/>
            </w:tcBorders>
            <w:shd w:val="clear" w:color="auto" w:fill="auto"/>
            <w:vAlign w:val="center"/>
          </w:tcPr>
          <w:p w14:paraId="6FA49B33">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576" w:type="dxa"/>
            <w:tcBorders>
              <w:top w:val="nil"/>
              <w:left w:val="nil"/>
              <w:bottom w:val="single" w:color="000000" w:sz="4" w:space="0"/>
              <w:right w:val="single" w:color="000000" w:sz="4" w:space="0"/>
            </w:tcBorders>
            <w:shd w:val="clear" w:color="auto" w:fill="auto"/>
            <w:vAlign w:val="center"/>
          </w:tcPr>
          <w:p w14:paraId="53FF1E39">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690" w:type="dxa"/>
            <w:tcBorders>
              <w:top w:val="nil"/>
              <w:left w:val="nil"/>
              <w:bottom w:val="single" w:color="000000" w:sz="4" w:space="0"/>
              <w:right w:val="single" w:color="000000" w:sz="4" w:space="0"/>
            </w:tcBorders>
            <w:shd w:val="clear" w:color="auto" w:fill="auto"/>
            <w:vAlign w:val="center"/>
          </w:tcPr>
          <w:p w14:paraId="1129788F">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78" w:type="dxa"/>
            <w:tcBorders>
              <w:top w:val="nil"/>
              <w:left w:val="nil"/>
              <w:bottom w:val="single" w:color="000000" w:sz="4" w:space="0"/>
              <w:right w:val="single" w:color="000000" w:sz="4" w:space="0"/>
            </w:tcBorders>
            <w:shd w:val="clear" w:color="auto" w:fill="auto"/>
            <w:vAlign w:val="center"/>
          </w:tcPr>
          <w:p w14:paraId="0A61EB7C">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819" w:type="dxa"/>
            <w:gridSpan w:val="3"/>
            <w:tcBorders>
              <w:top w:val="single" w:color="000000" w:sz="4" w:space="0"/>
              <w:left w:val="nil"/>
              <w:bottom w:val="single" w:color="000000" w:sz="4" w:space="0"/>
              <w:right w:val="single" w:color="000000" w:sz="4" w:space="0"/>
            </w:tcBorders>
            <w:shd w:val="clear" w:color="auto" w:fill="auto"/>
            <w:vAlign w:val="center"/>
          </w:tcPr>
          <w:p w14:paraId="3E140C5E">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740" w:type="dxa"/>
            <w:tcBorders>
              <w:top w:val="nil"/>
              <w:left w:val="nil"/>
              <w:bottom w:val="single" w:color="000000" w:sz="4" w:space="0"/>
              <w:right w:val="single" w:color="000000" w:sz="4" w:space="0"/>
            </w:tcBorders>
            <w:shd w:val="clear" w:color="auto" w:fill="auto"/>
            <w:vAlign w:val="center"/>
          </w:tcPr>
          <w:p w14:paraId="0619D0EB">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1831" w:type="dxa"/>
            <w:tcBorders>
              <w:top w:val="nil"/>
              <w:left w:val="nil"/>
              <w:bottom w:val="single" w:color="000000" w:sz="4" w:space="0"/>
              <w:right w:val="single" w:color="000000" w:sz="4" w:space="0"/>
            </w:tcBorders>
            <w:shd w:val="clear" w:color="auto" w:fill="auto"/>
            <w:vAlign w:val="center"/>
          </w:tcPr>
          <w:p w14:paraId="52FD6A35">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86" w:type="dxa"/>
            <w:tcBorders>
              <w:top w:val="nil"/>
              <w:left w:val="nil"/>
              <w:bottom w:val="single" w:color="000000" w:sz="4" w:space="0"/>
              <w:right w:val="single" w:color="000000" w:sz="4" w:space="0"/>
            </w:tcBorders>
            <w:shd w:val="clear" w:color="auto" w:fill="auto"/>
            <w:vAlign w:val="center"/>
          </w:tcPr>
          <w:p w14:paraId="35FD1E2C">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834" w:type="dxa"/>
            <w:tcBorders>
              <w:top w:val="nil"/>
              <w:left w:val="nil"/>
              <w:bottom w:val="single" w:color="000000" w:sz="4" w:space="0"/>
              <w:right w:val="single" w:color="000000" w:sz="4" w:space="0"/>
            </w:tcBorders>
            <w:shd w:val="clear" w:color="auto" w:fill="auto"/>
            <w:vAlign w:val="center"/>
          </w:tcPr>
          <w:p w14:paraId="0EA66684">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6121D5FC">
        <w:tblPrEx>
          <w:tblCellMar>
            <w:top w:w="0" w:type="dxa"/>
            <w:left w:w="108" w:type="dxa"/>
            <w:bottom w:w="0" w:type="dxa"/>
            <w:right w:w="108" w:type="dxa"/>
          </w:tblCellMar>
        </w:tblPrEx>
        <w:trPr>
          <w:trHeight w:val="345" w:hRule="atLeast"/>
        </w:trPr>
        <w:tc>
          <w:tcPr>
            <w:tcW w:w="577" w:type="dxa"/>
            <w:vMerge w:val="continue"/>
            <w:tcBorders>
              <w:top w:val="nil"/>
              <w:left w:val="single" w:color="000000" w:sz="4" w:space="0"/>
              <w:bottom w:val="single" w:color="000000" w:sz="4" w:space="0"/>
              <w:right w:val="single" w:color="000000" w:sz="4" w:space="0"/>
            </w:tcBorders>
            <w:vAlign w:val="center"/>
          </w:tcPr>
          <w:p w14:paraId="390F5D72">
            <w:pPr>
              <w:widowControl/>
              <w:jc w:val="left"/>
              <w:rPr>
                <w:rFonts w:ascii="宋体" w:hAnsi="宋体" w:cs="宋体"/>
                <w:color w:val="000000"/>
                <w:kern w:val="0"/>
                <w:sz w:val="18"/>
                <w:szCs w:val="18"/>
              </w:rPr>
            </w:pPr>
          </w:p>
        </w:tc>
        <w:tc>
          <w:tcPr>
            <w:tcW w:w="576" w:type="dxa"/>
            <w:tcBorders>
              <w:top w:val="nil"/>
              <w:left w:val="nil"/>
              <w:bottom w:val="single" w:color="000000" w:sz="4" w:space="0"/>
              <w:right w:val="single" w:color="000000" w:sz="4" w:space="0"/>
            </w:tcBorders>
            <w:shd w:val="clear" w:color="auto" w:fill="auto"/>
            <w:vAlign w:val="center"/>
          </w:tcPr>
          <w:p w14:paraId="47FD96BB">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690" w:type="dxa"/>
            <w:tcBorders>
              <w:top w:val="nil"/>
              <w:left w:val="nil"/>
              <w:bottom w:val="single" w:color="000000" w:sz="4" w:space="0"/>
              <w:right w:val="single" w:color="000000" w:sz="4" w:space="0"/>
            </w:tcBorders>
            <w:shd w:val="clear" w:color="auto" w:fill="auto"/>
            <w:vAlign w:val="center"/>
          </w:tcPr>
          <w:p w14:paraId="0567DC69">
            <w:pPr>
              <w:widowControl/>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val="en-US" w:eastAsia="zh-CN"/>
              </w:rPr>
              <w:t>5</w:t>
            </w:r>
          </w:p>
        </w:tc>
        <w:tc>
          <w:tcPr>
            <w:tcW w:w="1278" w:type="dxa"/>
            <w:tcBorders>
              <w:top w:val="nil"/>
              <w:left w:val="nil"/>
              <w:bottom w:val="single" w:color="000000" w:sz="4" w:space="0"/>
              <w:right w:val="single" w:color="000000" w:sz="4" w:space="0"/>
            </w:tcBorders>
            <w:shd w:val="clear" w:color="auto" w:fill="auto"/>
            <w:vAlign w:val="center"/>
          </w:tcPr>
          <w:p w14:paraId="7071BD11">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5</w:t>
            </w:r>
          </w:p>
        </w:tc>
        <w:tc>
          <w:tcPr>
            <w:tcW w:w="1819" w:type="dxa"/>
            <w:gridSpan w:val="3"/>
            <w:tcBorders>
              <w:top w:val="single" w:color="000000" w:sz="4" w:space="0"/>
              <w:left w:val="nil"/>
              <w:bottom w:val="single" w:color="000000" w:sz="4" w:space="0"/>
              <w:right w:val="single" w:color="000000" w:sz="4" w:space="0"/>
            </w:tcBorders>
            <w:shd w:val="clear" w:color="auto" w:fill="auto"/>
            <w:vAlign w:val="center"/>
          </w:tcPr>
          <w:p w14:paraId="2F160188">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5</w:t>
            </w:r>
          </w:p>
        </w:tc>
        <w:tc>
          <w:tcPr>
            <w:tcW w:w="740" w:type="dxa"/>
            <w:tcBorders>
              <w:top w:val="nil"/>
              <w:left w:val="nil"/>
              <w:bottom w:val="single" w:color="000000" w:sz="4" w:space="0"/>
              <w:right w:val="single" w:color="000000" w:sz="4" w:space="0"/>
            </w:tcBorders>
            <w:shd w:val="clear" w:color="auto" w:fill="auto"/>
            <w:vAlign w:val="center"/>
          </w:tcPr>
          <w:p w14:paraId="248881FF">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1831" w:type="dxa"/>
            <w:tcBorders>
              <w:top w:val="nil"/>
              <w:left w:val="nil"/>
              <w:bottom w:val="single" w:color="000000" w:sz="4" w:space="0"/>
              <w:right w:val="single" w:color="000000" w:sz="4" w:space="0"/>
            </w:tcBorders>
            <w:shd w:val="clear" w:color="auto" w:fill="auto"/>
            <w:vAlign w:val="center"/>
          </w:tcPr>
          <w:p w14:paraId="778AC83E">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86" w:type="dxa"/>
            <w:tcBorders>
              <w:top w:val="nil"/>
              <w:left w:val="nil"/>
              <w:bottom w:val="single" w:color="000000" w:sz="4" w:space="0"/>
              <w:right w:val="single" w:color="000000" w:sz="4" w:space="0"/>
            </w:tcBorders>
            <w:shd w:val="clear" w:color="auto" w:fill="auto"/>
            <w:vAlign w:val="center"/>
          </w:tcPr>
          <w:p w14:paraId="2DDFE29F">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834" w:type="dxa"/>
            <w:vMerge w:val="restart"/>
            <w:tcBorders>
              <w:top w:val="nil"/>
              <w:left w:val="single" w:color="000000" w:sz="4" w:space="0"/>
              <w:bottom w:val="single" w:color="000000" w:sz="4" w:space="0"/>
              <w:right w:val="single" w:color="000000" w:sz="4" w:space="0"/>
            </w:tcBorders>
            <w:shd w:val="clear" w:color="auto" w:fill="auto"/>
            <w:vAlign w:val="center"/>
          </w:tcPr>
          <w:p w14:paraId="7AEACA19">
            <w:pPr>
              <w:widowControl/>
              <w:jc w:val="left"/>
              <w:rPr>
                <w:rFonts w:hint="eastAsia" w:ascii="黑体" w:hAnsi="黑体" w:cs="宋体"/>
                <w:i/>
                <w:iCs/>
                <w:color w:val="000000"/>
                <w:kern w:val="0"/>
                <w:sz w:val="18"/>
                <w:szCs w:val="18"/>
              </w:rPr>
            </w:pPr>
            <w:r>
              <w:rPr>
                <w:rFonts w:ascii="黑体" w:hAnsi="黑体" w:cs="宋体"/>
                <w:i/>
                <w:iCs/>
                <w:color w:val="000000"/>
                <w:kern w:val="0"/>
                <w:sz w:val="18"/>
                <w:szCs w:val="18"/>
              </w:rPr>
              <w:t>　</w:t>
            </w:r>
          </w:p>
        </w:tc>
      </w:tr>
      <w:tr w14:paraId="288DC5C2">
        <w:tblPrEx>
          <w:tblCellMar>
            <w:top w:w="0" w:type="dxa"/>
            <w:left w:w="108" w:type="dxa"/>
            <w:bottom w:w="0" w:type="dxa"/>
            <w:right w:w="108" w:type="dxa"/>
          </w:tblCellMar>
        </w:tblPrEx>
        <w:trPr>
          <w:trHeight w:val="906" w:hRule="atLeast"/>
        </w:trPr>
        <w:tc>
          <w:tcPr>
            <w:tcW w:w="577" w:type="dxa"/>
            <w:vMerge w:val="continue"/>
            <w:tcBorders>
              <w:top w:val="nil"/>
              <w:left w:val="single" w:color="000000" w:sz="4" w:space="0"/>
              <w:bottom w:val="single" w:color="000000" w:sz="4" w:space="0"/>
              <w:right w:val="single" w:color="000000" w:sz="4" w:space="0"/>
            </w:tcBorders>
            <w:vAlign w:val="center"/>
          </w:tcPr>
          <w:p w14:paraId="212E6F44">
            <w:pPr>
              <w:widowControl/>
              <w:jc w:val="left"/>
              <w:rPr>
                <w:rFonts w:ascii="宋体" w:hAnsi="宋体" w:cs="宋体"/>
                <w:color w:val="000000"/>
                <w:kern w:val="0"/>
                <w:sz w:val="18"/>
                <w:szCs w:val="18"/>
              </w:rPr>
            </w:pPr>
          </w:p>
        </w:tc>
        <w:tc>
          <w:tcPr>
            <w:tcW w:w="576" w:type="dxa"/>
            <w:tcBorders>
              <w:top w:val="nil"/>
              <w:left w:val="nil"/>
              <w:bottom w:val="single" w:color="000000" w:sz="4" w:space="0"/>
              <w:right w:val="single" w:color="000000" w:sz="4" w:space="0"/>
            </w:tcBorders>
            <w:shd w:val="clear" w:color="auto" w:fill="auto"/>
            <w:vAlign w:val="center"/>
          </w:tcPr>
          <w:p w14:paraId="4C72DB8C">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690" w:type="dxa"/>
            <w:tcBorders>
              <w:top w:val="nil"/>
              <w:left w:val="nil"/>
              <w:bottom w:val="single" w:color="000000" w:sz="4" w:space="0"/>
              <w:right w:val="single" w:color="000000" w:sz="4" w:space="0"/>
            </w:tcBorders>
            <w:shd w:val="clear" w:color="auto" w:fill="auto"/>
            <w:vAlign w:val="center"/>
          </w:tcPr>
          <w:p w14:paraId="3A7CEFD7">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5</w:t>
            </w:r>
          </w:p>
        </w:tc>
        <w:tc>
          <w:tcPr>
            <w:tcW w:w="1278" w:type="dxa"/>
            <w:tcBorders>
              <w:top w:val="nil"/>
              <w:left w:val="nil"/>
              <w:bottom w:val="single" w:color="000000" w:sz="4" w:space="0"/>
              <w:right w:val="single" w:color="000000" w:sz="4" w:space="0"/>
            </w:tcBorders>
            <w:shd w:val="clear" w:color="auto" w:fill="auto"/>
            <w:vAlign w:val="center"/>
          </w:tcPr>
          <w:p w14:paraId="376ECC5B">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5</w:t>
            </w:r>
          </w:p>
        </w:tc>
        <w:tc>
          <w:tcPr>
            <w:tcW w:w="1819" w:type="dxa"/>
            <w:gridSpan w:val="3"/>
            <w:tcBorders>
              <w:top w:val="single" w:color="000000" w:sz="4" w:space="0"/>
              <w:left w:val="nil"/>
              <w:bottom w:val="single" w:color="000000" w:sz="4" w:space="0"/>
              <w:right w:val="single" w:color="000000" w:sz="4" w:space="0"/>
            </w:tcBorders>
            <w:shd w:val="clear" w:color="auto" w:fill="auto"/>
            <w:vAlign w:val="center"/>
          </w:tcPr>
          <w:p w14:paraId="4786108E">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5</w:t>
            </w:r>
          </w:p>
        </w:tc>
        <w:tc>
          <w:tcPr>
            <w:tcW w:w="740" w:type="dxa"/>
            <w:tcBorders>
              <w:top w:val="nil"/>
              <w:left w:val="nil"/>
              <w:bottom w:val="single" w:color="000000" w:sz="4" w:space="0"/>
              <w:right w:val="single" w:color="000000" w:sz="4" w:space="0"/>
            </w:tcBorders>
            <w:shd w:val="clear" w:color="auto" w:fill="auto"/>
            <w:vAlign w:val="center"/>
          </w:tcPr>
          <w:p w14:paraId="6486C337">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1831" w:type="dxa"/>
            <w:tcBorders>
              <w:top w:val="nil"/>
              <w:left w:val="nil"/>
              <w:bottom w:val="single" w:color="000000" w:sz="4" w:space="0"/>
              <w:right w:val="single" w:color="000000" w:sz="4" w:space="0"/>
            </w:tcBorders>
            <w:shd w:val="clear" w:color="auto" w:fill="auto"/>
            <w:vAlign w:val="center"/>
          </w:tcPr>
          <w:p w14:paraId="1D2E1CB2">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14:paraId="731E04B4">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834" w:type="dxa"/>
            <w:vMerge w:val="continue"/>
            <w:tcBorders>
              <w:top w:val="nil"/>
              <w:left w:val="single" w:color="000000" w:sz="4" w:space="0"/>
              <w:bottom w:val="single" w:color="000000" w:sz="4" w:space="0"/>
              <w:right w:val="single" w:color="000000" w:sz="4" w:space="0"/>
            </w:tcBorders>
            <w:vAlign w:val="center"/>
          </w:tcPr>
          <w:p w14:paraId="164F7D18">
            <w:pPr>
              <w:widowControl/>
              <w:jc w:val="left"/>
              <w:rPr>
                <w:rFonts w:hint="eastAsia" w:ascii="黑体" w:hAnsi="黑体" w:cs="宋体"/>
                <w:i/>
                <w:iCs/>
                <w:color w:val="000000"/>
                <w:kern w:val="0"/>
                <w:sz w:val="18"/>
                <w:szCs w:val="18"/>
              </w:rPr>
            </w:pPr>
          </w:p>
        </w:tc>
      </w:tr>
      <w:tr w14:paraId="5A169B77">
        <w:tblPrEx>
          <w:tblCellMar>
            <w:top w:w="0" w:type="dxa"/>
            <w:left w:w="108" w:type="dxa"/>
            <w:bottom w:w="0" w:type="dxa"/>
            <w:right w:w="108" w:type="dxa"/>
          </w:tblCellMar>
        </w:tblPrEx>
        <w:trPr>
          <w:trHeight w:val="569" w:hRule="atLeast"/>
        </w:trPr>
        <w:tc>
          <w:tcPr>
            <w:tcW w:w="577" w:type="dxa"/>
            <w:vMerge w:val="continue"/>
            <w:tcBorders>
              <w:top w:val="nil"/>
              <w:left w:val="single" w:color="000000" w:sz="4" w:space="0"/>
              <w:bottom w:val="single" w:color="000000" w:sz="4" w:space="0"/>
              <w:right w:val="single" w:color="000000" w:sz="4" w:space="0"/>
            </w:tcBorders>
            <w:vAlign w:val="center"/>
          </w:tcPr>
          <w:p w14:paraId="6574C084">
            <w:pPr>
              <w:widowControl/>
              <w:jc w:val="left"/>
              <w:rPr>
                <w:rFonts w:ascii="宋体" w:hAnsi="宋体" w:cs="宋体"/>
                <w:color w:val="000000"/>
                <w:kern w:val="0"/>
                <w:sz w:val="18"/>
                <w:szCs w:val="18"/>
              </w:rPr>
            </w:pPr>
          </w:p>
        </w:tc>
        <w:tc>
          <w:tcPr>
            <w:tcW w:w="576" w:type="dxa"/>
            <w:tcBorders>
              <w:top w:val="nil"/>
              <w:left w:val="nil"/>
              <w:bottom w:val="single" w:color="000000" w:sz="4" w:space="0"/>
              <w:right w:val="single" w:color="000000" w:sz="4" w:space="0"/>
            </w:tcBorders>
            <w:shd w:val="clear" w:color="auto" w:fill="auto"/>
            <w:vAlign w:val="center"/>
          </w:tcPr>
          <w:p w14:paraId="7DC2CB7D">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690" w:type="dxa"/>
            <w:tcBorders>
              <w:top w:val="nil"/>
              <w:left w:val="nil"/>
              <w:bottom w:val="single" w:color="000000" w:sz="4" w:space="0"/>
              <w:right w:val="single" w:color="000000" w:sz="4" w:space="0"/>
            </w:tcBorders>
            <w:shd w:val="clear" w:color="auto" w:fill="auto"/>
            <w:vAlign w:val="center"/>
          </w:tcPr>
          <w:p w14:paraId="2F35D5E4">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78" w:type="dxa"/>
            <w:tcBorders>
              <w:top w:val="nil"/>
              <w:left w:val="nil"/>
              <w:bottom w:val="single" w:color="000000" w:sz="4" w:space="0"/>
              <w:right w:val="single" w:color="000000" w:sz="4" w:space="0"/>
            </w:tcBorders>
            <w:shd w:val="clear" w:color="auto" w:fill="auto"/>
            <w:vAlign w:val="center"/>
          </w:tcPr>
          <w:p w14:paraId="2D85F03C">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819" w:type="dxa"/>
            <w:gridSpan w:val="3"/>
            <w:tcBorders>
              <w:top w:val="single" w:color="000000" w:sz="4" w:space="0"/>
              <w:left w:val="nil"/>
              <w:bottom w:val="single" w:color="000000" w:sz="4" w:space="0"/>
              <w:right w:val="single" w:color="000000" w:sz="4" w:space="0"/>
            </w:tcBorders>
            <w:shd w:val="clear" w:color="auto" w:fill="auto"/>
            <w:vAlign w:val="center"/>
          </w:tcPr>
          <w:p w14:paraId="22361A1A">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40" w:type="dxa"/>
            <w:tcBorders>
              <w:top w:val="nil"/>
              <w:left w:val="nil"/>
              <w:bottom w:val="single" w:color="000000" w:sz="4" w:space="0"/>
              <w:right w:val="single" w:color="000000" w:sz="4" w:space="0"/>
            </w:tcBorders>
            <w:shd w:val="clear" w:color="auto" w:fill="auto"/>
            <w:vAlign w:val="center"/>
          </w:tcPr>
          <w:p w14:paraId="1E6D4EFD">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831" w:type="dxa"/>
            <w:tcBorders>
              <w:top w:val="nil"/>
              <w:left w:val="nil"/>
              <w:bottom w:val="single" w:color="000000" w:sz="4" w:space="0"/>
              <w:right w:val="single" w:color="000000" w:sz="4" w:space="0"/>
            </w:tcBorders>
            <w:shd w:val="clear" w:color="auto" w:fill="auto"/>
            <w:vAlign w:val="center"/>
          </w:tcPr>
          <w:p w14:paraId="376F16F1">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14:paraId="46A76DAF">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834" w:type="dxa"/>
            <w:vMerge w:val="continue"/>
            <w:tcBorders>
              <w:top w:val="nil"/>
              <w:left w:val="single" w:color="000000" w:sz="4" w:space="0"/>
              <w:bottom w:val="single" w:color="000000" w:sz="4" w:space="0"/>
              <w:right w:val="single" w:color="000000" w:sz="4" w:space="0"/>
            </w:tcBorders>
            <w:vAlign w:val="center"/>
          </w:tcPr>
          <w:p w14:paraId="467C3C12">
            <w:pPr>
              <w:widowControl/>
              <w:jc w:val="left"/>
              <w:rPr>
                <w:rFonts w:hint="eastAsia" w:ascii="黑体" w:hAnsi="黑体" w:cs="宋体"/>
                <w:i/>
                <w:iCs/>
                <w:color w:val="000000"/>
                <w:kern w:val="0"/>
                <w:sz w:val="18"/>
                <w:szCs w:val="18"/>
              </w:rPr>
            </w:pPr>
          </w:p>
        </w:tc>
      </w:tr>
      <w:tr w14:paraId="0810D086">
        <w:tblPrEx>
          <w:tblCellMar>
            <w:top w:w="0" w:type="dxa"/>
            <w:left w:w="108" w:type="dxa"/>
            <w:bottom w:w="0" w:type="dxa"/>
            <w:right w:w="108" w:type="dxa"/>
          </w:tblCellMar>
        </w:tblPrEx>
        <w:trPr>
          <w:trHeight w:val="360" w:hRule="atLeast"/>
        </w:trPr>
        <w:tc>
          <w:tcPr>
            <w:tcW w:w="577" w:type="dxa"/>
            <w:vMerge w:val="continue"/>
            <w:tcBorders>
              <w:top w:val="nil"/>
              <w:left w:val="single" w:color="000000" w:sz="4" w:space="0"/>
              <w:bottom w:val="single" w:color="000000" w:sz="4" w:space="0"/>
              <w:right w:val="single" w:color="000000" w:sz="4" w:space="0"/>
            </w:tcBorders>
            <w:vAlign w:val="center"/>
          </w:tcPr>
          <w:p w14:paraId="7412D04E">
            <w:pPr>
              <w:widowControl/>
              <w:jc w:val="left"/>
              <w:rPr>
                <w:rFonts w:ascii="宋体" w:hAnsi="宋体" w:cs="宋体"/>
                <w:color w:val="000000"/>
                <w:kern w:val="0"/>
                <w:sz w:val="18"/>
                <w:szCs w:val="18"/>
              </w:rPr>
            </w:pPr>
          </w:p>
        </w:tc>
        <w:tc>
          <w:tcPr>
            <w:tcW w:w="576" w:type="dxa"/>
            <w:tcBorders>
              <w:top w:val="nil"/>
              <w:left w:val="nil"/>
              <w:bottom w:val="single" w:color="000000" w:sz="4" w:space="0"/>
              <w:right w:val="single" w:color="000000" w:sz="4" w:space="0"/>
            </w:tcBorders>
            <w:shd w:val="clear" w:color="auto" w:fill="auto"/>
            <w:vAlign w:val="center"/>
          </w:tcPr>
          <w:p w14:paraId="19573BE7">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690" w:type="dxa"/>
            <w:tcBorders>
              <w:top w:val="nil"/>
              <w:left w:val="nil"/>
              <w:bottom w:val="single" w:color="000000" w:sz="4" w:space="0"/>
              <w:right w:val="single" w:color="000000" w:sz="4" w:space="0"/>
            </w:tcBorders>
            <w:shd w:val="clear" w:color="auto" w:fill="auto"/>
            <w:vAlign w:val="center"/>
          </w:tcPr>
          <w:p w14:paraId="1967D48E">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78" w:type="dxa"/>
            <w:tcBorders>
              <w:top w:val="nil"/>
              <w:left w:val="nil"/>
              <w:bottom w:val="single" w:color="000000" w:sz="4" w:space="0"/>
              <w:right w:val="single" w:color="000000" w:sz="4" w:space="0"/>
            </w:tcBorders>
            <w:shd w:val="clear" w:color="auto" w:fill="auto"/>
            <w:vAlign w:val="center"/>
          </w:tcPr>
          <w:p w14:paraId="721781B9">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819" w:type="dxa"/>
            <w:gridSpan w:val="3"/>
            <w:tcBorders>
              <w:top w:val="single" w:color="000000" w:sz="4" w:space="0"/>
              <w:left w:val="nil"/>
              <w:bottom w:val="single" w:color="000000" w:sz="4" w:space="0"/>
              <w:right w:val="single" w:color="000000" w:sz="4" w:space="0"/>
            </w:tcBorders>
            <w:shd w:val="clear" w:color="auto" w:fill="auto"/>
            <w:vAlign w:val="center"/>
          </w:tcPr>
          <w:p w14:paraId="15F075F5">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40" w:type="dxa"/>
            <w:tcBorders>
              <w:top w:val="nil"/>
              <w:left w:val="nil"/>
              <w:bottom w:val="single" w:color="000000" w:sz="4" w:space="0"/>
              <w:right w:val="single" w:color="000000" w:sz="4" w:space="0"/>
            </w:tcBorders>
            <w:shd w:val="clear" w:color="auto" w:fill="auto"/>
            <w:vAlign w:val="center"/>
          </w:tcPr>
          <w:p w14:paraId="78B27BC6">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831" w:type="dxa"/>
            <w:tcBorders>
              <w:top w:val="nil"/>
              <w:left w:val="nil"/>
              <w:bottom w:val="single" w:color="000000" w:sz="4" w:space="0"/>
              <w:right w:val="single" w:color="000000" w:sz="4" w:space="0"/>
            </w:tcBorders>
            <w:shd w:val="clear" w:color="auto" w:fill="auto"/>
            <w:vAlign w:val="center"/>
          </w:tcPr>
          <w:p w14:paraId="6495A153">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14:paraId="2EF679A1">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834" w:type="dxa"/>
            <w:vMerge w:val="continue"/>
            <w:tcBorders>
              <w:top w:val="nil"/>
              <w:left w:val="single" w:color="000000" w:sz="4" w:space="0"/>
              <w:bottom w:val="single" w:color="000000" w:sz="4" w:space="0"/>
              <w:right w:val="single" w:color="000000" w:sz="4" w:space="0"/>
            </w:tcBorders>
            <w:vAlign w:val="center"/>
          </w:tcPr>
          <w:p w14:paraId="2A98DD05">
            <w:pPr>
              <w:widowControl/>
              <w:jc w:val="left"/>
              <w:rPr>
                <w:rFonts w:hint="eastAsia" w:ascii="黑体" w:hAnsi="黑体" w:cs="宋体"/>
                <w:i/>
                <w:iCs/>
                <w:color w:val="000000"/>
                <w:kern w:val="0"/>
                <w:sz w:val="18"/>
                <w:szCs w:val="18"/>
              </w:rPr>
            </w:pPr>
          </w:p>
        </w:tc>
      </w:tr>
      <w:tr w14:paraId="47A19467">
        <w:tblPrEx>
          <w:tblCellMar>
            <w:top w:w="0" w:type="dxa"/>
            <w:left w:w="108" w:type="dxa"/>
            <w:bottom w:w="0" w:type="dxa"/>
            <w:right w:w="108" w:type="dxa"/>
          </w:tblCellMar>
        </w:tblPrEx>
        <w:trPr>
          <w:trHeight w:val="338" w:hRule="atLeast"/>
        </w:trPr>
        <w:tc>
          <w:tcPr>
            <w:tcW w:w="577" w:type="dxa"/>
            <w:vMerge w:val="continue"/>
            <w:tcBorders>
              <w:top w:val="nil"/>
              <w:left w:val="single" w:color="000000" w:sz="4" w:space="0"/>
              <w:bottom w:val="single" w:color="000000" w:sz="4" w:space="0"/>
              <w:right w:val="single" w:color="000000" w:sz="4" w:space="0"/>
            </w:tcBorders>
            <w:vAlign w:val="center"/>
          </w:tcPr>
          <w:p w14:paraId="4EB1EED8">
            <w:pPr>
              <w:widowControl/>
              <w:jc w:val="left"/>
              <w:rPr>
                <w:rFonts w:ascii="宋体" w:hAnsi="宋体" w:cs="宋体"/>
                <w:color w:val="000000"/>
                <w:kern w:val="0"/>
                <w:sz w:val="18"/>
                <w:szCs w:val="18"/>
              </w:rPr>
            </w:pPr>
          </w:p>
        </w:tc>
        <w:tc>
          <w:tcPr>
            <w:tcW w:w="576" w:type="dxa"/>
            <w:tcBorders>
              <w:top w:val="nil"/>
              <w:left w:val="nil"/>
              <w:bottom w:val="single" w:color="000000" w:sz="4" w:space="0"/>
              <w:right w:val="single" w:color="000000" w:sz="4" w:space="0"/>
            </w:tcBorders>
            <w:shd w:val="clear" w:color="auto" w:fill="auto"/>
            <w:vAlign w:val="center"/>
          </w:tcPr>
          <w:p w14:paraId="32547BC6">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690" w:type="dxa"/>
            <w:tcBorders>
              <w:top w:val="nil"/>
              <w:left w:val="nil"/>
              <w:bottom w:val="single" w:color="000000" w:sz="4" w:space="0"/>
              <w:right w:val="single" w:color="000000" w:sz="4" w:space="0"/>
            </w:tcBorders>
            <w:shd w:val="clear" w:color="auto" w:fill="auto"/>
            <w:vAlign w:val="center"/>
          </w:tcPr>
          <w:p w14:paraId="4FA57DE4">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78" w:type="dxa"/>
            <w:tcBorders>
              <w:top w:val="nil"/>
              <w:left w:val="nil"/>
              <w:bottom w:val="single" w:color="000000" w:sz="4" w:space="0"/>
              <w:right w:val="single" w:color="000000" w:sz="4" w:space="0"/>
            </w:tcBorders>
            <w:shd w:val="clear" w:color="auto" w:fill="auto"/>
            <w:vAlign w:val="center"/>
          </w:tcPr>
          <w:p w14:paraId="686CBC69">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819" w:type="dxa"/>
            <w:gridSpan w:val="3"/>
            <w:tcBorders>
              <w:top w:val="single" w:color="000000" w:sz="4" w:space="0"/>
              <w:left w:val="nil"/>
              <w:bottom w:val="single" w:color="000000" w:sz="4" w:space="0"/>
              <w:right w:val="single" w:color="000000" w:sz="4" w:space="0"/>
            </w:tcBorders>
            <w:shd w:val="clear" w:color="auto" w:fill="auto"/>
            <w:vAlign w:val="center"/>
          </w:tcPr>
          <w:p w14:paraId="48F1350E">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740" w:type="dxa"/>
            <w:tcBorders>
              <w:top w:val="nil"/>
              <w:left w:val="nil"/>
              <w:bottom w:val="single" w:color="000000" w:sz="4" w:space="0"/>
              <w:right w:val="single" w:color="000000" w:sz="4" w:space="0"/>
            </w:tcBorders>
            <w:shd w:val="clear" w:color="auto" w:fill="auto"/>
            <w:vAlign w:val="center"/>
          </w:tcPr>
          <w:p w14:paraId="6644D858">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831" w:type="dxa"/>
            <w:tcBorders>
              <w:top w:val="nil"/>
              <w:left w:val="nil"/>
              <w:bottom w:val="single" w:color="000000" w:sz="4" w:space="0"/>
              <w:right w:val="single" w:color="000000" w:sz="4" w:space="0"/>
            </w:tcBorders>
            <w:shd w:val="clear" w:color="auto" w:fill="auto"/>
            <w:vAlign w:val="center"/>
          </w:tcPr>
          <w:p w14:paraId="58F7D731">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14:paraId="696A5535">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834" w:type="dxa"/>
            <w:vMerge w:val="continue"/>
            <w:tcBorders>
              <w:top w:val="nil"/>
              <w:left w:val="single" w:color="000000" w:sz="4" w:space="0"/>
              <w:bottom w:val="single" w:color="000000" w:sz="4" w:space="0"/>
              <w:right w:val="single" w:color="000000" w:sz="4" w:space="0"/>
            </w:tcBorders>
            <w:vAlign w:val="center"/>
          </w:tcPr>
          <w:p w14:paraId="49785A8D">
            <w:pPr>
              <w:widowControl/>
              <w:jc w:val="left"/>
              <w:rPr>
                <w:rFonts w:hint="eastAsia" w:ascii="黑体" w:hAnsi="黑体" w:cs="宋体"/>
                <w:i/>
                <w:iCs/>
                <w:color w:val="000000"/>
                <w:kern w:val="0"/>
                <w:sz w:val="18"/>
                <w:szCs w:val="18"/>
              </w:rPr>
            </w:pPr>
          </w:p>
        </w:tc>
      </w:tr>
      <w:tr w14:paraId="0762C4D0">
        <w:tblPrEx>
          <w:tblCellMar>
            <w:top w:w="0" w:type="dxa"/>
            <w:left w:w="108" w:type="dxa"/>
            <w:bottom w:w="0" w:type="dxa"/>
            <w:right w:w="108" w:type="dxa"/>
          </w:tblCellMar>
        </w:tblPrEx>
        <w:trPr>
          <w:trHeight w:val="454" w:hRule="atLeast"/>
        </w:trPr>
        <w:tc>
          <w:tcPr>
            <w:tcW w:w="577" w:type="dxa"/>
            <w:vMerge w:val="restart"/>
            <w:tcBorders>
              <w:top w:val="nil"/>
              <w:left w:val="single" w:color="000000" w:sz="4" w:space="0"/>
              <w:bottom w:val="single" w:color="000000" w:sz="4" w:space="0"/>
              <w:right w:val="single" w:color="000000" w:sz="4" w:space="0"/>
            </w:tcBorders>
            <w:shd w:val="clear" w:color="auto" w:fill="auto"/>
            <w:vAlign w:val="center"/>
          </w:tcPr>
          <w:p w14:paraId="6106D673">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576" w:type="dxa"/>
            <w:tcBorders>
              <w:top w:val="nil"/>
              <w:left w:val="nil"/>
              <w:bottom w:val="single" w:color="000000" w:sz="4" w:space="0"/>
              <w:right w:val="single" w:color="000000" w:sz="4" w:space="0"/>
            </w:tcBorders>
            <w:shd w:val="clear" w:color="auto" w:fill="auto"/>
            <w:vAlign w:val="center"/>
          </w:tcPr>
          <w:p w14:paraId="2AC082EF">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690" w:type="dxa"/>
            <w:tcBorders>
              <w:top w:val="nil"/>
              <w:left w:val="nil"/>
              <w:bottom w:val="single" w:color="000000" w:sz="4" w:space="0"/>
              <w:right w:val="single" w:color="000000" w:sz="4" w:space="0"/>
            </w:tcBorders>
            <w:shd w:val="clear" w:color="auto" w:fill="auto"/>
            <w:vAlign w:val="center"/>
          </w:tcPr>
          <w:p w14:paraId="7AA64BFD">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78" w:type="dxa"/>
            <w:tcBorders>
              <w:top w:val="nil"/>
              <w:left w:val="nil"/>
              <w:bottom w:val="single" w:color="000000" w:sz="4" w:space="0"/>
              <w:right w:val="single" w:color="000000" w:sz="4" w:space="0"/>
            </w:tcBorders>
            <w:shd w:val="clear" w:color="auto" w:fill="auto"/>
            <w:vAlign w:val="center"/>
          </w:tcPr>
          <w:p w14:paraId="555AD4D5">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396" w:type="dxa"/>
            <w:tcBorders>
              <w:top w:val="nil"/>
              <w:left w:val="nil"/>
              <w:bottom w:val="single" w:color="000000" w:sz="4" w:space="0"/>
              <w:right w:val="single" w:color="000000" w:sz="4" w:space="0"/>
            </w:tcBorders>
            <w:shd w:val="clear" w:color="auto" w:fill="auto"/>
            <w:vAlign w:val="center"/>
          </w:tcPr>
          <w:p w14:paraId="5320864F">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42" w:type="dxa"/>
            <w:tcBorders>
              <w:top w:val="nil"/>
              <w:left w:val="nil"/>
              <w:bottom w:val="single" w:color="000000" w:sz="4" w:space="0"/>
              <w:right w:val="single" w:color="000000" w:sz="4" w:space="0"/>
            </w:tcBorders>
            <w:shd w:val="clear" w:color="auto" w:fill="auto"/>
            <w:vAlign w:val="center"/>
          </w:tcPr>
          <w:p w14:paraId="782E0E03">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581" w:type="dxa"/>
            <w:tcBorders>
              <w:top w:val="nil"/>
              <w:left w:val="nil"/>
              <w:bottom w:val="single" w:color="000000" w:sz="4" w:space="0"/>
              <w:right w:val="single" w:color="000000" w:sz="4" w:space="0"/>
            </w:tcBorders>
            <w:shd w:val="clear" w:color="auto" w:fill="auto"/>
            <w:vAlign w:val="center"/>
          </w:tcPr>
          <w:p w14:paraId="44118D38">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740" w:type="dxa"/>
            <w:tcBorders>
              <w:top w:val="nil"/>
              <w:left w:val="nil"/>
              <w:bottom w:val="single" w:color="000000" w:sz="4" w:space="0"/>
              <w:right w:val="single" w:color="000000" w:sz="4" w:space="0"/>
            </w:tcBorders>
            <w:shd w:val="clear" w:color="auto" w:fill="auto"/>
            <w:vAlign w:val="center"/>
          </w:tcPr>
          <w:p w14:paraId="5CE357DF">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1831" w:type="dxa"/>
            <w:tcBorders>
              <w:top w:val="nil"/>
              <w:left w:val="nil"/>
              <w:bottom w:val="single" w:color="000000" w:sz="4" w:space="0"/>
              <w:right w:val="single" w:color="000000" w:sz="4" w:space="0"/>
            </w:tcBorders>
            <w:shd w:val="clear" w:color="auto" w:fill="auto"/>
            <w:vAlign w:val="center"/>
          </w:tcPr>
          <w:p w14:paraId="64A7F4A8">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86" w:type="dxa"/>
            <w:tcBorders>
              <w:top w:val="nil"/>
              <w:left w:val="nil"/>
              <w:bottom w:val="single" w:color="000000" w:sz="4" w:space="0"/>
              <w:right w:val="single" w:color="000000" w:sz="4" w:space="0"/>
            </w:tcBorders>
            <w:shd w:val="clear" w:color="auto" w:fill="auto"/>
            <w:vAlign w:val="center"/>
          </w:tcPr>
          <w:p w14:paraId="6BCC0A57">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834" w:type="dxa"/>
            <w:tcBorders>
              <w:top w:val="nil"/>
              <w:left w:val="nil"/>
              <w:bottom w:val="single" w:color="000000" w:sz="4" w:space="0"/>
              <w:right w:val="single" w:color="000000" w:sz="4" w:space="0"/>
            </w:tcBorders>
            <w:shd w:val="clear" w:color="auto" w:fill="auto"/>
            <w:vAlign w:val="center"/>
          </w:tcPr>
          <w:p w14:paraId="1C04B458">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631A6BD5">
        <w:tblPrEx>
          <w:tblCellMar>
            <w:top w:w="0" w:type="dxa"/>
            <w:left w:w="108" w:type="dxa"/>
            <w:bottom w:w="0" w:type="dxa"/>
            <w:right w:w="108" w:type="dxa"/>
          </w:tblCellMar>
        </w:tblPrEx>
        <w:trPr>
          <w:trHeight w:val="454" w:hRule="atLeast"/>
        </w:trPr>
        <w:tc>
          <w:tcPr>
            <w:tcW w:w="577" w:type="dxa"/>
            <w:vMerge w:val="continue"/>
            <w:tcBorders>
              <w:top w:val="nil"/>
              <w:left w:val="single" w:color="000000" w:sz="4" w:space="0"/>
              <w:bottom w:val="single" w:color="000000" w:sz="4" w:space="0"/>
              <w:right w:val="single" w:color="000000" w:sz="4" w:space="0"/>
            </w:tcBorders>
            <w:vAlign w:val="center"/>
          </w:tcPr>
          <w:p w14:paraId="11425EC1">
            <w:pPr>
              <w:widowControl/>
              <w:jc w:val="left"/>
              <w:rPr>
                <w:rFonts w:ascii="宋体" w:hAnsi="宋体" w:cs="宋体"/>
                <w:color w:val="000000"/>
                <w:kern w:val="0"/>
                <w:sz w:val="18"/>
                <w:szCs w:val="18"/>
              </w:rPr>
            </w:pPr>
          </w:p>
        </w:tc>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14:paraId="4075CA23">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w:t>
            </w:r>
          </w:p>
        </w:tc>
        <w:tc>
          <w:tcPr>
            <w:tcW w:w="690" w:type="dxa"/>
            <w:tcBorders>
              <w:top w:val="nil"/>
              <w:left w:val="nil"/>
              <w:bottom w:val="single" w:color="000000" w:sz="4" w:space="0"/>
              <w:right w:val="single" w:color="000000" w:sz="4" w:space="0"/>
            </w:tcBorders>
            <w:shd w:val="clear" w:color="auto" w:fill="auto"/>
            <w:vAlign w:val="center"/>
          </w:tcPr>
          <w:p w14:paraId="6EB9A85F">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278" w:type="dxa"/>
            <w:tcBorders>
              <w:top w:val="nil"/>
              <w:left w:val="nil"/>
              <w:bottom w:val="single" w:color="000000" w:sz="4" w:space="0"/>
              <w:right w:val="single" w:color="000000" w:sz="4" w:space="0"/>
            </w:tcBorders>
            <w:shd w:val="clear" w:color="auto" w:fill="auto"/>
            <w:vAlign w:val="center"/>
          </w:tcPr>
          <w:p w14:paraId="090E88AA">
            <w:pPr>
              <w:widowControl/>
              <w:jc w:val="center"/>
              <w:rPr>
                <w:rFonts w:ascii="宋体" w:hAnsi="宋体" w:cs="宋体"/>
                <w:color w:val="000000"/>
                <w:kern w:val="0"/>
                <w:sz w:val="18"/>
                <w:szCs w:val="18"/>
              </w:rPr>
            </w:pPr>
            <w:r>
              <w:rPr>
                <w:rFonts w:hint="eastAsia" w:ascii="宋体" w:hAnsi="宋体" w:cs="宋体"/>
                <w:color w:val="000000"/>
                <w:kern w:val="0"/>
                <w:sz w:val="18"/>
                <w:szCs w:val="18"/>
              </w:rPr>
              <w:t>资金支付准确率</w:t>
            </w:r>
          </w:p>
        </w:tc>
        <w:tc>
          <w:tcPr>
            <w:tcW w:w="396" w:type="dxa"/>
            <w:tcBorders>
              <w:top w:val="nil"/>
              <w:left w:val="nil"/>
              <w:bottom w:val="single" w:color="000000" w:sz="4" w:space="0"/>
              <w:right w:val="single" w:color="000000" w:sz="4" w:space="0"/>
            </w:tcBorders>
            <w:shd w:val="clear" w:color="auto" w:fill="auto"/>
            <w:vAlign w:val="center"/>
          </w:tcPr>
          <w:p w14:paraId="34EAA1AF">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42" w:type="dxa"/>
            <w:tcBorders>
              <w:top w:val="nil"/>
              <w:left w:val="nil"/>
              <w:bottom w:val="single" w:color="000000" w:sz="4" w:space="0"/>
              <w:right w:val="single" w:color="000000" w:sz="4" w:space="0"/>
            </w:tcBorders>
            <w:shd w:val="clear" w:color="auto" w:fill="auto"/>
            <w:vAlign w:val="center"/>
          </w:tcPr>
          <w:p w14:paraId="0BEC7E70">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581" w:type="dxa"/>
            <w:tcBorders>
              <w:top w:val="nil"/>
              <w:left w:val="nil"/>
              <w:bottom w:val="single" w:color="000000" w:sz="4" w:space="0"/>
              <w:right w:val="single" w:color="000000" w:sz="4" w:space="0"/>
            </w:tcBorders>
            <w:shd w:val="clear" w:color="auto" w:fill="auto"/>
            <w:vAlign w:val="center"/>
          </w:tcPr>
          <w:p w14:paraId="1279AA30">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40" w:type="dxa"/>
            <w:tcBorders>
              <w:top w:val="nil"/>
              <w:left w:val="nil"/>
              <w:bottom w:val="single" w:color="000000" w:sz="4" w:space="0"/>
              <w:right w:val="single" w:color="000000" w:sz="4" w:space="0"/>
            </w:tcBorders>
            <w:shd w:val="clear" w:color="auto" w:fill="auto"/>
            <w:vAlign w:val="center"/>
          </w:tcPr>
          <w:p w14:paraId="6039D254">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1831" w:type="dxa"/>
            <w:tcBorders>
              <w:top w:val="nil"/>
              <w:left w:val="nil"/>
              <w:bottom w:val="single" w:color="000000" w:sz="4" w:space="0"/>
              <w:right w:val="single" w:color="000000" w:sz="4" w:space="0"/>
            </w:tcBorders>
            <w:shd w:val="clear" w:color="auto" w:fill="auto"/>
            <w:vAlign w:val="center"/>
          </w:tcPr>
          <w:p w14:paraId="18924FAF">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486" w:type="dxa"/>
            <w:tcBorders>
              <w:top w:val="nil"/>
              <w:left w:val="nil"/>
              <w:bottom w:val="single" w:color="000000" w:sz="4" w:space="0"/>
              <w:right w:val="single" w:color="000000" w:sz="4" w:space="0"/>
            </w:tcBorders>
            <w:shd w:val="clear" w:color="auto" w:fill="auto"/>
            <w:vAlign w:val="center"/>
          </w:tcPr>
          <w:p w14:paraId="17FE47F7">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834" w:type="dxa"/>
            <w:tcBorders>
              <w:top w:val="nil"/>
              <w:left w:val="nil"/>
              <w:bottom w:val="single" w:color="000000" w:sz="4" w:space="0"/>
              <w:right w:val="single" w:color="000000" w:sz="4" w:space="0"/>
            </w:tcBorders>
            <w:shd w:val="clear" w:color="auto" w:fill="auto"/>
            <w:vAlign w:val="center"/>
          </w:tcPr>
          <w:p w14:paraId="05CB6D61">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0F7DF996">
        <w:tblPrEx>
          <w:tblCellMar>
            <w:top w:w="0" w:type="dxa"/>
            <w:left w:w="108" w:type="dxa"/>
            <w:bottom w:w="0" w:type="dxa"/>
            <w:right w:w="108" w:type="dxa"/>
          </w:tblCellMar>
        </w:tblPrEx>
        <w:trPr>
          <w:trHeight w:val="454" w:hRule="atLeast"/>
        </w:trPr>
        <w:tc>
          <w:tcPr>
            <w:tcW w:w="577" w:type="dxa"/>
            <w:vMerge w:val="continue"/>
            <w:tcBorders>
              <w:top w:val="nil"/>
              <w:left w:val="single" w:color="000000" w:sz="4" w:space="0"/>
              <w:bottom w:val="single" w:color="000000" w:sz="4" w:space="0"/>
              <w:right w:val="single" w:color="000000" w:sz="4" w:space="0"/>
            </w:tcBorders>
            <w:vAlign w:val="center"/>
          </w:tcPr>
          <w:p w14:paraId="457AAA8D">
            <w:pPr>
              <w:widowControl/>
              <w:jc w:val="left"/>
              <w:rPr>
                <w:rFonts w:ascii="宋体" w:hAnsi="宋体" w:cs="宋体"/>
                <w:color w:val="000000"/>
                <w:kern w:val="0"/>
                <w:sz w:val="18"/>
                <w:szCs w:val="18"/>
              </w:rPr>
            </w:pPr>
          </w:p>
        </w:tc>
        <w:tc>
          <w:tcPr>
            <w:tcW w:w="576" w:type="dxa"/>
            <w:vMerge w:val="continue"/>
            <w:tcBorders>
              <w:top w:val="nil"/>
              <w:left w:val="single" w:color="000000" w:sz="4" w:space="0"/>
              <w:bottom w:val="single" w:color="000000" w:sz="4" w:space="0"/>
              <w:right w:val="single" w:color="000000" w:sz="4" w:space="0"/>
            </w:tcBorders>
            <w:vAlign w:val="center"/>
          </w:tcPr>
          <w:p w14:paraId="5D5E85E7">
            <w:pPr>
              <w:widowControl/>
              <w:jc w:val="left"/>
              <w:rPr>
                <w:rFonts w:ascii="宋体" w:hAnsi="宋体" w:cs="宋体"/>
                <w:color w:val="000000"/>
                <w:kern w:val="0"/>
                <w:sz w:val="18"/>
                <w:szCs w:val="18"/>
              </w:rPr>
            </w:pPr>
          </w:p>
        </w:tc>
        <w:tc>
          <w:tcPr>
            <w:tcW w:w="690" w:type="dxa"/>
            <w:tcBorders>
              <w:top w:val="nil"/>
              <w:left w:val="nil"/>
              <w:bottom w:val="single" w:color="000000" w:sz="4" w:space="0"/>
              <w:right w:val="single" w:color="000000" w:sz="4" w:space="0"/>
            </w:tcBorders>
            <w:shd w:val="clear" w:color="auto" w:fill="auto"/>
            <w:vAlign w:val="center"/>
          </w:tcPr>
          <w:p w14:paraId="093518B6">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1278" w:type="dxa"/>
            <w:tcBorders>
              <w:top w:val="nil"/>
              <w:left w:val="nil"/>
              <w:bottom w:val="single" w:color="000000" w:sz="4" w:space="0"/>
              <w:right w:val="single" w:color="000000" w:sz="4" w:space="0"/>
            </w:tcBorders>
            <w:shd w:val="clear" w:color="auto" w:fill="auto"/>
            <w:vAlign w:val="center"/>
          </w:tcPr>
          <w:p w14:paraId="0493F286">
            <w:pPr>
              <w:widowControl/>
              <w:jc w:val="center"/>
              <w:rPr>
                <w:rFonts w:ascii="宋体" w:hAnsi="宋体" w:cs="宋体"/>
                <w:color w:val="000000"/>
                <w:kern w:val="0"/>
                <w:sz w:val="18"/>
                <w:szCs w:val="18"/>
              </w:rPr>
            </w:pPr>
            <w:r>
              <w:rPr>
                <w:rFonts w:hint="eastAsia" w:ascii="宋体" w:hAnsi="宋体" w:cs="宋体"/>
                <w:color w:val="000000"/>
                <w:kern w:val="0"/>
                <w:sz w:val="18"/>
                <w:szCs w:val="18"/>
              </w:rPr>
              <w:t>202</w:t>
            </w:r>
            <w:r>
              <w:rPr>
                <w:rFonts w:hint="eastAsia" w:ascii="宋体" w:hAnsi="宋体" w:cs="宋体"/>
                <w:color w:val="000000"/>
                <w:kern w:val="0"/>
                <w:sz w:val="18"/>
                <w:szCs w:val="18"/>
                <w:lang w:val="en-US" w:eastAsia="zh-CN"/>
              </w:rPr>
              <w:t>4</w:t>
            </w:r>
            <w:r>
              <w:rPr>
                <w:rFonts w:hint="eastAsia" w:ascii="宋体" w:hAnsi="宋体" w:cs="宋体"/>
                <w:color w:val="000000"/>
                <w:kern w:val="0"/>
                <w:sz w:val="18"/>
                <w:szCs w:val="18"/>
              </w:rPr>
              <w:t>年1-12月</w:t>
            </w:r>
          </w:p>
        </w:tc>
        <w:tc>
          <w:tcPr>
            <w:tcW w:w="396" w:type="dxa"/>
            <w:tcBorders>
              <w:top w:val="nil"/>
              <w:left w:val="nil"/>
              <w:bottom w:val="single" w:color="000000" w:sz="4" w:space="0"/>
              <w:right w:val="single" w:color="000000" w:sz="4" w:space="0"/>
            </w:tcBorders>
            <w:shd w:val="clear" w:color="auto" w:fill="auto"/>
            <w:vAlign w:val="center"/>
          </w:tcPr>
          <w:p w14:paraId="1AAE6BD6">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42" w:type="dxa"/>
            <w:tcBorders>
              <w:top w:val="nil"/>
              <w:left w:val="nil"/>
              <w:bottom w:val="single" w:color="000000" w:sz="4" w:space="0"/>
              <w:right w:val="single" w:color="000000" w:sz="4" w:space="0"/>
            </w:tcBorders>
            <w:shd w:val="clear" w:color="auto" w:fill="auto"/>
            <w:vAlign w:val="center"/>
          </w:tcPr>
          <w:p w14:paraId="66D0AE07">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581" w:type="dxa"/>
            <w:tcBorders>
              <w:top w:val="nil"/>
              <w:left w:val="nil"/>
              <w:bottom w:val="single" w:color="000000" w:sz="4" w:space="0"/>
              <w:right w:val="single" w:color="000000" w:sz="4" w:space="0"/>
            </w:tcBorders>
            <w:shd w:val="clear" w:color="auto" w:fill="auto"/>
            <w:vAlign w:val="center"/>
          </w:tcPr>
          <w:p w14:paraId="11F09243">
            <w:pPr>
              <w:widowControl/>
              <w:jc w:val="center"/>
              <w:rPr>
                <w:rFonts w:ascii="宋体" w:hAnsi="宋体" w:cs="宋体"/>
                <w:color w:val="000000"/>
                <w:kern w:val="0"/>
                <w:sz w:val="18"/>
                <w:szCs w:val="18"/>
              </w:rPr>
            </w:pPr>
            <w:r>
              <w:rPr>
                <w:rFonts w:hint="eastAsia" w:ascii="宋体" w:hAnsi="宋体" w:cs="宋体"/>
                <w:color w:val="000000"/>
                <w:kern w:val="0"/>
                <w:sz w:val="18"/>
                <w:szCs w:val="18"/>
              </w:rPr>
              <w:t>月</w:t>
            </w:r>
          </w:p>
        </w:tc>
        <w:tc>
          <w:tcPr>
            <w:tcW w:w="740" w:type="dxa"/>
            <w:tcBorders>
              <w:top w:val="nil"/>
              <w:left w:val="nil"/>
              <w:bottom w:val="single" w:color="000000" w:sz="4" w:space="0"/>
              <w:right w:val="single" w:color="000000" w:sz="4" w:space="0"/>
            </w:tcBorders>
            <w:shd w:val="clear" w:color="auto" w:fill="auto"/>
            <w:vAlign w:val="center"/>
          </w:tcPr>
          <w:p w14:paraId="097700EA">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1831" w:type="dxa"/>
            <w:tcBorders>
              <w:top w:val="nil"/>
              <w:left w:val="nil"/>
              <w:bottom w:val="single" w:color="000000" w:sz="4" w:space="0"/>
              <w:right w:val="single" w:color="000000" w:sz="4" w:space="0"/>
            </w:tcBorders>
            <w:shd w:val="clear" w:color="auto" w:fill="auto"/>
            <w:vAlign w:val="center"/>
          </w:tcPr>
          <w:p w14:paraId="6DF58B5C">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86" w:type="dxa"/>
            <w:tcBorders>
              <w:top w:val="nil"/>
              <w:left w:val="nil"/>
              <w:bottom w:val="single" w:color="000000" w:sz="4" w:space="0"/>
              <w:right w:val="single" w:color="000000" w:sz="4" w:space="0"/>
            </w:tcBorders>
            <w:shd w:val="clear" w:color="auto" w:fill="auto"/>
            <w:vAlign w:val="center"/>
          </w:tcPr>
          <w:p w14:paraId="5D96761E">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834" w:type="dxa"/>
            <w:tcBorders>
              <w:top w:val="nil"/>
              <w:left w:val="nil"/>
              <w:bottom w:val="single" w:color="000000" w:sz="4" w:space="0"/>
              <w:right w:val="single" w:color="000000" w:sz="4" w:space="0"/>
            </w:tcBorders>
            <w:shd w:val="clear" w:color="auto" w:fill="auto"/>
            <w:vAlign w:val="center"/>
          </w:tcPr>
          <w:p w14:paraId="528D905A">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65C6E6B1">
        <w:tblPrEx>
          <w:tblCellMar>
            <w:top w:w="0" w:type="dxa"/>
            <w:left w:w="108" w:type="dxa"/>
            <w:bottom w:w="0" w:type="dxa"/>
            <w:right w:w="108" w:type="dxa"/>
          </w:tblCellMar>
        </w:tblPrEx>
        <w:trPr>
          <w:trHeight w:val="454" w:hRule="atLeast"/>
        </w:trPr>
        <w:tc>
          <w:tcPr>
            <w:tcW w:w="577" w:type="dxa"/>
            <w:vMerge w:val="continue"/>
            <w:tcBorders>
              <w:top w:val="nil"/>
              <w:left w:val="single" w:color="000000" w:sz="4" w:space="0"/>
              <w:bottom w:val="single" w:color="000000" w:sz="4" w:space="0"/>
              <w:right w:val="single" w:color="000000" w:sz="4" w:space="0"/>
            </w:tcBorders>
            <w:vAlign w:val="center"/>
          </w:tcPr>
          <w:p w14:paraId="06EB1E66">
            <w:pPr>
              <w:widowControl/>
              <w:jc w:val="left"/>
              <w:rPr>
                <w:rFonts w:ascii="宋体" w:hAnsi="宋体" w:cs="宋体"/>
                <w:color w:val="000000"/>
                <w:kern w:val="0"/>
                <w:sz w:val="18"/>
                <w:szCs w:val="18"/>
              </w:rPr>
            </w:pPr>
          </w:p>
        </w:tc>
        <w:tc>
          <w:tcPr>
            <w:tcW w:w="576" w:type="dxa"/>
            <w:tcBorders>
              <w:top w:val="nil"/>
              <w:left w:val="nil"/>
              <w:bottom w:val="single" w:color="000000" w:sz="4" w:space="0"/>
              <w:right w:val="single" w:color="000000" w:sz="4" w:space="0"/>
            </w:tcBorders>
            <w:shd w:val="clear" w:color="auto" w:fill="auto"/>
            <w:vAlign w:val="center"/>
          </w:tcPr>
          <w:p w14:paraId="1B62435E">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690" w:type="dxa"/>
            <w:tcBorders>
              <w:top w:val="nil"/>
              <w:left w:val="nil"/>
              <w:bottom w:val="single" w:color="000000" w:sz="4" w:space="0"/>
              <w:right w:val="single" w:color="000000" w:sz="4" w:space="0"/>
            </w:tcBorders>
            <w:shd w:val="clear" w:color="auto" w:fill="auto"/>
            <w:vAlign w:val="center"/>
          </w:tcPr>
          <w:p w14:paraId="3F35192C">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1278" w:type="dxa"/>
            <w:tcBorders>
              <w:top w:val="nil"/>
              <w:left w:val="nil"/>
              <w:bottom w:val="single" w:color="000000" w:sz="4" w:space="0"/>
              <w:right w:val="single" w:color="000000" w:sz="4" w:space="0"/>
            </w:tcBorders>
            <w:shd w:val="clear" w:color="auto" w:fill="auto"/>
            <w:vAlign w:val="center"/>
          </w:tcPr>
          <w:p w14:paraId="60F11477">
            <w:pPr>
              <w:widowControl/>
              <w:jc w:val="center"/>
              <w:rPr>
                <w:rFonts w:ascii="宋体" w:hAnsi="宋体" w:cs="宋体"/>
                <w:color w:val="000000"/>
                <w:kern w:val="0"/>
                <w:sz w:val="18"/>
                <w:szCs w:val="18"/>
              </w:rPr>
            </w:pPr>
            <w:r>
              <w:rPr>
                <w:rFonts w:hint="eastAsia" w:ascii="宋体" w:hAnsi="宋体" w:cs="宋体"/>
                <w:color w:val="000000"/>
                <w:kern w:val="0"/>
                <w:sz w:val="18"/>
                <w:szCs w:val="18"/>
              </w:rPr>
              <w:t>促进社会资本参与旅游项目开发政策</w:t>
            </w:r>
          </w:p>
        </w:tc>
        <w:tc>
          <w:tcPr>
            <w:tcW w:w="396" w:type="dxa"/>
            <w:tcBorders>
              <w:top w:val="nil"/>
              <w:left w:val="nil"/>
              <w:bottom w:val="single" w:color="000000" w:sz="4" w:space="0"/>
              <w:right w:val="single" w:color="000000" w:sz="4" w:space="0"/>
            </w:tcBorders>
            <w:shd w:val="clear" w:color="auto" w:fill="auto"/>
            <w:vAlign w:val="center"/>
          </w:tcPr>
          <w:p w14:paraId="2E376C1F">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42" w:type="dxa"/>
            <w:tcBorders>
              <w:top w:val="nil"/>
              <w:left w:val="nil"/>
              <w:bottom w:val="single" w:color="000000" w:sz="4" w:space="0"/>
              <w:right w:val="single" w:color="000000" w:sz="4" w:space="0"/>
            </w:tcBorders>
            <w:shd w:val="clear" w:color="auto" w:fill="auto"/>
            <w:vAlign w:val="center"/>
          </w:tcPr>
          <w:p w14:paraId="2F3AA14E">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15</w:t>
            </w:r>
          </w:p>
        </w:tc>
        <w:tc>
          <w:tcPr>
            <w:tcW w:w="581" w:type="dxa"/>
            <w:tcBorders>
              <w:top w:val="nil"/>
              <w:left w:val="nil"/>
              <w:bottom w:val="single" w:color="000000" w:sz="4" w:space="0"/>
              <w:right w:val="single" w:color="000000" w:sz="4" w:space="0"/>
            </w:tcBorders>
            <w:shd w:val="clear" w:color="auto" w:fill="auto"/>
            <w:vAlign w:val="center"/>
          </w:tcPr>
          <w:p w14:paraId="34F29C2E">
            <w:pPr>
              <w:widowControl/>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批次</w:t>
            </w:r>
          </w:p>
        </w:tc>
        <w:tc>
          <w:tcPr>
            <w:tcW w:w="740" w:type="dxa"/>
            <w:tcBorders>
              <w:top w:val="nil"/>
              <w:left w:val="nil"/>
              <w:bottom w:val="single" w:color="000000" w:sz="4" w:space="0"/>
              <w:right w:val="single" w:color="000000" w:sz="4" w:space="0"/>
            </w:tcBorders>
            <w:shd w:val="clear" w:color="auto" w:fill="auto"/>
            <w:vAlign w:val="center"/>
          </w:tcPr>
          <w:p w14:paraId="2E1E8C4A">
            <w:pPr>
              <w:widowControl/>
              <w:jc w:val="center"/>
              <w:rPr>
                <w:rFonts w:ascii="宋体" w:hAnsi="宋体" w:cs="宋体"/>
                <w:color w:val="000000"/>
                <w:kern w:val="0"/>
                <w:sz w:val="18"/>
                <w:szCs w:val="18"/>
              </w:rPr>
            </w:pPr>
            <w:r>
              <w:rPr>
                <w:rFonts w:hint="eastAsia" w:ascii="宋体" w:hAnsi="宋体" w:cs="宋体"/>
                <w:color w:val="000000"/>
                <w:kern w:val="0"/>
                <w:sz w:val="18"/>
                <w:szCs w:val="18"/>
              </w:rPr>
              <w:t>96</w:t>
            </w:r>
          </w:p>
        </w:tc>
        <w:tc>
          <w:tcPr>
            <w:tcW w:w="1831" w:type="dxa"/>
            <w:tcBorders>
              <w:top w:val="nil"/>
              <w:left w:val="nil"/>
              <w:bottom w:val="single" w:color="000000" w:sz="4" w:space="0"/>
              <w:right w:val="single" w:color="000000" w:sz="4" w:space="0"/>
            </w:tcBorders>
            <w:shd w:val="clear" w:color="auto" w:fill="auto"/>
            <w:vAlign w:val="center"/>
          </w:tcPr>
          <w:p w14:paraId="6FF68D78">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86" w:type="dxa"/>
            <w:tcBorders>
              <w:top w:val="nil"/>
              <w:left w:val="nil"/>
              <w:bottom w:val="single" w:color="000000" w:sz="4" w:space="0"/>
              <w:right w:val="single" w:color="000000" w:sz="4" w:space="0"/>
            </w:tcBorders>
            <w:shd w:val="clear" w:color="auto" w:fill="auto"/>
            <w:vAlign w:val="center"/>
          </w:tcPr>
          <w:p w14:paraId="0D67A69F">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1834" w:type="dxa"/>
            <w:tcBorders>
              <w:top w:val="nil"/>
              <w:left w:val="nil"/>
              <w:bottom w:val="single" w:color="000000" w:sz="4" w:space="0"/>
              <w:right w:val="single" w:color="000000" w:sz="4" w:space="0"/>
            </w:tcBorders>
            <w:shd w:val="clear" w:color="auto" w:fill="auto"/>
            <w:vAlign w:val="center"/>
          </w:tcPr>
          <w:p w14:paraId="0632934F">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1B708364">
        <w:tblPrEx>
          <w:tblCellMar>
            <w:top w:w="0" w:type="dxa"/>
            <w:left w:w="108" w:type="dxa"/>
            <w:bottom w:w="0" w:type="dxa"/>
            <w:right w:w="108" w:type="dxa"/>
          </w:tblCellMar>
        </w:tblPrEx>
        <w:trPr>
          <w:trHeight w:val="454" w:hRule="atLeast"/>
        </w:trPr>
        <w:tc>
          <w:tcPr>
            <w:tcW w:w="577" w:type="dxa"/>
            <w:vMerge w:val="continue"/>
            <w:tcBorders>
              <w:top w:val="nil"/>
              <w:left w:val="single" w:color="000000" w:sz="4" w:space="0"/>
              <w:bottom w:val="single" w:color="000000" w:sz="4" w:space="0"/>
              <w:right w:val="single" w:color="000000" w:sz="4" w:space="0"/>
            </w:tcBorders>
            <w:vAlign w:val="center"/>
          </w:tcPr>
          <w:p w14:paraId="2016B2A6">
            <w:pPr>
              <w:widowControl/>
              <w:jc w:val="left"/>
              <w:rPr>
                <w:rFonts w:ascii="宋体" w:hAnsi="宋体" w:cs="宋体"/>
                <w:color w:val="000000"/>
                <w:kern w:val="0"/>
                <w:sz w:val="18"/>
                <w:szCs w:val="18"/>
              </w:rPr>
            </w:pPr>
          </w:p>
        </w:tc>
        <w:tc>
          <w:tcPr>
            <w:tcW w:w="576" w:type="dxa"/>
            <w:tcBorders>
              <w:top w:val="nil"/>
              <w:left w:val="nil"/>
              <w:bottom w:val="single" w:color="000000" w:sz="4" w:space="0"/>
              <w:right w:val="single" w:color="000000" w:sz="4" w:space="0"/>
            </w:tcBorders>
            <w:shd w:val="clear" w:color="auto" w:fill="auto"/>
            <w:vAlign w:val="center"/>
          </w:tcPr>
          <w:p w14:paraId="679D4D88">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690" w:type="dxa"/>
            <w:tcBorders>
              <w:top w:val="nil"/>
              <w:left w:val="nil"/>
              <w:bottom w:val="single" w:color="000000" w:sz="4" w:space="0"/>
              <w:right w:val="single" w:color="000000" w:sz="4" w:space="0"/>
            </w:tcBorders>
            <w:shd w:val="clear" w:color="auto" w:fill="auto"/>
            <w:vAlign w:val="center"/>
          </w:tcPr>
          <w:p w14:paraId="0B4C1910">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278" w:type="dxa"/>
            <w:tcBorders>
              <w:top w:val="nil"/>
              <w:left w:val="nil"/>
              <w:bottom w:val="single" w:color="000000" w:sz="4" w:space="0"/>
              <w:right w:val="single" w:color="000000" w:sz="4" w:space="0"/>
            </w:tcBorders>
            <w:shd w:val="clear" w:color="auto" w:fill="auto"/>
            <w:vAlign w:val="center"/>
          </w:tcPr>
          <w:p w14:paraId="45448B51">
            <w:pPr>
              <w:keepNext w:val="0"/>
              <w:keepLines w:val="0"/>
              <w:widowControl/>
              <w:suppressLineNumbers w:val="0"/>
              <w:jc w:val="center"/>
              <w:textAlignment w:val="center"/>
              <w:rPr>
                <w:rFonts w:ascii="等线" w:hAnsi="等线" w:eastAsia="等线" w:cs="等线"/>
                <w:i w:val="0"/>
                <w:iCs w:val="0"/>
                <w:color w:val="000000"/>
                <w:kern w:val="2"/>
                <w:sz w:val="18"/>
                <w:szCs w:val="18"/>
                <w:u w:val="none"/>
                <w:lang w:val="en-US" w:eastAsia="zh-CN" w:bidi="ar-SA"/>
              </w:rPr>
            </w:pPr>
            <w:r>
              <w:rPr>
                <w:rFonts w:hint="default" w:ascii="等线" w:hAnsi="等线" w:eastAsia="等线" w:cs="等线"/>
                <w:i w:val="0"/>
                <w:iCs w:val="0"/>
                <w:color w:val="000000"/>
                <w:kern w:val="0"/>
                <w:sz w:val="18"/>
                <w:szCs w:val="18"/>
                <w:u w:val="none"/>
                <w:lang w:val="en-US" w:eastAsia="zh-CN" w:bidi="ar"/>
              </w:rPr>
              <w:t>服务对象满意度</w:t>
            </w:r>
          </w:p>
        </w:tc>
        <w:tc>
          <w:tcPr>
            <w:tcW w:w="396" w:type="dxa"/>
            <w:tcBorders>
              <w:top w:val="nil"/>
              <w:left w:val="nil"/>
              <w:bottom w:val="single" w:color="000000" w:sz="4" w:space="0"/>
              <w:right w:val="single" w:color="000000" w:sz="4" w:space="0"/>
            </w:tcBorders>
            <w:shd w:val="clear" w:color="auto" w:fill="auto"/>
            <w:vAlign w:val="center"/>
          </w:tcPr>
          <w:p w14:paraId="09152B6A">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42" w:type="dxa"/>
            <w:tcBorders>
              <w:top w:val="nil"/>
              <w:left w:val="nil"/>
              <w:bottom w:val="single" w:color="000000" w:sz="4" w:space="0"/>
              <w:right w:val="single" w:color="000000" w:sz="4" w:space="0"/>
            </w:tcBorders>
            <w:shd w:val="clear" w:color="auto" w:fill="auto"/>
            <w:vAlign w:val="center"/>
          </w:tcPr>
          <w:p w14:paraId="1CE46E30">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581" w:type="dxa"/>
            <w:tcBorders>
              <w:top w:val="nil"/>
              <w:left w:val="nil"/>
              <w:bottom w:val="single" w:color="000000" w:sz="4" w:space="0"/>
              <w:right w:val="single" w:color="000000" w:sz="4" w:space="0"/>
            </w:tcBorders>
            <w:shd w:val="clear" w:color="auto" w:fill="auto"/>
            <w:vAlign w:val="center"/>
          </w:tcPr>
          <w:p w14:paraId="7F184787">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40" w:type="dxa"/>
            <w:tcBorders>
              <w:top w:val="nil"/>
              <w:left w:val="nil"/>
              <w:bottom w:val="single" w:color="000000" w:sz="4" w:space="0"/>
              <w:right w:val="single" w:color="000000" w:sz="4" w:space="0"/>
            </w:tcBorders>
            <w:shd w:val="clear" w:color="auto" w:fill="auto"/>
            <w:vAlign w:val="center"/>
          </w:tcPr>
          <w:p w14:paraId="21A005F3">
            <w:pPr>
              <w:widowControl/>
              <w:jc w:val="center"/>
              <w:rPr>
                <w:rFonts w:ascii="宋体" w:hAnsi="宋体" w:cs="宋体"/>
                <w:color w:val="000000"/>
                <w:kern w:val="0"/>
                <w:sz w:val="18"/>
                <w:szCs w:val="18"/>
              </w:rPr>
            </w:pPr>
            <w:r>
              <w:rPr>
                <w:rFonts w:hint="eastAsia" w:ascii="宋体" w:hAnsi="宋体" w:cs="宋体"/>
                <w:color w:val="000000"/>
                <w:kern w:val="0"/>
                <w:sz w:val="18"/>
                <w:szCs w:val="18"/>
              </w:rPr>
              <w:t>96</w:t>
            </w:r>
          </w:p>
        </w:tc>
        <w:tc>
          <w:tcPr>
            <w:tcW w:w="1831" w:type="dxa"/>
            <w:tcBorders>
              <w:top w:val="nil"/>
              <w:left w:val="nil"/>
              <w:bottom w:val="single" w:color="000000" w:sz="4" w:space="0"/>
              <w:right w:val="single" w:color="000000" w:sz="4" w:space="0"/>
            </w:tcBorders>
            <w:shd w:val="clear" w:color="auto" w:fill="auto"/>
            <w:vAlign w:val="center"/>
          </w:tcPr>
          <w:p w14:paraId="380AF18C">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86" w:type="dxa"/>
            <w:tcBorders>
              <w:top w:val="nil"/>
              <w:left w:val="nil"/>
              <w:bottom w:val="single" w:color="000000" w:sz="4" w:space="0"/>
              <w:right w:val="single" w:color="000000" w:sz="4" w:space="0"/>
            </w:tcBorders>
            <w:shd w:val="clear" w:color="auto" w:fill="auto"/>
            <w:vAlign w:val="center"/>
          </w:tcPr>
          <w:p w14:paraId="65780F49">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1834" w:type="dxa"/>
            <w:tcBorders>
              <w:top w:val="nil"/>
              <w:left w:val="nil"/>
              <w:bottom w:val="single" w:color="000000" w:sz="4" w:space="0"/>
              <w:right w:val="single" w:color="000000" w:sz="4" w:space="0"/>
            </w:tcBorders>
            <w:shd w:val="clear" w:color="auto" w:fill="auto"/>
            <w:vAlign w:val="center"/>
          </w:tcPr>
          <w:p w14:paraId="6702E2D8">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3947FDD3">
        <w:tblPrEx>
          <w:tblCellMar>
            <w:top w:w="0" w:type="dxa"/>
            <w:left w:w="108" w:type="dxa"/>
            <w:bottom w:w="0" w:type="dxa"/>
            <w:right w:w="108" w:type="dxa"/>
          </w:tblCellMar>
        </w:tblPrEx>
        <w:trPr>
          <w:trHeight w:val="688" w:hRule="atLeast"/>
        </w:trPr>
        <w:tc>
          <w:tcPr>
            <w:tcW w:w="577" w:type="dxa"/>
            <w:vMerge w:val="continue"/>
            <w:tcBorders>
              <w:top w:val="nil"/>
              <w:left w:val="single" w:color="000000" w:sz="4" w:space="0"/>
              <w:bottom w:val="single" w:color="000000" w:sz="4" w:space="0"/>
              <w:right w:val="single" w:color="000000" w:sz="4" w:space="0"/>
            </w:tcBorders>
            <w:vAlign w:val="center"/>
          </w:tcPr>
          <w:p w14:paraId="11A538DF">
            <w:pPr>
              <w:widowControl/>
              <w:jc w:val="left"/>
              <w:rPr>
                <w:rFonts w:ascii="宋体" w:hAnsi="宋体" w:cs="宋体"/>
                <w:color w:val="000000"/>
                <w:kern w:val="0"/>
                <w:sz w:val="18"/>
                <w:szCs w:val="18"/>
              </w:rPr>
            </w:pPr>
          </w:p>
        </w:tc>
        <w:tc>
          <w:tcPr>
            <w:tcW w:w="576" w:type="dxa"/>
            <w:tcBorders>
              <w:top w:val="nil"/>
              <w:left w:val="nil"/>
              <w:bottom w:val="single" w:color="000000" w:sz="4" w:space="0"/>
              <w:right w:val="single" w:color="000000" w:sz="4" w:space="0"/>
            </w:tcBorders>
            <w:shd w:val="clear" w:color="auto" w:fill="auto"/>
            <w:vAlign w:val="center"/>
          </w:tcPr>
          <w:p w14:paraId="5261034A">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690" w:type="dxa"/>
            <w:tcBorders>
              <w:top w:val="nil"/>
              <w:left w:val="nil"/>
              <w:bottom w:val="single" w:color="000000" w:sz="4" w:space="0"/>
              <w:right w:val="single" w:color="000000" w:sz="4" w:space="0"/>
            </w:tcBorders>
            <w:shd w:val="clear" w:color="auto" w:fill="auto"/>
            <w:vAlign w:val="center"/>
          </w:tcPr>
          <w:p w14:paraId="77D836D4">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经济成本</w:t>
            </w:r>
          </w:p>
        </w:tc>
        <w:tc>
          <w:tcPr>
            <w:tcW w:w="1278" w:type="dxa"/>
            <w:tcBorders>
              <w:top w:val="nil"/>
              <w:left w:val="nil"/>
              <w:bottom w:val="single" w:color="000000" w:sz="4" w:space="0"/>
              <w:right w:val="single" w:color="000000" w:sz="4" w:space="0"/>
            </w:tcBorders>
            <w:shd w:val="clear" w:color="auto" w:fill="auto"/>
            <w:vAlign w:val="center"/>
          </w:tcPr>
          <w:p w14:paraId="51C574AC">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5</w:t>
            </w:r>
            <w:r>
              <w:rPr>
                <w:rFonts w:hint="eastAsia" w:ascii="宋体" w:hAnsi="宋体" w:cs="宋体"/>
                <w:color w:val="000000"/>
                <w:kern w:val="0"/>
                <w:sz w:val="18"/>
                <w:szCs w:val="18"/>
              </w:rPr>
              <w:t>万元</w:t>
            </w:r>
          </w:p>
        </w:tc>
        <w:tc>
          <w:tcPr>
            <w:tcW w:w="396" w:type="dxa"/>
            <w:tcBorders>
              <w:top w:val="nil"/>
              <w:left w:val="nil"/>
              <w:bottom w:val="single" w:color="000000" w:sz="4" w:space="0"/>
              <w:right w:val="single" w:color="000000" w:sz="4" w:space="0"/>
            </w:tcBorders>
            <w:shd w:val="clear" w:color="auto" w:fill="auto"/>
            <w:vAlign w:val="center"/>
          </w:tcPr>
          <w:p w14:paraId="625A32B0">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42" w:type="dxa"/>
            <w:tcBorders>
              <w:top w:val="nil"/>
              <w:left w:val="nil"/>
              <w:bottom w:val="single" w:color="000000" w:sz="4" w:space="0"/>
              <w:right w:val="single" w:color="000000" w:sz="4" w:space="0"/>
            </w:tcBorders>
            <w:shd w:val="clear" w:color="auto" w:fill="auto"/>
            <w:vAlign w:val="center"/>
          </w:tcPr>
          <w:p w14:paraId="07B819D3">
            <w:pPr>
              <w:widowControl/>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val="en-US" w:eastAsia="zh-CN"/>
              </w:rPr>
              <w:t>5</w:t>
            </w:r>
          </w:p>
        </w:tc>
        <w:tc>
          <w:tcPr>
            <w:tcW w:w="581" w:type="dxa"/>
            <w:tcBorders>
              <w:top w:val="nil"/>
              <w:left w:val="nil"/>
              <w:bottom w:val="single" w:color="000000" w:sz="4" w:space="0"/>
              <w:right w:val="single" w:color="000000" w:sz="4" w:space="0"/>
            </w:tcBorders>
            <w:shd w:val="clear" w:color="auto" w:fill="auto"/>
            <w:vAlign w:val="center"/>
          </w:tcPr>
          <w:p w14:paraId="1F8C7ED6">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740" w:type="dxa"/>
            <w:tcBorders>
              <w:top w:val="nil"/>
              <w:left w:val="nil"/>
              <w:bottom w:val="single" w:color="000000" w:sz="4" w:space="0"/>
              <w:right w:val="single" w:color="000000" w:sz="4" w:space="0"/>
            </w:tcBorders>
            <w:shd w:val="clear" w:color="auto" w:fill="auto"/>
            <w:vAlign w:val="center"/>
          </w:tcPr>
          <w:p w14:paraId="3BD34B5C">
            <w:pPr>
              <w:widowControl/>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val="en-US" w:eastAsia="zh-CN"/>
              </w:rPr>
              <w:t>5</w:t>
            </w:r>
          </w:p>
        </w:tc>
        <w:tc>
          <w:tcPr>
            <w:tcW w:w="1831" w:type="dxa"/>
            <w:tcBorders>
              <w:top w:val="nil"/>
              <w:left w:val="nil"/>
              <w:bottom w:val="single" w:color="000000" w:sz="4" w:space="0"/>
              <w:right w:val="single" w:color="000000" w:sz="4" w:space="0"/>
            </w:tcBorders>
            <w:shd w:val="clear" w:color="auto" w:fill="auto"/>
            <w:vAlign w:val="center"/>
          </w:tcPr>
          <w:p w14:paraId="0B90D12F">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86" w:type="dxa"/>
            <w:tcBorders>
              <w:top w:val="nil"/>
              <w:left w:val="nil"/>
              <w:bottom w:val="single" w:color="000000" w:sz="4" w:space="0"/>
              <w:right w:val="single" w:color="000000" w:sz="4" w:space="0"/>
            </w:tcBorders>
            <w:shd w:val="clear" w:color="auto" w:fill="auto"/>
            <w:vAlign w:val="center"/>
          </w:tcPr>
          <w:p w14:paraId="21BF70CF">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1834" w:type="dxa"/>
            <w:tcBorders>
              <w:top w:val="nil"/>
              <w:left w:val="nil"/>
              <w:bottom w:val="single" w:color="000000" w:sz="4" w:space="0"/>
              <w:right w:val="single" w:color="000000" w:sz="4" w:space="0"/>
            </w:tcBorders>
            <w:shd w:val="clear" w:color="auto" w:fill="auto"/>
            <w:vAlign w:val="center"/>
          </w:tcPr>
          <w:p w14:paraId="69084B91">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543B08FC">
        <w:tblPrEx>
          <w:tblCellMar>
            <w:top w:w="0" w:type="dxa"/>
            <w:left w:w="108" w:type="dxa"/>
            <w:bottom w:w="0" w:type="dxa"/>
            <w:right w:w="108" w:type="dxa"/>
          </w:tblCellMar>
        </w:tblPrEx>
        <w:trPr>
          <w:trHeight w:val="285" w:hRule="atLeast"/>
        </w:trPr>
        <w:tc>
          <w:tcPr>
            <w:tcW w:w="56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86C729C">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1831" w:type="dxa"/>
            <w:tcBorders>
              <w:top w:val="nil"/>
              <w:left w:val="nil"/>
              <w:bottom w:val="single" w:color="000000" w:sz="4" w:space="0"/>
              <w:right w:val="single" w:color="000000" w:sz="4" w:space="0"/>
            </w:tcBorders>
            <w:shd w:val="clear" w:color="auto" w:fill="auto"/>
            <w:vAlign w:val="center"/>
          </w:tcPr>
          <w:p w14:paraId="3A2A45F7">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86" w:type="dxa"/>
            <w:tcBorders>
              <w:top w:val="nil"/>
              <w:left w:val="nil"/>
              <w:bottom w:val="single" w:color="000000" w:sz="4" w:space="0"/>
              <w:right w:val="single" w:color="000000" w:sz="4" w:space="0"/>
            </w:tcBorders>
            <w:shd w:val="clear" w:color="auto" w:fill="auto"/>
            <w:vAlign w:val="center"/>
          </w:tcPr>
          <w:p w14:paraId="3783A685">
            <w:pPr>
              <w:widowControl/>
              <w:jc w:val="right"/>
              <w:rPr>
                <w:rFonts w:ascii="宋体" w:hAnsi="宋体" w:cs="宋体"/>
                <w:color w:val="000000"/>
                <w:kern w:val="0"/>
                <w:sz w:val="18"/>
                <w:szCs w:val="18"/>
              </w:rPr>
            </w:pPr>
            <w:r>
              <w:rPr>
                <w:rFonts w:hint="eastAsia" w:ascii="宋体" w:hAnsi="宋体" w:cs="宋体"/>
                <w:color w:val="000000"/>
                <w:kern w:val="0"/>
                <w:sz w:val="18"/>
                <w:szCs w:val="18"/>
              </w:rPr>
              <w:t>100</w:t>
            </w:r>
          </w:p>
        </w:tc>
        <w:tc>
          <w:tcPr>
            <w:tcW w:w="1834" w:type="dxa"/>
            <w:tcBorders>
              <w:top w:val="nil"/>
              <w:left w:val="nil"/>
              <w:bottom w:val="single" w:color="000000" w:sz="4" w:space="0"/>
              <w:right w:val="single" w:color="000000" w:sz="4" w:space="0"/>
            </w:tcBorders>
            <w:shd w:val="clear" w:color="auto" w:fill="auto"/>
            <w:vAlign w:val="center"/>
          </w:tcPr>
          <w:p w14:paraId="645FCB29">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7A8B9D23">
        <w:tblPrEx>
          <w:tblCellMar>
            <w:top w:w="0" w:type="dxa"/>
            <w:left w:w="108" w:type="dxa"/>
            <w:bottom w:w="0" w:type="dxa"/>
            <w:right w:w="108" w:type="dxa"/>
          </w:tblCellMar>
        </w:tblPrEx>
        <w:trPr>
          <w:trHeight w:val="604" w:hRule="atLeast"/>
        </w:trPr>
        <w:tc>
          <w:tcPr>
            <w:tcW w:w="577" w:type="dxa"/>
            <w:tcBorders>
              <w:top w:val="nil"/>
              <w:left w:val="single" w:color="000000" w:sz="4" w:space="0"/>
              <w:bottom w:val="single" w:color="000000" w:sz="4" w:space="0"/>
              <w:right w:val="single" w:color="000000" w:sz="4" w:space="0"/>
            </w:tcBorders>
            <w:shd w:val="clear" w:color="auto" w:fill="auto"/>
            <w:vAlign w:val="center"/>
          </w:tcPr>
          <w:p w14:paraId="163BAC43">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9254" w:type="dxa"/>
            <w:gridSpan w:val="10"/>
            <w:tcBorders>
              <w:top w:val="single" w:color="000000" w:sz="4" w:space="0"/>
              <w:left w:val="nil"/>
              <w:bottom w:val="single" w:color="000000" w:sz="4" w:space="0"/>
              <w:right w:val="single" w:color="000000" w:sz="4" w:space="0"/>
            </w:tcBorders>
            <w:shd w:val="clear" w:color="auto" w:fill="auto"/>
            <w:vAlign w:val="center"/>
          </w:tcPr>
          <w:p w14:paraId="1F9C63AA">
            <w:pPr>
              <w:widowControl/>
              <w:jc w:val="left"/>
              <w:rPr>
                <w:rFonts w:ascii="微软雅黑" w:hAnsi="微软雅黑" w:eastAsia="微软雅黑" w:cs="宋体"/>
                <w:i/>
                <w:iCs/>
                <w:color w:val="000000"/>
                <w:kern w:val="0"/>
                <w:sz w:val="16"/>
                <w:szCs w:val="16"/>
              </w:rPr>
            </w:pPr>
            <w:r>
              <w:rPr>
                <w:rFonts w:hint="eastAsia" w:ascii="宋体" w:hAnsi="宋体" w:cs="宋体"/>
                <w:color w:val="000000"/>
                <w:kern w:val="0"/>
                <w:sz w:val="18"/>
                <w:szCs w:val="18"/>
              </w:rPr>
              <w:t>财政衔接推进乡村振兴补助经费在资金投入、使用、管理和最终效果等方面均取得了显著成效。未来应继续加强资金监管和绩效管理力度，确保资金精准投入、高效使用并持续发挥效益。</w:t>
            </w:r>
          </w:p>
        </w:tc>
      </w:tr>
      <w:tr w14:paraId="5C4B7722">
        <w:tblPrEx>
          <w:tblCellMar>
            <w:top w:w="0" w:type="dxa"/>
            <w:left w:w="108" w:type="dxa"/>
            <w:bottom w:w="0" w:type="dxa"/>
            <w:right w:w="108" w:type="dxa"/>
          </w:tblCellMar>
        </w:tblPrEx>
        <w:trPr>
          <w:trHeight w:val="574" w:hRule="atLeast"/>
        </w:trPr>
        <w:tc>
          <w:tcPr>
            <w:tcW w:w="577" w:type="dxa"/>
            <w:tcBorders>
              <w:top w:val="nil"/>
              <w:left w:val="single" w:color="000000" w:sz="4" w:space="0"/>
              <w:bottom w:val="single" w:color="000000" w:sz="4" w:space="0"/>
              <w:right w:val="single" w:color="000000" w:sz="4" w:space="0"/>
            </w:tcBorders>
            <w:shd w:val="clear" w:color="auto" w:fill="auto"/>
            <w:vAlign w:val="center"/>
          </w:tcPr>
          <w:p w14:paraId="12161CE4">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9254" w:type="dxa"/>
            <w:gridSpan w:val="10"/>
            <w:tcBorders>
              <w:top w:val="single" w:color="000000" w:sz="4" w:space="0"/>
              <w:left w:val="nil"/>
              <w:bottom w:val="single" w:color="000000" w:sz="4" w:space="0"/>
              <w:right w:val="single" w:color="000000" w:sz="4" w:space="0"/>
            </w:tcBorders>
            <w:shd w:val="clear" w:color="auto" w:fill="auto"/>
            <w:vAlign w:val="center"/>
          </w:tcPr>
          <w:p w14:paraId="64AD490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资金监管和绩效管理力度不足</w:t>
            </w:r>
          </w:p>
        </w:tc>
      </w:tr>
      <w:tr w14:paraId="34933C5C">
        <w:tblPrEx>
          <w:tblCellMar>
            <w:top w:w="0" w:type="dxa"/>
            <w:left w:w="108" w:type="dxa"/>
            <w:bottom w:w="0" w:type="dxa"/>
            <w:right w:w="108" w:type="dxa"/>
          </w:tblCellMar>
        </w:tblPrEx>
        <w:trPr>
          <w:trHeight w:val="634" w:hRule="atLeast"/>
        </w:trPr>
        <w:tc>
          <w:tcPr>
            <w:tcW w:w="577" w:type="dxa"/>
            <w:tcBorders>
              <w:top w:val="nil"/>
              <w:left w:val="single" w:color="000000" w:sz="4" w:space="0"/>
              <w:bottom w:val="single" w:color="000000" w:sz="4" w:space="0"/>
              <w:right w:val="single" w:color="000000" w:sz="4" w:space="0"/>
            </w:tcBorders>
            <w:shd w:val="clear" w:color="auto" w:fill="auto"/>
            <w:vAlign w:val="center"/>
          </w:tcPr>
          <w:p w14:paraId="1C2AE115">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9254" w:type="dxa"/>
            <w:gridSpan w:val="10"/>
            <w:tcBorders>
              <w:top w:val="single" w:color="000000" w:sz="4" w:space="0"/>
              <w:left w:val="nil"/>
              <w:bottom w:val="single" w:color="000000" w:sz="4" w:space="0"/>
              <w:right w:val="single" w:color="000000" w:sz="4" w:space="0"/>
            </w:tcBorders>
            <w:shd w:val="clear" w:color="auto" w:fill="auto"/>
            <w:vAlign w:val="center"/>
          </w:tcPr>
          <w:p w14:paraId="57B86F5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加强资金监管和绩效管理力度，确保资金精准投入、高效使用并持续发挥效益。</w:t>
            </w:r>
          </w:p>
        </w:tc>
      </w:tr>
      <w:tr w14:paraId="51BD3A12">
        <w:tblPrEx>
          <w:tblCellMar>
            <w:top w:w="0" w:type="dxa"/>
            <w:left w:w="108" w:type="dxa"/>
            <w:bottom w:w="0" w:type="dxa"/>
            <w:right w:w="108" w:type="dxa"/>
          </w:tblCellMar>
        </w:tblPrEx>
        <w:trPr>
          <w:trHeight w:val="285" w:hRule="atLeast"/>
        </w:trPr>
        <w:tc>
          <w:tcPr>
            <w:tcW w:w="35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68BB25">
            <w:pPr>
              <w:widowControl/>
              <w:jc w:val="left"/>
              <w:rPr>
                <w:rFonts w:hint="eastAsia" w:ascii="黑体" w:hAnsi="黑体" w:cs="宋体"/>
                <w:color w:val="000000"/>
                <w:kern w:val="0"/>
                <w:sz w:val="18"/>
                <w:szCs w:val="18"/>
              </w:rPr>
            </w:pPr>
            <w:r>
              <w:rPr>
                <w:rFonts w:ascii="黑体" w:hAnsi="黑体" w:cs="宋体"/>
                <w:color w:val="000000"/>
                <w:kern w:val="0"/>
                <w:sz w:val="18"/>
                <w:szCs w:val="18"/>
              </w:rPr>
              <w:t>项目负责人：肖命钦</w:t>
            </w:r>
          </w:p>
        </w:tc>
        <w:tc>
          <w:tcPr>
            <w:tcW w:w="6314" w:type="dxa"/>
            <w:gridSpan w:val="6"/>
            <w:tcBorders>
              <w:top w:val="single" w:color="000000" w:sz="4" w:space="0"/>
              <w:left w:val="nil"/>
              <w:bottom w:val="single" w:color="000000" w:sz="4" w:space="0"/>
              <w:right w:val="single" w:color="000000" w:sz="4" w:space="0"/>
            </w:tcBorders>
            <w:shd w:val="clear" w:color="auto" w:fill="auto"/>
            <w:vAlign w:val="center"/>
          </w:tcPr>
          <w:p w14:paraId="2999779F">
            <w:pPr>
              <w:widowControl/>
              <w:jc w:val="left"/>
              <w:rPr>
                <w:rFonts w:hint="eastAsia" w:ascii="黑体" w:hAnsi="黑体" w:cs="宋体"/>
                <w:color w:val="000000"/>
                <w:kern w:val="0"/>
                <w:sz w:val="18"/>
                <w:szCs w:val="18"/>
              </w:rPr>
            </w:pPr>
            <w:r>
              <w:rPr>
                <w:rFonts w:ascii="黑体" w:hAnsi="黑体" w:cs="宋体"/>
                <w:color w:val="000000"/>
                <w:kern w:val="0"/>
                <w:sz w:val="18"/>
                <w:szCs w:val="18"/>
              </w:rPr>
              <w:t>财务负责人：段高辉</w:t>
            </w:r>
          </w:p>
        </w:tc>
      </w:tr>
      <w:bookmarkEnd w:id="41"/>
    </w:tbl>
    <w:p w14:paraId="78510858">
      <w:pPr>
        <w:pStyle w:val="9"/>
        <w:ind w:left="0" w:leftChars="0" w:firstLine="0" w:firstLineChars="0"/>
      </w:pPr>
      <w:bookmarkStart w:id="43" w:name="_Toc15396618"/>
    </w:p>
    <w:tbl>
      <w:tblPr>
        <w:tblStyle w:val="19"/>
        <w:tblpPr w:leftFromText="180" w:rightFromText="180" w:vertAnchor="text" w:horzAnchor="page" w:tblpX="1348" w:tblpY="1024"/>
        <w:tblOverlap w:val="never"/>
        <w:tblW w:w="10033" w:type="dxa"/>
        <w:tblInd w:w="0" w:type="dxa"/>
        <w:tblLayout w:type="autofit"/>
        <w:tblCellMar>
          <w:top w:w="0" w:type="dxa"/>
          <w:left w:w="108" w:type="dxa"/>
          <w:bottom w:w="0" w:type="dxa"/>
          <w:right w:w="108" w:type="dxa"/>
        </w:tblCellMar>
      </w:tblPr>
      <w:tblGrid>
        <w:gridCol w:w="927"/>
        <w:gridCol w:w="1941"/>
        <w:gridCol w:w="576"/>
        <w:gridCol w:w="576"/>
        <w:gridCol w:w="396"/>
        <w:gridCol w:w="311"/>
        <w:gridCol w:w="266"/>
        <w:gridCol w:w="396"/>
        <w:gridCol w:w="846"/>
        <w:gridCol w:w="198"/>
        <w:gridCol w:w="486"/>
        <w:gridCol w:w="486"/>
        <w:gridCol w:w="2628"/>
      </w:tblGrid>
      <w:tr w14:paraId="1B3D7589">
        <w:tblPrEx>
          <w:tblCellMar>
            <w:top w:w="0" w:type="dxa"/>
            <w:left w:w="108" w:type="dxa"/>
            <w:bottom w:w="0" w:type="dxa"/>
            <w:right w:w="108" w:type="dxa"/>
          </w:tblCellMar>
        </w:tblPrEx>
        <w:trPr>
          <w:trHeight w:val="904" w:hRule="atLeast"/>
        </w:trPr>
        <w:tc>
          <w:tcPr>
            <w:tcW w:w="10033"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953A1A0">
            <w:pPr>
              <w:widowControl/>
              <w:spacing w:line="240" w:lineRule="exact"/>
              <w:jc w:val="center"/>
              <w:textAlignment w:val="center"/>
              <w:rPr>
                <w:rFonts w:ascii="黑体" w:hAnsi="宋体" w:eastAsia="黑体" w:cs="黑体"/>
                <w:b/>
                <w:bCs/>
                <w:color w:val="000000"/>
                <w:sz w:val="30"/>
                <w:szCs w:val="30"/>
              </w:rPr>
            </w:pPr>
            <w:r>
              <w:rPr>
                <w:rFonts w:ascii="黑体" w:hAnsi="宋体" w:eastAsia="黑体" w:cs="黑体"/>
                <w:b/>
                <w:bCs/>
                <w:color w:val="000000"/>
                <w:kern w:val="0"/>
                <w:sz w:val="30"/>
                <w:szCs w:val="30"/>
                <w:lang w:bidi="ar"/>
              </w:rPr>
              <w:t>部门预算项目支出绩效自评表（202</w:t>
            </w:r>
            <w:r>
              <w:rPr>
                <w:rFonts w:hint="eastAsia" w:ascii="黑体" w:hAnsi="宋体" w:eastAsia="黑体" w:cs="黑体"/>
                <w:b/>
                <w:bCs/>
                <w:color w:val="000000"/>
                <w:kern w:val="0"/>
                <w:sz w:val="30"/>
                <w:szCs w:val="30"/>
                <w:lang w:val="en-US" w:eastAsia="zh-CN" w:bidi="ar"/>
              </w:rPr>
              <w:t>4</w:t>
            </w:r>
            <w:r>
              <w:rPr>
                <w:rFonts w:ascii="黑体" w:hAnsi="宋体" w:eastAsia="黑体" w:cs="黑体"/>
                <w:b/>
                <w:bCs/>
                <w:color w:val="000000"/>
                <w:kern w:val="0"/>
                <w:sz w:val="30"/>
                <w:szCs w:val="30"/>
                <w:lang w:bidi="ar"/>
              </w:rPr>
              <w:t>年度）</w:t>
            </w:r>
          </w:p>
        </w:tc>
      </w:tr>
      <w:tr w14:paraId="75EA84B9">
        <w:tblPrEx>
          <w:tblCellMar>
            <w:top w:w="0" w:type="dxa"/>
            <w:left w:w="108" w:type="dxa"/>
            <w:bottom w:w="0" w:type="dxa"/>
            <w:right w:w="108" w:type="dxa"/>
          </w:tblCellMar>
        </w:tblPrEx>
        <w:trPr>
          <w:trHeight w:val="285" w:hRule="atLeast"/>
        </w:trPr>
        <w:tc>
          <w:tcPr>
            <w:tcW w:w="2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2D25F6">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716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C642A2F">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51090423T000008868822</w:t>
            </w:r>
            <w:r>
              <w:rPr>
                <w:rFonts w:hint="eastAsia" w:ascii="宋体" w:hAnsi="宋体" w:cs="宋体"/>
                <w:color w:val="000000"/>
                <w:kern w:val="0"/>
                <w:sz w:val="18"/>
                <w:szCs w:val="18"/>
                <w:lang w:val="en-US" w:eastAsia="zh-CN" w:bidi="ar"/>
              </w:rPr>
              <w:t>-</w:t>
            </w:r>
            <w:r>
              <w:rPr>
                <w:rFonts w:ascii="宋体" w:hAnsi="宋体" w:cs="宋体"/>
                <w:color w:val="000000"/>
                <w:kern w:val="0"/>
                <w:sz w:val="18"/>
                <w:szCs w:val="18"/>
                <w:lang w:bidi="ar"/>
              </w:rPr>
              <w:t>文旅园区宣传营销</w:t>
            </w:r>
          </w:p>
        </w:tc>
      </w:tr>
      <w:tr w14:paraId="01F3CEAB">
        <w:tblPrEx>
          <w:tblCellMar>
            <w:top w:w="0" w:type="dxa"/>
            <w:left w:w="108" w:type="dxa"/>
            <w:bottom w:w="0" w:type="dxa"/>
            <w:right w:w="108" w:type="dxa"/>
          </w:tblCellMar>
        </w:tblPrEx>
        <w:trPr>
          <w:trHeight w:val="514" w:hRule="atLeast"/>
        </w:trPr>
        <w:tc>
          <w:tcPr>
            <w:tcW w:w="2868"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11A2289C">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252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DB6E358">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遂宁市安居区海龙凯歌文化旅游产业园区管理委员会部门</w:t>
            </w:r>
          </w:p>
        </w:tc>
        <w:tc>
          <w:tcPr>
            <w:tcW w:w="10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685289">
            <w:pPr>
              <w:widowControl/>
              <w:spacing w:line="240" w:lineRule="exact"/>
              <w:jc w:val="left"/>
              <w:textAlignment w:val="center"/>
              <w:rPr>
                <w:rFonts w:ascii="黑体" w:hAnsi="黑体" w:eastAsia="黑体" w:cs="黑体"/>
                <w:color w:val="000000"/>
                <w:sz w:val="18"/>
                <w:szCs w:val="18"/>
              </w:rPr>
            </w:pPr>
            <w:r>
              <w:rPr>
                <w:rFonts w:ascii="黑体" w:hAnsi="黑体" w:eastAsia="黑体" w:cs="黑体"/>
                <w:color w:val="000000"/>
                <w:kern w:val="0"/>
                <w:sz w:val="18"/>
                <w:szCs w:val="18"/>
                <w:lang w:bidi="ar"/>
              </w:rPr>
              <w:t>实施单位 （盖章）</w:t>
            </w:r>
          </w:p>
        </w:tc>
        <w:tc>
          <w:tcPr>
            <w:tcW w:w="36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B8DFC13">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遂宁市安居区海龙凯歌文化旅游产业园区管理委员会</w:t>
            </w:r>
          </w:p>
        </w:tc>
      </w:tr>
      <w:tr w14:paraId="2FD8A02D">
        <w:tblPrEx>
          <w:tblCellMar>
            <w:top w:w="0" w:type="dxa"/>
            <w:left w:w="108" w:type="dxa"/>
            <w:bottom w:w="0" w:type="dxa"/>
            <w:right w:w="108" w:type="dxa"/>
          </w:tblCellMar>
        </w:tblPrEx>
        <w:trPr>
          <w:trHeight w:val="285" w:hRule="atLeast"/>
        </w:trPr>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6D5544">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19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0724F1">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2521" w:type="dxa"/>
            <w:gridSpan w:val="6"/>
            <w:tcBorders>
              <w:top w:val="single" w:color="auto" w:sz="4" w:space="0"/>
              <w:left w:val="single" w:color="000000" w:sz="4" w:space="0"/>
              <w:bottom w:val="single" w:color="auto" w:sz="4" w:space="0"/>
              <w:right w:val="single" w:color="000000" w:sz="4" w:space="0"/>
            </w:tcBorders>
            <w:shd w:val="clear" w:color="auto" w:fill="auto"/>
            <w:vAlign w:val="center"/>
          </w:tcPr>
          <w:p w14:paraId="05C7123C">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4644" w:type="dxa"/>
            <w:gridSpan w:val="5"/>
            <w:tcBorders>
              <w:top w:val="single" w:color="auto" w:sz="4" w:space="0"/>
              <w:left w:val="single" w:color="000000" w:sz="4" w:space="0"/>
              <w:bottom w:val="single" w:color="000000" w:sz="4" w:space="0"/>
              <w:right w:val="single" w:color="000000" w:sz="4" w:space="0"/>
            </w:tcBorders>
            <w:shd w:val="clear" w:color="auto" w:fill="auto"/>
            <w:vAlign w:val="center"/>
          </w:tcPr>
          <w:p w14:paraId="081645A6">
            <w:pPr>
              <w:widowControl/>
              <w:spacing w:line="240" w:lineRule="exact"/>
              <w:jc w:val="left"/>
              <w:textAlignment w:val="center"/>
              <w:rPr>
                <w:rFonts w:ascii="黑体" w:hAnsi="黑体" w:eastAsia="黑体" w:cs="黑体"/>
                <w:color w:val="000000"/>
                <w:sz w:val="18"/>
                <w:szCs w:val="18"/>
              </w:rPr>
            </w:pPr>
            <w:r>
              <w:rPr>
                <w:rFonts w:ascii="黑体" w:hAnsi="黑体" w:eastAsia="黑体" w:cs="黑体"/>
                <w:color w:val="000000"/>
                <w:kern w:val="0"/>
                <w:sz w:val="18"/>
                <w:szCs w:val="18"/>
                <w:lang w:bidi="ar"/>
              </w:rPr>
              <w:t>年度目标完成情况</w:t>
            </w:r>
          </w:p>
        </w:tc>
      </w:tr>
      <w:tr w14:paraId="56CA2E71">
        <w:tblPrEx>
          <w:tblCellMar>
            <w:top w:w="0" w:type="dxa"/>
            <w:left w:w="108" w:type="dxa"/>
            <w:bottom w:w="0" w:type="dxa"/>
            <w:right w:w="108" w:type="dxa"/>
          </w:tblCellMar>
        </w:tblPrEx>
        <w:trPr>
          <w:trHeight w:val="904" w:hRule="atLeast"/>
        </w:trPr>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B18BB">
            <w:pPr>
              <w:widowControl/>
              <w:spacing w:line="240" w:lineRule="exact"/>
              <w:jc w:val="left"/>
              <w:rPr>
                <w:rFonts w:ascii="宋体" w:hAnsi="宋体" w:cs="宋体"/>
                <w:color w:val="000000"/>
                <w:sz w:val="18"/>
                <w:szCs w:val="18"/>
              </w:rPr>
            </w:pPr>
          </w:p>
        </w:tc>
        <w:tc>
          <w:tcPr>
            <w:tcW w:w="1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C9BA3">
            <w:pPr>
              <w:widowControl/>
              <w:spacing w:line="240" w:lineRule="exact"/>
              <w:jc w:val="left"/>
              <w:rPr>
                <w:rFonts w:ascii="宋体" w:hAnsi="宋体" w:cs="宋体"/>
                <w:color w:val="000000"/>
                <w:sz w:val="18"/>
                <w:szCs w:val="18"/>
              </w:rPr>
            </w:pPr>
          </w:p>
        </w:tc>
        <w:tc>
          <w:tcPr>
            <w:tcW w:w="2521" w:type="dxa"/>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17BF1A23">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文旅园区景区宣传营销，并制定营销方案并筹备大型营销宣传活动。力求提升园区文化品位，拓宽文化旅游市场。</w:t>
            </w:r>
          </w:p>
        </w:tc>
        <w:tc>
          <w:tcPr>
            <w:tcW w:w="46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657E6D">
            <w:pPr>
              <w:widowControl/>
              <w:spacing w:line="240" w:lineRule="exact"/>
              <w:jc w:val="left"/>
              <w:textAlignment w:val="center"/>
              <w:rPr>
                <w:rFonts w:ascii="黑体" w:hAnsi="黑体" w:eastAsia="黑体" w:cs="黑体"/>
                <w:color w:val="000000"/>
                <w:sz w:val="18"/>
                <w:szCs w:val="18"/>
              </w:rPr>
            </w:pPr>
            <w:r>
              <w:rPr>
                <w:rFonts w:ascii="黑体" w:hAnsi="黑体" w:eastAsia="黑体" w:cs="黑体"/>
                <w:color w:val="000000"/>
                <w:kern w:val="0"/>
                <w:sz w:val="18"/>
                <w:szCs w:val="18"/>
                <w:lang w:bidi="ar"/>
              </w:rPr>
              <w:t>202</w:t>
            </w:r>
            <w:r>
              <w:rPr>
                <w:rFonts w:hint="eastAsia" w:ascii="黑体" w:hAnsi="黑体" w:eastAsia="黑体" w:cs="黑体"/>
                <w:color w:val="000000"/>
                <w:kern w:val="0"/>
                <w:sz w:val="18"/>
                <w:szCs w:val="18"/>
                <w:lang w:val="en-US" w:eastAsia="zh-CN" w:bidi="ar"/>
              </w:rPr>
              <w:t>4</w:t>
            </w:r>
            <w:r>
              <w:rPr>
                <w:rFonts w:ascii="黑体" w:hAnsi="黑体" w:eastAsia="黑体" w:cs="黑体"/>
                <w:color w:val="000000"/>
                <w:kern w:val="0"/>
                <w:sz w:val="18"/>
                <w:szCs w:val="18"/>
                <w:lang w:bidi="ar"/>
              </w:rPr>
              <w:t>年度我园区利用官方网站，社交媒体，发布园区介绍，活动信息等，增加曝光率和访问量。</w:t>
            </w:r>
          </w:p>
        </w:tc>
      </w:tr>
      <w:tr w14:paraId="1282BEF2">
        <w:tblPrEx>
          <w:tblCellMar>
            <w:top w:w="0" w:type="dxa"/>
            <w:left w:w="108" w:type="dxa"/>
            <w:bottom w:w="0" w:type="dxa"/>
            <w:right w:w="108" w:type="dxa"/>
          </w:tblCellMar>
        </w:tblPrEx>
        <w:trPr>
          <w:trHeight w:val="694" w:hRule="atLeast"/>
        </w:trPr>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287CE">
            <w:pPr>
              <w:widowControl/>
              <w:spacing w:line="240" w:lineRule="exact"/>
              <w:jc w:val="left"/>
              <w:rPr>
                <w:rFonts w:ascii="宋体" w:hAnsi="宋体" w:cs="宋体"/>
                <w:color w:val="000000"/>
                <w:sz w:val="18"/>
                <w:szCs w:val="18"/>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95D30">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716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FA33A6A">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对目标市场进行深入调研，了解游客需求，积极宣传提高园区知名度。</w:t>
            </w:r>
          </w:p>
        </w:tc>
      </w:tr>
      <w:tr w14:paraId="2D161273">
        <w:tblPrEx>
          <w:tblCellMar>
            <w:top w:w="0" w:type="dxa"/>
            <w:left w:w="108" w:type="dxa"/>
            <w:bottom w:w="0" w:type="dxa"/>
            <w:right w:w="108" w:type="dxa"/>
          </w:tblCellMar>
        </w:tblPrEx>
        <w:trPr>
          <w:trHeight w:val="360" w:hRule="atLeast"/>
        </w:trPr>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A751A7">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7F508">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DE570">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E3A93">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13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D2A843">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03898">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8129F">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FA96">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F1028">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14:paraId="7CF1A2EB">
        <w:tblPrEx>
          <w:tblCellMar>
            <w:top w:w="0" w:type="dxa"/>
            <w:left w:w="108" w:type="dxa"/>
            <w:bottom w:w="0" w:type="dxa"/>
            <w:right w:w="108" w:type="dxa"/>
          </w:tblCellMar>
        </w:tblPrEx>
        <w:trPr>
          <w:trHeight w:val="345" w:hRule="atLeast"/>
        </w:trPr>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FA274">
            <w:pPr>
              <w:widowControl/>
              <w:spacing w:line="240" w:lineRule="exact"/>
              <w:jc w:val="left"/>
              <w:rPr>
                <w:rFonts w:ascii="宋体" w:hAnsi="宋体" w:cs="宋体"/>
                <w:color w:val="000000"/>
                <w:sz w:val="18"/>
                <w:szCs w:val="18"/>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5147A">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042FA">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5.00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E38C9">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5.00</w:t>
            </w:r>
          </w:p>
        </w:tc>
        <w:tc>
          <w:tcPr>
            <w:tcW w:w="13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082E6E">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5.00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394B4">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E33289">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761D1">
            <w:pPr>
              <w:widowControl/>
              <w:spacing w:line="240" w:lineRule="exact"/>
              <w:jc w:val="left"/>
              <w:rPr>
                <w:rFonts w:ascii="宋体" w:hAnsi="宋体" w:cs="宋体"/>
                <w:color w:val="000000"/>
                <w:sz w:val="18"/>
                <w:szCs w:val="18"/>
              </w:rPr>
            </w:pPr>
          </w:p>
        </w:tc>
        <w:tc>
          <w:tcPr>
            <w:tcW w:w="26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B44710">
            <w:pPr>
              <w:widowControl/>
              <w:spacing w:line="240" w:lineRule="exact"/>
              <w:jc w:val="left"/>
              <w:rPr>
                <w:rFonts w:ascii="黑体" w:hAnsi="黑体" w:eastAsia="黑体" w:cs="黑体"/>
                <w:i/>
                <w:iCs/>
                <w:color w:val="000000"/>
                <w:sz w:val="18"/>
                <w:szCs w:val="18"/>
              </w:rPr>
            </w:pPr>
          </w:p>
        </w:tc>
      </w:tr>
      <w:tr w14:paraId="5859FB92">
        <w:tblPrEx>
          <w:tblCellMar>
            <w:top w:w="0" w:type="dxa"/>
            <w:left w:w="108" w:type="dxa"/>
            <w:bottom w:w="0" w:type="dxa"/>
            <w:right w:w="108" w:type="dxa"/>
          </w:tblCellMar>
        </w:tblPrEx>
        <w:trPr>
          <w:trHeight w:val="390" w:hRule="atLeast"/>
        </w:trPr>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ED16F">
            <w:pPr>
              <w:widowControl/>
              <w:spacing w:line="240" w:lineRule="exact"/>
              <w:jc w:val="left"/>
              <w:rPr>
                <w:rFonts w:ascii="宋体" w:hAnsi="宋体" w:cs="宋体"/>
                <w:color w:val="000000"/>
                <w:sz w:val="18"/>
                <w:szCs w:val="18"/>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5036">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34AE">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5.00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2016C">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5.00</w:t>
            </w:r>
          </w:p>
        </w:tc>
        <w:tc>
          <w:tcPr>
            <w:tcW w:w="13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18AD14">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5.00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085FA">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B07A89">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96B24">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2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D28A8">
            <w:pPr>
              <w:widowControl/>
              <w:spacing w:line="240" w:lineRule="exact"/>
              <w:jc w:val="left"/>
              <w:rPr>
                <w:rFonts w:ascii="黑体" w:hAnsi="黑体" w:eastAsia="黑体" w:cs="黑体"/>
                <w:i/>
                <w:iCs/>
                <w:color w:val="000000"/>
                <w:sz w:val="18"/>
                <w:szCs w:val="18"/>
              </w:rPr>
            </w:pPr>
          </w:p>
        </w:tc>
      </w:tr>
      <w:tr w14:paraId="2A78EE10">
        <w:tblPrEx>
          <w:tblCellMar>
            <w:top w:w="0" w:type="dxa"/>
            <w:left w:w="108" w:type="dxa"/>
            <w:bottom w:w="0" w:type="dxa"/>
            <w:right w:w="108" w:type="dxa"/>
          </w:tblCellMar>
        </w:tblPrEx>
        <w:trPr>
          <w:trHeight w:val="409" w:hRule="atLeast"/>
        </w:trPr>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F06E4">
            <w:pPr>
              <w:widowControl/>
              <w:spacing w:line="240" w:lineRule="exact"/>
              <w:jc w:val="left"/>
              <w:rPr>
                <w:rFonts w:ascii="宋体" w:hAnsi="宋体" w:cs="宋体"/>
                <w:color w:val="000000"/>
                <w:sz w:val="18"/>
                <w:szCs w:val="18"/>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A6A4">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F4B0">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45F5D">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A4F209">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32B60">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2F30F1">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D95E6">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2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8D130">
            <w:pPr>
              <w:widowControl/>
              <w:spacing w:line="240" w:lineRule="exact"/>
              <w:jc w:val="left"/>
              <w:rPr>
                <w:rFonts w:ascii="黑体" w:hAnsi="黑体" w:eastAsia="黑体" w:cs="黑体"/>
                <w:i/>
                <w:iCs/>
                <w:color w:val="000000"/>
                <w:sz w:val="18"/>
                <w:szCs w:val="18"/>
              </w:rPr>
            </w:pPr>
          </w:p>
        </w:tc>
      </w:tr>
      <w:tr w14:paraId="03A0EA21">
        <w:tblPrEx>
          <w:tblCellMar>
            <w:top w:w="0" w:type="dxa"/>
            <w:left w:w="108" w:type="dxa"/>
            <w:bottom w:w="0" w:type="dxa"/>
            <w:right w:w="108" w:type="dxa"/>
          </w:tblCellMar>
        </w:tblPrEx>
        <w:trPr>
          <w:trHeight w:val="360" w:hRule="atLeast"/>
        </w:trPr>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117FE">
            <w:pPr>
              <w:widowControl/>
              <w:spacing w:line="240" w:lineRule="exact"/>
              <w:jc w:val="left"/>
              <w:rPr>
                <w:rFonts w:ascii="宋体" w:hAnsi="宋体" w:cs="宋体"/>
                <w:color w:val="000000"/>
                <w:sz w:val="18"/>
                <w:szCs w:val="18"/>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98F9C">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F14BB">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049D9">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6344B1">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856C9">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8255D9">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73D68">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2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67718">
            <w:pPr>
              <w:widowControl/>
              <w:spacing w:line="240" w:lineRule="exact"/>
              <w:jc w:val="left"/>
              <w:rPr>
                <w:rFonts w:ascii="黑体" w:hAnsi="黑体" w:eastAsia="黑体" w:cs="黑体"/>
                <w:i/>
                <w:iCs/>
                <w:color w:val="000000"/>
                <w:sz w:val="18"/>
                <w:szCs w:val="18"/>
              </w:rPr>
            </w:pPr>
          </w:p>
        </w:tc>
      </w:tr>
      <w:tr w14:paraId="4BE2451C">
        <w:tblPrEx>
          <w:tblCellMar>
            <w:top w:w="0" w:type="dxa"/>
            <w:left w:w="108" w:type="dxa"/>
            <w:bottom w:w="0" w:type="dxa"/>
            <w:right w:w="108" w:type="dxa"/>
          </w:tblCellMar>
        </w:tblPrEx>
        <w:trPr>
          <w:trHeight w:val="338" w:hRule="atLeast"/>
        </w:trPr>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E8E0C">
            <w:pPr>
              <w:widowControl/>
              <w:spacing w:line="240" w:lineRule="exact"/>
              <w:jc w:val="left"/>
              <w:rPr>
                <w:rFonts w:ascii="宋体" w:hAnsi="宋体" w:cs="宋体"/>
                <w:color w:val="000000"/>
                <w:sz w:val="18"/>
                <w:szCs w:val="18"/>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0EB7">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F94B5">
            <w:pPr>
              <w:widowControl/>
              <w:spacing w:line="240" w:lineRule="exact"/>
              <w:jc w:val="left"/>
              <w:rPr>
                <w:rFonts w:ascii="微软雅黑" w:hAnsi="微软雅黑" w:eastAsia="微软雅黑" w:cs="微软雅黑"/>
                <w:i/>
                <w:iCs/>
                <w:color w:val="000000"/>
                <w:sz w:val="16"/>
                <w:szCs w:val="16"/>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5E6F7">
            <w:pPr>
              <w:widowControl/>
              <w:spacing w:line="240" w:lineRule="exact"/>
              <w:jc w:val="left"/>
              <w:rPr>
                <w:rFonts w:ascii="微软雅黑" w:hAnsi="微软雅黑" w:eastAsia="微软雅黑" w:cs="微软雅黑"/>
                <w:i/>
                <w:iCs/>
                <w:color w:val="000000"/>
                <w:sz w:val="16"/>
                <w:szCs w:val="16"/>
              </w:rPr>
            </w:pPr>
          </w:p>
        </w:tc>
        <w:tc>
          <w:tcPr>
            <w:tcW w:w="13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A1D358">
            <w:pPr>
              <w:widowControl/>
              <w:spacing w:line="240" w:lineRule="exact"/>
              <w:jc w:val="left"/>
              <w:rPr>
                <w:rFonts w:ascii="微软雅黑" w:hAnsi="微软雅黑" w:eastAsia="微软雅黑" w:cs="微软雅黑"/>
                <w:i/>
                <w:iCs/>
                <w:color w:val="000000"/>
                <w:sz w:val="16"/>
                <w:szCs w:val="16"/>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8377E">
            <w:pPr>
              <w:widowControl/>
              <w:spacing w:line="240" w:lineRule="exact"/>
              <w:jc w:val="left"/>
              <w:rPr>
                <w:rFonts w:ascii="微软雅黑" w:hAnsi="微软雅黑" w:eastAsia="微软雅黑" w:cs="微软雅黑"/>
                <w:i/>
                <w:iCs/>
                <w:color w:val="000000"/>
                <w:sz w:val="16"/>
                <w:szCs w:val="16"/>
              </w:rPr>
            </w:pP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8483BB">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C9774">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2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C78CA">
            <w:pPr>
              <w:widowControl/>
              <w:spacing w:line="240" w:lineRule="exact"/>
              <w:jc w:val="left"/>
              <w:rPr>
                <w:rFonts w:ascii="黑体" w:hAnsi="黑体" w:eastAsia="黑体" w:cs="黑体"/>
                <w:i/>
                <w:iCs/>
                <w:color w:val="000000"/>
                <w:sz w:val="18"/>
                <w:szCs w:val="18"/>
              </w:rPr>
            </w:pPr>
          </w:p>
        </w:tc>
      </w:tr>
      <w:tr w14:paraId="0D79ABA0">
        <w:tblPrEx>
          <w:tblCellMar>
            <w:top w:w="0" w:type="dxa"/>
            <w:left w:w="108" w:type="dxa"/>
            <w:bottom w:w="0" w:type="dxa"/>
            <w:right w:w="108" w:type="dxa"/>
          </w:tblCellMar>
        </w:tblPrEx>
        <w:trPr>
          <w:trHeight w:val="454" w:hRule="atLeast"/>
        </w:trPr>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992FB8">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217DB">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ED723">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B1E4">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2EE0">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12D2D4">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281E8">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2DE8">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BCB938">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225C5">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D5D54">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14:paraId="46FC3225">
        <w:tblPrEx>
          <w:tblCellMar>
            <w:top w:w="0" w:type="dxa"/>
            <w:left w:w="108" w:type="dxa"/>
            <w:bottom w:w="0" w:type="dxa"/>
            <w:right w:w="108" w:type="dxa"/>
          </w:tblCellMar>
        </w:tblPrEx>
        <w:trPr>
          <w:trHeight w:val="338" w:hRule="atLeast"/>
        </w:trPr>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5980A">
            <w:pPr>
              <w:widowControl/>
              <w:spacing w:line="240" w:lineRule="exact"/>
              <w:jc w:val="left"/>
              <w:rPr>
                <w:rFonts w:ascii="宋体" w:hAnsi="宋体" w:cs="宋体"/>
                <w:color w:val="000000"/>
                <w:sz w:val="18"/>
                <w:szCs w:val="18"/>
              </w:rPr>
            </w:pPr>
          </w:p>
        </w:tc>
        <w:tc>
          <w:tcPr>
            <w:tcW w:w="19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1C0DC3">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产出指标</w:t>
            </w:r>
          </w:p>
        </w:tc>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ADD973">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数量指标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D90F4">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投放广告牌数量</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8DD8E">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25EE90">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4D90A">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块</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81B4">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615B50">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AA852">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DC32E">
            <w:pPr>
              <w:widowControl/>
              <w:spacing w:line="240" w:lineRule="exact"/>
              <w:jc w:val="left"/>
              <w:rPr>
                <w:rFonts w:ascii="微软雅黑" w:hAnsi="微软雅黑" w:eastAsia="微软雅黑" w:cs="微软雅黑"/>
                <w:i/>
                <w:iCs/>
                <w:color w:val="000000"/>
                <w:sz w:val="16"/>
                <w:szCs w:val="16"/>
              </w:rPr>
            </w:pPr>
          </w:p>
        </w:tc>
      </w:tr>
      <w:tr w14:paraId="616E2849">
        <w:tblPrEx>
          <w:tblCellMar>
            <w:top w:w="0" w:type="dxa"/>
            <w:left w:w="108" w:type="dxa"/>
            <w:bottom w:w="0" w:type="dxa"/>
            <w:right w:w="108" w:type="dxa"/>
          </w:tblCellMar>
        </w:tblPrEx>
        <w:trPr>
          <w:trHeight w:val="338" w:hRule="atLeast"/>
        </w:trPr>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AF1CC">
            <w:pPr>
              <w:widowControl/>
              <w:spacing w:line="240" w:lineRule="exact"/>
              <w:jc w:val="left"/>
              <w:rPr>
                <w:rFonts w:ascii="宋体" w:hAnsi="宋体" w:cs="宋体"/>
                <w:color w:val="000000"/>
                <w:sz w:val="18"/>
                <w:szCs w:val="18"/>
              </w:rPr>
            </w:pPr>
          </w:p>
        </w:tc>
        <w:tc>
          <w:tcPr>
            <w:tcW w:w="1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E1D13">
            <w:pPr>
              <w:widowControl/>
              <w:spacing w:line="240" w:lineRule="exact"/>
              <w:jc w:val="left"/>
              <w:rPr>
                <w:rFonts w:ascii="宋体" w:hAnsi="宋体" w:cs="宋体"/>
                <w:color w:val="000000"/>
                <w:sz w:val="18"/>
                <w:szCs w:val="18"/>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B4388">
            <w:pPr>
              <w:widowControl/>
              <w:spacing w:line="240" w:lineRule="exact"/>
              <w:jc w:val="left"/>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765D">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举行活动次数</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7BB28">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E1894E">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8</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2C93C">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246D">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8</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3135B4">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A4E8E">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E7369">
            <w:pPr>
              <w:widowControl/>
              <w:spacing w:line="240" w:lineRule="exact"/>
              <w:jc w:val="left"/>
              <w:rPr>
                <w:rFonts w:ascii="微软雅黑" w:hAnsi="微软雅黑" w:eastAsia="微软雅黑" w:cs="微软雅黑"/>
                <w:i/>
                <w:iCs/>
                <w:color w:val="000000"/>
                <w:sz w:val="16"/>
                <w:szCs w:val="16"/>
              </w:rPr>
            </w:pPr>
          </w:p>
        </w:tc>
      </w:tr>
      <w:tr w14:paraId="251511D5">
        <w:tblPrEx>
          <w:tblCellMar>
            <w:top w:w="0" w:type="dxa"/>
            <w:left w:w="108" w:type="dxa"/>
            <w:bottom w:w="0" w:type="dxa"/>
            <w:right w:w="108" w:type="dxa"/>
          </w:tblCellMar>
        </w:tblPrEx>
        <w:trPr>
          <w:trHeight w:val="338" w:hRule="atLeast"/>
        </w:trPr>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3ECE1">
            <w:pPr>
              <w:widowControl/>
              <w:spacing w:line="240" w:lineRule="exact"/>
              <w:jc w:val="left"/>
              <w:rPr>
                <w:rFonts w:ascii="宋体" w:hAnsi="宋体" w:cs="宋体"/>
                <w:color w:val="000000"/>
                <w:sz w:val="18"/>
                <w:szCs w:val="18"/>
              </w:rPr>
            </w:pPr>
          </w:p>
        </w:tc>
        <w:tc>
          <w:tcPr>
            <w:tcW w:w="1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1A279">
            <w:pPr>
              <w:widowControl/>
              <w:spacing w:line="240" w:lineRule="exact"/>
              <w:jc w:val="left"/>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57BA">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质量指标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EC5D6">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宣传覆盖率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D21F6">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25983D">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80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FADD6">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C0990">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80</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15E855">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9CBE">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92617">
            <w:pPr>
              <w:widowControl/>
              <w:spacing w:line="240" w:lineRule="exact"/>
              <w:jc w:val="left"/>
              <w:rPr>
                <w:rFonts w:ascii="微软雅黑" w:hAnsi="微软雅黑" w:eastAsia="微软雅黑" w:cs="微软雅黑"/>
                <w:i/>
                <w:iCs/>
                <w:color w:val="000000"/>
                <w:sz w:val="16"/>
                <w:szCs w:val="16"/>
              </w:rPr>
            </w:pPr>
          </w:p>
        </w:tc>
      </w:tr>
      <w:tr w14:paraId="7B78C7CF">
        <w:tblPrEx>
          <w:tblCellMar>
            <w:top w:w="0" w:type="dxa"/>
            <w:left w:w="108" w:type="dxa"/>
            <w:bottom w:w="0" w:type="dxa"/>
            <w:right w:w="108" w:type="dxa"/>
          </w:tblCellMar>
        </w:tblPrEx>
        <w:trPr>
          <w:trHeight w:val="338" w:hRule="atLeast"/>
        </w:trPr>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F5FA0">
            <w:pPr>
              <w:widowControl/>
              <w:spacing w:line="240" w:lineRule="exact"/>
              <w:jc w:val="left"/>
              <w:rPr>
                <w:rFonts w:ascii="宋体" w:hAnsi="宋体" w:cs="宋体"/>
                <w:color w:val="000000"/>
                <w:sz w:val="18"/>
                <w:szCs w:val="18"/>
              </w:rPr>
            </w:pPr>
          </w:p>
        </w:tc>
        <w:tc>
          <w:tcPr>
            <w:tcW w:w="1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83D46">
            <w:pPr>
              <w:widowControl/>
              <w:spacing w:line="240" w:lineRule="exact"/>
              <w:jc w:val="left"/>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BBD6B">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时效指标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ECD62">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项目完成时间</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C2ED7">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64BFD6">
            <w:pPr>
              <w:widowControl/>
              <w:spacing w:line="240" w:lineRule="exact"/>
              <w:jc w:val="left"/>
              <w:textAlignment w:val="center"/>
              <w:rPr>
                <w:rFonts w:hint="eastAsia" w:ascii="宋体" w:hAnsi="宋体" w:eastAsia="宋体" w:cs="宋体"/>
                <w:color w:val="000000"/>
                <w:sz w:val="18"/>
                <w:szCs w:val="18"/>
                <w:lang w:eastAsia="zh-CN"/>
              </w:rPr>
            </w:pPr>
            <w:r>
              <w:rPr>
                <w:rFonts w:ascii="宋体" w:hAnsi="宋体" w:cs="宋体"/>
                <w:color w:val="000000"/>
                <w:kern w:val="0"/>
                <w:sz w:val="18"/>
                <w:szCs w:val="18"/>
                <w:lang w:bidi="ar"/>
              </w:rPr>
              <w:t>202</w:t>
            </w:r>
            <w:r>
              <w:rPr>
                <w:rFonts w:hint="eastAsia" w:ascii="宋体" w:hAnsi="宋体" w:cs="宋体"/>
                <w:color w:val="000000"/>
                <w:kern w:val="0"/>
                <w:sz w:val="18"/>
                <w:szCs w:val="18"/>
                <w:lang w:val="en-US" w:eastAsia="zh-CN" w:bidi="ar"/>
              </w:rPr>
              <w:t>4</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C5D25">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E22F5">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202</w:t>
            </w:r>
            <w:r>
              <w:rPr>
                <w:rFonts w:hint="eastAsia" w:ascii="宋体" w:hAnsi="宋体" w:cs="宋体"/>
                <w:color w:val="000000"/>
                <w:kern w:val="0"/>
                <w:sz w:val="18"/>
                <w:szCs w:val="18"/>
                <w:lang w:val="en-US" w:eastAsia="zh-CN" w:bidi="ar"/>
              </w:rPr>
              <w:t>4</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9B076F">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B0427">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8A6F">
            <w:pPr>
              <w:widowControl/>
              <w:spacing w:line="240" w:lineRule="exact"/>
              <w:jc w:val="left"/>
              <w:rPr>
                <w:rFonts w:ascii="微软雅黑" w:hAnsi="微软雅黑" w:eastAsia="微软雅黑" w:cs="微软雅黑"/>
                <w:i/>
                <w:iCs/>
                <w:color w:val="000000"/>
                <w:sz w:val="16"/>
                <w:szCs w:val="16"/>
              </w:rPr>
            </w:pPr>
          </w:p>
        </w:tc>
      </w:tr>
      <w:tr w14:paraId="00F81603">
        <w:tblPrEx>
          <w:tblCellMar>
            <w:top w:w="0" w:type="dxa"/>
            <w:left w:w="108" w:type="dxa"/>
            <w:bottom w:w="0" w:type="dxa"/>
            <w:right w:w="108" w:type="dxa"/>
          </w:tblCellMar>
        </w:tblPrEx>
        <w:trPr>
          <w:trHeight w:val="338" w:hRule="atLeast"/>
        </w:trPr>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F4904">
            <w:pPr>
              <w:widowControl/>
              <w:spacing w:line="240" w:lineRule="exact"/>
              <w:jc w:val="left"/>
              <w:rPr>
                <w:rFonts w:ascii="宋体" w:hAnsi="宋体" w:cs="宋体"/>
                <w:color w:val="000000"/>
                <w:sz w:val="18"/>
                <w:szCs w:val="18"/>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A7BDA">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效益指标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4C3DE">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可持续发展指标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337B6">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拓宽文旅市场</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5E3FE">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240063">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优</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8823">
            <w:pPr>
              <w:widowControl/>
              <w:spacing w:line="240" w:lineRule="exact"/>
              <w:jc w:val="left"/>
              <w:rPr>
                <w:rFonts w:ascii="宋体" w:hAnsi="宋体" w:cs="宋体"/>
                <w:color w:val="000000"/>
                <w:sz w:val="18"/>
                <w:szCs w:val="18"/>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FDC07">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优</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EF291D">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D083B">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09A10">
            <w:pPr>
              <w:widowControl/>
              <w:spacing w:line="240" w:lineRule="exact"/>
              <w:jc w:val="left"/>
              <w:rPr>
                <w:rFonts w:ascii="微软雅黑" w:hAnsi="微软雅黑" w:eastAsia="微软雅黑" w:cs="微软雅黑"/>
                <w:i/>
                <w:iCs/>
                <w:color w:val="000000"/>
                <w:sz w:val="16"/>
                <w:szCs w:val="16"/>
              </w:rPr>
            </w:pPr>
          </w:p>
        </w:tc>
      </w:tr>
      <w:tr w14:paraId="7739E022">
        <w:tblPrEx>
          <w:tblCellMar>
            <w:top w:w="0" w:type="dxa"/>
            <w:left w:w="108" w:type="dxa"/>
            <w:bottom w:w="0" w:type="dxa"/>
            <w:right w:w="108" w:type="dxa"/>
          </w:tblCellMar>
        </w:tblPrEx>
        <w:trPr>
          <w:trHeight w:val="454" w:hRule="atLeast"/>
        </w:trPr>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6E4B6">
            <w:pPr>
              <w:widowControl/>
              <w:spacing w:line="240" w:lineRule="exact"/>
              <w:jc w:val="left"/>
              <w:rPr>
                <w:rFonts w:ascii="宋体" w:hAnsi="宋体" w:cs="宋体"/>
                <w:color w:val="000000"/>
                <w:sz w:val="18"/>
                <w:szCs w:val="18"/>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99DF9">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满意度指标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BF864">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服务对象满意度指标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E4E91">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服务对象满意</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926A1">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2093AD">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ACA21">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5EA4">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B533FD">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6E22">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DFF98">
            <w:pPr>
              <w:widowControl/>
              <w:spacing w:line="240" w:lineRule="exact"/>
              <w:jc w:val="left"/>
              <w:rPr>
                <w:rFonts w:ascii="微软雅黑" w:hAnsi="微软雅黑" w:eastAsia="微软雅黑" w:cs="微软雅黑"/>
                <w:i/>
                <w:iCs/>
                <w:color w:val="000000"/>
                <w:sz w:val="16"/>
                <w:szCs w:val="16"/>
              </w:rPr>
            </w:pPr>
          </w:p>
        </w:tc>
      </w:tr>
      <w:tr w14:paraId="03C53D88">
        <w:tblPrEx>
          <w:tblCellMar>
            <w:top w:w="0" w:type="dxa"/>
            <w:left w:w="108" w:type="dxa"/>
            <w:bottom w:w="0" w:type="dxa"/>
            <w:right w:w="108" w:type="dxa"/>
          </w:tblCellMar>
        </w:tblPrEx>
        <w:trPr>
          <w:trHeight w:val="338" w:hRule="atLeast"/>
        </w:trPr>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5CD65">
            <w:pPr>
              <w:widowControl/>
              <w:spacing w:line="240" w:lineRule="exact"/>
              <w:jc w:val="left"/>
              <w:rPr>
                <w:rFonts w:ascii="宋体" w:hAnsi="宋体" w:cs="宋体"/>
                <w:color w:val="000000"/>
                <w:sz w:val="18"/>
                <w:szCs w:val="18"/>
              </w:rPr>
            </w:pPr>
          </w:p>
        </w:tc>
        <w:tc>
          <w:tcPr>
            <w:tcW w:w="19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99F862">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成本指标</w:t>
            </w:r>
          </w:p>
        </w:tc>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78D59D">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经济成本指标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C85C">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活动举办费</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F623D">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C5684D">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001EF">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28BC7">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2</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8CC432">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9E14B">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5A5D">
            <w:pPr>
              <w:widowControl/>
              <w:spacing w:line="240" w:lineRule="exact"/>
              <w:jc w:val="left"/>
              <w:rPr>
                <w:rFonts w:ascii="微软雅黑" w:hAnsi="微软雅黑" w:eastAsia="微软雅黑" w:cs="微软雅黑"/>
                <w:i/>
                <w:iCs/>
                <w:color w:val="000000"/>
                <w:sz w:val="16"/>
                <w:szCs w:val="16"/>
              </w:rPr>
            </w:pPr>
          </w:p>
        </w:tc>
      </w:tr>
      <w:tr w14:paraId="6E63BB56">
        <w:tblPrEx>
          <w:tblCellMar>
            <w:top w:w="0" w:type="dxa"/>
            <w:left w:w="108" w:type="dxa"/>
            <w:bottom w:w="0" w:type="dxa"/>
            <w:right w:w="108" w:type="dxa"/>
          </w:tblCellMar>
        </w:tblPrEx>
        <w:trPr>
          <w:trHeight w:val="338" w:hRule="atLeast"/>
        </w:trPr>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8206B">
            <w:pPr>
              <w:widowControl/>
              <w:spacing w:line="240" w:lineRule="exact"/>
              <w:jc w:val="left"/>
              <w:rPr>
                <w:rFonts w:ascii="宋体" w:hAnsi="宋体" w:cs="宋体"/>
                <w:color w:val="000000"/>
                <w:sz w:val="18"/>
                <w:szCs w:val="18"/>
              </w:rPr>
            </w:pPr>
          </w:p>
        </w:tc>
        <w:tc>
          <w:tcPr>
            <w:tcW w:w="1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1E829">
            <w:pPr>
              <w:widowControl/>
              <w:spacing w:line="240" w:lineRule="exact"/>
              <w:jc w:val="left"/>
              <w:rPr>
                <w:rFonts w:ascii="宋体" w:hAnsi="宋体" w:cs="宋体"/>
                <w:color w:val="000000"/>
                <w:sz w:val="18"/>
                <w:szCs w:val="18"/>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75D71">
            <w:pPr>
              <w:widowControl/>
              <w:spacing w:line="240" w:lineRule="exact"/>
              <w:jc w:val="left"/>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28433">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广告费</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02500">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2237D3">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3</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4462C">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33E8E">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3</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4119F8">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D0BE6">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B0E2F">
            <w:pPr>
              <w:widowControl/>
              <w:spacing w:line="240" w:lineRule="exact"/>
              <w:jc w:val="left"/>
              <w:rPr>
                <w:rFonts w:ascii="微软雅黑" w:hAnsi="微软雅黑" w:eastAsia="微软雅黑" w:cs="微软雅黑"/>
                <w:i/>
                <w:iCs/>
                <w:color w:val="000000"/>
                <w:sz w:val="16"/>
                <w:szCs w:val="16"/>
              </w:rPr>
            </w:pPr>
          </w:p>
        </w:tc>
      </w:tr>
      <w:tr w14:paraId="2835B944">
        <w:tblPrEx>
          <w:tblCellMar>
            <w:top w:w="0" w:type="dxa"/>
            <w:left w:w="108" w:type="dxa"/>
            <w:bottom w:w="0" w:type="dxa"/>
            <w:right w:w="108" w:type="dxa"/>
          </w:tblCellMar>
        </w:tblPrEx>
        <w:trPr>
          <w:trHeight w:val="285" w:hRule="atLeast"/>
        </w:trPr>
        <w:tc>
          <w:tcPr>
            <w:tcW w:w="643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C3FBEE0">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9091F">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B34AB">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E5197">
            <w:pPr>
              <w:widowControl/>
              <w:spacing w:line="240" w:lineRule="exact"/>
              <w:jc w:val="left"/>
              <w:rPr>
                <w:rFonts w:ascii="宋体" w:hAnsi="宋体" w:cs="宋体"/>
                <w:color w:val="000000"/>
                <w:sz w:val="18"/>
                <w:szCs w:val="18"/>
              </w:rPr>
            </w:pPr>
          </w:p>
        </w:tc>
      </w:tr>
      <w:tr w14:paraId="1D52B145">
        <w:tblPrEx>
          <w:tblCellMar>
            <w:top w:w="0" w:type="dxa"/>
            <w:left w:w="108" w:type="dxa"/>
            <w:bottom w:w="0" w:type="dxa"/>
            <w:right w:w="108" w:type="dxa"/>
          </w:tblCellMar>
        </w:tblPrEx>
        <w:trPr>
          <w:trHeight w:val="604" w:hRule="atLeast"/>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2C945">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9106"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98441BD">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通过有效的宣传营销策略，文旅园区可以显著提升品牌知名度和市场影响力，吸引更多游客前来参观体验。</w:t>
            </w:r>
            <w:r>
              <w:rPr>
                <w:rFonts w:ascii="宋体" w:hAnsi="宋体" w:cs="宋体"/>
                <w:color w:val="000000"/>
                <w:kern w:val="0"/>
                <w:sz w:val="18"/>
                <w:szCs w:val="18"/>
                <w:lang w:bidi="ar"/>
              </w:rPr>
              <w:br w:type="textWrapping"/>
            </w:r>
            <w:r>
              <w:rPr>
                <w:rFonts w:ascii="宋体" w:hAnsi="宋体" w:cs="宋体"/>
                <w:color w:val="000000"/>
                <w:kern w:val="0"/>
                <w:sz w:val="18"/>
                <w:szCs w:val="18"/>
                <w:lang w:bidi="ar"/>
              </w:rPr>
              <w:t>同时，园区内的文化展览、演艺活动、体验项目等也将得到更好的推广和展示，为游客提供更加丰富多彩的文化旅游体验。</w:t>
            </w:r>
          </w:p>
        </w:tc>
      </w:tr>
      <w:tr w14:paraId="502FDCED">
        <w:tblPrEx>
          <w:tblCellMar>
            <w:top w:w="0" w:type="dxa"/>
            <w:left w:w="108" w:type="dxa"/>
            <w:bottom w:w="0" w:type="dxa"/>
            <w:right w:w="108" w:type="dxa"/>
          </w:tblCellMar>
        </w:tblPrEx>
        <w:trPr>
          <w:trHeight w:val="574" w:hRule="atLeast"/>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EDF46">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9106"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10E3293">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在实际执行过程中，可能存在经费使用不规范的情况,对经费使用的监管可能存在不足，导致资金使用的效率和效果受到影响。</w:t>
            </w:r>
          </w:p>
        </w:tc>
      </w:tr>
      <w:tr w14:paraId="20B1C81E">
        <w:tblPrEx>
          <w:tblCellMar>
            <w:top w:w="0" w:type="dxa"/>
            <w:left w:w="108" w:type="dxa"/>
            <w:bottom w:w="0" w:type="dxa"/>
            <w:right w:w="108" w:type="dxa"/>
          </w:tblCellMar>
        </w:tblPrEx>
        <w:trPr>
          <w:trHeight w:val="634" w:hRule="atLeast"/>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F2CAA">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9106"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3633FBD">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争取节约工作经费，全面开展好工作，不断提高工作科学化、规范化、法治化水平。</w:t>
            </w:r>
          </w:p>
        </w:tc>
      </w:tr>
      <w:tr w14:paraId="7D3874CF">
        <w:tblPrEx>
          <w:tblCellMar>
            <w:top w:w="0" w:type="dxa"/>
            <w:left w:w="108" w:type="dxa"/>
            <w:bottom w:w="0" w:type="dxa"/>
            <w:right w:w="108" w:type="dxa"/>
          </w:tblCellMar>
        </w:tblPrEx>
        <w:trPr>
          <w:trHeight w:val="285" w:hRule="atLeast"/>
        </w:trPr>
        <w:tc>
          <w:tcPr>
            <w:tcW w:w="472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DB60832">
            <w:pPr>
              <w:widowControl/>
              <w:spacing w:line="240" w:lineRule="exact"/>
              <w:jc w:val="left"/>
              <w:textAlignment w:val="center"/>
              <w:rPr>
                <w:rFonts w:ascii="黑体" w:hAnsi="黑体" w:eastAsia="黑体" w:cs="黑体"/>
                <w:color w:val="000000"/>
                <w:sz w:val="18"/>
                <w:szCs w:val="18"/>
              </w:rPr>
            </w:pPr>
            <w:r>
              <w:rPr>
                <w:rFonts w:ascii="黑体" w:hAnsi="黑体" w:eastAsia="黑体" w:cs="黑体"/>
                <w:color w:val="000000"/>
                <w:kern w:val="0"/>
                <w:sz w:val="18"/>
                <w:szCs w:val="18"/>
                <w:lang w:bidi="ar"/>
              </w:rPr>
              <w:t>项目负责人：肖命钦</w:t>
            </w:r>
          </w:p>
        </w:tc>
        <w:tc>
          <w:tcPr>
            <w:tcW w:w="53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D65C666">
            <w:pPr>
              <w:widowControl/>
              <w:spacing w:line="240" w:lineRule="exact"/>
              <w:jc w:val="left"/>
              <w:textAlignment w:val="center"/>
              <w:rPr>
                <w:rFonts w:ascii="黑体" w:hAnsi="黑体" w:eastAsia="黑体" w:cs="黑体"/>
                <w:color w:val="000000"/>
                <w:sz w:val="18"/>
                <w:szCs w:val="18"/>
              </w:rPr>
            </w:pPr>
            <w:r>
              <w:rPr>
                <w:rFonts w:ascii="黑体" w:hAnsi="黑体" w:eastAsia="黑体" w:cs="黑体"/>
                <w:color w:val="000000"/>
                <w:kern w:val="0"/>
                <w:sz w:val="18"/>
                <w:szCs w:val="18"/>
                <w:lang w:bidi="ar"/>
              </w:rPr>
              <w:t>财务负责人：段高辉</w:t>
            </w:r>
          </w:p>
        </w:tc>
      </w:tr>
      <w:tr w14:paraId="19693088">
        <w:tblPrEx>
          <w:tblCellMar>
            <w:top w:w="0" w:type="dxa"/>
            <w:left w:w="108" w:type="dxa"/>
            <w:bottom w:w="0" w:type="dxa"/>
            <w:right w:w="108" w:type="dxa"/>
          </w:tblCellMar>
        </w:tblPrEx>
        <w:trPr>
          <w:trHeight w:val="285" w:hRule="atLeast"/>
        </w:trPr>
        <w:tc>
          <w:tcPr>
            <w:tcW w:w="927" w:type="dxa"/>
            <w:tcBorders>
              <w:top w:val="nil"/>
              <w:left w:val="nil"/>
              <w:bottom w:val="nil"/>
              <w:right w:val="nil"/>
            </w:tcBorders>
            <w:shd w:val="clear" w:color="auto" w:fill="auto"/>
            <w:vAlign w:val="center"/>
          </w:tcPr>
          <w:p w14:paraId="735F70D9">
            <w:pPr>
              <w:widowControl/>
              <w:spacing w:line="240" w:lineRule="exact"/>
              <w:jc w:val="left"/>
              <w:rPr>
                <w:rFonts w:ascii="宋体" w:hAnsi="宋体" w:cs="宋体"/>
                <w:color w:val="000000"/>
                <w:sz w:val="18"/>
                <w:szCs w:val="18"/>
              </w:rPr>
            </w:pPr>
          </w:p>
        </w:tc>
        <w:tc>
          <w:tcPr>
            <w:tcW w:w="1941" w:type="dxa"/>
            <w:tcBorders>
              <w:top w:val="nil"/>
              <w:left w:val="nil"/>
              <w:bottom w:val="nil"/>
              <w:right w:val="nil"/>
            </w:tcBorders>
            <w:shd w:val="clear" w:color="auto" w:fill="auto"/>
            <w:vAlign w:val="center"/>
          </w:tcPr>
          <w:p w14:paraId="311450E7">
            <w:pPr>
              <w:widowControl/>
              <w:spacing w:line="240" w:lineRule="exact"/>
              <w:jc w:val="left"/>
              <w:rPr>
                <w:rFonts w:ascii="宋体" w:hAnsi="宋体" w:cs="宋体"/>
                <w:color w:val="000000"/>
                <w:sz w:val="18"/>
                <w:szCs w:val="18"/>
              </w:rPr>
            </w:pPr>
          </w:p>
        </w:tc>
        <w:tc>
          <w:tcPr>
            <w:tcW w:w="576" w:type="dxa"/>
            <w:tcBorders>
              <w:top w:val="nil"/>
              <w:left w:val="nil"/>
              <w:bottom w:val="nil"/>
              <w:right w:val="nil"/>
            </w:tcBorders>
            <w:shd w:val="clear" w:color="auto" w:fill="auto"/>
            <w:vAlign w:val="center"/>
          </w:tcPr>
          <w:p w14:paraId="157C346A">
            <w:pPr>
              <w:widowControl/>
              <w:spacing w:line="240" w:lineRule="exact"/>
              <w:jc w:val="left"/>
              <w:rPr>
                <w:rFonts w:ascii="宋体" w:hAnsi="宋体" w:cs="宋体"/>
                <w:color w:val="000000"/>
                <w:sz w:val="18"/>
                <w:szCs w:val="18"/>
              </w:rPr>
            </w:pPr>
          </w:p>
        </w:tc>
        <w:tc>
          <w:tcPr>
            <w:tcW w:w="576" w:type="dxa"/>
            <w:tcBorders>
              <w:top w:val="nil"/>
              <w:left w:val="nil"/>
              <w:bottom w:val="nil"/>
              <w:right w:val="nil"/>
            </w:tcBorders>
            <w:shd w:val="clear" w:color="auto" w:fill="auto"/>
            <w:vAlign w:val="center"/>
          </w:tcPr>
          <w:p w14:paraId="6C82DBAD">
            <w:pPr>
              <w:widowControl/>
              <w:spacing w:line="240" w:lineRule="exact"/>
              <w:jc w:val="left"/>
              <w:rPr>
                <w:rFonts w:ascii="宋体" w:hAnsi="宋体" w:cs="宋体"/>
                <w:color w:val="000000"/>
                <w:sz w:val="18"/>
                <w:szCs w:val="18"/>
              </w:rPr>
            </w:pPr>
          </w:p>
        </w:tc>
        <w:tc>
          <w:tcPr>
            <w:tcW w:w="396" w:type="dxa"/>
            <w:tcBorders>
              <w:top w:val="nil"/>
              <w:left w:val="nil"/>
              <w:bottom w:val="nil"/>
              <w:right w:val="nil"/>
            </w:tcBorders>
            <w:shd w:val="clear" w:color="auto" w:fill="auto"/>
            <w:vAlign w:val="center"/>
          </w:tcPr>
          <w:p w14:paraId="429A96AF">
            <w:pPr>
              <w:widowControl/>
              <w:spacing w:line="240" w:lineRule="exact"/>
              <w:jc w:val="left"/>
              <w:rPr>
                <w:rFonts w:ascii="宋体" w:hAnsi="宋体" w:cs="宋体"/>
                <w:color w:val="000000"/>
                <w:sz w:val="18"/>
                <w:szCs w:val="18"/>
              </w:rPr>
            </w:pPr>
          </w:p>
        </w:tc>
        <w:tc>
          <w:tcPr>
            <w:tcW w:w="577" w:type="dxa"/>
            <w:gridSpan w:val="2"/>
            <w:tcBorders>
              <w:top w:val="nil"/>
              <w:left w:val="nil"/>
              <w:bottom w:val="nil"/>
              <w:right w:val="nil"/>
            </w:tcBorders>
            <w:shd w:val="clear" w:color="auto" w:fill="auto"/>
            <w:vAlign w:val="center"/>
          </w:tcPr>
          <w:p w14:paraId="1BABA43C">
            <w:pPr>
              <w:widowControl/>
              <w:spacing w:line="240" w:lineRule="exact"/>
              <w:jc w:val="left"/>
              <w:rPr>
                <w:rFonts w:ascii="宋体" w:hAnsi="宋体" w:cs="宋体"/>
                <w:color w:val="000000"/>
                <w:sz w:val="18"/>
                <w:szCs w:val="18"/>
              </w:rPr>
            </w:pPr>
          </w:p>
        </w:tc>
        <w:tc>
          <w:tcPr>
            <w:tcW w:w="396" w:type="dxa"/>
            <w:tcBorders>
              <w:top w:val="nil"/>
              <w:left w:val="nil"/>
              <w:bottom w:val="nil"/>
              <w:right w:val="nil"/>
            </w:tcBorders>
            <w:shd w:val="clear" w:color="auto" w:fill="auto"/>
            <w:vAlign w:val="center"/>
          </w:tcPr>
          <w:p w14:paraId="37D1B69A">
            <w:pPr>
              <w:widowControl/>
              <w:spacing w:line="240" w:lineRule="exact"/>
              <w:jc w:val="left"/>
              <w:rPr>
                <w:rFonts w:ascii="宋体" w:hAnsi="宋体" w:cs="宋体"/>
                <w:color w:val="000000"/>
                <w:sz w:val="18"/>
                <w:szCs w:val="18"/>
              </w:rPr>
            </w:pPr>
          </w:p>
        </w:tc>
        <w:tc>
          <w:tcPr>
            <w:tcW w:w="846" w:type="dxa"/>
            <w:tcBorders>
              <w:top w:val="nil"/>
              <w:left w:val="nil"/>
              <w:bottom w:val="nil"/>
              <w:right w:val="nil"/>
            </w:tcBorders>
            <w:shd w:val="clear" w:color="auto" w:fill="auto"/>
            <w:vAlign w:val="center"/>
          </w:tcPr>
          <w:p w14:paraId="67898616">
            <w:pPr>
              <w:widowControl/>
              <w:spacing w:line="240" w:lineRule="exact"/>
              <w:jc w:val="left"/>
              <w:rPr>
                <w:rFonts w:ascii="宋体" w:hAnsi="宋体" w:cs="宋体"/>
                <w:color w:val="000000"/>
                <w:sz w:val="18"/>
                <w:szCs w:val="18"/>
              </w:rPr>
            </w:pPr>
          </w:p>
        </w:tc>
        <w:tc>
          <w:tcPr>
            <w:tcW w:w="684" w:type="dxa"/>
            <w:gridSpan w:val="2"/>
            <w:tcBorders>
              <w:top w:val="nil"/>
              <w:left w:val="nil"/>
              <w:bottom w:val="nil"/>
              <w:right w:val="nil"/>
            </w:tcBorders>
            <w:shd w:val="clear" w:color="auto" w:fill="auto"/>
            <w:vAlign w:val="center"/>
          </w:tcPr>
          <w:p w14:paraId="1C4FBA7F">
            <w:pPr>
              <w:widowControl/>
              <w:spacing w:line="240" w:lineRule="exact"/>
              <w:jc w:val="left"/>
              <w:rPr>
                <w:rFonts w:ascii="宋体" w:hAnsi="宋体" w:cs="宋体"/>
                <w:color w:val="000000"/>
                <w:sz w:val="18"/>
                <w:szCs w:val="18"/>
              </w:rPr>
            </w:pPr>
          </w:p>
        </w:tc>
        <w:tc>
          <w:tcPr>
            <w:tcW w:w="486" w:type="dxa"/>
            <w:tcBorders>
              <w:top w:val="nil"/>
              <w:left w:val="nil"/>
              <w:bottom w:val="nil"/>
              <w:right w:val="nil"/>
            </w:tcBorders>
            <w:shd w:val="clear" w:color="auto" w:fill="auto"/>
            <w:vAlign w:val="center"/>
          </w:tcPr>
          <w:p w14:paraId="04E2B6F1">
            <w:pPr>
              <w:widowControl/>
              <w:spacing w:line="240" w:lineRule="exact"/>
              <w:jc w:val="left"/>
              <w:rPr>
                <w:rFonts w:ascii="宋体" w:hAnsi="宋体" w:cs="宋体"/>
                <w:color w:val="000000"/>
                <w:sz w:val="18"/>
                <w:szCs w:val="18"/>
              </w:rPr>
            </w:pPr>
          </w:p>
        </w:tc>
        <w:tc>
          <w:tcPr>
            <w:tcW w:w="2628" w:type="dxa"/>
            <w:tcBorders>
              <w:top w:val="nil"/>
              <w:left w:val="nil"/>
              <w:bottom w:val="nil"/>
              <w:right w:val="nil"/>
            </w:tcBorders>
            <w:shd w:val="clear" w:color="auto" w:fill="auto"/>
            <w:vAlign w:val="center"/>
          </w:tcPr>
          <w:p w14:paraId="7F63AAE1">
            <w:pPr>
              <w:widowControl/>
              <w:spacing w:line="240" w:lineRule="exact"/>
              <w:jc w:val="left"/>
              <w:rPr>
                <w:rFonts w:ascii="宋体" w:hAnsi="宋体" w:cs="宋体"/>
                <w:color w:val="000000"/>
                <w:sz w:val="18"/>
                <w:szCs w:val="18"/>
              </w:rPr>
            </w:pPr>
          </w:p>
        </w:tc>
      </w:tr>
    </w:tbl>
    <w:p w14:paraId="4DE9855C">
      <w:pPr>
        <w:pStyle w:val="9"/>
      </w:pPr>
    </w:p>
    <w:tbl>
      <w:tblPr>
        <w:tblStyle w:val="19"/>
        <w:tblpPr w:leftFromText="180" w:rightFromText="180" w:vertAnchor="text" w:horzAnchor="page" w:tblpX="1363" w:tblpY="294"/>
        <w:tblOverlap w:val="never"/>
        <w:tblW w:w="9711" w:type="dxa"/>
        <w:tblInd w:w="0" w:type="dxa"/>
        <w:tblLayout w:type="autofit"/>
        <w:tblCellMar>
          <w:top w:w="0" w:type="dxa"/>
          <w:left w:w="108" w:type="dxa"/>
          <w:bottom w:w="0" w:type="dxa"/>
          <w:right w:w="108" w:type="dxa"/>
        </w:tblCellMar>
      </w:tblPr>
      <w:tblGrid>
        <w:gridCol w:w="1479"/>
        <w:gridCol w:w="969"/>
        <w:gridCol w:w="1067"/>
        <w:gridCol w:w="941"/>
        <w:gridCol w:w="670"/>
        <w:gridCol w:w="667"/>
        <w:gridCol w:w="670"/>
        <w:gridCol w:w="1300"/>
        <w:gridCol w:w="532"/>
        <w:gridCol w:w="532"/>
        <w:gridCol w:w="884"/>
      </w:tblGrid>
      <w:tr w14:paraId="6584330E">
        <w:tblPrEx>
          <w:tblCellMar>
            <w:top w:w="0" w:type="dxa"/>
            <w:left w:w="108" w:type="dxa"/>
            <w:bottom w:w="0" w:type="dxa"/>
            <w:right w:w="108" w:type="dxa"/>
          </w:tblCellMar>
        </w:tblPrEx>
        <w:trPr>
          <w:trHeight w:val="904" w:hRule="atLeast"/>
        </w:trPr>
        <w:tc>
          <w:tcPr>
            <w:tcW w:w="971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CFC6DE6">
            <w:pPr>
              <w:widowControl/>
              <w:jc w:val="center"/>
              <w:textAlignment w:val="center"/>
              <w:rPr>
                <w:rFonts w:ascii="黑体" w:hAnsi="宋体" w:eastAsia="黑体" w:cs="黑体"/>
                <w:b/>
                <w:bCs/>
                <w:color w:val="000000"/>
                <w:sz w:val="30"/>
                <w:szCs w:val="30"/>
              </w:rPr>
            </w:pPr>
            <w:r>
              <w:rPr>
                <w:rFonts w:ascii="黑体" w:hAnsi="宋体" w:eastAsia="黑体" w:cs="黑体"/>
                <w:b/>
                <w:bCs/>
                <w:color w:val="000000"/>
                <w:kern w:val="0"/>
                <w:sz w:val="30"/>
                <w:szCs w:val="30"/>
                <w:lang w:bidi="ar"/>
              </w:rPr>
              <w:t>部门预算项目支出绩效自评表（202</w:t>
            </w:r>
            <w:r>
              <w:rPr>
                <w:rFonts w:hint="eastAsia" w:ascii="黑体" w:hAnsi="宋体" w:eastAsia="黑体" w:cs="黑体"/>
                <w:b/>
                <w:bCs/>
                <w:color w:val="000000"/>
                <w:kern w:val="0"/>
                <w:sz w:val="30"/>
                <w:szCs w:val="30"/>
                <w:lang w:val="en-US" w:eastAsia="zh-CN" w:bidi="ar"/>
              </w:rPr>
              <w:t>4</w:t>
            </w:r>
            <w:r>
              <w:rPr>
                <w:rFonts w:ascii="黑体" w:hAnsi="宋体" w:eastAsia="黑体" w:cs="黑体"/>
                <w:b/>
                <w:bCs/>
                <w:color w:val="000000"/>
                <w:kern w:val="0"/>
                <w:sz w:val="30"/>
                <w:szCs w:val="30"/>
                <w:lang w:bidi="ar"/>
              </w:rPr>
              <w:t>年度）</w:t>
            </w:r>
          </w:p>
        </w:tc>
      </w:tr>
      <w:tr w14:paraId="0234BFF0">
        <w:tblPrEx>
          <w:tblCellMar>
            <w:top w:w="0" w:type="dxa"/>
            <w:left w:w="108" w:type="dxa"/>
            <w:bottom w:w="0" w:type="dxa"/>
            <w:right w:w="108" w:type="dxa"/>
          </w:tblCellMar>
        </w:tblPrEx>
        <w:trPr>
          <w:trHeight w:val="285" w:hRule="atLeast"/>
        </w:trPr>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FD7CD0">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726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814053E">
            <w:pPr>
              <w:widowControl/>
              <w:spacing w:line="21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51090423T000008869651</w:t>
            </w:r>
            <w:r>
              <w:rPr>
                <w:rFonts w:ascii="宋体" w:hAnsi="宋体" w:cs="宋体"/>
                <w:color w:val="000000"/>
                <w:kern w:val="0"/>
                <w:sz w:val="18"/>
                <w:szCs w:val="18"/>
                <w:lang w:bidi="ar"/>
              </w:rPr>
              <w:t>-省星级现代农业园区创建升星经费</w:t>
            </w:r>
          </w:p>
        </w:tc>
      </w:tr>
      <w:tr w14:paraId="28B4CCE8">
        <w:tblPrEx>
          <w:tblCellMar>
            <w:top w:w="0" w:type="dxa"/>
            <w:left w:w="108" w:type="dxa"/>
            <w:bottom w:w="0" w:type="dxa"/>
            <w:right w:w="108" w:type="dxa"/>
          </w:tblCellMar>
        </w:tblPrEx>
        <w:trPr>
          <w:trHeight w:val="514" w:hRule="atLeast"/>
        </w:trPr>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85DF19">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40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9D1FFD">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遂宁市安居区海龙凯歌文化旅游产业园区管理委员会部门</w:t>
            </w:r>
          </w:p>
        </w:tc>
        <w:tc>
          <w:tcPr>
            <w:tcW w:w="1300" w:type="dxa"/>
            <w:tcBorders>
              <w:top w:val="nil"/>
              <w:left w:val="nil"/>
              <w:bottom w:val="nil"/>
              <w:right w:val="nil"/>
            </w:tcBorders>
            <w:shd w:val="clear" w:color="auto" w:fill="auto"/>
            <w:vAlign w:val="center"/>
          </w:tcPr>
          <w:p w14:paraId="7FB07BFE">
            <w:pPr>
              <w:widowControl/>
              <w:spacing w:line="210" w:lineRule="exact"/>
              <w:jc w:val="left"/>
              <w:textAlignment w:val="center"/>
              <w:rPr>
                <w:rFonts w:ascii="黑体" w:hAnsi="黑体" w:eastAsia="黑体" w:cs="黑体"/>
                <w:color w:val="000000"/>
                <w:sz w:val="18"/>
                <w:szCs w:val="18"/>
              </w:rPr>
            </w:pPr>
            <w:r>
              <w:rPr>
                <w:rFonts w:ascii="黑体" w:hAnsi="黑体" w:eastAsia="黑体" w:cs="黑体"/>
                <w:color w:val="000000"/>
                <w:kern w:val="0"/>
                <w:sz w:val="18"/>
                <w:szCs w:val="18"/>
                <w:lang w:bidi="ar"/>
              </w:rPr>
              <w:t>实施单位 （盖章）</w:t>
            </w:r>
          </w:p>
        </w:tc>
        <w:tc>
          <w:tcPr>
            <w:tcW w:w="19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223CF9">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遂宁市安居区海龙凯歌文化旅游产业园区管理委员会</w:t>
            </w:r>
          </w:p>
        </w:tc>
      </w:tr>
      <w:tr w14:paraId="16B310C2">
        <w:tblPrEx>
          <w:tblCellMar>
            <w:top w:w="0" w:type="dxa"/>
            <w:left w:w="108" w:type="dxa"/>
            <w:bottom w:w="0" w:type="dxa"/>
            <w:right w:w="108" w:type="dxa"/>
          </w:tblCellMar>
        </w:tblPrEx>
        <w:trPr>
          <w:trHeight w:val="285" w:hRule="atLeast"/>
        </w:trPr>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8E060B">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9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53BB0B">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40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4B84CD">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2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BB5D5C">
            <w:pPr>
              <w:widowControl/>
              <w:spacing w:line="210" w:lineRule="exact"/>
              <w:jc w:val="left"/>
              <w:textAlignment w:val="center"/>
              <w:rPr>
                <w:rFonts w:ascii="黑体" w:hAnsi="黑体" w:eastAsia="黑体" w:cs="黑体"/>
                <w:color w:val="000000"/>
                <w:sz w:val="18"/>
                <w:szCs w:val="18"/>
              </w:rPr>
            </w:pPr>
            <w:r>
              <w:rPr>
                <w:rFonts w:ascii="黑体" w:hAnsi="黑体" w:eastAsia="黑体" w:cs="黑体"/>
                <w:color w:val="000000"/>
                <w:kern w:val="0"/>
                <w:sz w:val="18"/>
                <w:szCs w:val="18"/>
                <w:lang w:bidi="ar"/>
              </w:rPr>
              <w:t>年度目标完成情况</w:t>
            </w:r>
          </w:p>
        </w:tc>
      </w:tr>
      <w:tr w14:paraId="6912E93B">
        <w:tblPrEx>
          <w:tblCellMar>
            <w:top w:w="0" w:type="dxa"/>
            <w:left w:w="108" w:type="dxa"/>
            <w:bottom w:w="0" w:type="dxa"/>
            <w:right w:w="108" w:type="dxa"/>
          </w:tblCellMar>
        </w:tblPrEx>
        <w:trPr>
          <w:trHeight w:val="1129"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B984D">
            <w:pPr>
              <w:spacing w:line="210" w:lineRule="exact"/>
              <w:jc w:val="left"/>
              <w:rPr>
                <w:rFonts w:ascii="宋体" w:hAnsi="宋体" w:cs="宋体"/>
                <w:color w:val="000000"/>
                <w:sz w:val="18"/>
                <w:szCs w:val="18"/>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5C1C9">
            <w:pPr>
              <w:spacing w:line="210" w:lineRule="exact"/>
              <w:jc w:val="left"/>
              <w:rPr>
                <w:rFonts w:ascii="宋体" w:hAnsi="宋体" w:cs="宋体"/>
                <w:color w:val="000000"/>
                <w:sz w:val="18"/>
                <w:szCs w:val="18"/>
              </w:rPr>
            </w:pPr>
          </w:p>
        </w:tc>
        <w:tc>
          <w:tcPr>
            <w:tcW w:w="40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C53085">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省星级现代农业园区创建升星经费1个50万元，市星级现代农业园区创建升星经费3个30万元。文件依据： 中共四川省委农村工作领导小组&lt;关于印发《四川省现代农业园区分类创建认定评分标准&gt;的通知》（川农领〔2022〕12号 ），2022年5月1日起施行的《四川省现代农业园区条例》。为海龙凯歌整体升级而奠定基础。</w:t>
            </w:r>
          </w:p>
        </w:tc>
        <w:tc>
          <w:tcPr>
            <w:tcW w:w="32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E7B97A">
            <w:pPr>
              <w:widowControl/>
              <w:spacing w:line="210" w:lineRule="exact"/>
              <w:jc w:val="left"/>
              <w:textAlignment w:val="center"/>
              <w:rPr>
                <w:rFonts w:ascii="黑体" w:hAnsi="黑体" w:eastAsia="黑体" w:cs="黑体"/>
                <w:color w:val="000000"/>
                <w:sz w:val="18"/>
                <w:szCs w:val="18"/>
              </w:rPr>
            </w:pPr>
            <w:r>
              <w:rPr>
                <w:rFonts w:ascii="黑体" w:hAnsi="黑体" w:eastAsia="黑体" w:cs="黑体"/>
                <w:color w:val="000000"/>
                <w:kern w:val="0"/>
                <w:sz w:val="18"/>
                <w:szCs w:val="18"/>
                <w:lang w:bidi="ar"/>
              </w:rPr>
              <w:t>202</w:t>
            </w:r>
            <w:r>
              <w:rPr>
                <w:rFonts w:hint="eastAsia" w:ascii="黑体" w:hAnsi="黑体" w:eastAsia="黑体" w:cs="黑体"/>
                <w:color w:val="000000"/>
                <w:kern w:val="0"/>
                <w:sz w:val="18"/>
                <w:szCs w:val="18"/>
                <w:lang w:val="en-US" w:eastAsia="zh-CN" w:bidi="ar"/>
              </w:rPr>
              <w:t>4</w:t>
            </w:r>
            <w:r>
              <w:rPr>
                <w:rFonts w:ascii="黑体" w:hAnsi="黑体" w:eastAsia="黑体" w:cs="黑体"/>
                <w:color w:val="000000"/>
                <w:kern w:val="0"/>
                <w:sz w:val="18"/>
                <w:szCs w:val="18"/>
                <w:lang w:bidi="ar"/>
              </w:rPr>
              <w:t>年度完成园区创建升星级3个。</w:t>
            </w:r>
          </w:p>
        </w:tc>
      </w:tr>
      <w:tr w14:paraId="408783F0">
        <w:tblPrEx>
          <w:tblCellMar>
            <w:top w:w="0" w:type="dxa"/>
            <w:left w:w="108" w:type="dxa"/>
            <w:bottom w:w="0" w:type="dxa"/>
            <w:right w:w="108" w:type="dxa"/>
          </w:tblCellMar>
        </w:tblPrEx>
        <w:trPr>
          <w:trHeight w:val="694"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B2F21">
            <w:pPr>
              <w:spacing w:line="210" w:lineRule="exact"/>
              <w:jc w:val="left"/>
              <w:rPr>
                <w:rFonts w:ascii="宋体" w:hAnsi="宋体" w:cs="宋体"/>
                <w:color w:val="000000"/>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03169">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726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CB0B30F">
            <w:pPr>
              <w:spacing w:line="210" w:lineRule="exact"/>
              <w:jc w:val="left"/>
              <w:rPr>
                <w:rFonts w:hint="eastAsia" w:ascii="宋体" w:hAnsi="宋体" w:cs="宋体"/>
                <w:color w:val="000000"/>
                <w:sz w:val="18"/>
                <w:szCs w:val="18"/>
              </w:rPr>
            </w:pPr>
            <w:r>
              <w:rPr>
                <w:rFonts w:ascii="宋体" w:hAnsi="宋体" w:cs="宋体"/>
                <w:color w:val="000000"/>
                <w:kern w:val="0"/>
                <w:sz w:val="18"/>
                <w:szCs w:val="18"/>
                <w:lang w:bidi="ar"/>
              </w:rPr>
              <w:t>省星级现代农业园区创建升星经费</w:t>
            </w:r>
            <w:r>
              <w:rPr>
                <w:rFonts w:hint="eastAsia" w:ascii="宋体" w:hAnsi="宋体" w:cs="宋体"/>
                <w:color w:val="000000"/>
                <w:kern w:val="0"/>
                <w:sz w:val="18"/>
                <w:szCs w:val="18"/>
                <w:lang w:bidi="ar"/>
              </w:rPr>
              <w:t>提升其产业水平、科技含量和市场竞争力，为农业现代化和乡村振兴做出更大的贡献。</w:t>
            </w:r>
          </w:p>
        </w:tc>
      </w:tr>
      <w:tr w14:paraId="745D7A7F">
        <w:tblPrEx>
          <w:tblCellMar>
            <w:top w:w="0" w:type="dxa"/>
            <w:left w:w="108" w:type="dxa"/>
            <w:bottom w:w="0" w:type="dxa"/>
            <w:right w:w="108" w:type="dxa"/>
          </w:tblCellMar>
        </w:tblPrEx>
        <w:trPr>
          <w:trHeight w:val="360" w:hRule="atLeast"/>
        </w:trPr>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01DDC5">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C367">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F5F8D">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540BE">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20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3187E4">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5E0AB">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89463">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04E9">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F0CC">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14:paraId="39C40F00">
        <w:tblPrEx>
          <w:tblCellMar>
            <w:top w:w="0" w:type="dxa"/>
            <w:left w:w="108" w:type="dxa"/>
            <w:bottom w:w="0" w:type="dxa"/>
            <w:right w:w="108" w:type="dxa"/>
          </w:tblCellMar>
        </w:tblPrEx>
        <w:trPr>
          <w:trHeight w:val="345"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6CD30">
            <w:pPr>
              <w:spacing w:line="210" w:lineRule="exact"/>
              <w:jc w:val="left"/>
              <w:rPr>
                <w:rFonts w:ascii="宋体" w:hAnsi="宋体" w:cs="宋体"/>
                <w:color w:val="000000"/>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7D58C">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E92AA">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5.00</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F5663">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5.00</w:t>
            </w:r>
          </w:p>
        </w:tc>
        <w:tc>
          <w:tcPr>
            <w:tcW w:w="20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70C1FE">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5.00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58E1">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D6C1">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A631">
            <w:pPr>
              <w:spacing w:line="210" w:lineRule="exact"/>
              <w:jc w:val="left"/>
              <w:rPr>
                <w:rFonts w:ascii="宋体" w:hAnsi="宋体" w:cs="宋体"/>
                <w:color w:val="000000"/>
                <w:sz w:val="18"/>
                <w:szCs w:val="18"/>
              </w:rPr>
            </w:pP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AA8F38">
            <w:pPr>
              <w:spacing w:line="210" w:lineRule="exact"/>
              <w:jc w:val="left"/>
              <w:rPr>
                <w:rFonts w:ascii="黑体" w:hAnsi="黑体" w:eastAsia="黑体" w:cs="黑体"/>
                <w:i/>
                <w:iCs/>
                <w:color w:val="000000"/>
                <w:sz w:val="18"/>
                <w:szCs w:val="18"/>
              </w:rPr>
            </w:pPr>
          </w:p>
        </w:tc>
      </w:tr>
      <w:tr w14:paraId="0E270264">
        <w:tblPrEx>
          <w:tblCellMar>
            <w:top w:w="0" w:type="dxa"/>
            <w:left w:w="108" w:type="dxa"/>
            <w:bottom w:w="0" w:type="dxa"/>
            <w:right w:w="108" w:type="dxa"/>
          </w:tblCellMar>
        </w:tblPrEx>
        <w:trPr>
          <w:trHeight w:val="390"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F9D34">
            <w:pPr>
              <w:spacing w:line="210" w:lineRule="exact"/>
              <w:jc w:val="left"/>
              <w:rPr>
                <w:rFonts w:ascii="宋体" w:hAnsi="宋体" w:cs="宋体"/>
                <w:color w:val="000000"/>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44E64">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10255">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5.00</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1A4C5">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5.00</w:t>
            </w:r>
          </w:p>
        </w:tc>
        <w:tc>
          <w:tcPr>
            <w:tcW w:w="20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0D5824">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5.00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F6880">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C4DA">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98650">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772DB">
            <w:pPr>
              <w:spacing w:line="210" w:lineRule="exact"/>
              <w:jc w:val="left"/>
              <w:rPr>
                <w:rFonts w:ascii="黑体" w:hAnsi="黑体" w:eastAsia="黑体" w:cs="黑体"/>
                <w:i/>
                <w:iCs/>
                <w:color w:val="000000"/>
                <w:sz w:val="18"/>
                <w:szCs w:val="18"/>
              </w:rPr>
            </w:pPr>
          </w:p>
        </w:tc>
      </w:tr>
      <w:tr w14:paraId="39B9C8D1">
        <w:tblPrEx>
          <w:tblCellMar>
            <w:top w:w="0" w:type="dxa"/>
            <w:left w:w="108" w:type="dxa"/>
            <w:bottom w:w="0" w:type="dxa"/>
            <w:right w:w="108" w:type="dxa"/>
          </w:tblCellMar>
        </w:tblPrEx>
        <w:trPr>
          <w:trHeight w:val="409"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1F51E">
            <w:pPr>
              <w:spacing w:line="210" w:lineRule="exact"/>
              <w:jc w:val="left"/>
              <w:rPr>
                <w:rFonts w:ascii="宋体" w:hAnsi="宋体" w:cs="宋体"/>
                <w:color w:val="000000"/>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053E">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EC59D">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FFD89">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B65F60">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88AB8">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ECC9C">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12F35">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C7FAF">
            <w:pPr>
              <w:spacing w:line="210" w:lineRule="exact"/>
              <w:jc w:val="left"/>
              <w:rPr>
                <w:rFonts w:ascii="黑体" w:hAnsi="黑体" w:eastAsia="黑体" w:cs="黑体"/>
                <w:i/>
                <w:iCs/>
                <w:color w:val="000000"/>
                <w:sz w:val="18"/>
                <w:szCs w:val="18"/>
              </w:rPr>
            </w:pPr>
          </w:p>
        </w:tc>
      </w:tr>
      <w:tr w14:paraId="2072DE85">
        <w:tblPrEx>
          <w:tblCellMar>
            <w:top w:w="0" w:type="dxa"/>
            <w:left w:w="108" w:type="dxa"/>
            <w:bottom w:w="0" w:type="dxa"/>
            <w:right w:w="108" w:type="dxa"/>
          </w:tblCellMar>
        </w:tblPrEx>
        <w:trPr>
          <w:trHeight w:val="360"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56F4C">
            <w:pPr>
              <w:spacing w:line="210" w:lineRule="exact"/>
              <w:jc w:val="left"/>
              <w:rPr>
                <w:rFonts w:ascii="宋体" w:hAnsi="宋体" w:cs="宋体"/>
                <w:color w:val="000000"/>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BB1D8">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84AAA">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E5C9A">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B00729">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A6EEA">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422B4">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F55B">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795E6">
            <w:pPr>
              <w:spacing w:line="210" w:lineRule="exact"/>
              <w:jc w:val="left"/>
              <w:rPr>
                <w:rFonts w:ascii="黑体" w:hAnsi="黑体" w:eastAsia="黑体" w:cs="黑体"/>
                <w:i/>
                <w:iCs/>
                <w:color w:val="000000"/>
                <w:sz w:val="18"/>
                <w:szCs w:val="18"/>
              </w:rPr>
            </w:pPr>
          </w:p>
        </w:tc>
      </w:tr>
      <w:tr w14:paraId="197DA6E4">
        <w:tblPrEx>
          <w:tblCellMar>
            <w:top w:w="0" w:type="dxa"/>
            <w:left w:w="108" w:type="dxa"/>
            <w:bottom w:w="0" w:type="dxa"/>
            <w:right w:w="108" w:type="dxa"/>
          </w:tblCellMar>
        </w:tblPrEx>
        <w:trPr>
          <w:trHeight w:val="338"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0523F">
            <w:pPr>
              <w:spacing w:line="210" w:lineRule="exact"/>
              <w:jc w:val="left"/>
              <w:rPr>
                <w:rFonts w:ascii="宋体" w:hAnsi="宋体" w:cs="宋体"/>
                <w:color w:val="000000"/>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6278E">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3CCB9">
            <w:pPr>
              <w:spacing w:line="210" w:lineRule="exact"/>
              <w:jc w:val="left"/>
              <w:rPr>
                <w:rFonts w:ascii="微软雅黑" w:hAnsi="微软雅黑" w:eastAsia="微软雅黑" w:cs="微软雅黑"/>
                <w:i/>
                <w:iCs/>
                <w:color w:val="000000"/>
                <w:sz w:val="16"/>
                <w:szCs w:val="16"/>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04E43">
            <w:pPr>
              <w:spacing w:line="210" w:lineRule="exact"/>
              <w:jc w:val="left"/>
              <w:rPr>
                <w:rFonts w:ascii="微软雅黑" w:hAnsi="微软雅黑" w:eastAsia="微软雅黑" w:cs="微软雅黑"/>
                <w:i/>
                <w:iCs/>
                <w:color w:val="000000"/>
                <w:sz w:val="16"/>
                <w:szCs w:val="16"/>
              </w:rPr>
            </w:pPr>
          </w:p>
        </w:tc>
        <w:tc>
          <w:tcPr>
            <w:tcW w:w="20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5883DE">
            <w:pPr>
              <w:spacing w:line="210" w:lineRule="exact"/>
              <w:jc w:val="left"/>
              <w:rPr>
                <w:rFonts w:ascii="微软雅黑" w:hAnsi="微软雅黑" w:eastAsia="微软雅黑" w:cs="微软雅黑"/>
                <w:i/>
                <w:iCs/>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173A7">
            <w:pPr>
              <w:spacing w:line="210" w:lineRule="exact"/>
              <w:jc w:val="left"/>
              <w:rPr>
                <w:rFonts w:ascii="微软雅黑" w:hAnsi="微软雅黑" w:eastAsia="微软雅黑" w:cs="微软雅黑"/>
                <w:i/>
                <w:iCs/>
                <w:color w:val="000000"/>
                <w:sz w:val="16"/>
                <w:szCs w:val="16"/>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73789">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65F63">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B6401">
            <w:pPr>
              <w:spacing w:line="210" w:lineRule="exact"/>
              <w:jc w:val="left"/>
              <w:rPr>
                <w:rFonts w:ascii="黑体" w:hAnsi="黑体" w:eastAsia="黑体" w:cs="黑体"/>
                <w:i/>
                <w:iCs/>
                <w:color w:val="000000"/>
                <w:sz w:val="18"/>
                <w:szCs w:val="18"/>
              </w:rPr>
            </w:pPr>
          </w:p>
        </w:tc>
      </w:tr>
      <w:tr w14:paraId="0F90CF52">
        <w:tblPrEx>
          <w:tblCellMar>
            <w:top w:w="0" w:type="dxa"/>
            <w:left w:w="108" w:type="dxa"/>
            <w:bottom w:w="0" w:type="dxa"/>
            <w:right w:w="108" w:type="dxa"/>
          </w:tblCellMar>
        </w:tblPrEx>
        <w:trPr>
          <w:trHeight w:val="454" w:hRule="atLeast"/>
        </w:trPr>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C0C0B7">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DE6B9">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8F45D">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E7818">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FA842">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C4AD0">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C4EE3">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4EB5F">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CAED">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97A89">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E134E">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14:paraId="13C9C8BA">
        <w:tblPrEx>
          <w:tblCellMar>
            <w:top w:w="0" w:type="dxa"/>
            <w:left w:w="108" w:type="dxa"/>
            <w:bottom w:w="0" w:type="dxa"/>
            <w:right w:w="108" w:type="dxa"/>
          </w:tblCellMar>
        </w:tblPrEx>
        <w:trPr>
          <w:trHeight w:val="338"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216AB">
            <w:pPr>
              <w:spacing w:line="210" w:lineRule="exact"/>
              <w:jc w:val="left"/>
              <w:rPr>
                <w:rFonts w:ascii="宋体" w:hAnsi="宋体" w:cs="宋体"/>
                <w:color w:val="000000"/>
                <w:sz w:val="18"/>
                <w:szCs w:val="18"/>
              </w:rPr>
            </w:pPr>
          </w:p>
        </w:tc>
        <w:tc>
          <w:tcPr>
            <w:tcW w:w="9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77D5B8">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产出指标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84EDA">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数量指标</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E8CE0">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升级园区个数</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548B3">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F1C9">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2</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E76D">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个</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08262">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2</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241E0">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8D26E">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F066E">
            <w:pPr>
              <w:spacing w:line="210" w:lineRule="exact"/>
              <w:jc w:val="left"/>
              <w:rPr>
                <w:rFonts w:ascii="微软雅黑" w:hAnsi="微软雅黑" w:eastAsia="微软雅黑" w:cs="微软雅黑"/>
                <w:i/>
                <w:iCs/>
                <w:color w:val="000000"/>
                <w:sz w:val="16"/>
                <w:szCs w:val="16"/>
              </w:rPr>
            </w:pPr>
          </w:p>
        </w:tc>
      </w:tr>
      <w:tr w14:paraId="06555226">
        <w:tblPrEx>
          <w:tblCellMar>
            <w:top w:w="0" w:type="dxa"/>
            <w:left w:w="108" w:type="dxa"/>
            <w:bottom w:w="0" w:type="dxa"/>
            <w:right w:w="108" w:type="dxa"/>
          </w:tblCellMar>
        </w:tblPrEx>
        <w:trPr>
          <w:trHeight w:val="338"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46879">
            <w:pPr>
              <w:spacing w:line="210" w:lineRule="exact"/>
              <w:jc w:val="left"/>
              <w:rPr>
                <w:rFonts w:ascii="宋体" w:hAnsi="宋体" w:cs="宋体"/>
                <w:color w:val="000000"/>
                <w:sz w:val="18"/>
                <w:szCs w:val="18"/>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2972D">
            <w:pPr>
              <w:spacing w:line="210" w:lineRule="exact"/>
              <w:jc w:val="left"/>
              <w:rPr>
                <w:rFonts w:ascii="宋体" w:hAnsi="宋体" w:cs="宋体"/>
                <w:color w:val="000000"/>
                <w:sz w:val="18"/>
                <w:szCs w:val="18"/>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F81C6">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质量指标</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52C0F">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创星入围率</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CFFFF">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B6FF">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40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2D690">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921FE">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40</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1059B">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0696D">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73F41">
            <w:pPr>
              <w:spacing w:line="210" w:lineRule="exact"/>
              <w:jc w:val="left"/>
              <w:rPr>
                <w:rFonts w:ascii="微软雅黑" w:hAnsi="微软雅黑" w:eastAsia="微软雅黑" w:cs="微软雅黑"/>
                <w:i/>
                <w:iCs/>
                <w:color w:val="000000"/>
                <w:sz w:val="16"/>
                <w:szCs w:val="16"/>
              </w:rPr>
            </w:pPr>
          </w:p>
        </w:tc>
      </w:tr>
      <w:tr w14:paraId="72673F8B">
        <w:tblPrEx>
          <w:tblCellMar>
            <w:top w:w="0" w:type="dxa"/>
            <w:left w:w="108" w:type="dxa"/>
            <w:bottom w:w="0" w:type="dxa"/>
            <w:right w:w="108" w:type="dxa"/>
          </w:tblCellMar>
        </w:tblPrEx>
        <w:trPr>
          <w:trHeight w:val="338"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38B42">
            <w:pPr>
              <w:spacing w:line="210" w:lineRule="exact"/>
              <w:jc w:val="left"/>
              <w:rPr>
                <w:rFonts w:ascii="宋体" w:hAnsi="宋体" w:cs="宋体"/>
                <w:color w:val="000000"/>
                <w:sz w:val="18"/>
                <w:szCs w:val="18"/>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867F7">
            <w:pPr>
              <w:spacing w:line="210" w:lineRule="exact"/>
              <w:jc w:val="left"/>
              <w:rPr>
                <w:rFonts w:ascii="宋体" w:hAnsi="宋体" w:cs="宋体"/>
                <w:color w:val="000000"/>
                <w:sz w:val="18"/>
                <w:szCs w:val="18"/>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3CE66">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时效指标</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E6B70">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项目完成时间</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1B13B">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F8954">
            <w:pPr>
              <w:widowControl/>
              <w:spacing w:line="210" w:lineRule="exact"/>
              <w:jc w:val="left"/>
              <w:textAlignment w:val="center"/>
              <w:rPr>
                <w:rFonts w:hint="eastAsia" w:ascii="宋体" w:hAnsi="宋体" w:eastAsia="宋体" w:cs="宋体"/>
                <w:color w:val="000000"/>
                <w:sz w:val="18"/>
                <w:szCs w:val="18"/>
                <w:lang w:eastAsia="zh-CN"/>
              </w:rPr>
            </w:pPr>
            <w:r>
              <w:rPr>
                <w:rFonts w:ascii="宋体" w:hAnsi="宋体" w:cs="宋体"/>
                <w:color w:val="000000"/>
                <w:kern w:val="0"/>
                <w:sz w:val="18"/>
                <w:szCs w:val="18"/>
                <w:lang w:bidi="ar"/>
              </w:rPr>
              <w:t>202</w:t>
            </w:r>
            <w:r>
              <w:rPr>
                <w:rFonts w:hint="eastAsia" w:ascii="宋体" w:hAnsi="宋体" w:cs="宋体"/>
                <w:color w:val="000000"/>
                <w:kern w:val="0"/>
                <w:sz w:val="18"/>
                <w:szCs w:val="18"/>
                <w:lang w:val="en-US" w:eastAsia="zh-CN" w:bidi="ar"/>
              </w:rPr>
              <w:t>4</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CD951">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年</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8F4EF">
            <w:pPr>
              <w:widowControl/>
              <w:spacing w:line="210" w:lineRule="exact"/>
              <w:jc w:val="left"/>
              <w:textAlignment w:val="center"/>
              <w:rPr>
                <w:rFonts w:hint="eastAsia" w:ascii="宋体" w:hAnsi="宋体" w:eastAsia="宋体" w:cs="宋体"/>
                <w:color w:val="000000"/>
                <w:sz w:val="18"/>
                <w:szCs w:val="18"/>
                <w:lang w:eastAsia="zh-CN"/>
              </w:rPr>
            </w:pPr>
            <w:r>
              <w:rPr>
                <w:rFonts w:ascii="宋体" w:hAnsi="宋体" w:cs="宋体"/>
                <w:color w:val="000000"/>
                <w:kern w:val="0"/>
                <w:sz w:val="18"/>
                <w:szCs w:val="18"/>
                <w:lang w:bidi="ar"/>
              </w:rPr>
              <w:t>202</w:t>
            </w:r>
            <w:r>
              <w:rPr>
                <w:rFonts w:hint="eastAsia" w:ascii="宋体" w:hAnsi="宋体" w:cs="宋体"/>
                <w:color w:val="000000"/>
                <w:kern w:val="0"/>
                <w:sz w:val="18"/>
                <w:szCs w:val="18"/>
                <w:lang w:val="en-US" w:eastAsia="zh-CN" w:bidi="ar"/>
              </w:rPr>
              <w:t>4</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09F36">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40EA9">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A847">
            <w:pPr>
              <w:spacing w:line="210" w:lineRule="exact"/>
              <w:jc w:val="left"/>
              <w:rPr>
                <w:rFonts w:ascii="微软雅黑" w:hAnsi="微软雅黑" w:eastAsia="微软雅黑" w:cs="微软雅黑"/>
                <w:i/>
                <w:iCs/>
                <w:color w:val="000000"/>
                <w:sz w:val="16"/>
                <w:szCs w:val="16"/>
              </w:rPr>
            </w:pPr>
          </w:p>
        </w:tc>
      </w:tr>
      <w:tr w14:paraId="46FBA731">
        <w:tblPrEx>
          <w:tblCellMar>
            <w:top w:w="0" w:type="dxa"/>
            <w:left w:w="108" w:type="dxa"/>
            <w:bottom w:w="0" w:type="dxa"/>
            <w:right w:w="108" w:type="dxa"/>
          </w:tblCellMar>
        </w:tblPrEx>
        <w:trPr>
          <w:trHeight w:val="338"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010D7">
            <w:pPr>
              <w:spacing w:line="210" w:lineRule="exact"/>
              <w:jc w:val="left"/>
              <w:rPr>
                <w:rFonts w:ascii="宋体" w:hAnsi="宋体" w:cs="宋体"/>
                <w:color w:val="000000"/>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118AB">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效益指标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FA0A8">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经济效益指标</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1A48F">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扩大知名度</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7B712">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2315">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高</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C1155">
            <w:pPr>
              <w:spacing w:line="210" w:lineRule="exact"/>
              <w:jc w:val="left"/>
              <w:rPr>
                <w:rFonts w:ascii="宋体" w:hAnsi="宋体" w:cs="宋体"/>
                <w:color w:val="000000"/>
                <w:sz w:val="18"/>
                <w:szCs w:val="18"/>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5E63">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高</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C6635">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E5AC4">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6EFE1">
            <w:pPr>
              <w:spacing w:line="210" w:lineRule="exact"/>
              <w:jc w:val="left"/>
              <w:rPr>
                <w:rFonts w:ascii="微软雅黑" w:hAnsi="微软雅黑" w:eastAsia="微软雅黑" w:cs="微软雅黑"/>
                <w:i/>
                <w:iCs/>
                <w:color w:val="000000"/>
                <w:sz w:val="16"/>
                <w:szCs w:val="16"/>
              </w:rPr>
            </w:pPr>
          </w:p>
        </w:tc>
      </w:tr>
      <w:tr w14:paraId="2C7B477B">
        <w:tblPrEx>
          <w:tblCellMar>
            <w:top w:w="0" w:type="dxa"/>
            <w:left w:w="108" w:type="dxa"/>
            <w:bottom w:w="0" w:type="dxa"/>
            <w:right w:w="108" w:type="dxa"/>
          </w:tblCellMar>
        </w:tblPrEx>
        <w:trPr>
          <w:trHeight w:val="338"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DE62D">
            <w:pPr>
              <w:spacing w:line="210" w:lineRule="exact"/>
              <w:jc w:val="left"/>
              <w:rPr>
                <w:rFonts w:ascii="宋体" w:hAnsi="宋体" w:cs="宋体"/>
                <w:color w:val="000000"/>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FC54B">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满意度指标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ED74E">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满意度指标</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20350">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服务对象满意</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4EB8B">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02EBC">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643D2">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B83B9">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4442">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126F7">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16E4E">
            <w:pPr>
              <w:spacing w:line="210" w:lineRule="exact"/>
              <w:jc w:val="left"/>
              <w:rPr>
                <w:rFonts w:ascii="微软雅黑" w:hAnsi="微软雅黑" w:eastAsia="微软雅黑" w:cs="微软雅黑"/>
                <w:i/>
                <w:iCs/>
                <w:color w:val="000000"/>
                <w:sz w:val="16"/>
                <w:szCs w:val="16"/>
              </w:rPr>
            </w:pPr>
          </w:p>
        </w:tc>
      </w:tr>
      <w:tr w14:paraId="1DFE52DE">
        <w:tblPrEx>
          <w:tblCellMar>
            <w:top w:w="0" w:type="dxa"/>
            <w:left w:w="108" w:type="dxa"/>
            <w:bottom w:w="0" w:type="dxa"/>
            <w:right w:w="108" w:type="dxa"/>
          </w:tblCellMar>
        </w:tblPrEx>
        <w:trPr>
          <w:trHeight w:val="338"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C6E04">
            <w:pPr>
              <w:spacing w:line="210" w:lineRule="exact"/>
              <w:jc w:val="left"/>
              <w:rPr>
                <w:rFonts w:ascii="宋体" w:hAnsi="宋体" w:cs="宋体"/>
                <w:color w:val="000000"/>
                <w:sz w:val="18"/>
                <w:szCs w:val="18"/>
              </w:rPr>
            </w:pPr>
          </w:p>
        </w:tc>
        <w:tc>
          <w:tcPr>
            <w:tcW w:w="9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AACF2">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成本指标</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74DC76">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经济成本指标</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B56F6">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接待费</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D7179">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33D62">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3</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D0BC4">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万元</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88D90">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3</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B7932">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186D0">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0FD63">
            <w:pPr>
              <w:spacing w:line="210" w:lineRule="exact"/>
              <w:jc w:val="left"/>
              <w:rPr>
                <w:rFonts w:ascii="微软雅黑" w:hAnsi="微软雅黑" w:eastAsia="微软雅黑" w:cs="微软雅黑"/>
                <w:i/>
                <w:iCs/>
                <w:color w:val="000000"/>
                <w:sz w:val="16"/>
                <w:szCs w:val="16"/>
              </w:rPr>
            </w:pPr>
          </w:p>
        </w:tc>
      </w:tr>
      <w:tr w14:paraId="709A4155">
        <w:tblPrEx>
          <w:tblCellMar>
            <w:top w:w="0" w:type="dxa"/>
            <w:left w:w="108" w:type="dxa"/>
            <w:bottom w:w="0" w:type="dxa"/>
            <w:right w:w="108" w:type="dxa"/>
          </w:tblCellMar>
        </w:tblPrEx>
        <w:trPr>
          <w:trHeight w:val="338"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97115">
            <w:pPr>
              <w:spacing w:line="210" w:lineRule="exact"/>
              <w:jc w:val="left"/>
              <w:rPr>
                <w:rFonts w:ascii="宋体" w:hAnsi="宋体" w:cs="宋体"/>
                <w:color w:val="000000"/>
                <w:sz w:val="18"/>
                <w:szCs w:val="18"/>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68B87">
            <w:pPr>
              <w:spacing w:line="210" w:lineRule="exact"/>
              <w:jc w:val="left"/>
              <w:rPr>
                <w:rFonts w:ascii="宋体" w:hAnsi="宋体" w:cs="宋体"/>
                <w:color w:val="000000"/>
                <w:sz w:val="18"/>
                <w:szCs w:val="18"/>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3EB91">
            <w:pPr>
              <w:spacing w:line="210" w:lineRule="exact"/>
              <w:jc w:val="left"/>
              <w:rPr>
                <w:rFonts w:ascii="宋体" w:hAnsi="宋体" w:cs="宋体"/>
                <w:color w:val="000000"/>
                <w:sz w:val="18"/>
                <w:szCs w:val="18"/>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58E30">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宣传费</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53B6D">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7A509">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CF375">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万元</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0521B">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0DAFF">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FDEB5">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CB814">
            <w:pPr>
              <w:spacing w:line="210" w:lineRule="exact"/>
              <w:jc w:val="left"/>
              <w:rPr>
                <w:rFonts w:ascii="微软雅黑" w:hAnsi="微软雅黑" w:eastAsia="微软雅黑" w:cs="微软雅黑"/>
                <w:i/>
                <w:iCs/>
                <w:color w:val="000000"/>
                <w:sz w:val="16"/>
                <w:szCs w:val="16"/>
              </w:rPr>
            </w:pPr>
          </w:p>
        </w:tc>
      </w:tr>
      <w:tr w14:paraId="1BED9443">
        <w:tblPrEx>
          <w:tblCellMar>
            <w:top w:w="0" w:type="dxa"/>
            <w:left w:w="108" w:type="dxa"/>
            <w:bottom w:w="0" w:type="dxa"/>
            <w:right w:w="108" w:type="dxa"/>
          </w:tblCellMar>
        </w:tblPrEx>
        <w:trPr>
          <w:trHeight w:val="338"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30843">
            <w:pPr>
              <w:spacing w:line="210" w:lineRule="exact"/>
              <w:jc w:val="left"/>
              <w:rPr>
                <w:rFonts w:ascii="宋体" w:hAnsi="宋体" w:cs="宋体"/>
                <w:color w:val="000000"/>
                <w:sz w:val="18"/>
                <w:szCs w:val="18"/>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1C22F">
            <w:pPr>
              <w:spacing w:line="210" w:lineRule="exact"/>
              <w:jc w:val="left"/>
              <w:rPr>
                <w:rFonts w:ascii="宋体" w:hAnsi="宋体" w:cs="宋体"/>
                <w:color w:val="000000"/>
                <w:sz w:val="18"/>
                <w:szCs w:val="18"/>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61042">
            <w:pPr>
              <w:spacing w:line="210" w:lineRule="exact"/>
              <w:jc w:val="left"/>
              <w:rPr>
                <w:rFonts w:ascii="宋体" w:hAnsi="宋体" w:cs="宋体"/>
                <w:color w:val="000000"/>
                <w:sz w:val="18"/>
                <w:szCs w:val="18"/>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54D73">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印刷费</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D75A1">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203D3">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9EA85">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万元</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3BCAF">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7FA1F">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50C72">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A243A">
            <w:pPr>
              <w:spacing w:line="210" w:lineRule="exact"/>
              <w:jc w:val="left"/>
              <w:rPr>
                <w:rFonts w:ascii="微软雅黑" w:hAnsi="微软雅黑" w:eastAsia="微软雅黑" w:cs="微软雅黑"/>
                <w:i/>
                <w:iCs/>
                <w:color w:val="000000"/>
                <w:sz w:val="16"/>
                <w:szCs w:val="16"/>
              </w:rPr>
            </w:pPr>
          </w:p>
        </w:tc>
      </w:tr>
      <w:tr w14:paraId="47F12089">
        <w:tblPrEx>
          <w:tblCellMar>
            <w:top w:w="0" w:type="dxa"/>
            <w:left w:w="108" w:type="dxa"/>
            <w:bottom w:w="0" w:type="dxa"/>
            <w:right w:w="108" w:type="dxa"/>
          </w:tblCellMar>
        </w:tblPrEx>
        <w:trPr>
          <w:trHeight w:val="285" w:hRule="atLeast"/>
        </w:trPr>
        <w:tc>
          <w:tcPr>
            <w:tcW w:w="776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4C7F2F8">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36CFA">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01EC">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127FC">
            <w:pPr>
              <w:spacing w:line="210" w:lineRule="exact"/>
              <w:jc w:val="left"/>
              <w:rPr>
                <w:rFonts w:ascii="宋体" w:hAnsi="宋体" w:cs="宋体"/>
                <w:color w:val="000000"/>
                <w:sz w:val="18"/>
                <w:szCs w:val="18"/>
              </w:rPr>
            </w:pPr>
          </w:p>
        </w:tc>
      </w:tr>
      <w:tr w14:paraId="2A8CDAE6">
        <w:tblPrEx>
          <w:tblCellMar>
            <w:top w:w="0" w:type="dxa"/>
            <w:left w:w="108" w:type="dxa"/>
            <w:bottom w:w="0" w:type="dxa"/>
            <w:right w:w="108" w:type="dxa"/>
          </w:tblCellMar>
        </w:tblPrEx>
        <w:trPr>
          <w:trHeight w:val="604" w:hRule="atLeast"/>
        </w:trPr>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15313">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82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C0285BA">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总体上看，项目目标明确、资金到位率高、组织监管体系完善。我园区对文旅园区产业招引产业补助经费项目资金较好地实现了绩效目标。</w:t>
            </w:r>
          </w:p>
        </w:tc>
      </w:tr>
      <w:tr w14:paraId="54735E7B">
        <w:tblPrEx>
          <w:tblCellMar>
            <w:top w:w="0" w:type="dxa"/>
            <w:left w:w="108" w:type="dxa"/>
            <w:bottom w:w="0" w:type="dxa"/>
            <w:right w:w="108" w:type="dxa"/>
          </w:tblCellMar>
        </w:tblPrEx>
        <w:trPr>
          <w:trHeight w:val="574" w:hRule="atLeast"/>
        </w:trPr>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0B6AE">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82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05810EB">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在实际执行过程中，可能存在经费使用不规范的情况,对经费使用的监管可能存在不足，导致资金使用的效率和效果受到影响。</w:t>
            </w:r>
          </w:p>
        </w:tc>
      </w:tr>
      <w:tr w14:paraId="4E480ED7">
        <w:tblPrEx>
          <w:tblCellMar>
            <w:top w:w="0" w:type="dxa"/>
            <w:left w:w="108" w:type="dxa"/>
            <w:bottom w:w="0" w:type="dxa"/>
            <w:right w:w="108" w:type="dxa"/>
          </w:tblCellMar>
        </w:tblPrEx>
        <w:trPr>
          <w:trHeight w:val="634" w:hRule="atLeast"/>
        </w:trPr>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F5B4C2">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726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7F8BA3C">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争取节约工作经费，全面开展好工作，不断提高工作科学化、规范化、法治化水平。</w:t>
            </w:r>
          </w:p>
        </w:tc>
      </w:tr>
      <w:tr w14:paraId="01BC43CF">
        <w:tblPrEx>
          <w:tblCellMar>
            <w:top w:w="0" w:type="dxa"/>
            <w:left w:w="108" w:type="dxa"/>
            <w:bottom w:w="0" w:type="dxa"/>
            <w:right w:w="108" w:type="dxa"/>
          </w:tblCellMar>
        </w:tblPrEx>
        <w:trPr>
          <w:trHeight w:val="285" w:hRule="atLeast"/>
        </w:trPr>
        <w:tc>
          <w:tcPr>
            <w:tcW w:w="51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E19350">
            <w:pPr>
              <w:widowControl/>
              <w:spacing w:line="210" w:lineRule="exact"/>
              <w:jc w:val="left"/>
              <w:textAlignment w:val="center"/>
              <w:rPr>
                <w:rFonts w:ascii="黑体" w:hAnsi="黑体" w:eastAsia="黑体" w:cs="黑体"/>
                <w:color w:val="000000"/>
                <w:sz w:val="18"/>
                <w:szCs w:val="18"/>
              </w:rPr>
            </w:pPr>
            <w:r>
              <w:rPr>
                <w:rFonts w:ascii="黑体" w:hAnsi="黑体" w:eastAsia="黑体" w:cs="黑体"/>
                <w:color w:val="000000"/>
                <w:kern w:val="0"/>
                <w:sz w:val="18"/>
                <w:szCs w:val="18"/>
                <w:lang w:bidi="ar"/>
              </w:rPr>
              <w:t>项目负责人：肖命钦</w:t>
            </w:r>
          </w:p>
        </w:tc>
        <w:tc>
          <w:tcPr>
            <w:tcW w:w="45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0D74E97">
            <w:pPr>
              <w:widowControl/>
              <w:spacing w:line="210" w:lineRule="exact"/>
              <w:jc w:val="left"/>
              <w:textAlignment w:val="center"/>
              <w:rPr>
                <w:rFonts w:ascii="黑体" w:hAnsi="黑体" w:eastAsia="黑体" w:cs="黑体"/>
                <w:color w:val="000000"/>
                <w:sz w:val="18"/>
                <w:szCs w:val="18"/>
              </w:rPr>
            </w:pPr>
            <w:r>
              <w:rPr>
                <w:rFonts w:ascii="黑体" w:hAnsi="黑体" w:eastAsia="黑体" w:cs="黑体"/>
                <w:color w:val="000000"/>
                <w:kern w:val="0"/>
                <w:sz w:val="18"/>
                <w:szCs w:val="18"/>
                <w:lang w:bidi="ar"/>
              </w:rPr>
              <w:t>财务负责人：段高辉</w:t>
            </w:r>
          </w:p>
        </w:tc>
      </w:tr>
    </w:tbl>
    <w:p w14:paraId="49ED3B4E">
      <w:pPr>
        <w:spacing w:line="576" w:lineRule="exact"/>
        <w:jc w:val="both"/>
        <w:rPr>
          <w:rFonts w:hint="eastAsia" w:ascii="仿宋_GB2312" w:hAnsi="宋体" w:eastAsia="仿宋_GB2312"/>
          <w:b/>
          <w:color w:val="000000"/>
          <w:kern w:val="0"/>
          <w:sz w:val="44"/>
          <w:szCs w:val="44"/>
        </w:rPr>
      </w:pPr>
    </w:p>
    <w:p w14:paraId="6C9D8197">
      <w:pPr>
        <w:spacing w:line="576" w:lineRule="exact"/>
        <w:jc w:val="center"/>
        <w:rPr>
          <w:rFonts w:hint="eastAsia" w:ascii="仿宋_GB2312" w:hAnsi="宋体" w:eastAsia="仿宋_GB2312"/>
          <w:b/>
          <w:color w:val="000000"/>
          <w:kern w:val="0"/>
          <w:sz w:val="44"/>
          <w:szCs w:val="44"/>
        </w:rPr>
      </w:pPr>
    </w:p>
    <w:p w14:paraId="304D9347">
      <w:pPr>
        <w:spacing w:line="576" w:lineRule="exact"/>
        <w:jc w:val="center"/>
        <w:rPr>
          <w:rFonts w:hint="eastAsia" w:ascii="仿宋_GB2312" w:hAnsi="宋体" w:eastAsia="仿宋_GB2312"/>
          <w:b/>
          <w:color w:val="000000"/>
          <w:kern w:val="0"/>
          <w:sz w:val="44"/>
          <w:szCs w:val="44"/>
        </w:rPr>
      </w:pPr>
    </w:p>
    <w:p w14:paraId="7742F447">
      <w:pPr>
        <w:pStyle w:val="15"/>
      </w:pPr>
    </w:p>
    <w:p w14:paraId="78AD5ED6">
      <w:pPr>
        <w:pStyle w:val="9"/>
        <w:ind w:left="420"/>
      </w:pPr>
    </w:p>
    <w:p w14:paraId="6C3D223F">
      <w:pPr>
        <w:pStyle w:val="9"/>
        <w:ind w:left="420"/>
      </w:pPr>
    </w:p>
    <w:p w14:paraId="65D00984">
      <w:pPr>
        <w:pStyle w:val="9"/>
        <w:ind w:left="420"/>
      </w:pPr>
    </w:p>
    <w:p w14:paraId="4D660549">
      <w:pPr>
        <w:pStyle w:val="9"/>
        <w:ind w:left="420"/>
      </w:pPr>
    </w:p>
    <w:p w14:paraId="0CEC876D">
      <w:pPr>
        <w:pStyle w:val="9"/>
        <w:ind w:left="420"/>
      </w:pPr>
    </w:p>
    <w:p w14:paraId="7629D54D">
      <w:pPr>
        <w:pStyle w:val="9"/>
        <w:ind w:left="420"/>
      </w:pPr>
    </w:p>
    <w:p w14:paraId="2032A9A4">
      <w:pPr>
        <w:pStyle w:val="9"/>
        <w:ind w:left="420"/>
      </w:pPr>
    </w:p>
    <w:p w14:paraId="4CA3B48E">
      <w:pPr>
        <w:pStyle w:val="9"/>
        <w:ind w:left="420"/>
      </w:pPr>
    </w:p>
    <w:p w14:paraId="15585D95">
      <w:pPr>
        <w:pStyle w:val="9"/>
        <w:ind w:left="420"/>
      </w:pPr>
    </w:p>
    <w:p w14:paraId="0F499C4A">
      <w:pPr>
        <w:pStyle w:val="9"/>
        <w:ind w:left="420"/>
      </w:pPr>
    </w:p>
    <w:p w14:paraId="3619ABE0">
      <w:pPr>
        <w:pStyle w:val="9"/>
        <w:ind w:left="420"/>
      </w:pPr>
    </w:p>
    <w:p w14:paraId="040700D3">
      <w:pPr>
        <w:pStyle w:val="9"/>
        <w:ind w:left="420"/>
      </w:pPr>
    </w:p>
    <w:p w14:paraId="459F796C">
      <w:pPr>
        <w:pStyle w:val="9"/>
        <w:ind w:left="0" w:leftChars="0" w:firstLine="0" w:firstLineChars="0"/>
      </w:pPr>
    </w:p>
    <w:p w14:paraId="06BCE93B">
      <w:pPr>
        <w:pStyle w:val="9"/>
        <w:ind w:left="0" w:leftChars="0" w:firstLine="0" w:firstLineChars="0"/>
      </w:pPr>
    </w:p>
    <w:p w14:paraId="4EE71BAB">
      <w:pPr>
        <w:numPr>
          <w:ilvl w:val="0"/>
          <w:numId w:val="5"/>
        </w:numPr>
        <w:spacing w:line="576" w:lineRule="exact"/>
        <w:ind w:firstLine="2640" w:firstLineChars="600"/>
        <w:jc w:val="left"/>
        <w:outlineLvl w:val="0"/>
        <w:rPr>
          <w:rStyle w:val="33"/>
          <w:rFonts w:ascii="黑体" w:hAnsi="黑体" w:eastAsia="黑体"/>
          <w:b w:val="0"/>
        </w:rPr>
      </w:pPr>
      <w:r>
        <w:rPr>
          <w:rStyle w:val="33"/>
          <w:rFonts w:hint="eastAsia" w:ascii="黑体" w:hAnsi="黑体" w:eastAsia="黑体"/>
          <w:b w:val="0"/>
        </w:rPr>
        <w:t>附表</w:t>
      </w:r>
      <w:bookmarkStart w:id="44" w:name="_Toc15396619"/>
    </w:p>
    <w:p w14:paraId="5D407006">
      <w:pPr>
        <w:pStyle w:val="15"/>
      </w:pPr>
    </w:p>
    <w:p w14:paraId="7B7A51B5">
      <w:pPr>
        <w:pStyle w:val="9"/>
        <w:ind w:left="420"/>
      </w:pPr>
    </w:p>
    <w:p w14:paraId="443F5B7B">
      <w:pPr>
        <w:spacing w:line="576" w:lineRule="exact"/>
        <w:ind w:firstLine="640" w:firstLineChars="200"/>
        <w:jc w:val="left"/>
        <w:outlineLvl w:val="0"/>
        <w:rPr>
          <w:rStyle w:val="34"/>
          <w:rFonts w:ascii="仿宋" w:hAnsi="仿宋" w:eastAsia="仿宋"/>
          <w:b w:val="0"/>
          <w:bCs w:val="0"/>
        </w:rPr>
      </w:pPr>
      <w:r>
        <w:rPr>
          <w:rStyle w:val="34"/>
          <w:rFonts w:hint="eastAsia" w:ascii="仿宋" w:hAnsi="仿宋" w:eastAsia="仿宋"/>
          <w:b w:val="0"/>
          <w:bCs w:val="0"/>
        </w:rPr>
        <w:t>一、收入支出决算总表</w:t>
      </w:r>
      <w:bookmarkEnd w:id="44"/>
    </w:p>
    <w:p w14:paraId="217A3B6C">
      <w:pPr>
        <w:pStyle w:val="3"/>
        <w:spacing w:line="576" w:lineRule="exact"/>
        <w:ind w:firstLine="640" w:firstLineChars="200"/>
        <w:jc w:val="left"/>
        <w:rPr>
          <w:rFonts w:ascii="仿宋" w:hAnsi="仿宋" w:eastAsia="仿宋"/>
        </w:rPr>
      </w:pPr>
      <w:r>
        <w:rPr>
          <w:rFonts w:hint="eastAsia" w:ascii="仿宋" w:hAnsi="仿宋" w:eastAsia="仿宋"/>
          <w:b w:val="0"/>
        </w:rPr>
        <w:t>二、收</w:t>
      </w:r>
      <w:r>
        <w:rPr>
          <w:rStyle w:val="34"/>
          <w:rFonts w:hint="eastAsia" w:ascii="仿宋" w:hAnsi="仿宋" w:eastAsia="仿宋"/>
          <w:b w:val="0"/>
          <w:bCs w:val="0"/>
        </w:rPr>
        <w:t>入决算表</w:t>
      </w:r>
    </w:p>
    <w:p w14:paraId="74161E1E">
      <w:pPr>
        <w:pStyle w:val="3"/>
        <w:spacing w:line="576" w:lineRule="exact"/>
        <w:ind w:firstLine="640" w:firstLineChars="200"/>
        <w:jc w:val="left"/>
        <w:rPr>
          <w:rFonts w:ascii="仿宋" w:hAnsi="仿宋" w:eastAsia="仿宋"/>
        </w:rPr>
      </w:pPr>
      <w:r>
        <w:rPr>
          <w:rStyle w:val="34"/>
          <w:rFonts w:hint="eastAsia" w:ascii="仿宋" w:hAnsi="仿宋" w:eastAsia="仿宋"/>
          <w:b w:val="0"/>
          <w:bCs w:val="0"/>
        </w:rPr>
        <w:t>三、</w:t>
      </w:r>
      <w:r>
        <w:rPr>
          <w:rFonts w:hint="eastAsia" w:ascii="仿宋" w:hAnsi="仿宋" w:eastAsia="仿宋"/>
          <w:b w:val="0"/>
        </w:rPr>
        <w:t>支</w:t>
      </w:r>
      <w:r>
        <w:rPr>
          <w:rStyle w:val="34"/>
          <w:rFonts w:hint="eastAsia" w:ascii="仿宋" w:hAnsi="仿宋" w:eastAsia="仿宋"/>
          <w:b w:val="0"/>
          <w:bCs w:val="0"/>
        </w:rPr>
        <w:t>出决算表</w:t>
      </w:r>
    </w:p>
    <w:p w14:paraId="49A2D742">
      <w:pPr>
        <w:pStyle w:val="3"/>
        <w:spacing w:line="576" w:lineRule="exact"/>
        <w:ind w:firstLine="640" w:firstLineChars="200"/>
        <w:jc w:val="left"/>
        <w:rPr>
          <w:rFonts w:ascii="仿宋" w:hAnsi="仿宋" w:eastAsia="仿宋"/>
          <w:b w:val="0"/>
        </w:rPr>
      </w:pPr>
      <w:r>
        <w:rPr>
          <w:rStyle w:val="34"/>
          <w:rFonts w:hint="eastAsia" w:ascii="仿宋" w:hAnsi="仿宋" w:eastAsia="仿宋"/>
          <w:b w:val="0"/>
          <w:bCs w:val="0"/>
        </w:rPr>
        <w:t>四、</w:t>
      </w:r>
      <w:r>
        <w:rPr>
          <w:rFonts w:hint="eastAsia" w:ascii="仿宋" w:hAnsi="仿宋" w:eastAsia="仿宋"/>
          <w:b w:val="0"/>
        </w:rPr>
        <w:t>财</w:t>
      </w:r>
      <w:r>
        <w:rPr>
          <w:rStyle w:val="34"/>
          <w:rFonts w:hint="eastAsia" w:ascii="仿宋" w:hAnsi="仿宋" w:eastAsia="仿宋"/>
          <w:b w:val="0"/>
          <w:bCs w:val="0"/>
        </w:rPr>
        <w:t>政拨款收入支出决算总表</w:t>
      </w:r>
    </w:p>
    <w:p w14:paraId="644BB299">
      <w:pPr>
        <w:pStyle w:val="3"/>
        <w:spacing w:line="576" w:lineRule="exact"/>
        <w:ind w:firstLine="640" w:firstLineChars="200"/>
        <w:jc w:val="left"/>
        <w:rPr>
          <w:rStyle w:val="34"/>
          <w:rFonts w:ascii="仿宋" w:hAnsi="仿宋" w:eastAsia="仿宋"/>
          <w:b w:val="0"/>
          <w:bCs w:val="0"/>
        </w:rPr>
      </w:pPr>
      <w:r>
        <w:rPr>
          <w:rStyle w:val="34"/>
          <w:rFonts w:hint="eastAsia" w:ascii="仿宋" w:hAnsi="仿宋" w:eastAsia="仿宋"/>
          <w:b w:val="0"/>
          <w:bCs w:val="0"/>
        </w:rPr>
        <w:t>五、</w:t>
      </w:r>
      <w:r>
        <w:rPr>
          <w:rFonts w:hint="eastAsia" w:ascii="仿宋" w:hAnsi="仿宋" w:eastAsia="仿宋"/>
          <w:b w:val="0"/>
        </w:rPr>
        <w:t>财</w:t>
      </w:r>
      <w:r>
        <w:rPr>
          <w:rStyle w:val="34"/>
          <w:rFonts w:hint="eastAsia" w:ascii="仿宋" w:hAnsi="仿宋" w:eastAsia="仿宋"/>
          <w:b w:val="0"/>
          <w:bCs w:val="0"/>
        </w:rPr>
        <w:t>政拨款支出决算明细表</w:t>
      </w:r>
    </w:p>
    <w:p w14:paraId="188E3283">
      <w:pPr>
        <w:pStyle w:val="3"/>
        <w:spacing w:line="576" w:lineRule="exact"/>
        <w:ind w:firstLine="640" w:firstLineChars="200"/>
        <w:jc w:val="left"/>
        <w:rPr>
          <w:rFonts w:ascii="仿宋" w:hAnsi="仿宋" w:eastAsia="仿宋"/>
        </w:rPr>
      </w:pPr>
      <w:r>
        <w:rPr>
          <w:rStyle w:val="34"/>
          <w:rFonts w:hint="eastAsia" w:ascii="仿宋" w:hAnsi="仿宋" w:eastAsia="仿宋"/>
          <w:b w:val="0"/>
          <w:bCs w:val="0"/>
        </w:rPr>
        <w:t>六、</w:t>
      </w:r>
      <w:r>
        <w:rPr>
          <w:rFonts w:hint="eastAsia" w:ascii="仿宋" w:hAnsi="仿宋" w:eastAsia="仿宋"/>
          <w:b w:val="0"/>
        </w:rPr>
        <w:t>一</w:t>
      </w:r>
      <w:r>
        <w:rPr>
          <w:rStyle w:val="34"/>
          <w:rFonts w:hint="eastAsia" w:ascii="仿宋" w:hAnsi="仿宋" w:eastAsia="仿宋"/>
          <w:b w:val="0"/>
          <w:bCs w:val="0"/>
        </w:rPr>
        <w:t>般公共预算财政拨款支出决算表</w:t>
      </w:r>
    </w:p>
    <w:p w14:paraId="77AEF522">
      <w:pPr>
        <w:pStyle w:val="3"/>
        <w:spacing w:line="576" w:lineRule="exact"/>
        <w:ind w:firstLine="640" w:firstLineChars="200"/>
        <w:jc w:val="left"/>
        <w:rPr>
          <w:rFonts w:ascii="仿宋" w:hAnsi="仿宋" w:eastAsia="仿宋"/>
        </w:rPr>
      </w:pPr>
      <w:r>
        <w:rPr>
          <w:rStyle w:val="34"/>
          <w:rFonts w:hint="eastAsia" w:ascii="仿宋" w:hAnsi="仿宋" w:eastAsia="仿宋"/>
          <w:b w:val="0"/>
          <w:bCs w:val="0"/>
        </w:rPr>
        <w:t>七、</w:t>
      </w:r>
      <w:r>
        <w:rPr>
          <w:rFonts w:hint="eastAsia" w:ascii="仿宋" w:hAnsi="仿宋" w:eastAsia="仿宋"/>
          <w:b w:val="0"/>
        </w:rPr>
        <w:t>一</w:t>
      </w:r>
      <w:r>
        <w:rPr>
          <w:rStyle w:val="34"/>
          <w:rFonts w:hint="eastAsia" w:ascii="仿宋" w:hAnsi="仿宋" w:eastAsia="仿宋"/>
          <w:b w:val="0"/>
          <w:bCs w:val="0"/>
        </w:rPr>
        <w:t>般公共预算财政拨款支出决算明细表</w:t>
      </w:r>
    </w:p>
    <w:p w14:paraId="3C7DDFDF">
      <w:pPr>
        <w:pStyle w:val="3"/>
        <w:spacing w:line="576" w:lineRule="exact"/>
        <w:ind w:firstLine="640" w:firstLineChars="200"/>
        <w:jc w:val="left"/>
        <w:rPr>
          <w:rFonts w:ascii="仿宋" w:hAnsi="仿宋" w:eastAsia="仿宋"/>
        </w:rPr>
      </w:pPr>
      <w:r>
        <w:rPr>
          <w:rStyle w:val="34"/>
          <w:rFonts w:hint="eastAsia" w:ascii="仿宋" w:hAnsi="仿宋" w:eastAsia="仿宋"/>
          <w:b w:val="0"/>
          <w:bCs w:val="0"/>
        </w:rPr>
        <w:t>八、</w:t>
      </w:r>
      <w:r>
        <w:rPr>
          <w:rFonts w:hint="eastAsia" w:ascii="仿宋" w:hAnsi="仿宋" w:eastAsia="仿宋"/>
          <w:b w:val="0"/>
        </w:rPr>
        <w:t>一</w:t>
      </w:r>
      <w:r>
        <w:rPr>
          <w:rStyle w:val="34"/>
          <w:rFonts w:hint="eastAsia" w:ascii="仿宋" w:hAnsi="仿宋" w:eastAsia="仿宋"/>
          <w:b w:val="0"/>
          <w:bCs w:val="0"/>
        </w:rPr>
        <w:t>般公共预算财政拨款基本支出决算表</w:t>
      </w:r>
    </w:p>
    <w:p w14:paraId="754F3D90">
      <w:pPr>
        <w:pStyle w:val="3"/>
        <w:spacing w:line="576" w:lineRule="exact"/>
        <w:ind w:firstLine="640" w:firstLineChars="200"/>
        <w:jc w:val="left"/>
        <w:rPr>
          <w:rFonts w:ascii="仿宋" w:hAnsi="仿宋" w:eastAsia="仿宋"/>
        </w:rPr>
      </w:pPr>
      <w:r>
        <w:rPr>
          <w:rStyle w:val="34"/>
          <w:rFonts w:hint="eastAsia" w:ascii="仿宋" w:hAnsi="仿宋" w:eastAsia="仿宋"/>
          <w:b w:val="0"/>
          <w:bCs w:val="0"/>
        </w:rPr>
        <w:t>九、</w:t>
      </w:r>
      <w:r>
        <w:rPr>
          <w:rFonts w:hint="eastAsia" w:ascii="仿宋" w:hAnsi="仿宋" w:eastAsia="仿宋"/>
          <w:b w:val="0"/>
        </w:rPr>
        <w:t>一</w:t>
      </w:r>
      <w:r>
        <w:rPr>
          <w:rStyle w:val="34"/>
          <w:rFonts w:hint="eastAsia" w:ascii="仿宋" w:hAnsi="仿宋" w:eastAsia="仿宋"/>
          <w:b w:val="0"/>
          <w:bCs w:val="0"/>
        </w:rPr>
        <w:t>般公共预算财政拨款项目支出决算表</w:t>
      </w:r>
    </w:p>
    <w:p w14:paraId="5FF65FF8">
      <w:pPr>
        <w:pStyle w:val="3"/>
        <w:spacing w:line="576" w:lineRule="exact"/>
        <w:ind w:firstLine="640" w:firstLineChars="200"/>
        <w:jc w:val="left"/>
        <w:rPr>
          <w:rFonts w:ascii="仿宋" w:hAnsi="仿宋" w:eastAsia="仿宋"/>
        </w:rPr>
      </w:pPr>
      <w:r>
        <w:rPr>
          <w:rStyle w:val="34"/>
          <w:rFonts w:hint="eastAsia" w:ascii="仿宋" w:hAnsi="仿宋" w:eastAsia="仿宋"/>
          <w:b w:val="0"/>
          <w:bCs w:val="0"/>
        </w:rPr>
        <w:t>十、</w:t>
      </w:r>
      <w:r>
        <w:rPr>
          <w:rFonts w:hint="eastAsia" w:ascii="仿宋" w:hAnsi="仿宋" w:eastAsia="仿宋"/>
          <w:b w:val="0"/>
        </w:rPr>
        <w:t>政</w:t>
      </w:r>
      <w:r>
        <w:rPr>
          <w:rStyle w:val="34"/>
          <w:rFonts w:hint="eastAsia" w:ascii="仿宋" w:hAnsi="仿宋" w:eastAsia="仿宋"/>
          <w:b w:val="0"/>
          <w:bCs w:val="0"/>
        </w:rPr>
        <w:t>府性基金预算财政拨款收入支出决算表</w:t>
      </w:r>
    </w:p>
    <w:p w14:paraId="79342387">
      <w:pPr>
        <w:pStyle w:val="3"/>
        <w:spacing w:line="576" w:lineRule="exact"/>
        <w:ind w:firstLine="640" w:firstLineChars="200"/>
        <w:jc w:val="left"/>
        <w:rPr>
          <w:rFonts w:ascii="仿宋" w:hAnsi="仿宋" w:eastAsia="仿宋"/>
        </w:rPr>
      </w:pPr>
      <w:r>
        <w:rPr>
          <w:rStyle w:val="34"/>
          <w:rFonts w:hint="eastAsia" w:ascii="仿宋" w:hAnsi="仿宋" w:eastAsia="仿宋"/>
          <w:b w:val="0"/>
          <w:bCs w:val="0"/>
        </w:rPr>
        <w:t>十一、</w:t>
      </w:r>
      <w:r>
        <w:rPr>
          <w:rFonts w:hint="eastAsia" w:ascii="仿宋" w:hAnsi="仿宋" w:eastAsia="仿宋"/>
          <w:b w:val="0"/>
        </w:rPr>
        <w:t>国</w:t>
      </w:r>
      <w:r>
        <w:rPr>
          <w:rStyle w:val="34"/>
          <w:rFonts w:hint="eastAsia" w:ascii="仿宋" w:hAnsi="仿宋" w:eastAsia="仿宋"/>
          <w:b w:val="0"/>
          <w:bCs w:val="0"/>
        </w:rPr>
        <w:t>有资本经营预算财政拨款收入支出决算表</w:t>
      </w:r>
    </w:p>
    <w:p w14:paraId="15ECB937">
      <w:pPr>
        <w:pStyle w:val="3"/>
        <w:spacing w:line="576" w:lineRule="exact"/>
        <w:ind w:firstLine="640" w:firstLineChars="200"/>
        <w:jc w:val="left"/>
        <w:rPr>
          <w:rFonts w:ascii="仿宋" w:hAnsi="仿宋" w:eastAsia="仿宋"/>
        </w:rPr>
      </w:pPr>
      <w:r>
        <w:rPr>
          <w:rStyle w:val="34"/>
          <w:rFonts w:hint="eastAsia" w:ascii="仿宋" w:hAnsi="仿宋" w:eastAsia="仿宋"/>
          <w:b w:val="0"/>
          <w:bCs w:val="0"/>
        </w:rPr>
        <w:t>十二、国有资本经营预算财政拨款支出决算表</w:t>
      </w:r>
    </w:p>
    <w:p w14:paraId="016976A3">
      <w:pPr>
        <w:pStyle w:val="3"/>
        <w:spacing w:line="576" w:lineRule="exact"/>
        <w:ind w:firstLine="640" w:firstLineChars="200"/>
        <w:jc w:val="left"/>
        <w:rPr>
          <w:rFonts w:eastAsia="仿宋"/>
        </w:rPr>
      </w:pPr>
      <w:r>
        <w:rPr>
          <w:rStyle w:val="34"/>
          <w:rFonts w:hint="eastAsia" w:ascii="仿宋" w:hAnsi="仿宋" w:eastAsia="仿宋"/>
          <w:b w:val="0"/>
          <w:bCs w:val="0"/>
        </w:rPr>
        <w:t>十三、财政拨款“三公”经费支出决算表</w:t>
      </w:r>
      <w:bookmarkEnd w:id="42"/>
      <w:bookmarkEnd w:id="43"/>
    </w:p>
    <w:sectPr>
      <w:headerReference r:id="rId3" w:type="default"/>
      <w:footerReference r:id="rId4" w:type="default"/>
      <w:pgSz w:w="11906" w:h="16838"/>
      <w:pgMar w:top="1440" w:right="1134" w:bottom="1440" w:left="1417"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swiss"/>
    <w:pitch w:val="default"/>
    <w:sig w:usb0="80000287" w:usb1="280F3C52" w:usb2="00000016" w:usb3="00000000" w:csb0="0004001F" w:csb1="00000000"/>
  </w:font>
  <w:font w:name="方正小标宋简体">
    <w:altName w:val="黑体"/>
    <w:panose1 w:val="03000509000000000000"/>
    <w:charset w:val="86"/>
    <w:family w:val="script"/>
    <w:pitch w:val="default"/>
    <w:sig w:usb0="00000000" w:usb1="0000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14206801"/>
      <w:docPartObj>
        <w:docPartGallery w:val="autotext"/>
      </w:docPartObj>
    </w:sdtPr>
    <w:sdtContent>
      <w:p w14:paraId="4256F3D5">
        <w:pPr>
          <w:pStyle w:val="12"/>
          <w:jc w:val="center"/>
        </w:pPr>
        <w:r>
          <w:fldChar w:fldCharType="begin"/>
        </w:r>
        <w:r>
          <w:instrText xml:space="preserve">PAGE   \* MERGEFORMAT</w:instrText>
        </w:r>
        <w:r>
          <w:fldChar w:fldCharType="separate"/>
        </w:r>
        <w:r>
          <w:rPr>
            <w:lang w:val="zh-CN"/>
          </w:rPr>
          <w:t>40</w:t>
        </w:r>
        <w:r>
          <w:fldChar w:fldCharType="end"/>
        </w:r>
      </w:p>
    </w:sdtContent>
  </w:sdt>
  <w:p w14:paraId="26F03B21">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C9D8E">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EFDD3EB"/>
    <w:multiLevelType w:val="singleLevel"/>
    <w:tmpl w:val="EEFDD3EB"/>
    <w:lvl w:ilvl="0" w:tentative="0">
      <w:start w:val="5"/>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9F62CE"/>
    <w:multiLevelType w:val="singleLevel"/>
    <w:tmpl w:val="389F62CE"/>
    <w:lvl w:ilvl="0" w:tentative="0">
      <w:start w:val="3"/>
      <w:numFmt w:val="chineseCounting"/>
      <w:suff w:val="nothing"/>
      <w:lvlText w:val="（%1）"/>
      <w:lvlJc w:val="left"/>
      <w:rPr>
        <w:rFonts w:hint="eastAsia"/>
      </w:rPr>
    </w:lvl>
  </w:abstractNum>
  <w:abstractNum w:abstractNumId="4">
    <w:nsid w:val="76BC91BC"/>
    <w:multiLevelType w:val="singleLevel"/>
    <w:tmpl w:val="76BC91BC"/>
    <w:lvl w:ilvl="0" w:tentative="0">
      <w:start w:val="1"/>
      <w:numFmt w:val="decimal"/>
      <w:pStyle w:val="5"/>
      <w:lvlText w:val="%1."/>
      <w:lvlJc w:val="left"/>
      <w:pPr>
        <w:tabs>
          <w:tab w:val="left" w:pos="360"/>
        </w:tabs>
        <w:ind w:left="360" w:hanging="36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3MGFmYmU5N2I1Yzg2ZDA5NDMxMWI0MzViMDUwZDMifQ=="/>
  </w:docVars>
  <w:rsids>
    <w:rsidRoot w:val="00F1361C"/>
    <w:rsid w:val="00007781"/>
    <w:rsid w:val="00012322"/>
    <w:rsid w:val="000222C6"/>
    <w:rsid w:val="0002549F"/>
    <w:rsid w:val="00034E6C"/>
    <w:rsid w:val="00042D00"/>
    <w:rsid w:val="00043281"/>
    <w:rsid w:val="0006487A"/>
    <w:rsid w:val="00065F8F"/>
    <w:rsid w:val="0007317A"/>
    <w:rsid w:val="000768F2"/>
    <w:rsid w:val="000872A2"/>
    <w:rsid w:val="0009184B"/>
    <w:rsid w:val="0009593C"/>
    <w:rsid w:val="000B047F"/>
    <w:rsid w:val="000B5923"/>
    <w:rsid w:val="000B5A48"/>
    <w:rsid w:val="000B6FF3"/>
    <w:rsid w:val="000C3467"/>
    <w:rsid w:val="000C3CA6"/>
    <w:rsid w:val="000C60DA"/>
    <w:rsid w:val="000D1267"/>
    <w:rsid w:val="000D1D50"/>
    <w:rsid w:val="000D5782"/>
    <w:rsid w:val="000E6613"/>
    <w:rsid w:val="000E6F52"/>
    <w:rsid w:val="000E7119"/>
    <w:rsid w:val="000F1469"/>
    <w:rsid w:val="000F1B7A"/>
    <w:rsid w:val="001043C5"/>
    <w:rsid w:val="00114E9B"/>
    <w:rsid w:val="00134EF0"/>
    <w:rsid w:val="0014729F"/>
    <w:rsid w:val="0015508D"/>
    <w:rsid w:val="00157BAB"/>
    <w:rsid w:val="001654D1"/>
    <w:rsid w:val="001672BB"/>
    <w:rsid w:val="0018106D"/>
    <w:rsid w:val="001877A7"/>
    <w:rsid w:val="00191536"/>
    <w:rsid w:val="00196687"/>
    <w:rsid w:val="001A1E03"/>
    <w:rsid w:val="001A7833"/>
    <w:rsid w:val="001B173B"/>
    <w:rsid w:val="001B691B"/>
    <w:rsid w:val="001C0962"/>
    <w:rsid w:val="001C3646"/>
    <w:rsid w:val="001D3BFE"/>
    <w:rsid w:val="001D7531"/>
    <w:rsid w:val="001E737D"/>
    <w:rsid w:val="001F0592"/>
    <w:rsid w:val="001F7506"/>
    <w:rsid w:val="002006CD"/>
    <w:rsid w:val="00202AE9"/>
    <w:rsid w:val="00202B36"/>
    <w:rsid w:val="00204B7A"/>
    <w:rsid w:val="0020672B"/>
    <w:rsid w:val="0021101A"/>
    <w:rsid w:val="00220536"/>
    <w:rsid w:val="0023172C"/>
    <w:rsid w:val="00235629"/>
    <w:rsid w:val="00241408"/>
    <w:rsid w:val="00243B3E"/>
    <w:rsid w:val="002545C1"/>
    <w:rsid w:val="00260C38"/>
    <w:rsid w:val="002616C0"/>
    <w:rsid w:val="002662AA"/>
    <w:rsid w:val="00271D6B"/>
    <w:rsid w:val="00280496"/>
    <w:rsid w:val="00295495"/>
    <w:rsid w:val="002A3225"/>
    <w:rsid w:val="002A5D36"/>
    <w:rsid w:val="002B2613"/>
    <w:rsid w:val="002F1818"/>
    <w:rsid w:val="002F567B"/>
    <w:rsid w:val="002F5DB3"/>
    <w:rsid w:val="00302BE7"/>
    <w:rsid w:val="0030338A"/>
    <w:rsid w:val="00312120"/>
    <w:rsid w:val="003129C1"/>
    <w:rsid w:val="00316F73"/>
    <w:rsid w:val="003216A9"/>
    <w:rsid w:val="00321F0A"/>
    <w:rsid w:val="0032269E"/>
    <w:rsid w:val="003311AA"/>
    <w:rsid w:val="00351732"/>
    <w:rsid w:val="0035271A"/>
    <w:rsid w:val="0037013F"/>
    <w:rsid w:val="00376923"/>
    <w:rsid w:val="00380C92"/>
    <w:rsid w:val="00385279"/>
    <w:rsid w:val="0038632B"/>
    <w:rsid w:val="003A484F"/>
    <w:rsid w:val="003A57D7"/>
    <w:rsid w:val="003B0BE0"/>
    <w:rsid w:val="003B0C1B"/>
    <w:rsid w:val="003B688C"/>
    <w:rsid w:val="003C0291"/>
    <w:rsid w:val="003C39AE"/>
    <w:rsid w:val="003C7B60"/>
    <w:rsid w:val="003D1FB2"/>
    <w:rsid w:val="003D3BDD"/>
    <w:rsid w:val="003D63D4"/>
    <w:rsid w:val="003D66DA"/>
    <w:rsid w:val="003E1310"/>
    <w:rsid w:val="003E5BD9"/>
    <w:rsid w:val="003E6F55"/>
    <w:rsid w:val="00406254"/>
    <w:rsid w:val="004223DE"/>
    <w:rsid w:val="00434489"/>
    <w:rsid w:val="00437085"/>
    <w:rsid w:val="00443880"/>
    <w:rsid w:val="004445F6"/>
    <w:rsid w:val="004464F4"/>
    <w:rsid w:val="00471401"/>
    <w:rsid w:val="00473F31"/>
    <w:rsid w:val="0048263A"/>
    <w:rsid w:val="00487E5D"/>
    <w:rsid w:val="004901D4"/>
    <w:rsid w:val="0049114F"/>
    <w:rsid w:val="00496DA9"/>
    <w:rsid w:val="004A22F1"/>
    <w:rsid w:val="004A711F"/>
    <w:rsid w:val="004B199D"/>
    <w:rsid w:val="004B4690"/>
    <w:rsid w:val="004B6755"/>
    <w:rsid w:val="004D21E1"/>
    <w:rsid w:val="004D7DC4"/>
    <w:rsid w:val="004E0A2D"/>
    <w:rsid w:val="004E206B"/>
    <w:rsid w:val="004E6DF7"/>
    <w:rsid w:val="004F0FBD"/>
    <w:rsid w:val="00505A47"/>
    <w:rsid w:val="00512FDA"/>
    <w:rsid w:val="00520DA0"/>
    <w:rsid w:val="00560720"/>
    <w:rsid w:val="005664BB"/>
    <w:rsid w:val="005740B9"/>
    <w:rsid w:val="0057481D"/>
    <w:rsid w:val="0058486E"/>
    <w:rsid w:val="005A522F"/>
    <w:rsid w:val="005B6683"/>
    <w:rsid w:val="005D0B76"/>
    <w:rsid w:val="005D1C8B"/>
    <w:rsid w:val="005D5CED"/>
    <w:rsid w:val="005F1A4C"/>
    <w:rsid w:val="00605688"/>
    <w:rsid w:val="006070AF"/>
    <w:rsid w:val="00607E6C"/>
    <w:rsid w:val="006101B1"/>
    <w:rsid w:val="00610C8F"/>
    <w:rsid w:val="00614E44"/>
    <w:rsid w:val="00622830"/>
    <w:rsid w:val="006277E3"/>
    <w:rsid w:val="00630AEF"/>
    <w:rsid w:val="006325F8"/>
    <w:rsid w:val="00634C9A"/>
    <w:rsid w:val="006440E4"/>
    <w:rsid w:val="0066343B"/>
    <w:rsid w:val="00664777"/>
    <w:rsid w:val="006748A4"/>
    <w:rsid w:val="006776CE"/>
    <w:rsid w:val="00683E73"/>
    <w:rsid w:val="006852D9"/>
    <w:rsid w:val="006A3141"/>
    <w:rsid w:val="006A5E34"/>
    <w:rsid w:val="006B2422"/>
    <w:rsid w:val="006B2B9A"/>
    <w:rsid w:val="006C1937"/>
    <w:rsid w:val="006E021D"/>
    <w:rsid w:val="006E40E2"/>
    <w:rsid w:val="006F020C"/>
    <w:rsid w:val="007127B7"/>
    <w:rsid w:val="007416B6"/>
    <w:rsid w:val="00742010"/>
    <w:rsid w:val="00746F48"/>
    <w:rsid w:val="0075404D"/>
    <w:rsid w:val="0076182A"/>
    <w:rsid w:val="00767B7E"/>
    <w:rsid w:val="00771A39"/>
    <w:rsid w:val="007720B6"/>
    <w:rsid w:val="007770C3"/>
    <w:rsid w:val="007827DD"/>
    <w:rsid w:val="00784D24"/>
    <w:rsid w:val="00785FBA"/>
    <w:rsid w:val="00786E4A"/>
    <w:rsid w:val="007875EB"/>
    <w:rsid w:val="0079426B"/>
    <w:rsid w:val="007A3BE1"/>
    <w:rsid w:val="007A63F5"/>
    <w:rsid w:val="007D312A"/>
    <w:rsid w:val="007D3F19"/>
    <w:rsid w:val="007D5FF2"/>
    <w:rsid w:val="007D7C6F"/>
    <w:rsid w:val="007E23B0"/>
    <w:rsid w:val="007E68AB"/>
    <w:rsid w:val="007F1991"/>
    <w:rsid w:val="007F2C2F"/>
    <w:rsid w:val="007F55FC"/>
    <w:rsid w:val="007F5665"/>
    <w:rsid w:val="00800112"/>
    <w:rsid w:val="0082317A"/>
    <w:rsid w:val="008253BB"/>
    <w:rsid w:val="0083626C"/>
    <w:rsid w:val="0083706E"/>
    <w:rsid w:val="008423A5"/>
    <w:rsid w:val="00850625"/>
    <w:rsid w:val="00853640"/>
    <w:rsid w:val="00853718"/>
    <w:rsid w:val="00855221"/>
    <w:rsid w:val="00860645"/>
    <w:rsid w:val="00871F71"/>
    <w:rsid w:val="00885AF4"/>
    <w:rsid w:val="008939CD"/>
    <w:rsid w:val="008B768C"/>
    <w:rsid w:val="008C26C1"/>
    <w:rsid w:val="008C4DB1"/>
    <w:rsid w:val="008C4EAF"/>
    <w:rsid w:val="008C5176"/>
    <w:rsid w:val="008C7FD0"/>
    <w:rsid w:val="008D37F6"/>
    <w:rsid w:val="008D5192"/>
    <w:rsid w:val="008E1DE7"/>
    <w:rsid w:val="008E707C"/>
    <w:rsid w:val="0090086C"/>
    <w:rsid w:val="00900B08"/>
    <w:rsid w:val="00901080"/>
    <w:rsid w:val="00902155"/>
    <w:rsid w:val="00902FA3"/>
    <w:rsid w:val="0091412F"/>
    <w:rsid w:val="00921B5D"/>
    <w:rsid w:val="00923564"/>
    <w:rsid w:val="0092392E"/>
    <w:rsid w:val="00925925"/>
    <w:rsid w:val="009315F9"/>
    <w:rsid w:val="00932F90"/>
    <w:rsid w:val="00946945"/>
    <w:rsid w:val="00951248"/>
    <w:rsid w:val="0095152F"/>
    <w:rsid w:val="00954C49"/>
    <w:rsid w:val="00962D50"/>
    <w:rsid w:val="0097099F"/>
    <w:rsid w:val="00971997"/>
    <w:rsid w:val="00971FFC"/>
    <w:rsid w:val="00974E1F"/>
    <w:rsid w:val="0098660A"/>
    <w:rsid w:val="009931C3"/>
    <w:rsid w:val="00993CF5"/>
    <w:rsid w:val="009B2330"/>
    <w:rsid w:val="009B2C43"/>
    <w:rsid w:val="009B4EAE"/>
    <w:rsid w:val="009B7573"/>
    <w:rsid w:val="009C22F4"/>
    <w:rsid w:val="009C2E98"/>
    <w:rsid w:val="009C5348"/>
    <w:rsid w:val="009D3447"/>
    <w:rsid w:val="009D4711"/>
    <w:rsid w:val="009E72DD"/>
    <w:rsid w:val="009F1185"/>
    <w:rsid w:val="009F16C3"/>
    <w:rsid w:val="009F18CD"/>
    <w:rsid w:val="009F2A13"/>
    <w:rsid w:val="00A02EE9"/>
    <w:rsid w:val="00A04EB0"/>
    <w:rsid w:val="00A13CC1"/>
    <w:rsid w:val="00A16847"/>
    <w:rsid w:val="00A226F9"/>
    <w:rsid w:val="00A237D8"/>
    <w:rsid w:val="00A268C4"/>
    <w:rsid w:val="00A307CD"/>
    <w:rsid w:val="00A30DD0"/>
    <w:rsid w:val="00A4098D"/>
    <w:rsid w:val="00A40A00"/>
    <w:rsid w:val="00A4142F"/>
    <w:rsid w:val="00A43483"/>
    <w:rsid w:val="00A472F1"/>
    <w:rsid w:val="00A56DF2"/>
    <w:rsid w:val="00A67AB5"/>
    <w:rsid w:val="00A91760"/>
    <w:rsid w:val="00A93B00"/>
    <w:rsid w:val="00A93C21"/>
    <w:rsid w:val="00AC3C6A"/>
    <w:rsid w:val="00AD5620"/>
    <w:rsid w:val="00AD7C1B"/>
    <w:rsid w:val="00AE16BA"/>
    <w:rsid w:val="00AE1EBE"/>
    <w:rsid w:val="00AE5342"/>
    <w:rsid w:val="00AF754D"/>
    <w:rsid w:val="00B026A6"/>
    <w:rsid w:val="00B03C9D"/>
    <w:rsid w:val="00B060AE"/>
    <w:rsid w:val="00B10517"/>
    <w:rsid w:val="00B10565"/>
    <w:rsid w:val="00B14E76"/>
    <w:rsid w:val="00B161B8"/>
    <w:rsid w:val="00B2048C"/>
    <w:rsid w:val="00B23D69"/>
    <w:rsid w:val="00B24322"/>
    <w:rsid w:val="00B30DBC"/>
    <w:rsid w:val="00B310B9"/>
    <w:rsid w:val="00B35F3F"/>
    <w:rsid w:val="00B36CBB"/>
    <w:rsid w:val="00B3786B"/>
    <w:rsid w:val="00B425E0"/>
    <w:rsid w:val="00B440AA"/>
    <w:rsid w:val="00B44B70"/>
    <w:rsid w:val="00B53C56"/>
    <w:rsid w:val="00B77EA6"/>
    <w:rsid w:val="00B81598"/>
    <w:rsid w:val="00B841F1"/>
    <w:rsid w:val="00B86CB2"/>
    <w:rsid w:val="00B87419"/>
    <w:rsid w:val="00B91AD7"/>
    <w:rsid w:val="00B944D6"/>
    <w:rsid w:val="00BB4DF0"/>
    <w:rsid w:val="00BB678F"/>
    <w:rsid w:val="00BB6A37"/>
    <w:rsid w:val="00BC289F"/>
    <w:rsid w:val="00BC5361"/>
    <w:rsid w:val="00BC5460"/>
    <w:rsid w:val="00BC6B50"/>
    <w:rsid w:val="00BD0E25"/>
    <w:rsid w:val="00BD3ACB"/>
    <w:rsid w:val="00BE7E88"/>
    <w:rsid w:val="00BF2C2D"/>
    <w:rsid w:val="00BF5BD6"/>
    <w:rsid w:val="00C034E1"/>
    <w:rsid w:val="00C03E31"/>
    <w:rsid w:val="00C159B0"/>
    <w:rsid w:val="00C16BFC"/>
    <w:rsid w:val="00C2075B"/>
    <w:rsid w:val="00C33E72"/>
    <w:rsid w:val="00C354B2"/>
    <w:rsid w:val="00C35554"/>
    <w:rsid w:val="00C4254B"/>
    <w:rsid w:val="00C42709"/>
    <w:rsid w:val="00C43F2D"/>
    <w:rsid w:val="00C51F46"/>
    <w:rsid w:val="00C533CC"/>
    <w:rsid w:val="00C55D76"/>
    <w:rsid w:val="00C5751C"/>
    <w:rsid w:val="00C57657"/>
    <w:rsid w:val="00C61BFC"/>
    <w:rsid w:val="00C62B85"/>
    <w:rsid w:val="00C65438"/>
    <w:rsid w:val="00C72989"/>
    <w:rsid w:val="00C73382"/>
    <w:rsid w:val="00C91CBB"/>
    <w:rsid w:val="00C93B3B"/>
    <w:rsid w:val="00CA5077"/>
    <w:rsid w:val="00CC09B6"/>
    <w:rsid w:val="00CC3354"/>
    <w:rsid w:val="00CC4050"/>
    <w:rsid w:val="00CC666F"/>
    <w:rsid w:val="00CD0136"/>
    <w:rsid w:val="00CD1E3F"/>
    <w:rsid w:val="00CD3005"/>
    <w:rsid w:val="00CD4D38"/>
    <w:rsid w:val="00CE44F6"/>
    <w:rsid w:val="00CE49DA"/>
    <w:rsid w:val="00CE7B61"/>
    <w:rsid w:val="00CF7A48"/>
    <w:rsid w:val="00D00095"/>
    <w:rsid w:val="00D01EE9"/>
    <w:rsid w:val="00D0225D"/>
    <w:rsid w:val="00D20620"/>
    <w:rsid w:val="00D26091"/>
    <w:rsid w:val="00D319E8"/>
    <w:rsid w:val="00D34E7C"/>
    <w:rsid w:val="00D35489"/>
    <w:rsid w:val="00D41F1E"/>
    <w:rsid w:val="00D43F46"/>
    <w:rsid w:val="00D51276"/>
    <w:rsid w:val="00D7035F"/>
    <w:rsid w:val="00D77ECC"/>
    <w:rsid w:val="00D94589"/>
    <w:rsid w:val="00DA65AC"/>
    <w:rsid w:val="00DB1913"/>
    <w:rsid w:val="00DC410D"/>
    <w:rsid w:val="00DC68CA"/>
    <w:rsid w:val="00DC7CBA"/>
    <w:rsid w:val="00DD4884"/>
    <w:rsid w:val="00DD611C"/>
    <w:rsid w:val="00DD73B7"/>
    <w:rsid w:val="00DE1D32"/>
    <w:rsid w:val="00DE244B"/>
    <w:rsid w:val="00DF28BC"/>
    <w:rsid w:val="00DF34B9"/>
    <w:rsid w:val="00E01053"/>
    <w:rsid w:val="00E07ACF"/>
    <w:rsid w:val="00E2292F"/>
    <w:rsid w:val="00E331A1"/>
    <w:rsid w:val="00E33202"/>
    <w:rsid w:val="00E336A9"/>
    <w:rsid w:val="00E354BE"/>
    <w:rsid w:val="00E50624"/>
    <w:rsid w:val="00E568DF"/>
    <w:rsid w:val="00E64269"/>
    <w:rsid w:val="00E6793A"/>
    <w:rsid w:val="00E71EC2"/>
    <w:rsid w:val="00E82267"/>
    <w:rsid w:val="00E87B5E"/>
    <w:rsid w:val="00E91DA2"/>
    <w:rsid w:val="00E97948"/>
    <w:rsid w:val="00EA010F"/>
    <w:rsid w:val="00EC1508"/>
    <w:rsid w:val="00ED1B63"/>
    <w:rsid w:val="00ED3C1F"/>
    <w:rsid w:val="00ED4085"/>
    <w:rsid w:val="00ED420E"/>
    <w:rsid w:val="00EE25B4"/>
    <w:rsid w:val="00EE2F57"/>
    <w:rsid w:val="00EF4C34"/>
    <w:rsid w:val="00EF77C6"/>
    <w:rsid w:val="00F05438"/>
    <w:rsid w:val="00F1361C"/>
    <w:rsid w:val="00F160C7"/>
    <w:rsid w:val="00F23AF1"/>
    <w:rsid w:val="00F340F9"/>
    <w:rsid w:val="00F36D8F"/>
    <w:rsid w:val="00F417B1"/>
    <w:rsid w:val="00F418D0"/>
    <w:rsid w:val="00F5067B"/>
    <w:rsid w:val="00F602DF"/>
    <w:rsid w:val="00F81FD9"/>
    <w:rsid w:val="00F841AA"/>
    <w:rsid w:val="00F90131"/>
    <w:rsid w:val="00FA23E8"/>
    <w:rsid w:val="00FB7ACA"/>
    <w:rsid w:val="00FC0334"/>
    <w:rsid w:val="00FC293A"/>
    <w:rsid w:val="00FC3615"/>
    <w:rsid w:val="00FD3CC1"/>
    <w:rsid w:val="00FF1E02"/>
    <w:rsid w:val="00FF30B4"/>
    <w:rsid w:val="01372323"/>
    <w:rsid w:val="018B6369"/>
    <w:rsid w:val="01936A02"/>
    <w:rsid w:val="0198587D"/>
    <w:rsid w:val="01A61282"/>
    <w:rsid w:val="02347682"/>
    <w:rsid w:val="024B505A"/>
    <w:rsid w:val="02513711"/>
    <w:rsid w:val="028D5673"/>
    <w:rsid w:val="03393468"/>
    <w:rsid w:val="03453893"/>
    <w:rsid w:val="037A63A2"/>
    <w:rsid w:val="03E001ED"/>
    <w:rsid w:val="040333C4"/>
    <w:rsid w:val="04185F6B"/>
    <w:rsid w:val="0441308B"/>
    <w:rsid w:val="04461F7D"/>
    <w:rsid w:val="04A76C1E"/>
    <w:rsid w:val="04AF13C9"/>
    <w:rsid w:val="04DB3E3D"/>
    <w:rsid w:val="04FF037E"/>
    <w:rsid w:val="052136C5"/>
    <w:rsid w:val="05341DD6"/>
    <w:rsid w:val="053718C6"/>
    <w:rsid w:val="054A01C5"/>
    <w:rsid w:val="055B3806"/>
    <w:rsid w:val="057E6BBA"/>
    <w:rsid w:val="05AA193F"/>
    <w:rsid w:val="05C42179"/>
    <w:rsid w:val="06540DA8"/>
    <w:rsid w:val="06562AE5"/>
    <w:rsid w:val="066F15D7"/>
    <w:rsid w:val="069B3ACF"/>
    <w:rsid w:val="07344328"/>
    <w:rsid w:val="073638D8"/>
    <w:rsid w:val="07507D43"/>
    <w:rsid w:val="07941430"/>
    <w:rsid w:val="08181475"/>
    <w:rsid w:val="08206641"/>
    <w:rsid w:val="082D0D5E"/>
    <w:rsid w:val="08323C43"/>
    <w:rsid w:val="0841191C"/>
    <w:rsid w:val="0876260D"/>
    <w:rsid w:val="087F2C26"/>
    <w:rsid w:val="08BB45BC"/>
    <w:rsid w:val="08FB2C0B"/>
    <w:rsid w:val="090441B5"/>
    <w:rsid w:val="09465142"/>
    <w:rsid w:val="0992531D"/>
    <w:rsid w:val="09E920EC"/>
    <w:rsid w:val="0A344E9F"/>
    <w:rsid w:val="0A3C07FE"/>
    <w:rsid w:val="0A8438E2"/>
    <w:rsid w:val="0ABA1821"/>
    <w:rsid w:val="0AE54168"/>
    <w:rsid w:val="0B180A1F"/>
    <w:rsid w:val="0B1D50BA"/>
    <w:rsid w:val="0B2C375A"/>
    <w:rsid w:val="0B64718D"/>
    <w:rsid w:val="0B6E03CB"/>
    <w:rsid w:val="0BC458DB"/>
    <w:rsid w:val="0C066166"/>
    <w:rsid w:val="0C2947BC"/>
    <w:rsid w:val="0C436C39"/>
    <w:rsid w:val="0C623A17"/>
    <w:rsid w:val="0C985340"/>
    <w:rsid w:val="0C9B273A"/>
    <w:rsid w:val="0C9F142C"/>
    <w:rsid w:val="0D3054C3"/>
    <w:rsid w:val="0D9762BB"/>
    <w:rsid w:val="0DBA567A"/>
    <w:rsid w:val="0DE6032D"/>
    <w:rsid w:val="0E186D0D"/>
    <w:rsid w:val="0E2E324F"/>
    <w:rsid w:val="0E344BF5"/>
    <w:rsid w:val="0E614C23"/>
    <w:rsid w:val="0E933ACF"/>
    <w:rsid w:val="0EDB1514"/>
    <w:rsid w:val="0EE2323D"/>
    <w:rsid w:val="0EE526EA"/>
    <w:rsid w:val="0F0236B0"/>
    <w:rsid w:val="0F0F5E83"/>
    <w:rsid w:val="0F752A44"/>
    <w:rsid w:val="0F7D0B61"/>
    <w:rsid w:val="0FB53557"/>
    <w:rsid w:val="10425654"/>
    <w:rsid w:val="10861954"/>
    <w:rsid w:val="108B0D18"/>
    <w:rsid w:val="10C055FF"/>
    <w:rsid w:val="10D03298"/>
    <w:rsid w:val="10D66437"/>
    <w:rsid w:val="10E46825"/>
    <w:rsid w:val="10E96DF4"/>
    <w:rsid w:val="10EE728C"/>
    <w:rsid w:val="11160D6C"/>
    <w:rsid w:val="112027B1"/>
    <w:rsid w:val="1143693A"/>
    <w:rsid w:val="11576F21"/>
    <w:rsid w:val="117479FE"/>
    <w:rsid w:val="11CB1D14"/>
    <w:rsid w:val="11E155E3"/>
    <w:rsid w:val="12174F59"/>
    <w:rsid w:val="12217B86"/>
    <w:rsid w:val="12352BEA"/>
    <w:rsid w:val="126F39E8"/>
    <w:rsid w:val="12832B06"/>
    <w:rsid w:val="128A572B"/>
    <w:rsid w:val="12A02307"/>
    <w:rsid w:val="12B34F44"/>
    <w:rsid w:val="12FE64DD"/>
    <w:rsid w:val="1350242C"/>
    <w:rsid w:val="13A4281C"/>
    <w:rsid w:val="13A97E33"/>
    <w:rsid w:val="1427548C"/>
    <w:rsid w:val="142C0307"/>
    <w:rsid w:val="1459432B"/>
    <w:rsid w:val="146A1E01"/>
    <w:rsid w:val="149438EE"/>
    <w:rsid w:val="14982E7D"/>
    <w:rsid w:val="14BB1B4E"/>
    <w:rsid w:val="14D56A06"/>
    <w:rsid w:val="14FD1B73"/>
    <w:rsid w:val="15585F9B"/>
    <w:rsid w:val="158B2E33"/>
    <w:rsid w:val="15B813A4"/>
    <w:rsid w:val="15C50828"/>
    <w:rsid w:val="15E058EE"/>
    <w:rsid w:val="15ED227C"/>
    <w:rsid w:val="16003EE7"/>
    <w:rsid w:val="16077FC8"/>
    <w:rsid w:val="160D48E0"/>
    <w:rsid w:val="16571A99"/>
    <w:rsid w:val="16730E77"/>
    <w:rsid w:val="16BB723D"/>
    <w:rsid w:val="16C31E29"/>
    <w:rsid w:val="16C67A69"/>
    <w:rsid w:val="16EF4171"/>
    <w:rsid w:val="173E6AE4"/>
    <w:rsid w:val="17964DF6"/>
    <w:rsid w:val="17E3061E"/>
    <w:rsid w:val="18622F95"/>
    <w:rsid w:val="186500A0"/>
    <w:rsid w:val="18AE6838"/>
    <w:rsid w:val="18EA12A6"/>
    <w:rsid w:val="18EB61BE"/>
    <w:rsid w:val="18F6471E"/>
    <w:rsid w:val="190459E4"/>
    <w:rsid w:val="19063631"/>
    <w:rsid w:val="19144D19"/>
    <w:rsid w:val="19350653"/>
    <w:rsid w:val="194427E8"/>
    <w:rsid w:val="19720745"/>
    <w:rsid w:val="19B25223"/>
    <w:rsid w:val="1A255D39"/>
    <w:rsid w:val="1A3B20FD"/>
    <w:rsid w:val="1A3D5415"/>
    <w:rsid w:val="1A516B2E"/>
    <w:rsid w:val="1A8567D8"/>
    <w:rsid w:val="1AC57507"/>
    <w:rsid w:val="1B0A527B"/>
    <w:rsid w:val="1B2E1CD2"/>
    <w:rsid w:val="1B456347"/>
    <w:rsid w:val="1B4F54AC"/>
    <w:rsid w:val="1B805EED"/>
    <w:rsid w:val="1BCB180E"/>
    <w:rsid w:val="1BD7751C"/>
    <w:rsid w:val="1C4630E0"/>
    <w:rsid w:val="1C4E4299"/>
    <w:rsid w:val="1C5648D0"/>
    <w:rsid w:val="1C5F19D6"/>
    <w:rsid w:val="1C672639"/>
    <w:rsid w:val="1C7A0F31"/>
    <w:rsid w:val="1C8E1370"/>
    <w:rsid w:val="1D426418"/>
    <w:rsid w:val="1D5E1C8E"/>
    <w:rsid w:val="1D8A2A83"/>
    <w:rsid w:val="1DA65540"/>
    <w:rsid w:val="1DC75A85"/>
    <w:rsid w:val="1DD7788B"/>
    <w:rsid w:val="1E3D05D9"/>
    <w:rsid w:val="1E91399D"/>
    <w:rsid w:val="1E95099F"/>
    <w:rsid w:val="1ED33D2F"/>
    <w:rsid w:val="1EE9068F"/>
    <w:rsid w:val="1EE97E51"/>
    <w:rsid w:val="1F1D2E05"/>
    <w:rsid w:val="1F6572D5"/>
    <w:rsid w:val="1F972093"/>
    <w:rsid w:val="1FA85442"/>
    <w:rsid w:val="1FE346CD"/>
    <w:rsid w:val="200F101E"/>
    <w:rsid w:val="205963E5"/>
    <w:rsid w:val="206E341B"/>
    <w:rsid w:val="20821DE2"/>
    <w:rsid w:val="208323B0"/>
    <w:rsid w:val="20895274"/>
    <w:rsid w:val="20C52024"/>
    <w:rsid w:val="20DA0A71"/>
    <w:rsid w:val="21385595"/>
    <w:rsid w:val="219F2875"/>
    <w:rsid w:val="21B24356"/>
    <w:rsid w:val="21CE0DC8"/>
    <w:rsid w:val="21D966CE"/>
    <w:rsid w:val="21E07116"/>
    <w:rsid w:val="21FE197F"/>
    <w:rsid w:val="222A1053"/>
    <w:rsid w:val="223960B1"/>
    <w:rsid w:val="226905E7"/>
    <w:rsid w:val="227B4870"/>
    <w:rsid w:val="228B7B4C"/>
    <w:rsid w:val="22C73CA1"/>
    <w:rsid w:val="22E30C4F"/>
    <w:rsid w:val="230128B1"/>
    <w:rsid w:val="235A2568"/>
    <w:rsid w:val="235E52BF"/>
    <w:rsid w:val="236478D2"/>
    <w:rsid w:val="23CA52D6"/>
    <w:rsid w:val="23D93670"/>
    <w:rsid w:val="23F538E4"/>
    <w:rsid w:val="240371BF"/>
    <w:rsid w:val="241A2891"/>
    <w:rsid w:val="242D23BA"/>
    <w:rsid w:val="242F69A3"/>
    <w:rsid w:val="246612E9"/>
    <w:rsid w:val="247E2E8E"/>
    <w:rsid w:val="248E0275"/>
    <w:rsid w:val="249441E7"/>
    <w:rsid w:val="249D3030"/>
    <w:rsid w:val="24C26FA6"/>
    <w:rsid w:val="24CC6F10"/>
    <w:rsid w:val="24F506AF"/>
    <w:rsid w:val="25044C48"/>
    <w:rsid w:val="25333A00"/>
    <w:rsid w:val="253D3678"/>
    <w:rsid w:val="257F3371"/>
    <w:rsid w:val="259F4BF2"/>
    <w:rsid w:val="26123616"/>
    <w:rsid w:val="262275D1"/>
    <w:rsid w:val="26A61FB0"/>
    <w:rsid w:val="26B66697"/>
    <w:rsid w:val="26BE379D"/>
    <w:rsid w:val="26C47DDC"/>
    <w:rsid w:val="26CC5EBA"/>
    <w:rsid w:val="26DB434F"/>
    <w:rsid w:val="271E7DEC"/>
    <w:rsid w:val="272F01F7"/>
    <w:rsid w:val="27402404"/>
    <w:rsid w:val="27C84AFD"/>
    <w:rsid w:val="27D66E7A"/>
    <w:rsid w:val="28700AC7"/>
    <w:rsid w:val="287C708A"/>
    <w:rsid w:val="288D0CE6"/>
    <w:rsid w:val="28931A64"/>
    <w:rsid w:val="28A41280"/>
    <w:rsid w:val="29062EB9"/>
    <w:rsid w:val="292813A2"/>
    <w:rsid w:val="29477A7A"/>
    <w:rsid w:val="29B361B4"/>
    <w:rsid w:val="29F106E0"/>
    <w:rsid w:val="29FD04D3"/>
    <w:rsid w:val="2A043BBD"/>
    <w:rsid w:val="2A0C2A72"/>
    <w:rsid w:val="2A107F74"/>
    <w:rsid w:val="2A303B17"/>
    <w:rsid w:val="2A566BA5"/>
    <w:rsid w:val="2A6D3AE5"/>
    <w:rsid w:val="2A7379D6"/>
    <w:rsid w:val="2AC6406E"/>
    <w:rsid w:val="2AEF2DB4"/>
    <w:rsid w:val="2AFA3507"/>
    <w:rsid w:val="2B08148B"/>
    <w:rsid w:val="2B2B1D45"/>
    <w:rsid w:val="2B5B62B2"/>
    <w:rsid w:val="2B6658FC"/>
    <w:rsid w:val="2BE37D65"/>
    <w:rsid w:val="2C6B2D25"/>
    <w:rsid w:val="2C720488"/>
    <w:rsid w:val="2C88736B"/>
    <w:rsid w:val="2C8F4334"/>
    <w:rsid w:val="2CD330BF"/>
    <w:rsid w:val="2CDC37A3"/>
    <w:rsid w:val="2D047A30"/>
    <w:rsid w:val="2D1905F2"/>
    <w:rsid w:val="2D19172E"/>
    <w:rsid w:val="2D1B29CE"/>
    <w:rsid w:val="2D8363D0"/>
    <w:rsid w:val="2D9E1C33"/>
    <w:rsid w:val="2E4427DA"/>
    <w:rsid w:val="2E7D3AD5"/>
    <w:rsid w:val="2EBA2261"/>
    <w:rsid w:val="2ECD6C74"/>
    <w:rsid w:val="2ED93001"/>
    <w:rsid w:val="2F467ADC"/>
    <w:rsid w:val="2F760120"/>
    <w:rsid w:val="2F8F3F5D"/>
    <w:rsid w:val="2FC763B4"/>
    <w:rsid w:val="2FCA4F61"/>
    <w:rsid w:val="30354AD0"/>
    <w:rsid w:val="30515C27"/>
    <w:rsid w:val="3069477A"/>
    <w:rsid w:val="309C4B4F"/>
    <w:rsid w:val="30AF5DF7"/>
    <w:rsid w:val="30F3375D"/>
    <w:rsid w:val="30FA1876"/>
    <w:rsid w:val="310B2313"/>
    <w:rsid w:val="314E65C2"/>
    <w:rsid w:val="315216B2"/>
    <w:rsid w:val="31971C15"/>
    <w:rsid w:val="31996026"/>
    <w:rsid w:val="319F4042"/>
    <w:rsid w:val="319F7F4E"/>
    <w:rsid w:val="31C74C0A"/>
    <w:rsid w:val="31D1096D"/>
    <w:rsid w:val="32122118"/>
    <w:rsid w:val="325D20BC"/>
    <w:rsid w:val="32A23C6C"/>
    <w:rsid w:val="3317670F"/>
    <w:rsid w:val="33576B0C"/>
    <w:rsid w:val="337C11F3"/>
    <w:rsid w:val="33B87464"/>
    <w:rsid w:val="33BA3FE2"/>
    <w:rsid w:val="33D67AFA"/>
    <w:rsid w:val="33F541D5"/>
    <w:rsid w:val="341472E4"/>
    <w:rsid w:val="343E1A7A"/>
    <w:rsid w:val="343E7C43"/>
    <w:rsid w:val="34CD0256"/>
    <w:rsid w:val="34D4418C"/>
    <w:rsid w:val="34DC01CF"/>
    <w:rsid w:val="354421E9"/>
    <w:rsid w:val="35586B6B"/>
    <w:rsid w:val="35780FBB"/>
    <w:rsid w:val="357A3CA7"/>
    <w:rsid w:val="35A81DE2"/>
    <w:rsid w:val="35B37503"/>
    <w:rsid w:val="35FB2318"/>
    <w:rsid w:val="36330222"/>
    <w:rsid w:val="36527A5E"/>
    <w:rsid w:val="36571524"/>
    <w:rsid w:val="366D189D"/>
    <w:rsid w:val="36A302BA"/>
    <w:rsid w:val="372E5533"/>
    <w:rsid w:val="373165B0"/>
    <w:rsid w:val="37593BA1"/>
    <w:rsid w:val="37600606"/>
    <w:rsid w:val="37A1636E"/>
    <w:rsid w:val="37AB4489"/>
    <w:rsid w:val="37B502A5"/>
    <w:rsid w:val="37C67274"/>
    <w:rsid w:val="37D56B99"/>
    <w:rsid w:val="382471D8"/>
    <w:rsid w:val="38500809"/>
    <w:rsid w:val="387D1A86"/>
    <w:rsid w:val="387E6334"/>
    <w:rsid w:val="3880428F"/>
    <w:rsid w:val="38A94229"/>
    <w:rsid w:val="38C56C0D"/>
    <w:rsid w:val="38E0550C"/>
    <w:rsid w:val="391C373A"/>
    <w:rsid w:val="392B75FF"/>
    <w:rsid w:val="393E3FC7"/>
    <w:rsid w:val="394915ED"/>
    <w:rsid w:val="39513FFD"/>
    <w:rsid w:val="395F0017"/>
    <w:rsid w:val="39641F82"/>
    <w:rsid w:val="396C0181"/>
    <w:rsid w:val="399C472B"/>
    <w:rsid w:val="3A1A0893"/>
    <w:rsid w:val="3A240A4F"/>
    <w:rsid w:val="3A252AB1"/>
    <w:rsid w:val="3A4C1AFC"/>
    <w:rsid w:val="3A683CF4"/>
    <w:rsid w:val="3A6D30B9"/>
    <w:rsid w:val="3A720BEE"/>
    <w:rsid w:val="3A724BBF"/>
    <w:rsid w:val="3A8054C4"/>
    <w:rsid w:val="3ABC508D"/>
    <w:rsid w:val="3AD12F2E"/>
    <w:rsid w:val="3B0A4DAB"/>
    <w:rsid w:val="3B0D21A6"/>
    <w:rsid w:val="3B135A0E"/>
    <w:rsid w:val="3B1D3F71"/>
    <w:rsid w:val="3B65138C"/>
    <w:rsid w:val="3B9C1EA7"/>
    <w:rsid w:val="3BE4055E"/>
    <w:rsid w:val="3C321FC6"/>
    <w:rsid w:val="3C325206"/>
    <w:rsid w:val="3C337A30"/>
    <w:rsid w:val="3C6E497A"/>
    <w:rsid w:val="3C933C18"/>
    <w:rsid w:val="3C945797"/>
    <w:rsid w:val="3CE77152"/>
    <w:rsid w:val="3D1A36B2"/>
    <w:rsid w:val="3D2C61BE"/>
    <w:rsid w:val="3E017148"/>
    <w:rsid w:val="3E060C40"/>
    <w:rsid w:val="3E7978B4"/>
    <w:rsid w:val="3EF234A9"/>
    <w:rsid w:val="3F157DE5"/>
    <w:rsid w:val="3F1D03FE"/>
    <w:rsid w:val="3F3E5454"/>
    <w:rsid w:val="3FA52EF5"/>
    <w:rsid w:val="3FDB2873"/>
    <w:rsid w:val="3FEA7D47"/>
    <w:rsid w:val="40007212"/>
    <w:rsid w:val="40123390"/>
    <w:rsid w:val="402D6810"/>
    <w:rsid w:val="40462B1E"/>
    <w:rsid w:val="40A504A7"/>
    <w:rsid w:val="40AF3345"/>
    <w:rsid w:val="40E554EF"/>
    <w:rsid w:val="40EA4655"/>
    <w:rsid w:val="41196203"/>
    <w:rsid w:val="412A3AB2"/>
    <w:rsid w:val="4134048C"/>
    <w:rsid w:val="41D57EC1"/>
    <w:rsid w:val="425103BC"/>
    <w:rsid w:val="42532A33"/>
    <w:rsid w:val="427C24E1"/>
    <w:rsid w:val="42AB6E74"/>
    <w:rsid w:val="42B13B71"/>
    <w:rsid w:val="42C4406E"/>
    <w:rsid w:val="43070205"/>
    <w:rsid w:val="43394480"/>
    <w:rsid w:val="435A677F"/>
    <w:rsid w:val="43F9776B"/>
    <w:rsid w:val="442E38B9"/>
    <w:rsid w:val="445552E9"/>
    <w:rsid w:val="44626F67"/>
    <w:rsid w:val="44AD6B1E"/>
    <w:rsid w:val="44D97CC8"/>
    <w:rsid w:val="45ED68FD"/>
    <w:rsid w:val="46081C5D"/>
    <w:rsid w:val="46346EA6"/>
    <w:rsid w:val="46485133"/>
    <w:rsid w:val="4654337F"/>
    <w:rsid w:val="46652972"/>
    <w:rsid w:val="4670445C"/>
    <w:rsid w:val="46A07F0F"/>
    <w:rsid w:val="46E73CB4"/>
    <w:rsid w:val="470D5149"/>
    <w:rsid w:val="4733305D"/>
    <w:rsid w:val="47477615"/>
    <w:rsid w:val="47A6427C"/>
    <w:rsid w:val="47A7670B"/>
    <w:rsid w:val="47F252A9"/>
    <w:rsid w:val="48524222"/>
    <w:rsid w:val="486149F0"/>
    <w:rsid w:val="487321E2"/>
    <w:rsid w:val="48752C58"/>
    <w:rsid w:val="487E0519"/>
    <w:rsid w:val="4893018E"/>
    <w:rsid w:val="48C60564"/>
    <w:rsid w:val="48F14EB5"/>
    <w:rsid w:val="48F7696F"/>
    <w:rsid w:val="48FF4AAA"/>
    <w:rsid w:val="491230DD"/>
    <w:rsid w:val="492139EC"/>
    <w:rsid w:val="49355907"/>
    <w:rsid w:val="494B470E"/>
    <w:rsid w:val="4952185C"/>
    <w:rsid w:val="495E69EE"/>
    <w:rsid w:val="496E1A1B"/>
    <w:rsid w:val="499D3DA6"/>
    <w:rsid w:val="49AA39E1"/>
    <w:rsid w:val="4A08201A"/>
    <w:rsid w:val="4A436FF1"/>
    <w:rsid w:val="4A510301"/>
    <w:rsid w:val="4AF9070D"/>
    <w:rsid w:val="4B4F4CE6"/>
    <w:rsid w:val="4B862B49"/>
    <w:rsid w:val="4B940289"/>
    <w:rsid w:val="4BCB65FF"/>
    <w:rsid w:val="4BE62177"/>
    <w:rsid w:val="4C0849EF"/>
    <w:rsid w:val="4C171BFB"/>
    <w:rsid w:val="4C6C31D0"/>
    <w:rsid w:val="4C737FEB"/>
    <w:rsid w:val="4C792879"/>
    <w:rsid w:val="4CA65A91"/>
    <w:rsid w:val="4CBB672C"/>
    <w:rsid w:val="4CD07C03"/>
    <w:rsid w:val="4D135D42"/>
    <w:rsid w:val="4D374464"/>
    <w:rsid w:val="4D6A2335"/>
    <w:rsid w:val="4D780280"/>
    <w:rsid w:val="4DC540A1"/>
    <w:rsid w:val="4DCB77B3"/>
    <w:rsid w:val="4DEC2A80"/>
    <w:rsid w:val="4DFF1E22"/>
    <w:rsid w:val="4E5E1682"/>
    <w:rsid w:val="4E6F51FA"/>
    <w:rsid w:val="4E764940"/>
    <w:rsid w:val="4ED908C5"/>
    <w:rsid w:val="4F2024E8"/>
    <w:rsid w:val="4F435AAB"/>
    <w:rsid w:val="4F475C45"/>
    <w:rsid w:val="4F541A58"/>
    <w:rsid w:val="4F875B23"/>
    <w:rsid w:val="4FC71344"/>
    <w:rsid w:val="4FE14544"/>
    <w:rsid w:val="501A2FCC"/>
    <w:rsid w:val="502F4C40"/>
    <w:rsid w:val="50347D02"/>
    <w:rsid w:val="5040349A"/>
    <w:rsid w:val="50485B88"/>
    <w:rsid w:val="50734785"/>
    <w:rsid w:val="507840EC"/>
    <w:rsid w:val="507C1C17"/>
    <w:rsid w:val="50A17A6E"/>
    <w:rsid w:val="50C20864"/>
    <w:rsid w:val="510A34B1"/>
    <w:rsid w:val="513937E0"/>
    <w:rsid w:val="519F7BA4"/>
    <w:rsid w:val="51A53CEE"/>
    <w:rsid w:val="51E26CB5"/>
    <w:rsid w:val="51E47F7B"/>
    <w:rsid w:val="525743CB"/>
    <w:rsid w:val="526003A1"/>
    <w:rsid w:val="526D5C04"/>
    <w:rsid w:val="52B81FBE"/>
    <w:rsid w:val="535B479F"/>
    <w:rsid w:val="538F0D7F"/>
    <w:rsid w:val="539741EF"/>
    <w:rsid w:val="53BE3A4E"/>
    <w:rsid w:val="53E671BA"/>
    <w:rsid w:val="54803E05"/>
    <w:rsid w:val="54A828BF"/>
    <w:rsid w:val="54D41A0F"/>
    <w:rsid w:val="54E56216"/>
    <w:rsid w:val="550D2661"/>
    <w:rsid w:val="55122895"/>
    <w:rsid w:val="55174DBD"/>
    <w:rsid w:val="552F2E48"/>
    <w:rsid w:val="55365700"/>
    <w:rsid w:val="55524F2D"/>
    <w:rsid w:val="55626A0C"/>
    <w:rsid w:val="556C47F5"/>
    <w:rsid w:val="55705E0B"/>
    <w:rsid w:val="55981E45"/>
    <w:rsid w:val="55B773AB"/>
    <w:rsid w:val="55BE07DD"/>
    <w:rsid w:val="55E96A3A"/>
    <w:rsid w:val="56081A51"/>
    <w:rsid w:val="56365FAA"/>
    <w:rsid w:val="5674365D"/>
    <w:rsid w:val="568E0ABB"/>
    <w:rsid w:val="56971BE9"/>
    <w:rsid w:val="56A156AF"/>
    <w:rsid w:val="56A16762"/>
    <w:rsid w:val="56B65760"/>
    <w:rsid w:val="571701DC"/>
    <w:rsid w:val="571844CB"/>
    <w:rsid w:val="571E71F4"/>
    <w:rsid w:val="57212E09"/>
    <w:rsid w:val="572A6162"/>
    <w:rsid w:val="574662D9"/>
    <w:rsid w:val="577E025B"/>
    <w:rsid w:val="578C4726"/>
    <w:rsid w:val="57E411DB"/>
    <w:rsid w:val="57FA30BC"/>
    <w:rsid w:val="582E1C82"/>
    <w:rsid w:val="588C2079"/>
    <w:rsid w:val="58C433D3"/>
    <w:rsid w:val="58C7642D"/>
    <w:rsid w:val="58DE5456"/>
    <w:rsid w:val="58E17D34"/>
    <w:rsid w:val="59114C9C"/>
    <w:rsid w:val="593B0A22"/>
    <w:rsid w:val="59413C36"/>
    <w:rsid w:val="59500C86"/>
    <w:rsid w:val="59B461B6"/>
    <w:rsid w:val="59B47F65"/>
    <w:rsid w:val="59B62470"/>
    <w:rsid w:val="59BD150F"/>
    <w:rsid w:val="59C81AD1"/>
    <w:rsid w:val="59CA248B"/>
    <w:rsid w:val="59F1199A"/>
    <w:rsid w:val="5A1D0700"/>
    <w:rsid w:val="5A4B1DC3"/>
    <w:rsid w:val="5A563DF3"/>
    <w:rsid w:val="5A5B72E5"/>
    <w:rsid w:val="5A646463"/>
    <w:rsid w:val="5AB0697E"/>
    <w:rsid w:val="5AC111EA"/>
    <w:rsid w:val="5AD308BE"/>
    <w:rsid w:val="5B0942E0"/>
    <w:rsid w:val="5B7D79B0"/>
    <w:rsid w:val="5B992A9D"/>
    <w:rsid w:val="5BC325E3"/>
    <w:rsid w:val="5C1476F5"/>
    <w:rsid w:val="5C351D6C"/>
    <w:rsid w:val="5C657C3C"/>
    <w:rsid w:val="5C6B5EFB"/>
    <w:rsid w:val="5C9D73D6"/>
    <w:rsid w:val="5CA6628A"/>
    <w:rsid w:val="5CA86647"/>
    <w:rsid w:val="5CB07109"/>
    <w:rsid w:val="5CC63ACD"/>
    <w:rsid w:val="5CDA41FC"/>
    <w:rsid w:val="5CDC6F31"/>
    <w:rsid w:val="5CEE29A8"/>
    <w:rsid w:val="5CF03E38"/>
    <w:rsid w:val="5D02226A"/>
    <w:rsid w:val="5D543F38"/>
    <w:rsid w:val="5D8A2160"/>
    <w:rsid w:val="5DAB2230"/>
    <w:rsid w:val="5E0857C0"/>
    <w:rsid w:val="5EE06497"/>
    <w:rsid w:val="5EFD75EB"/>
    <w:rsid w:val="5F2E67F1"/>
    <w:rsid w:val="5F463D55"/>
    <w:rsid w:val="5F6D7FCB"/>
    <w:rsid w:val="5F7F2DC3"/>
    <w:rsid w:val="5F842877"/>
    <w:rsid w:val="5F881C77"/>
    <w:rsid w:val="5F8D25F1"/>
    <w:rsid w:val="5FBA4A30"/>
    <w:rsid w:val="5FBA6DCA"/>
    <w:rsid w:val="60280797"/>
    <w:rsid w:val="604A30F2"/>
    <w:rsid w:val="604B408B"/>
    <w:rsid w:val="607B4B12"/>
    <w:rsid w:val="60814C6C"/>
    <w:rsid w:val="608E6BD3"/>
    <w:rsid w:val="6092190E"/>
    <w:rsid w:val="60E5331F"/>
    <w:rsid w:val="60EB43D1"/>
    <w:rsid w:val="61E84DE1"/>
    <w:rsid w:val="61F25ACE"/>
    <w:rsid w:val="62053A53"/>
    <w:rsid w:val="620760E7"/>
    <w:rsid w:val="620D2908"/>
    <w:rsid w:val="624D2357"/>
    <w:rsid w:val="62853336"/>
    <w:rsid w:val="62BF35B6"/>
    <w:rsid w:val="62CF122F"/>
    <w:rsid w:val="62E418BB"/>
    <w:rsid w:val="63016E98"/>
    <w:rsid w:val="630A38B9"/>
    <w:rsid w:val="631D3C48"/>
    <w:rsid w:val="63212B20"/>
    <w:rsid w:val="63711318"/>
    <w:rsid w:val="637B747D"/>
    <w:rsid w:val="638149DD"/>
    <w:rsid w:val="63886CD4"/>
    <w:rsid w:val="63C21728"/>
    <w:rsid w:val="63CA75F7"/>
    <w:rsid w:val="63CD05A1"/>
    <w:rsid w:val="63E74E45"/>
    <w:rsid w:val="64132AA7"/>
    <w:rsid w:val="6419731B"/>
    <w:rsid w:val="6446024F"/>
    <w:rsid w:val="644B1898"/>
    <w:rsid w:val="64540CC2"/>
    <w:rsid w:val="64892826"/>
    <w:rsid w:val="64C47668"/>
    <w:rsid w:val="64C57861"/>
    <w:rsid w:val="64CC2177"/>
    <w:rsid w:val="64D11979"/>
    <w:rsid w:val="64EA3C4C"/>
    <w:rsid w:val="650107CC"/>
    <w:rsid w:val="65114489"/>
    <w:rsid w:val="651E6BDA"/>
    <w:rsid w:val="657C2379"/>
    <w:rsid w:val="65842EE1"/>
    <w:rsid w:val="65997D9E"/>
    <w:rsid w:val="65D87EDC"/>
    <w:rsid w:val="661C7228"/>
    <w:rsid w:val="662446C4"/>
    <w:rsid w:val="662B15AE"/>
    <w:rsid w:val="66447577"/>
    <w:rsid w:val="664A008B"/>
    <w:rsid w:val="666D1BC7"/>
    <w:rsid w:val="66966C74"/>
    <w:rsid w:val="66990C0E"/>
    <w:rsid w:val="66BC4768"/>
    <w:rsid w:val="66F75934"/>
    <w:rsid w:val="67183FE6"/>
    <w:rsid w:val="672A58BC"/>
    <w:rsid w:val="677E6BDE"/>
    <w:rsid w:val="67CA7051"/>
    <w:rsid w:val="6856444C"/>
    <w:rsid w:val="685B2023"/>
    <w:rsid w:val="687436E1"/>
    <w:rsid w:val="68831167"/>
    <w:rsid w:val="6891034D"/>
    <w:rsid w:val="68E104CA"/>
    <w:rsid w:val="69170F6E"/>
    <w:rsid w:val="692769A5"/>
    <w:rsid w:val="693F133B"/>
    <w:rsid w:val="696D2018"/>
    <w:rsid w:val="697119CE"/>
    <w:rsid w:val="69D514E6"/>
    <w:rsid w:val="69E814A3"/>
    <w:rsid w:val="6A0B2EEE"/>
    <w:rsid w:val="6A234995"/>
    <w:rsid w:val="6A510A4B"/>
    <w:rsid w:val="6A861EB5"/>
    <w:rsid w:val="6AB51F79"/>
    <w:rsid w:val="6AE40F99"/>
    <w:rsid w:val="6AF67290"/>
    <w:rsid w:val="6B204DC6"/>
    <w:rsid w:val="6BD6020E"/>
    <w:rsid w:val="6C1A634D"/>
    <w:rsid w:val="6C72739D"/>
    <w:rsid w:val="6CB30550"/>
    <w:rsid w:val="6CCF1E61"/>
    <w:rsid w:val="6CFE1653"/>
    <w:rsid w:val="6D0D4104"/>
    <w:rsid w:val="6D197479"/>
    <w:rsid w:val="6D4F4D28"/>
    <w:rsid w:val="6D9B34BE"/>
    <w:rsid w:val="6E002CD0"/>
    <w:rsid w:val="6E26547D"/>
    <w:rsid w:val="6E5054B3"/>
    <w:rsid w:val="6E58107A"/>
    <w:rsid w:val="6E5813AF"/>
    <w:rsid w:val="6E6935BC"/>
    <w:rsid w:val="6F2275CC"/>
    <w:rsid w:val="6F2E2FB0"/>
    <w:rsid w:val="6F405CB1"/>
    <w:rsid w:val="6F411E43"/>
    <w:rsid w:val="6F575304"/>
    <w:rsid w:val="6F585B10"/>
    <w:rsid w:val="6F7B36D0"/>
    <w:rsid w:val="6F7E71C4"/>
    <w:rsid w:val="6F926B42"/>
    <w:rsid w:val="6F9E4144"/>
    <w:rsid w:val="6FA67EF8"/>
    <w:rsid w:val="6FF155D3"/>
    <w:rsid w:val="704D2DF7"/>
    <w:rsid w:val="708C533F"/>
    <w:rsid w:val="70967F6C"/>
    <w:rsid w:val="70AB1C6A"/>
    <w:rsid w:val="70E072BF"/>
    <w:rsid w:val="71000AC1"/>
    <w:rsid w:val="710E5DCB"/>
    <w:rsid w:val="71413FD1"/>
    <w:rsid w:val="71437FF0"/>
    <w:rsid w:val="71B86F70"/>
    <w:rsid w:val="71C34F12"/>
    <w:rsid w:val="71EB7655"/>
    <w:rsid w:val="72324F33"/>
    <w:rsid w:val="723922CE"/>
    <w:rsid w:val="72767A5F"/>
    <w:rsid w:val="728170B1"/>
    <w:rsid w:val="729D55E2"/>
    <w:rsid w:val="72B868C0"/>
    <w:rsid w:val="72E11363"/>
    <w:rsid w:val="72E90827"/>
    <w:rsid w:val="72E94CCB"/>
    <w:rsid w:val="731D52D5"/>
    <w:rsid w:val="736C2FED"/>
    <w:rsid w:val="739C53B6"/>
    <w:rsid w:val="73CE5B38"/>
    <w:rsid w:val="73CF1E02"/>
    <w:rsid w:val="740E2879"/>
    <w:rsid w:val="74115AF7"/>
    <w:rsid w:val="74143A77"/>
    <w:rsid w:val="744B64ED"/>
    <w:rsid w:val="750C629B"/>
    <w:rsid w:val="75262EE3"/>
    <w:rsid w:val="75324707"/>
    <w:rsid w:val="753C5586"/>
    <w:rsid w:val="757907EE"/>
    <w:rsid w:val="757A1FAF"/>
    <w:rsid w:val="757C5983"/>
    <w:rsid w:val="75872335"/>
    <w:rsid w:val="763C1BDE"/>
    <w:rsid w:val="76894BA5"/>
    <w:rsid w:val="76A52DAB"/>
    <w:rsid w:val="77011AA1"/>
    <w:rsid w:val="77396308"/>
    <w:rsid w:val="776A2E53"/>
    <w:rsid w:val="778112FB"/>
    <w:rsid w:val="77BC2A19"/>
    <w:rsid w:val="78976F0C"/>
    <w:rsid w:val="789B5C31"/>
    <w:rsid w:val="789D129D"/>
    <w:rsid w:val="78DB41CB"/>
    <w:rsid w:val="78E0091E"/>
    <w:rsid w:val="791505C8"/>
    <w:rsid w:val="792D471D"/>
    <w:rsid w:val="793547C6"/>
    <w:rsid w:val="79767427"/>
    <w:rsid w:val="7993260D"/>
    <w:rsid w:val="7993773F"/>
    <w:rsid w:val="79991713"/>
    <w:rsid w:val="79EC7EEF"/>
    <w:rsid w:val="7A036672"/>
    <w:rsid w:val="7A1A43C6"/>
    <w:rsid w:val="7A1C14E2"/>
    <w:rsid w:val="7A4B6990"/>
    <w:rsid w:val="7A6F1F5A"/>
    <w:rsid w:val="7AA31D42"/>
    <w:rsid w:val="7AEE2F60"/>
    <w:rsid w:val="7B1135CA"/>
    <w:rsid w:val="7B264158"/>
    <w:rsid w:val="7B705F89"/>
    <w:rsid w:val="7B8A1FFF"/>
    <w:rsid w:val="7C0C49DC"/>
    <w:rsid w:val="7C1B0A60"/>
    <w:rsid w:val="7C2D5C29"/>
    <w:rsid w:val="7C533906"/>
    <w:rsid w:val="7C672E3A"/>
    <w:rsid w:val="7C8D4919"/>
    <w:rsid w:val="7CB40242"/>
    <w:rsid w:val="7D1D2B0E"/>
    <w:rsid w:val="7D2517DF"/>
    <w:rsid w:val="7D252BD6"/>
    <w:rsid w:val="7D3E1B77"/>
    <w:rsid w:val="7D5947FB"/>
    <w:rsid w:val="7D62054B"/>
    <w:rsid w:val="7D8555F0"/>
    <w:rsid w:val="7D913F95"/>
    <w:rsid w:val="7DA55367"/>
    <w:rsid w:val="7DA8331F"/>
    <w:rsid w:val="7E9206A7"/>
    <w:rsid w:val="7EAA2BA5"/>
    <w:rsid w:val="7EBB1AD8"/>
    <w:rsid w:val="7EBF4B32"/>
    <w:rsid w:val="7EC02D84"/>
    <w:rsid w:val="7F0268C4"/>
    <w:rsid w:val="7F0B4083"/>
    <w:rsid w:val="7F2A478F"/>
    <w:rsid w:val="7F2D5F40"/>
    <w:rsid w:val="7F54153E"/>
    <w:rsid w:val="7F8042C1"/>
    <w:rsid w:val="7F8F1253"/>
    <w:rsid w:val="7FB6068D"/>
    <w:rsid w:val="7FC339EC"/>
    <w:rsid w:val="7FFBA382"/>
    <w:rsid w:val="BFFB17D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7"/>
    <w:unhideWhenUsed/>
    <w:qFormat/>
    <w:uiPriority w:val="9"/>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List Number"/>
    <w:basedOn w:val="1"/>
    <w:semiHidden/>
    <w:unhideWhenUsed/>
    <w:qFormat/>
    <w:uiPriority w:val="99"/>
    <w:pPr>
      <w:numPr>
        <w:ilvl w:val="0"/>
        <w:numId w:val="1"/>
      </w:numPr>
    </w:pPr>
  </w:style>
  <w:style w:type="paragraph" w:styleId="6">
    <w:name w:val="annotation text"/>
    <w:basedOn w:val="1"/>
    <w:semiHidden/>
    <w:unhideWhenUsed/>
    <w:qFormat/>
    <w:uiPriority w:val="99"/>
    <w:pPr>
      <w:jc w:val="left"/>
    </w:pPr>
  </w:style>
  <w:style w:type="paragraph" w:styleId="7">
    <w:name w:val="Body Text"/>
    <w:basedOn w:val="1"/>
    <w:link w:val="30"/>
    <w:qFormat/>
    <w:uiPriority w:val="99"/>
    <w:pPr>
      <w:spacing w:beforeLines="30"/>
    </w:pPr>
    <w:rPr>
      <w:rFonts w:ascii="仿宋_GB2312" w:eastAsia="仿宋_GB2312"/>
      <w:kern w:val="0"/>
      <w:sz w:val="30"/>
    </w:rPr>
  </w:style>
  <w:style w:type="paragraph" w:styleId="8">
    <w:name w:val="Body Text Indent"/>
    <w:basedOn w:val="1"/>
    <w:next w:val="9"/>
    <w:qFormat/>
    <w:uiPriority w:val="0"/>
    <w:pPr>
      <w:spacing w:after="120"/>
      <w:ind w:left="200" w:leftChars="200"/>
    </w:pPr>
    <w:rPr>
      <w:rFonts w:ascii="仿宋_GB2312"/>
      <w:szCs w:val="32"/>
    </w:rPr>
  </w:style>
  <w:style w:type="paragraph" w:styleId="9">
    <w:name w:val="Body Text First Indent 2"/>
    <w:basedOn w:val="8"/>
    <w:link w:val="39"/>
    <w:unhideWhenUsed/>
    <w:qFormat/>
    <w:uiPriority w:val="99"/>
    <w:pPr>
      <w:ind w:firstLine="420" w:firstLineChars="200"/>
    </w:p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6"/>
    <w:semiHidden/>
    <w:unhideWhenUsed/>
    <w:qFormat/>
    <w:uiPriority w:val="99"/>
    <w:rPr>
      <w:sz w:val="18"/>
      <w:szCs w:val="18"/>
    </w:rPr>
  </w:style>
  <w:style w:type="paragraph" w:styleId="12">
    <w:name w:val="footer"/>
    <w:basedOn w:val="1"/>
    <w:link w:val="28"/>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6"/>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9"/>
    <w:semiHidden/>
    <w:qFormat/>
    <w:uiPriority w:val="0"/>
    <w:pPr>
      <w:snapToGrid w:val="0"/>
      <w:jc w:val="left"/>
    </w:pPr>
    <w:rPr>
      <w:sz w:val="18"/>
      <w:szCs w:val="18"/>
    </w:rPr>
  </w:style>
  <w:style w:type="paragraph" w:styleId="16">
    <w:name w:val="table of figures"/>
    <w:basedOn w:val="1"/>
    <w:next w:val="1"/>
    <w:qFormat/>
    <w:uiPriority w:val="0"/>
    <w:rPr>
      <w:rFonts w:ascii="Calibri" w:hAnsi="Calibri"/>
    </w:rPr>
  </w:style>
  <w:style w:type="paragraph" w:styleId="17">
    <w:name w:val="toc 2"/>
    <w:basedOn w:val="1"/>
    <w:next w:val="1"/>
    <w:unhideWhenUsed/>
    <w:qFormat/>
    <w:uiPriority w:val="39"/>
    <w:pPr>
      <w:tabs>
        <w:tab w:val="right" w:leader="dot" w:pos="8296"/>
      </w:tabs>
      <w:ind w:left="420" w:leftChars="200"/>
    </w:pPr>
  </w:style>
  <w:style w:type="paragraph" w:styleId="18">
    <w:name w:val="Normal (Web)"/>
    <w:basedOn w:val="1"/>
    <w:unhideWhenUsed/>
    <w:qFormat/>
    <w:uiPriority w:val="99"/>
    <w:pPr>
      <w:spacing w:before="100" w:beforeAutospacing="1" w:after="100" w:afterAutospacing="1"/>
      <w:jc w:val="left"/>
    </w:pPr>
    <w:rPr>
      <w:rFonts w:ascii="Calibri" w:hAnsi="Calibri"/>
      <w:kern w:val="0"/>
      <w:sz w:val="24"/>
    </w:rPr>
  </w:style>
  <w:style w:type="character" w:styleId="21">
    <w:name w:val="Strong"/>
    <w:basedOn w:val="20"/>
    <w:qFormat/>
    <w:uiPriority w:val="99"/>
    <w:rPr>
      <w:b/>
    </w:rPr>
  </w:style>
  <w:style w:type="character" w:styleId="22">
    <w:name w:val="Hyperlink"/>
    <w:basedOn w:val="20"/>
    <w:unhideWhenUsed/>
    <w:qFormat/>
    <w:uiPriority w:val="99"/>
    <w:rPr>
      <w:color w:val="0000FF" w:themeColor="hyperlink"/>
      <w:u w:val="single"/>
      <w14:textFill>
        <w14:solidFill>
          <w14:schemeClr w14:val="hlink"/>
        </w14:solidFill>
      </w14:textFill>
    </w:rPr>
  </w:style>
  <w:style w:type="paragraph" w:customStyle="1" w:styleId="23">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paragraph" w:customStyle="1" w:styleId="24">
    <w:name w:val="正文2"/>
    <w:basedOn w:val="1"/>
    <w:next w:val="1"/>
    <w:unhideWhenUsed/>
    <w:qFormat/>
    <w:uiPriority w:val="99"/>
    <w:rPr>
      <w:rFonts w:hint="eastAsia"/>
    </w:rPr>
  </w:style>
  <w:style w:type="character" w:customStyle="1" w:styleId="25">
    <w:name w:val="Header Char"/>
    <w:basedOn w:val="20"/>
    <w:semiHidden/>
    <w:qFormat/>
    <w:uiPriority w:val="99"/>
    <w:rPr>
      <w:rFonts w:ascii="Times New Roman" w:hAnsi="Times New Roman"/>
      <w:sz w:val="18"/>
      <w:szCs w:val="18"/>
    </w:rPr>
  </w:style>
  <w:style w:type="character" w:customStyle="1" w:styleId="26">
    <w:name w:val="页眉 字符"/>
    <w:link w:val="13"/>
    <w:semiHidden/>
    <w:qFormat/>
    <w:locked/>
    <w:uiPriority w:val="99"/>
    <w:rPr>
      <w:sz w:val="18"/>
    </w:rPr>
  </w:style>
  <w:style w:type="character" w:customStyle="1" w:styleId="27">
    <w:name w:val="Footer Char"/>
    <w:basedOn w:val="20"/>
    <w:semiHidden/>
    <w:qFormat/>
    <w:uiPriority w:val="99"/>
    <w:rPr>
      <w:rFonts w:ascii="Times New Roman" w:hAnsi="Times New Roman"/>
      <w:sz w:val="18"/>
      <w:szCs w:val="18"/>
    </w:rPr>
  </w:style>
  <w:style w:type="character" w:customStyle="1" w:styleId="28">
    <w:name w:val="页脚 字符"/>
    <w:link w:val="12"/>
    <w:qFormat/>
    <w:locked/>
    <w:uiPriority w:val="99"/>
    <w:rPr>
      <w:sz w:val="18"/>
    </w:rPr>
  </w:style>
  <w:style w:type="character" w:customStyle="1" w:styleId="29">
    <w:name w:val="Body Text Char"/>
    <w:basedOn w:val="20"/>
    <w:semiHidden/>
    <w:qFormat/>
    <w:uiPriority w:val="99"/>
    <w:rPr>
      <w:rFonts w:ascii="Times New Roman" w:hAnsi="Times New Roman"/>
      <w:szCs w:val="24"/>
    </w:rPr>
  </w:style>
  <w:style w:type="character" w:customStyle="1" w:styleId="30">
    <w:name w:val="正文文本 字符"/>
    <w:link w:val="7"/>
    <w:qFormat/>
    <w:locked/>
    <w:uiPriority w:val="99"/>
    <w:rPr>
      <w:rFonts w:ascii="仿宋_GB2312" w:hAnsi="Times New Roman" w:eastAsia="仿宋_GB2312"/>
      <w:sz w:val="24"/>
    </w:rPr>
  </w:style>
  <w:style w:type="paragraph" w:customStyle="1" w:styleId="31">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2">
    <w:name w:val="List Paragraph"/>
    <w:basedOn w:val="1"/>
    <w:qFormat/>
    <w:uiPriority w:val="34"/>
    <w:pPr>
      <w:ind w:firstLine="420" w:firstLineChars="200"/>
    </w:pPr>
  </w:style>
  <w:style w:type="character" w:customStyle="1" w:styleId="33">
    <w:name w:val="标题 1 字符"/>
    <w:basedOn w:val="20"/>
    <w:link w:val="2"/>
    <w:qFormat/>
    <w:uiPriority w:val="9"/>
    <w:rPr>
      <w:rFonts w:ascii="Times New Roman" w:hAnsi="Times New Roman"/>
      <w:b/>
      <w:bCs/>
      <w:kern w:val="44"/>
      <w:sz w:val="44"/>
      <w:szCs w:val="44"/>
    </w:rPr>
  </w:style>
  <w:style w:type="character" w:customStyle="1" w:styleId="34">
    <w:name w:val="标题 2 字符"/>
    <w:basedOn w:val="20"/>
    <w:link w:val="3"/>
    <w:qFormat/>
    <w:uiPriority w:val="9"/>
    <w:rPr>
      <w:rFonts w:asciiTheme="majorHAnsi" w:hAnsiTheme="majorHAnsi" w:eastAsiaTheme="majorEastAsia" w:cstheme="majorBidi"/>
      <w:b/>
      <w:bCs/>
      <w:kern w:val="2"/>
      <w:sz w:val="32"/>
      <w:szCs w:val="32"/>
    </w:rPr>
  </w:style>
  <w:style w:type="paragraph" w:customStyle="1" w:styleId="35">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字符"/>
    <w:basedOn w:val="20"/>
    <w:link w:val="11"/>
    <w:semiHidden/>
    <w:qFormat/>
    <w:uiPriority w:val="99"/>
    <w:rPr>
      <w:rFonts w:ascii="Times New Roman" w:hAnsi="Times New Roman"/>
      <w:kern w:val="2"/>
      <w:sz w:val="18"/>
      <w:szCs w:val="18"/>
    </w:rPr>
  </w:style>
  <w:style w:type="character" w:customStyle="1" w:styleId="37">
    <w:name w:val="标题 3 字符"/>
    <w:basedOn w:val="20"/>
    <w:link w:val="4"/>
    <w:qFormat/>
    <w:uiPriority w:val="9"/>
    <w:rPr>
      <w:rFonts w:ascii="Times New Roman" w:hAnsi="Times New Roman"/>
      <w:b/>
      <w:bCs/>
      <w:kern w:val="2"/>
      <w:sz w:val="32"/>
      <w:szCs w:val="32"/>
    </w:rPr>
  </w:style>
  <w:style w:type="paragraph" w:customStyle="1" w:styleId="38">
    <w:name w:val="常用样式（方正仿宋简）"/>
    <w:basedOn w:val="1"/>
    <w:qFormat/>
    <w:uiPriority w:val="99"/>
    <w:pPr>
      <w:spacing w:line="560" w:lineRule="exact"/>
      <w:ind w:firstLine="640" w:firstLineChars="200"/>
    </w:pPr>
    <w:rPr>
      <w:rFonts w:ascii="Calibri" w:hAnsi="Calibri" w:eastAsia="方正仿宋简体"/>
      <w:sz w:val="32"/>
    </w:rPr>
  </w:style>
  <w:style w:type="character" w:customStyle="1" w:styleId="39">
    <w:name w:val="正文首行缩进 2 字符"/>
    <w:basedOn w:val="20"/>
    <w:link w:val="9"/>
    <w:qFormat/>
    <w:uiPriority w:val="99"/>
    <w:rPr>
      <w:rFonts w:ascii="仿宋_GB2312"/>
      <w:kern w:val="2"/>
      <w:sz w:val="21"/>
      <w:szCs w:val="32"/>
    </w:rPr>
  </w:style>
  <w:style w:type="character" w:customStyle="1" w:styleId="40">
    <w:name w:val="font41"/>
    <w:basedOn w:val="2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收、支决算总计变动情况图</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收入总计（万元）</c:v>
                </c:pt>
                <c:pt idx="1">
                  <c:v>支出总计（万元）</c:v>
                </c:pt>
              </c:strCache>
            </c:strRef>
          </c:cat>
          <c:val>
            <c:numRef>
              <c:f>Sheet1!$B$2:$B$3</c:f>
              <c:numCache>
                <c:formatCode>General</c:formatCode>
                <c:ptCount val="2"/>
                <c:pt idx="0">
                  <c:v>375.08</c:v>
                </c:pt>
                <c:pt idx="1">
                  <c:v>375.08</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收入总计（万元）</c:v>
                </c:pt>
                <c:pt idx="1">
                  <c:v>支出总计（万元）</c:v>
                </c:pt>
              </c:strCache>
            </c:strRef>
          </c:cat>
          <c:val>
            <c:numRef>
              <c:f>Sheet1!$C$2:$C$3</c:f>
              <c:numCache>
                <c:formatCode>General</c:formatCode>
                <c:ptCount val="2"/>
                <c:pt idx="0">
                  <c:v>264.74</c:v>
                </c:pt>
                <c:pt idx="1">
                  <c:v>264.74</c:v>
                </c:pt>
              </c:numCache>
            </c:numRef>
          </c:val>
        </c:ser>
        <c:dLbls>
          <c:showLegendKey val="0"/>
          <c:showVal val="1"/>
          <c:showCatName val="0"/>
          <c:showSerName val="0"/>
          <c:showPercent val="0"/>
          <c:showBubbleSize val="0"/>
        </c:dLbls>
        <c:gapWidth val="219"/>
        <c:overlap val="-27"/>
        <c:axId val="443957681"/>
        <c:axId val="905101967"/>
      </c:barChart>
      <c:catAx>
        <c:axId val="44395768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05101967"/>
        <c:crosses val="autoZero"/>
        <c:auto val="1"/>
        <c:lblAlgn val="ctr"/>
        <c:lblOffset val="100"/>
        <c:noMultiLvlLbl val="0"/>
      </c:catAx>
      <c:valAx>
        <c:axId val="9051019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4395768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b701c93-071d-4e73-9173-c91c728f411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收入决算结构图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一般公共预算财政拨款收入</c:v>
                </c:pt>
                <c:pt idx="1">
                  <c:v>政府性基金预算财政拨款收入</c:v>
                </c:pt>
                <c:pt idx="2">
                  <c:v>国有资本经营预算财政拨款收</c:v>
                </c:pt>
                <c:pt idx="3">
                  <c:v>上级补助收入</c:v>
                </c:pt>
                <c:pt idx="4">
                  <c:v>事业收入</c:v>
                </c:pt>
                <c:pt idx="5">
                  <c:v>经营收入</c:v>
                </c:pt>
                <c:pt idx="6">
                  <c:v>附属单位上缴收入</c:v>
                </c:pt>
                <c:pt idx="7">
                  <c:v>其他收入</c:v>
                </c:pt>
              </c:strCache>
            </c:strRef>
          </c:cat>
          <c:val>
            <c:numRef>
              <c:f>Sheet1!$B$2:$B$9</c:f>
              <c:numCache>
                <c:formatCode>0%</c:formatCode>
                <c:ptCount val="8"/>
                <c:pt idx="0">
                  <c:v>1</c:v>
                </c:pt>
                <c:pt idx="1">
                  <c:v>0</c:v>
                </c:pt>
                <c:pt idx="2">
                  <c:v>0</c:v>
                </c:pt>
                <c:pt idx="3">
                  <c:v>0</c:v>
                </c:pt>
                <c:pt idx="4">
                  <c:v>0</c:v>
                </c:pt>
                <c:pt idx="5">
                  <c:v>0</c:v>
                </c:pt>
                <c:pt idx="6">
                  <c:v>0</c:v>
                </c:pt>
                <c:pt idx="7">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3b9822a-10f7-4217-96e2-13d0a237f54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0"/>
              <c:layout>
                <c:manualLayout>
                  <c:x val="-0.00206955162941352"/>
                  <c:y val="0.032944403698256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15554483064086"/>
                  <c:y val="-0.035245695600329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经营支出</c:v>
                </c:pt>
                <c:pt idx="3">
                  <c:v>上缴上级支出</c:v>
                </c:pt>
                <c:pt idx="4">
                  <c:v>对附属单位补助支出</c:v>
                </c:pt>
              </c:strCache>
            </c:strRef>
          </c:cat>
          <c:val>
            <c:numRef>
              <c:f>Sheet1!$B$2:$B$6</c:f>
              <c:numCache>
                <c:formatCode>0%</c:formatCode>
                <c:ptCount val="5"/>
                <c:pt idx="0">
                  <c:v>0.7217</c:v>
                </c:pt>
                <c:pt idx="1">
                  <c:v>0.2783</c:v>
                </c:pt>
                <c:pt idx="2">
                  <c:v>0</c:v>
                </c:pt>
                <c:pt idx="3">
                  <c:v>0</c:v>
                </c:pt>
                <c:pt idx="4">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e667ef9-0f9f-4f00-bced-0ac0c6f8936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财政拨款收、支决算总计变动情况</a:t>
            </a:r>
            <a:endParaRPr lang="zh-CN" altLang="en-US"/>
          </a:p>
        </c:rich>
      </c:tx>
      <c:layout>
        <c:manualLayout>
          <c:xMode val="edge"/>
          <c:yMode val="edge"/>
          <c:x val="0.261830876648565"/>
          <c:y val="0.0184753014391287"/>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财政拨款收入总计（万元）</c:v>
                </c:pt>
                <c:pt idx="1">
                  <c:v>财政拨款支出总计（万元）</c:v>
                </c:pt>
              </c:strCache>
            </c:strRef>
          </c:cat>
          <c:val>
            <c:numRef>
              <c:f>Sheet1!$B$2:$B$3</c:f>
              <c:numCache>
                <c:formatCode>General</c:formatCode>
                <c:ptCount val="2"/>
                <c:pt idx="0">
                  <c:v>375.08</c:v>
                </c:pt>
                <c:pt idx="1">
                  <c:v>375.08</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财政拨款收入总计（万元）</c:v>
                </c:pt>
                <c:pt idx="1">
                  <c:v>财政拨款支出总计（万元）</c:v>
                </c:pt>
              </c:strCache>
            </c:strRef>
          </c:cat>
          <c:val>
            <c:numRef>
              <c:f>Sheet1!$C$2:$C$3</c:f>
              <c:numCache>
                <c:formatCode>General</c:formatCode>
                <c:ptCount val="2"/>
                <c:pt idx="0">
                  <c:v>264.74</c:v>
                </c:pt>
                <c:pt idx="1">
                  <c:v>264.74</c:v>
                </c:pt>
              </c:numCache>
            </c:numRef>
          </c:val>
        </c:ser>
        <c:dLbls>
          <c:showLegendKey val="0"/>
          <c:showVal val="1"/>
          <c:showCatName val="0"/>
          <c:showSerName val="0"/>
          <c:showPercent val="0"/>
          <c:showBubbleSize val="0"/>
        </c:dLbls>
        <c:gapWidth val="219"/>
        <c:overlap val="-27"/>
        <c:axId val="750214136"/>
        <c:axId val="111865265"/>
      </c:barChart>
      <c:catAx>
        <c:axId val="75021413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1865265"/>
        <c:crosses val="autoZero"/>
        <c:auto val="1"/>
        <c:lblAlgn val="ctr"/>
        <c:lblOffset val="100"/>
        <c:noMultiLvlLbl val="0"/>
      </c:catAx>
      <c:valAx>
        <c:axId val="11186526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5021413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5623564-4bf4-41ed-9c07-e43656ad32b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stacked"/>
        <c:varyColors val="0"/>
        <c:ser>
          <c:idx val="0"/>
          <c:order val="0"/>
          <c:tx>
            <c:strRef>
              <c:f>Sheet1!$B$1</c:f>
              <c:strCache>
                <c:ptCount val="1"/>
                <c:pt idx="0">
                  <c:v>一般公共预算财政拨款支出决算变动情况图</c:v>
                </c:pt>
              </c:strCache>
            </c:strRef>
          </c:tx>
          <c:spPr>
            <a:solidFill>
              <a:schemeClr val="accent1"/>
            </a:solidFill>
            <a:ln>
              <a:noFill/>
            </a:ln>
            <a:effectLst/>
          </c:spPr>
          <c:invertIfNegative val="0"/>
          <c:dLbls>
            <c:dLbl>
              <c:idx val="0"/>
              <c:layout>
                <c:manualLayout>
                  <c:x val="-0.006875"/>
                  <c:y val="-0.4"/>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554796264855684"/>
                  <c:y val="-0.275748655913978"/>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2023年（万元）</c:v>
                </c:pt>
                <c:pt idx="1">
                  <c:v>2024年（万元）</c:v>
                </c:pt>
              </c:strCache>
            </c:strRef>
          </c:cat>
          <c:val>
            <c:numRef>
              <c:f>Sheet1!$B$2:$B$3</c:f>
              <c:numCache>
                <c:formatCode>General</c:formatCode>
                <c:ptCount val="2"/>
                <c:pt idx="0">
                  <c:v>375.08</c:v>
                </c:pt>
                <c:pt idx="1">
                  <c:v>264.74</c:v>
                </c:pt>
              </c:numCache>
            </c:numRef>
          </c:val>
        </c:ser>
        <c:dLbls>
          <c:showLegendKey val="0"/>
          <c:showVal val="0"/>
          <c:showCatName val="0"/>
          <c:showSerName val="0"/>
          <c:showPercent val="0"/>
          <c:showBubbleSize val="0"/>
        </c:dLbls>
        <c:gapWidth val="150"/>
        <c:overlap val="100"/>
        <c:axId val="54471296"/>
        <c:axId val="54493568"/>
      </c:barChart>
      <c:catAx>
        <c:axId val="5447129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493568"/>
        <c:crosses val="autoZero"/>
        <c:auto val="1"/>
        <c:lblAlgn val="ctr"/>
        <c:lblOffset val="100"/>
        <c:noMultiLvlLbl val="0"/>
      </c:catAx>
      <c:valAx>
        <c:axId val="544935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471296"/>
        <c:crosses val="autoZero"/>
        <c:crossBetween val="between"/>
      </c:valAx>
      <c:spPr>
        <a:noFill/>
        <a:ln>
          <a:noFill/>
        </a:ln>
        <a:effectLst/>
      </c:spPr>
    </c:plotArea>
    <c:plotVisOnly val="1"/>
    <c:dispBlanksAs val="gap"/>
    <c:showDLblsOverMax val="0"/>
    <c:extLst>
      <c:ext uri="{0b15fc19-7d7d-44ad-8c2d-2c3a37ce22c3}">
        <chartProps xmlns="https://web.wps.cn/et/2018/main" chartId="{29d91c14-bc1e-4a68-a1bf-be6497f85c9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3"/>
              <c:layout>
                <c:manualLayout>
                  <c:x val="0.00320796073942768"/>
                  <c:y val="0.015652558973302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文化体育与传媒</c:v>
                </c:pt>
                <c:pt idx="1">
                  <c:v>社会保障和就业支出</c:v>
                </c:pt>
                <c:pt idx="2">
                  <c:v>卫生健康支出</c:v>
                </c:pt>
                <c:pt idx="3">
                  <c:v>农林水支出</c:v>
                </c:pt>
                <c:pt idx="4">
                  <c:v>住房保障支出</c:v>
                </c:pt>
              </c:strCache>
            </c:strRef>
          </c:cat>
          <c:val>
            <c:numRef>
              <c:f>Sheet1!$B$2:$B$6</c:f>
              <c:numCache>
                <c:formatCode>0.00%</c:formatCode>
                <c:ptCount val="5"/>
                <c:pt idx="0">
                  <c:v>0.6762</c:v>
                </c:pt>
                <c:pt idx="1">
                  <c:v>0.0658</c:v>
                </c:pt>
                <c:pt idx="2">
                  <c:v>0.0381</c:v>
                </c:pt>
                <c:pt idx="3">
                  <c:v>0.165</c:v>
                </c:pt>
                <c:pt idx="4">
                  <c:v>0.055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ddf12a2-5dff-4a90-96b4-e8a5d08644c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公务接待费</c:v>
                </c:pt>
                <c:pt idx="1">
                  <c:v>因公出国（境）费用</c:v>
                </c:pt>
                <c:pt idx="2">
                  <c:v>公务用车购置及运行维护费</c:v>
                </c:pt>
              </c:strCache>
            </c:strRef>
          </c:cat>
          <c:val>
            <c:numRef>
              <c:f>Sheet1!$B$2:$B$4</c:f>
              <c:numCache>
                <c:formatCode>0%</c:formatCode>
                <c:ptCount val="3"/>
                <c:pt idx="0">
                  <c:v>0</c:v>
                </c:pt>
                <c:pt idx="1">
                  <c:v>0</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cabefc8-4f2f-4c9e-8d0c-ea814f8d6ed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32</Pages>
  <Words>12531</Words>
  <Characters>13676</Characters>
  <Lines>31</Lines>
  <Paragraphs>51</Paragraphs>
  <TotalTime>5</TotalTime>
  <ScaleCrop>false</ScaleCrop>
  <LinksUpToDate>false</LinksUpToDate>
  <CharactersWithSpaces>13774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2023-08-18T23:17:00Z</dcterms:created>
  <dc:creator>张彬茜</dc:creator>
  <cp:lastModifiedBy>梅子</cp:lastModifiedBy>
  <cp:lastPrinted>2025-08-27T02:12:00Z</cp:lastPrinted>
  <dcterms:modified xsi:type="dcterms:W3CDTF">2025-12-01T01:54:27Z</dcterms:modified>
  <dc:title>四川省***</dc:title>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E7085CEDFEE9B6D586AACD66A50AA8E8</vt:lpwstr>
  </property>
  <property fmtid="{D5CDD505-2E9C-101B-9397-08002B2CF9AE}" pid="4" name="KSOTemplateDocerSaveRecord">
    <vt:lpwstr>eyJoZGlkIjoiZGM4NjUzNDA1NDkyY2MxZmJmZThlN2U3ZTFkMjcwOGYiLCJ1c2VySWQiOiIxMzAzMDQ2NzEzIn0=</vt:lpwstr>
  </property>
</Properties>
</file>