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7E748">
      <w:bookmarkStart w:id="0" w:name="_Toc15396597"/>
      <w:bookmarkStart w:id="1" w:name="_Toc15377425"/>
      <w:bookmarkStart w:id="2" w:name="_Toc15378441"/>
      <w:bookmarkStart w:id="3" w:name="_Toc15396475"/>
      <w:bookmarkStart w:id="4" w:name="_Toc15377193"/>
      <w:bookmarkStart w:id="5" w:name="_Toc15306267"/>
    </w:p>
    <w:p w14:paraId="719A3872">
      <w:pPr>
        <w:pStyle w:val="9"/>
        <w:spacing w:before="93"/>
        <w:jc w:val="center"/>
        <w:rPr>
          <w:rFonts w:ascii="Times New Roman" w:eastAsia="方正小标宋简体"/>
          <w:kern w:val="2"/>
          <w:sz w:val="44"/>
          <w:szCs w:val="44"/>
        </w:rPr>
      </w:pPr>
    </w:p>
    <w:p w14:paraId="1BA68ED7">
      <w:pPr>
        <w:pStyle w:val="9"/>
        <w:spacing w:before="93"/>
        <w:jc w:val="center"/>
        <w:rPr>
          <w:rFonts w:ascii="Times New Roman" w:eastAsia="方正小标宋简体"/>
          <w:kern w:val="2"/>
          <w:sz w:val="44"/>
          <w:szCs w:val="44"/>
        </w:rPr>
      </w:pPr>
      <w:bookmarkStart w:id="107" w:name="_GoBack"/>
      <w:bookmarkEnd w:id="107"/>
    </w:p>
    <w:p w14:paraId="6455594A">
      <w:pPr>
        <w:pStyle w:val="9"/>
        <w:spacing w:before="93"/>
        <w:jc w:val="center"/>
        <w:rPr>
          <w:rFonts w:ascii="Times New Roman" w:eastAsia="方正小标宋简体"/>
          <w:kern w:val="2"/>
          <w:sz w:val="44"/>
          <w:szCs w:val="44"/>
        </w:rPr>
      </w:pPr>
    </w:p>
    <w:p w14:paraId="0E963062">
      <w:pPr>
        <w:pStyle w:val="9"/>
        <w:spacing w:before="93"/>
        <w:jc w:val="center"/>
        <w:rPr>
          <w:rFonts w:ascii="Times New Roman" w:eastAsia="方正小标宋简体"/>
          <w:kern w:val="2"/>
          <w:sz w:val="44"/>
          <w:szCs w:val="44"/>
        </w:rPr>
      </w:pPr>
    </w:p>
    <w:bookmarkEnd w:id="0"/>
    <w:bookmarkEnd w:id="1"/>
    <w:bookmarkEnd w:id="2"/>
    <w:bookmarkEnd w:id="3"/>
    <w:bookmarkEnd w:id="4"/>
    <w:p w14:paraId="6F907ACE">
      <w:pPr>
        <w:pStyle w:val="9"/>
        <w:spacing w:before="93"/>
        <w:jc w:val="center"/>
        <w:rPr>
          <w:rFonts w:hint="eastAsia" w:ascii="方正小标宋简体" w:hAnsi="方正小标宋简体" w:eastAsia="方正小标宋简体" w:cs="方正小标宋简体"/>
          <w:sz w:val="48"/>
          <w:szCs w:val="48"/>
        </w:rPr>
      </w:pPr>
      <w:bookmarkStart w:id="6" w:name="_Toc15377194"/>
      <w:bookmarkStart w:id="7" w:name="_Toc15378442"/>
      <w:bookmarkStart w:id="8" w:name="_Toc15396598"/>
      <w:bookmarkStart w:id="9" w:name="_Toc15377426"/>
      <w:bookmarkStart w:id="10" w:name="_Toc15396476"/>
      <w:r>
        <w:rPr>
          <w:rFonts w:hint="eastAsia" w:ascii="方正小标宋简体" w:hAnsi="方正小标宋简体" w:eastAsia="方正小标宋简体" w:cs="方正小标宋简体"/>
          <w:sz w:val="48"/>
          <w:szCs w:val="48"/>
        </w:rPr>
        <w:t>2024年度</w:t>
      </w:r>
    </w:p>
    <w:bookmarkEnd w:id="5"/>
    <w:p w14:paraId="7D3617F6">
      <w:pPr>
        <w:pStyle w:val="9"/>
        <w:spacing w:before="93"/>
        <w:jc w:val="center"/>
        <w:rPr>
          <w:rFonts w:hint="eastAsia" w:ascii="方正小标宋简体" w:hAnsi="方正小标宋简体" w:eastAsia="方正小标宋简体" w:cs="方正小标宋简体"/>
          <w:sz w:val="48"/>
          <w:szCs w:val="48"/>
        </w:rPr>
      </w:pPr>
      <w:bookmarkStart w:id="11" w:name="_Toc15306268"/>
      <w:r>
        <w:rPr>
          <w:rFonts w:hint="eastAsia" w:ascii="方正小标宋简体" w:hAnsi="方正小标宋简体" w:eastAsia="方正小标宋简体" w:cs="方正小标宋简体"/>
          <w:sz w:val="48"/>
          <w:szCs w:val="48"/>
        </w:rPr>
        <w:t>四川省遂宁市西眉中学</w:t>
      </w:r>
    </w:p>
    <w:p w14:paraId="15FD3280">
      <w:pPr>
        <w:pStyle w:val="9"/>
        <w:spacing w:before="93"/>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部门决算</w:t>
      </w:r>
      <w:bookmarkEnd w:id="6"/>
      <w:bookmarkEnd w:id="7"/>
      <w:bookmarkEnd w:id="8"/>
      <w:bookmarkEnd w:id="9"/>
      <w:bookmarkEnd w:id="10"/>
      <w:bookmarkEnd w:id="11"/>
    </w:p>
    <w:p w14:paraId="189415B3">
      <w:pPr>
        <w:pStyle w:val="15"/>
        <w:adjustRightInd w:val="0"/>
        <w:snapToGrid w:val="0"/>
        <w:spacing w:line="560" w:lineRule="exact"/>
        <w:jc w:val="left"/>
        <w:rPr>
          <w:rFonts w:eastAsia="仿宋_GB2312" w:cs="仿宋_GB2312"/>
          <w:sz w:val="32"/>
          <w:szCs w:val="32"/>
        </w:rPr>
      </w:pPr>
    </w:p>
    <w:p w14:paraId="57FEF9AF">
      <w:pPr>
        <w:pStyle w:val="5"/>
        <w:jc w:val="center"/>
        <w:rPr>
          <w:rFonts w:eastAsia="黑体" w:cstheme="minorBidi"/>
          <w:sz w:val="28"/>
          <w:szCs w:val="28"/>
        </w:rPr>
      </w:pPr>
      <w:r>
        <w:rPr>
          <w:rFonts w:eastAsia="方正小标宋简体"/>
          <w:sz w:val="36"/>
          <w:szCs w:val="36"/>
        </w:rPr>
        <w:br w:type="page"/>
      </w:r>
      <w:bookmarkStart w:id="12" w:name="_Toc206509429"/>
      <w:r>
        <w:rPr>
          <w:rFonts w:hint="eastAsia" w:eastAsia="方正小标宋简体" w:cs="方正小标宋简体"/>
          <w:b w:val="0"/>
        </w:rPr>
        <w:t>目录</w:t>
      </w:r>
      <w:bookmarkEnd w:id="12"/>
    </w:p>
    <w:p w14:paraId="5EAFB684">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公开时间：2025年8月2</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日</w:t>
      </w:r>
    </w:p>
    <w:sdt>
      <w:sdtPr>
        <w:rPr>
          <w:rFonts w:ascii="Times New Roman" w:hAnsi="Times New Roman" w:eastAsia="宋体" w:cs="Times New Roman"/>
          <w:color w:val="auto"/>
          <w:kern w:val="2"/>
          <w:sz w:val="21"/>
          <w:szCs w:val="24"/>
          <w:lang w:val="zh-CN"/>
        </w:rPr>
        <w:id w:val="-1"/>
        <w:docPartObj>
          <w:docPartGallery w:val="Table of Contents"/>
          <w:docPartUnique/>
        </w:docPartObj>
      </w:sdtPr>
      <w:sdtEndPr>
        <w:rPr>
          <w:rFonts w:ascii="黑体" w:hAnsi="黑体" w:eastAsia="黑体" w:cs="Times New Roman"/>
          <w:color w:val="auto"/>
          <w:kern w:val="2"/>
          <w:sz w:val="30"/>
          <w:szCs w:val="30"/>
          <w:lang w:val="zh-CN"/>
        </w:rPr>
      </w:sdtEndPr>
      <w:sdtContent>
        <w:p w14:paraId="56C5DCE7">
          <w:pPr>
            <w:pStyle w:val="40"/>
            <w:rPr>
              <w:rFonts w:hint="eastAsia" w:ascii="黑体" w:hAnsi="黑体" w:eastAsia="黑体"/>
              <w:sz w:val="30"/>
              <w:szCs w:val="30"/>
            </w:rPr>
          </w:pPr>
        </w:p>
        <w:p w14:paraId="3F306577">
          <w:pPr>
            <w:pStyle w:val="14"/>
            <w:rPr>
              <w:rFonts w:hint="eastAsia" w:ascii="黑体" w:hAnsi="黑体" w:eastAsia="黑体" w:cstheme="minorBidi"/>
              <w:sz w:val="30"/>
              <w:szCs w:val="30"/>
              <w14:ligatures w14:val="standardContextual"/>
            </w:rPr>
          </w:pPr>
          <w:r>
            <w:rPr>
              <w:rFonts w:ascii="黑体" w:hAnsi="黑体" w:eastAsia="黑体"/>
              <w:sz w:val="30"/>
              <w:szCs w:val="30"/>
            </w:rPr>
            <w:fldChar w:fldCharType="begin"/>
          </w:r>
          <w:r>
            <w:rPr>
              <w:rFonts w:ascii="黑体" w:hAnsi="黑体" w:eastAsia="黑体"/>
              <w:sz w:val="30"/>
              <w:szCs w:val="30"/>
            </w:rPr>
            <w:instrText xml:space="preserve"> TOC \o "1-3" \h \z \u </w:instrText>
          </w:r>
          <w:r>
            <w:rPr>
              <w:rFonts w:ascii="黑体" w:hAnsi="黑体" w:eastAsia="黑体"/>
              <w:sz w:val="30"/>
              <w:szCs w:val="30"/>
            </w:rPr>
            <w:fldChar w:fldCharType="separate"/>
          </w:r>
          <w:r>
            <w:fldChar w:fldCharType="begin"/>
          </w:r>
          <w:r>
            <w:instrText xml:space="preserve"> HYPERLINK \l "_Toc206509430" </w:instrText>
          </w:r>
          <w:r>
            <w:fldChar w:fldCharType="separate"/>
          </w:r>
          <w:r>
            <w:rPr>
              <w:rStyle w:val="21"/>
              <w:rFonts w:hint="eastAsia" w:ascii="黑体" w:hAnsi="黑体" w:eastAsia="黑体" w:cs="方正小标宋简体"/>
              <w:sz w:val="30"/>
              <w:szCs w:val="30"/>
            </w:rPr>
            <w:t>第一部分部门概况</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_Toc206509430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hint="eastAsia" w:ascii="黑体" w:hAnsi="黑体" w:eastAsia="黑体"/>
              <w:sz w:val="30"/>
              <w:szCs w:val="30"/>
            </w:rPr>
            <w:t>1</w:t>
          </w:r>
          <w:r>
            <w:rPr>
              <w:rFonts w:hint="eastAsia" w:ascii="黑体" w:hAnsi="黑体" w:eastAsia="黑体"/>
              <w:sz w:val="30"/>
              <w:szCs w:val="30"/>
            </w:rPr>
            <w:fldChar w:fldCharType="end"/>
          </w:r>
          <w:r>
            <w:rPr>
              <w:rFonts w:hint="eastAsia" w:ascii="黑体" w:hAnsi="黑体" w:eastAsia="黑体"/>
              <w:sz w:val="30"/>
              <w:szCs w:val="30"/>
            </w:rPr>
            <w:fldChar w:fldCharType="end"/>
          </w:r>
        </w:p>
        <w:p w14:paraId="33202DC7">
          <w:pPr>
            <w:pStyle w:val="15"/>
            <w:ind w:left="0" w:leftChars="0"/>
            <w:jc w:val="left"/>
            <w:rPr>
              <w:rFonts w:hint="eastAsia" w:ascii="仿宋" w:hAnsi="仿宋" w:eastAsia="仿宋" w:cstheme="minorBidi"/>
              <w:sz w:val="30"/>
              <w:szCs w:val="30"/>
              <w14:ligatures w14:val="standardContextual"/>
            </w:rPr>
          </w:pPr>
          <w:r>
            <w:fldChar w:fldCharType="begin"/>
          </w:r>
          <w:r>
            <w:instrText xml:space="preserve"> HYPERLINK \l "_Toc206509431" </w:instrText>
          </w:r>
          <w:r>
            <w:fldChar w:fldCharType="separate"/>
          </w:r>
          <w:r>
            <w:rPr>
              <w:rStyle w:val="21"/>
              <w:rFonts w:hint="eastAsia" w:ascii="仿宋" w:hAnsi="仿宋" w:eastAsia="仿宋"/>
              <w:sz w:val="30"/>
              <w:szCs w:val="30"/>
            </w:rPr>
            <w:t>一、部门职责</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_Toc206509431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F23A756">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"_Toc206509432" </w:instrText>
          </w:r>
          <w:r>
            <w:fldChar w:fldCharType="separate"/>
          </w:r>
          <w:r>
            <w:rPr>
              <w:rStyle w:val="21"/>
              <w:rFonts w:hint="eastAsia" w:ascii="仿宋" w:hAnsi="仿宋" w:eastAsia="仿宋"/>
              <w:sz w:val="30"/>
              <w:szCs w:val="30"/>
            </w:rPr>
            <w:t>二、机构设置</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1</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FD9256F">
          <w:pPr>
            <w:pStyle w:val="14"/>
            <w:rPr>
              <w:rFonts w:hint="eastAsia" w:ascii="黑体" w:hAnsi="黑体" w:eastAsia="黑体" w:cstheme="minorBidi"/>
              <w:sz w:val="30"/>
              <w:szCs w:val="30"/>
              <w14:ligatures w14:val="standardContextual"/>
            </w:rPr>
          </w:pPr>
          <w:r>
            <w:fldChar w:fldCharType="begin"/>
          </w:r>
          <w:r>
            <w:instrText xml:space="preserve"> HYPERLINK \l "_Toc206509433" </w:instrText>
          </w:r>
          <w:r>
            <w:fldChar w:fldCharType="separate"/>
          </w:r>
          <w:r>
            <w:rPr>
              <w:rStyle w:val="21"/>
              <w:rFonts w:hint="eastAsia" w:ascii="黑体" w:hAnsi="黑体" w:eastAsia="黑体" w:cs="方正小标宋简体"/>
              <w:sz w:val="30"/>
              <w:szCs w:val="30"/>
            </w:rPr>
            <w:t>第二部分2024年度部门决算情况说明</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_Toc206509433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hint="eastAsia" w:ascii="黑体" w:hAnsi="黑体" w:eastAsia="黑体"/>
              <w:sz w:val="30"/>
              <w:szCs w:val="30"/>
            </w:rPr>
            <w:t>2</w:t>
          </w:r>
          <w:r>
            <w:rPr>
              <w:rFonts w:hint="eastAsia" w:ascii="黑体" w:hAnsi="黑体" w:eastAsia="黑体"/>
              <w:sz w:val="30"/>
              <w:szCs w:val="30"/>
            </w:rPr>
            <w:fldChar w:fldCharType="end"/>
          </w:r>
          <w:r>
            <w:rPr>
              <w:rFonts w:hint="eastAsia" w:ascii="黑体" w:hAnsi="黑体" w:eastAsia="黑体"/>
              <w:sz w:val="30"/>
              <w:szCs w:val="30"/>
            </w:rPr>
            <w:fldChar w:fldCharType="end"/>
          </w:r>
        </w:p>
        <w:p w14:paraId="06C82622">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"_Toc206509434" </w:instrText>
          </w:r>
          <w:r>
            <w:fldChar w:fldCharType="separate"/>
          </w:r>
          <w:r>
            <w:rPr>
              <w:rStyle w:val="21"/>
              <w:rFonts w:hint="eastAsia" w:ascii="仿宋" w:hAnsi="仿宋" w:eastAsia="仿宋"/>
              <w:sz w:val="30"/>
              <w:szCs w:val="30"/>
            </w:rPr>
            <w:t>一、收</w:t>
          </w:r>
          <w:r>
            <w:rPr>
              <w:rStyle w:val="21"/>
              <w:rFonts w:hint="eastAsia" w:ascii="仿宋" w:hAnsi="仿宋" w:eastAsia="仿宋" w:cstheme="majorBidi"/>
              <w:sz w:val="30"/>
              <w:szCs w:val="30"/>
            </w:rPr>
            <w:t>入支出决算总体情况说明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_Toc206509434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19AD7E4">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"_Toc206509435" </w:instrText>
          </w:r>
          <w:r>
            <w:fldChar w:fldCharType="separate"/>
          </w:r>
          <w:r>
            <w:rPr>
              <w:rStyle w:val="21"/>
              <w:rFonts w:hint="eastAsia" w:ascii="仿宋" w:hAnsi="仿宋" w:eastAsia="仿宋"/>
              <w:sz w:val="30"/>
              <w:szCs w:val="30"/>
            </w:rPr>
            <w:t>二、收入决算情况说明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2</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5E09132">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"_Toc206509436" </w:instrText>
          </w:r>
          <w:r>
            <w:fldChar w:fldCharType="separate"/>
          </w:r>
          <w:r>
            <w:rPr>
              <w:rStyle w:val="21"/>
              <w:rFonts w:hint="eastAsia" w:ascii="仿宋" w:hAnsi="仿宋" w:eastAsia="仿宋"/>
              <w:sz w:val="30"/>
              <w:szCs w:val="30"/>
            </w:rPr>
            <w:t>三、支</w:t>
          </w:r>
          <w:r>
            <w:rPr>
              <w:rStyle w:val="21"/>
              <w:rFonts w:hint="eastAsia" w:ascii="仿宋" w:hAnsi="仿宋" w:eastAsia="仿宋" w:cstheme="majorBidi"/>
              <w:sz w:val="30"/>
              <w:szCs w:val="30"/>
            </w:rPr>
            <w:t>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A846CF0">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"_Toc206509437" </w:instrText>
          </w:r>
          <w:r>
            <w:fldChar w:fldCharType="separate"/>
          </w:r>
          <w:r>
            <w:rPr>
              <w:rStyle w:val="21"/>
              <w:rFonts w:hint="eastAsia" w:ascii="仿宋" w:hAnsi="仿宋" w:eastAsia="仿宋"/>
              <w:sz w:val="30"/>
              <w:szCs w:val="30"/>
            </w:rPr>
            <w:t>四、财</w:t>
          </w:r>
          <w:r>
            <w:rPr>
              <w:rStyle w:val="21"/>
              <w:rFonts w:hint="eastAsia" w:ascii="仿宋" w:hAnsi="仿宋" w:eastAsia="仿宋" w:cstheme="majorBidi"/>
              <w:sz w:val="30"/>
              <w:szCs w:val="30"/>
            </w:rPr>
            <w:t>政拨款收入支出决算总体情况说明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D588ABA">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"_Toc206509438" </w:instrText>
          </w:r>
          <w:r>
            <w:fldChar w:fldCharType="separate"/>
          </w:r>
          <w:r>
            <w:rPr>
              <w:rStyle w:val="21"/>
              <w:rFonts w:hint="eastAsia" w:ascii="仿宋" w:hAnsi="仿宋" w:eastAsia="仿宋"/>
              <w:sz w:val="30"/>
              <w:szCs w:val="30"/>
            </w:rPr>
            <w:t>五、一</w:t>
          </w:r>
          <w:r>
            <w:rPr>
              <w:rStyle w:val="21"/>
              <w:rFonts w:hint="eastAsia" w:ascii="仿宋" w:hAnsi="仿宋" w:eastAsia="仿宋" w:cstheme="majorBidi"/>
              <w:sz w:val="30"/>
              <w:szCs w:val="30"/>
            </w:rPr>
            <w:t>般公共预算财政拨款支出决算情况说明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_Toc206509438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EE872DB">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"_Toc206509442" </w:instrText>
          </w:r>
          <w:r>
            <w:fldChar w:fldCharType="separate"/>
          </w:r>
          <w:r>
            <w:rPr>
              <w:rStyle w:val="21"/>
              <w:rFonts w:hint="eastAsia" w:ascii="仿宋" w:hAnsi="仿宋" w:eastAsia="仿宋"/>
              <w:sz w:val="30"/>
              <w:szCs w:val="30"/>
            </w:rPr>
            <w:t>六、一</w:t>
          </w:r>
          <w:r>
            <w:rPr>
              <w:rStyle w:val="21"/>
              <w:rFonts w:hint="eastAsia" w:ascii="仿宋" w:hAnsi="仿宋" w:eastAsia="仿宋" w:cstheme="majorBidi"/>
              <w:sz w:val="30"/>
              <w:szCs w:val="30"/>
            </w:rPr>
            <w:t>般公共预算财政拨款基本支出决算情况说明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5A7FEC5">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"_Toc206509443" </w:instrText>
          </w:r>
          <w:r>
            <w:fldChar w:fldCharType="separate"/>
          </w:r>
          <w:r>
            <w:rPr>
              <w:rStyle w:val="21"/>
              <w:rFonts w:hint="eastAsia" w:ascii="仿宋" w:hAnsi="仿宋" w:eastAsia="仿宋"/>
              <w:sz w:val="30"/>
              <w:szCs w:val="30"/>
            </w:rPr>
            <w:t>七、</w:t>
          </w:r>
          <w:r>
            <w:rPr>
              <w:rStyle w:val="21"/>
              <w:rFonts w:hint="eastAsia" w:ascii="仿宋" w:hAnsi="仿宋" w:eastAsia="仿宋" w:cstheme="majorBidi"/>
              <w:sz w:val="30"/>
              <w:szCs w:val="30"/>
            </w:rPr>
            <w:t>财政拨款“三公”经费支出决算情况说明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7</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9030D69">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"_Toc206509446" </w:instrText>
          </w:r>
          <w:r>
            <w:fldChar w:fldCharType="separate"/>
          </w:r>
          <w:r>
            <w:rPr>
              <w:rStyle w:val="21"/>
              <w:rFonts w:hint="eastAsia" w:ascii="仿宋" w:hAnsi="仿宋" w:eastAsia="仿宋"/>
              <w:sz w:val="30"/>
              <w:szCs w:val="30"/>
            </w:rPr>
            <w:t>八、</w:t>
          </w:r>
          <w:r>
            <w:rPr>
              <w:rStyle w:val="21"/>
              <w:rFonts w:hint="eastAsia" w:ascii="仿宋" w:hAnsi="仿宋" w:eastAsia="仿宋" w:cstheme="majorBidi"/>
              <w:sz w:val="30"/>
              <w:szCs w:val="30"/>
            </w:rPr>
            <w:t>政府性基金预算支出决算情况说明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2411536A">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"_Toc206509447" </w:instrText>
          </w:r>
          <w:r>
            <w:fldChar w:fldCharType="separate"/>
          </w:r>
          <w:r>
            <w:rPr>
              <w:rStyle w:val="21"/>
              <w:rFonts w:hint="eastAsia" w:ascii="仿宋" w:hAnsi="仿宋" w:eastAsia="仿宋" w:cstheme="majorBidi"/>
              <w:sz w:val="30"/>
              <w:szCs w:val="30"/>
            </w:rPr>
            <w:t>九、国有资本经营预算支出决算情况说明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8</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25FD91C">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"_Toc206509448" </w:instrText>
          </w:r>
          <w:r>
            <w:fldChar w:fldCharType="separate"/>
          </w:r>
          <w:r>
            <w:rPr>
              <w:rStyle w:val="21"/>
              <w:rFonts w:hint="eastAsia" w:ascii="仿宋" w:hAnsi="仿宋" w:eastAsia="仿宋" w:cstheme="majorBidi"/>
              <w:sz w:val="30"/>
              <w:szCs w:val="30"/>
            </w:rPr>
            <w:t>十、其他重要事项的情况说明</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_Toc206509448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9</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B2AA877">
          <w:pPr>
            <w:pStyle w:val="14"/>
            <w:rPr>
              <w:rFonts w:hint="eastAsia" w:ascii="黑体" w:hAnsi="黑体" w:eastAsia="黑体" w:cstheme="minorBidi"/>
              <w:sz w:val="30"/>
              <w:szCs w:val="30"/>
              <w14:ligatures w14:val="standardContextual"/>
            </w:rPr>
          </w:pPr>
          <w:r>
            <w:fldChar w:fldCharType="begin"/>
          </w:r>
          <w:r>
            <w:instrText xml:space="preserve"> HYPERLINK \l "_Toc206509453" </w:instrText>
          </w:r>
          <w:r>
            <w:fldChar w:fldCharType="separate"/>
          </w:r>
          <w:r>
            <w:rPr>
              <w:rStyle w:val="21"/>
              <w:rFonts w:hint="eastAsia" w:ascii="黑体" w:hAnsi="黑体" w:eastAsia="黑体"/>
              <w:sz w:val="30"/>
              <w:szCs w:val="30"/>
            </w:rPr>
            <w:t>第三部分名词解释</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_Toc206509453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hint="eastAsia" w:ascii="黑体" w:hAnsi="黑体" w:eastAsia="黑体"/>
              <w:sz w:val="30"/>
              <w:szCs w:val="30"/>
            </w:rPr>
            <w:t>12</w:t>
          </w:r>
          <w:r>
            <w:rPr>
              <w:rFonts w:hint="eastAsia" w:ascii="黑体" w:hAnsi="黑体" w:eastAsia="黑体"/>
              <w:sz w:val="30"/>
              <w:szCs w:val="30"/>
            </w:rPr>
            <w:fldChar w:fldCharType="end"/>
          </w:r>
          <w:r>
            <w:rPr>
              <w:rFonts w:hint="eastAsia" w:ascii="黑体" w:hAnsi="黑体" w:eastAsia="黑体"/>
              <w:sz w:val="30"/>
              <w:szCs w:val="30"/>
            </w:rPr>
            <w:fldChar w:fldCharType="end"/>
          </w:r>
        </w:p>
        <w:p w14:paraId="12F6015F">
          <w:pPr>
            <w:pStyle w:val="14"/>
            <w:rPr>
              <w:rFonts w:hint="eastAsia" w:ascii="黑体" w:hAnsi="黑体" w:eastAsia="黑体" w:cstheme="minorBidi"/>
              <w:sz w:val="30"/>
              <w:szCs w:val="30"/>
              <w14:ligatures w14:val="standardContextual"/>
            </w:rPr>
          </w:pPr>
          <w:r>
            <w:fldChar w:fldCharType="begin"/>
          </w:r>
          <w:r>
            <w:instrText xml:space="preserve"> HYPERLINK \l "_Toc206509454" </w:instrText>
          </w:r>
          <w:r>
            <w:fldChar w:fldCharType="separate"/>
          </w:r>
          <w:r>
            <w:rPr>
              <w:rStyle w:val="21"/>
              <w:rFonts w:hint="eastAsia" w:ascii="黑体" w:hAnsi="黑体" w:eastAsia="黑体"/>
              <w:sz w:val="30"/>
              <w:szCs w:val="30"/>
            </w:rPr>
            <w:t>第四部分附件</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_Toc206509454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hint="eastAsia" w:ascii="黑体" w:hAnsi="黑体" w:eastAsia="黑体"/>
              <w:sz w:val="30"/>
              <w:szCs w:val="30"/>
            </w:rPr>
            <w:t>15</w:t>
          </w:r>
          <w:r>
            <w:rPr>
              <w:rFonts w:hint="eastAsia" w:ascii="黑体" w:hAnsi="黑体" w:eastAsia="黑体"/>
              <w:sz w:val="30"/>
              <w:szCs w:val="30"/>
            </w:rPr>
            <w:fldChar w:fldCharType="end"/>
          </w:r>
          <w:r>
            <w:rPr>
              <w:rFonts w:hint="eastAsia" w:ascii="黑体" w:hAnsi="黑体" w:eastAsia="黑体"/>
              <w:sz w:val="30"/>
              <w:szCs w:val="30"/>
            </w:rPr>
            <w:fldChar w:fldCharType="end"/>
          </w:r>
        </w:p>
        <w:p w14:paraId="19400F2D">
          <w:pPr>
            <w:pStyle w:val="14"/>
            <w:rPr>
              <w:rFonts w:hint="eastAsia" w:ascii="黑体" w:hAnsi="黑体" w:eastAsia="黑体" w:cstheme="minorBidi"/>
              <w:sz w:val="30"/>
              <w:szCs w:val="30"/>
              <w14:ligatures w14:val="standardContextual"/>
            </w:rPr>
          </w:pPr>
          <w:r>
            <w:fldChar w:fldCharType="begin"/>
          </w:r>
          <w:r>
            <w:instrText xml:space="preserve"> HYPERLINK \l "_Toc206509456" </w:instrText>
          </w:r>
          <w:r>
            <w:fldChar w:fldCharType="separate"/>
          </w:r>
          <w:r>
            <w:rPr>
              <w:rStyle w:val="21"/>
              <w:rFonts w:hint="eastAsia" w:ascii="黑体" w:hAnsi="黑体" w:eastAsia="黑体" w:cs="方正小标宋简体"/>
              <w:sz w:val="30"/>
              <w:szCs w:val="30"/>
            </w:rPr>
            <w:t>第五部分附表</w:t>
          </w:r>
          <w:r>
            <w:rPr>
              <w:rFonts w:hint="eastAsia" w:ascii="黑体" w:hAnsi="黑体" w:eastAsia="黑体"/>
              <w:sz w:val="30"/>
              <w:szCs w:val="30"/>
            </w:rPr>
            <w:tab/>
          </w:r>
          <w:r>
            <w:rPr>
              <w:rFonts w:hint="eastAsia" w:ascii="黑体" w:hAnsi="黑体" w:eastAsia="黑体"/>
              <w:sz w:val="30"/>
              <w:szCs w:val="30"/>
            </w:rPr>
            <w:fldChar w:fldCharType="begin"/>
          </w:r>
          <w:r>
            <w:rPr>
              <w:rFonts w:hint="eastAsia" w:ascii="黑体" w:hAnsi="黑体" w:eastAsia="黑体"/>
              <w:sz w:val="30"/>
              <w:szCs w:val="30"/>
            </w:rPr>
            <w:instrText xml:space="preserve"> </w:instrText>
          </w:r>
          <w:r>
            <w:rPr>
              <w:rFonts w:ascii="黑体" w:hAnsi="黑体" w:eastAsia="黑体"/>
              <w:sz w:val="30"/>
              <w:szCs w:val="30"/>
            </w:rPr>
            <w:instrText xml:space="preserve">PAGEREF _Toc206509456 \h</w:instrText>
          </w:r>
          <w:r>
            <w:rPr>
              <w:rFonts w:hint="eastAsia" w:ascii="黑体" w:hAnsi="黑体" w:eastAsia="黑体"/>
              <w:sz w:val="30"/>
              <w:szCs w:val="30"/>
            </w:rPr>
            <w:instrText xml:space="preserve"> </w:instrText>
          </w:r>
          <w:r>
            <w:rPr>
              <w:rFonts w:hint="eastAsia" w:ascii="黑体" w:hAnsi="黑体" w:eastAsia="黑体"/>
              <w:sz w:val="30"/>
              <w:szCs w:val="30"/>
            </w:rPr>
            <w:fldChar w:fldCharType="separate"/>
          </w:r>
          <w:r>
            <w:rPr>
              <w:rFonts w:hint="eastAsia" w:ascii="黑体" w:hAnsi="黑体" w:eastAsia="黑体"/>
              <w:sz w:val="30"/>
              <w:szCs w:val="30"/>
            </w:rPr>
            <w:t>34</w:t>
          </w:r>
          <w:r>
            <w:rPr>
              <w:rFonts w:hint="eastAsia" w:ascii="黑体" w:hAnsi="黑体" w:eastAsia="黑体"/>
              <w:sz w:val="30"/>
              <w:szCs w:val="30"/>
            </w:rPr>
            <w:fldChar w:fldCharType="end"/>
          </w:r>
          <w:r>
            <w:rPr>
              <w:rFonts w:hint="eastAsia" w:ascii="黑体" w:hAnsi="黑体" w:eastAsia="黑体"/>
              <w:sz w:val="30"/>
              <w:szCs w:val="30"/>
            </w:rPr>
            <w:fldChar w:fldCharType="end"/>
          </w:r>
        </w:p>
        <w:p w14:paraId="5EB3CDAA">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"_Toc206509457" </w:instrText>
          </w:r>
          <w:r>
            <w:fldChar w:fldCharType="separate"/>
          </w:r>
          <w:r>
            <w:rPr>
              <w:rStyle w:val="21"/>
              <w:rFonts w:hint="eastAsia" w:ascii="仿宋" w:hAnsi="仿宋" w:eastAsia="仿宋" w:cstheme="majorBidi"/>
              <w:sz w:val="30"/>
              <w:szCs w:val="30"/>
            </w:rPr>
            <w:t>一、收入支出决算总表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_Toc206509457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4791DD6E">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"_Toc206509458" </w:instrText>
          </w:r>
          <w:r>
            <w:fldChar w:fldCharType="separate"/>
          </w:r>
          <w:r>
            <w:rPr>
              <w:rStyle w:val="21"/>
              <w:rFonts w:hint="eastAsia" w:ascii="仿宋" w:hAnsi="仿宋" w:eastAsia="仿宋" w:cstheme="majorBidi"/>
              <w:sz w:val="30"/>
              <w:szCs w:val="30"/>
            </w:rPr>
            <w:t>二、收入决算表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_Toc206509458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871EC0C">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"_Toc206509459" </w:instrText>
          </w:r>
          <w:r>
            <w:fldChar w:fldCharType="separate"/>
          </w:r>
          <w:r>
            <w:rPr>
              <w:rStyle w:val="21"/>
              <w:rFonts w:hint="eastAsia" w:ascii="仿宋" w:hAnsi="仿宋" w:eastAsia="仿宋" w:cstheme="majorBidi"/>
              <w:sz w:val="30"/>
              <w:szCs w:val="30"/>
            </w:rPr>
            <w:t>三、支出决算表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_Toc206509459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7672E06">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"_Toc206509460" </w:instrText>
          </w:r>
          <w:r>
            <w:fldChar w:fldCharType="separate"/>
          </w:r>
          <w:r>
            <w:rPr>
              <w:rStyle w:val="21"/>
              <w:rFonts w:hint="eastAsia" w:ascii="仿宋" w:hAnsi="仿宋" w:eastAsia="仿宋" w:cstheme="majorBidi"/>
              <w:sz w:val="30"/>
              <w:szCs w:val="30"/>
            </w:rPr>
            <w:t>四、财政拨款收入支出决算总表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_Toc206509460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DAAFBE2">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"_Toc206509461" </w:instrText>
          </w:r>
          <w:r>
            <w:fldChar w:fldCharType="separate"/>
          </w:r>
          <w:r>
            <w:rPr>
              <w:rStyle w:val="21"/>
              <w:rFonts w:hint="eastAsia" w:ascii="仿宋" w:hAnsi="仿宋" w:eastAsia="仿宋" w:cstheme="majorBidi"/>
              <w:sz w:val="30"/>
              <w:szCs w:val="30"/>
            </w:rPr>
            <w:t>五、财政拨款支出决算明细表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_Toc206509461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79482BD">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"_Toc206509462" </w:instrText>
          </w:r>
          <w:r>
            <w:fldChar w:fldCharType="separate"/>
          </w:r>
          <w:r>
            <w:rPr>
              <w:rStyle w:val="21"/>
              <w:rFonts w:hint="eastAsia" w:ascii="仿宋" w:hAnsi="仿宋" w:eastAsia="仿宋" w:cstheme="majorBidi"/>
              <w:sz w:val="30"/>
              <w:szCs w:val="30"/>
            </w:rPr>
            <w:t>六、一般公共预算财政拨款支出决算表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_Toc206509462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0057E7F">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"_Toc206509463" </w:instrText>
          </w:r>
          <w:r>
            <w:fldChar w:fldCharType="separate"/>
          </w:r>
          <w:r>
            <w:rPr>
              <w:rStyle w:val="21"/>
              <w:rFonts w:hint="eastAsia" w:ascii="仿宋" w:hAnsi="仿宋" w:eastAsia="仿宋" w:cstheme="majorBidi"/>
              <w:sz w:val="30"/>
              <w:szCs w:val="30"/>
            </w:rPr>
            <w:t>七、一般公共预算财政拨款支出决算明细表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_Toc206509463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0871760A">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"_Toc206509464" </w:instrText>
          </w:r>
          <w:r>
            <w:fldChar w:fldCharType="separate"/>
          </w:r>
          <w:r>
            <w:rPr>
              <w:rStyle w:val="21"/>
              <w:rFonts w:hint="eastAsia" w:ascii="仿宋" w:hAnsi="仿宋" w:eastAsia="仿宋" w:cstheme="majorBidi"/>
              <w:sz w:val="30"/>
              <w:szCs w:val="30"/>
            </w:rPr>
            <w:t>八、一般公共预算财政拨款基本支出决算表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_Toc206509464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181A3C8C">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"_Toc206509465" </w:instrText>
          </w:r>
          <w:r>
            <w:fldChar w:fldCharType="separate"/>
          </w:r>
          <w:r>
            <w:rPr>
              <w:rStyle w:val="21"/>
              <w:rFonts w:hint="eastAsia" w:ascii="仿宋" w:hAnsi="仿宋" w:eastAsia="仿宋" w:cstheme="majorBidi"/>
              <w:sz w:val="30"/>
              <w:szCs w:val="30"/>
            </w:rPr>
            <w:t>九、一般公共预算财政拨款项目支出决算表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_Toc206509465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FEB23CC">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"_Toc206509466" </w:instrText>
          </w:r>
          <w:r>
            <w:fldChar w:fldCharType="separate"/>
          </w:r>
          <w:r>
            <w:rPr>
              <w:rStyle w:val="21"/>
              <w:rFonts w:hint="eastAsia" w:ascii="仿宋" w:hAnsi="仿宋" w:eastAsia="仿宋" w:cstheme="majorBidi"/>
              <w:sz w:val="30"/>
              <w:szCs w:val="30"/>
            </w:rPr>
            <w:t>十、政府性基金预算财政拨款收入支出决算表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_Toc206509466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5E7CEB0E">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"_Toc206509467" </w:instrText>
          </w:r>
          <w:r>
            <w:fldChar w:fldCharType="separate"/>
          </w:r>
          <w:r>
            <w:rPr>
              <w:rStyle w:val="21"/>
              <w:rFonts w:hint="eastAsia" w:ascii="仿宋" w:hAnsi="仿宋" w:eastAsia="仿宋" w:cstheme="majorBidi"/>
              <w:sz w:val="30"/>
              <w:szCs w:val="30"/>
            </w:rPr>
            <w:t>十一、国有资本经营预算财政拨款收入支出决算表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_Toc206509467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32F642A6">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"_Toc206509468" </w:instrText>
          </w:r>
          <w:r>
            <w:fldChar w:fldCharType="separate"/>
          </w:r>
          <w:r>
            <w:rPr>
              <w:rStyle w:val="21"/>
              <w:rFonts w:hint="eastAsia" w:ascii="仿宋" w:hAnsi="仿宋" w:eastAsia="仿宋" w:cstheme="majorBidi"/>
              <w:sz w:val="30"/>
              <w:szCs w:val="30"/>
            </w:rPr>
            <w:t>十二、国有资本经营预算财政拨款支出决算表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_Toc206509468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61B560C1">
          <w:pPr>
            <w:pStyle w:val="15"/>
            <w:ind w:left="0" w:leftChars="0"/>
            <w:rPr>
              <w:rFonts w:hint="eastAsia" w:ascii="仿宋" w:hAnsi="仿宋" w:eastAsia="仿宋" w:cstheme="minorBidi"/>
              <w:sz w:val="30"/>
              <w:szCs w:val="30"/>
              <w14:ligatures w14:val="standardContextual"/>
            </w:rPr>
          </w:pPr>
          <w:r>
            <w:fldChar w:fldCharType="begin"/>
          </w:r>
          <w:r>
            <w:instrText xml:space="preserve"> HYPERLINK \l "_Toc206509469" </w:instrText>
          </w:r>
          <w:r>
            <w:fldChar w:fldCharType="separate"/>
          </w:r>
          <w:r>
            <w:rPr>
              <w:rStyle w:val="21"/>
              <w:rFonts w:hint="eastAsia" w:ascii="仿宋" w:hAnsi="仿宋" w:eastAsia="仿宋" w:cstheme="majorBidi"/>
              <w:sz w:val="30"/>
              <w:szCs w:val="30"/>
            </w:rPr>
            <w:t>十三、财政拨款“三公”经费支出决算表</w:t>
          </w:r>
          <w:r>
            <w:rPr>
              <w:rFonts w:hint="eastAsia" w:ascii="仿宋" w:hAnsi="仿宋" w:eastAsia="仿宋"/>
              <w:sz w:val="30"/>
              <w:szCs w:val="30"/>
            </w:rPr>
            <w:tab/>
          </w:r>
          <w:r>
            <w:rPr>
              <w:rFonts w:hint="eastAsia" w:ascii="仿宋" w:hAnsi="仿宋" w:eastAsia="仿宋"/>
              <w:sz w:val="30"/>
              <w:szCs w:val="30"/>
            </w:rPr>
            <w:fldChar w:fldCharType="begin"/>
          </w:r>
          <w:r>
            <w:rPr>
              <w:rFonts w:hint="eastAsia" w:ascii="仿宋" w:hAnsi="仿宋" w:eastAsia="仿宋"/>
              <w:sz w:val="30"/>
              <w:szCs w:val="30"/>
            </w:rPr>
            <w:instrText xml:space="preserve"> </w:instrText>
          </w:r>
          <w:r>
            <w:rPr>
              <w:rFonts w:ascii="仿宋" w:hAnsi="仿宋" w:eastAsia="仿宋"/>
              <w:sz w:val="30"/>
              <w:szCs w:val="30"/>
            </w:rPr>
            <w:instrText xml:space="preserve">PAGEREF _Toc206509469 \h</w:instrText>
          </w:r>
          <w:r>
            <w:rPr>
              <w:rFonts w:hint="eastAsia" w:ascii="仿宋" w:hAnsi="仿宋" w:eastAsia="仿宋"/>
              <w:sz w:val="30"/>
              <w:szCs w:val="30"/>
            </w:rPr>
            <w:instrText xml:space="preserve"> </w:instrText>
          </w:r>
          <w:r>
            <w:rPr>
              <w:rFonts w:hint="eastAsia" w:ascii="仿宋" w:hAnsi="仿宋" w:eastAsia="仿宋"/>
              <w:sz w:val="30"/>
              <w:szCs w:val="30"/>
            </w:rPr>
            <w:fldChar w:fldCharType="separate"/>
          </w:r>
          <w:r>
            <w:rPr>
              <w:rFonts w:hint="eastAsia" w:ascii="仿宋" w:hAnsi="仿宋" w:eastAsia="仿宋"/>
              <w:sz w:val="30"/>
              <w:szCs w:val="30"/>
            </w:rPr>
            <w:t>34</w:t>
          </w:r>
          <w:r>
            <w:rPr>
              <w:rFonts w:hint="eastAsia" w:ascii="仿宋" w:hAnsi="仿宋" w:eastAsia="仿宋"/>
              <w:sz w:val="30"/>
              <w:szCs w:val="30"/>
            </w:rPr>
            <w:fldChar w:fldCharType="end"/>
          </w:r>
          <w:r>
            <w:rPr>
              <w:rFonts w:hint="eastAsia" w:ascii="仿宋" w:hAnsi="仿宋" w:eastAsia="仿宋"/>
              <w:sz w:val="30"/>
              <w:szCs w:val="30"/>
            </w:rPr>
            <w:fldChar w:fldCharType="end"/>
          </w:r>
        </w:p>
        <w:p w14:paraId="738B0888">
          <w:pPr>
            <w:rPr>
              <w:rFonts w:hint="eastAsia" w:ascii="黑体" w:hAnsi="黑体" w:eastAsia="黑体"/>
              <w:sz w:val="30"/>
              <w:szCs w:val="30"/>
            </w:rPr>
          </w:pPr>
          <w:r>
            <w:rPr>
              <w:rFonts w:ascii="黑体" w:hAnsi="黑体" w:eastAsia="黑体"/>
              <w:sz w:val="30"/>
              <w:szCs w:val="30"/>
              <w:lang w:val="zh-CN"/>
            </w:rPr>
            <w:fldChar w:fldCharType="end"/>
          </w:r>
        </w:p>
      </w:sdtContent>
    </w:sdt>
    <w:p w14:paraId="7CEF42D2"/>
    <w:p w14:paraId="6E46F784">
      <w:pPr>
        <w:pStyle w:val="5"/>
        <w:jc w:val="center"/>
        <w:rPr>
          <w:rFonts w:eastAsia="方正小标宋简体" w:cs="方正小标宋简体"/>
          <w:b w:val="0"/>
        </w:rPr>
        <w:sectPr>
          <w:footerReference r:id="rId3" w:type="default"/>
          <w:pgSz w:w="11906" w:h="16838"/>
          <w:pgMar w:top="1440" w:right="1800" w:bottom="1440" w:left="1800" w:header="851" w:footer="992" w:gutter="0"/>
          <w:pgNumType w:start="1"/>
          <w:cols w:space="425" w:num="1"/>
          <w:titlePg/>
          <w:docGrid w:type="lines" w:linePitch="312" w:charSpace="0"/>
        </w:sectPr>
      </w:pPr>
      <w:bookmarkStart w:id="13" w:name="_Toc15377196"/>
      <w:bookmarkStart w:id="14" w:name="_Toc15396599"/>
      <w:bookmarkStart w:id="15" w:name="_Toc206509430"/>
    </w:p>
    <w:p w14:paraId="4945D089">
      <w:pPr>
        <w:pStyle w:val="5"/>
        <w:jc w:val="center"/>
        <w:rPr>
          <w:rStyle w:val="32"/>
          <w:rFonts w:eastAsia="方正小标宋简体" w:cs="方正小标宋简体"/>
          <w:b/>
          <w:bCs w:val="0"/>
        </w:rPr>
      </w:pPr>
      <w:r>
        <w:rPr>
          <w:rFonts w:hint="eastAsia" w:eastAsia="方正小标宋简体" w:cs="方正小标宋简体"/>
          <w:b w:val="0"/>
        </w:rPr>
        <w:t>第一部分</w:t>
      </w:r>
      <w:r>
        <w:rPr>
          <w:rStyle w:val="32"/>
          <w:rFonts w:hint="eastAsia" w:eastAsia="方正小标宋简体" w:cs="方正小标宋简体"/>
          <w:b w:val="0"/>
          <w:bCs w:val="0"/>
        </w:rPr>
        <w:t>部门概况</w:t>
      </w:r>
      <w:bookmarkEnd w:id="13"/>
      <w:bookmarkEnd w:id="14"/>
      <w:bookmarkEnd w:id="15"/>
    </w:p>
    <w:p w14:paraId="47B7B968">
      <w:pPr>
        <w:pStyle w:val="6"/>
        <w:numPr>
          <w:ilvl w:val="0"/>
          <w:numId w:val="1"/>
        </w:numPr>
        <w:rPr>
          <w:rFonts w:ascii="Times New Roman" w:hAnsi="Times New Roman" w:eastAsia="黑体"/>
          <w:b w:val="0"/>
        </w:rPr>
      </w:pPr>
      <w:bookmarkStart w:id="16" w:name="_Toc206509431"/>
      <w:r>
        <w:rPr>
          <w:rFonts w:hint="eastAsia" w:ascii="Times New Roman" w:hAnsi="Times New Roman" w:eastAsia="黑体"/>
          <w:b w:val="0"/>
        </w:rPr>
        <w:t>部门职责</w:t>
      </w:r>
      <w:bookmarkEnd w:id="16"/>
    </w:p>
    <w:p w14:paraId="7E348789">
      <w:pPr>
        <w:ind w:firstLine="800" w:firstLineChars="250"/>
        <w:rPr>
          <w:rFonts w:eastAsia="仿宋_GB2312" w:cs="仿宋_GB2312"/>
          <w:sz w:val="32"/>
          <w:szCs w:val="32"/>
        </w:rPr>
      </w:pPr>
      <w:r>
        <w:rPr>
          <w:rFonts w:hint="eastAsia" w:eastAsia="仿宋_GB2312" w:cs="仿宋_GB2312"/>
          <w:sz w:val="32"/>
          <w:szCs w:val="32"/>
        </w:rPr>
        <w:t>四川省遂宁市西眉中学为贯彻执行国家、省、市、区有关教育工作方面的方针、政策和法律法规，实施高中教育和初中义务教育，促进基础教育发展，负责高中、初中学历教育和相关社会服务。承办主管局交办的其他事项。</w:t>
      </w:r>
    </w:p>
    <w:p w14:paraId="56288925">
      <w:pPr>
        <w:pStyle w:val="2"/>
        <w:rPr>
          <w:sz w:val="32"/>
          <w:szCs w:val="32"/>
        </w:rPr>
      </w:pPr>
    </w:p>
    <w:p w14:paraId="441EE98E">
      <w:pPr>
        <w:pStyle w:val="6"/>
        <w:rPr>
          <w:rStyle w:val="33"/>
          <w:rFonts w:ascii="Times New Roman" w:hAnsi="Times New Roman"/>
          <w:b w:val="0"/>
          <w:bCs w:val="0"/>
        </w:rPr>
      </w:pPr>
      <w:bookmarkStart w:id="17" w:name="_Toc15377200"/>
      <w:bookmarkStart w:id="18" w:name="_Toc15396601"/>
      <w:bookmarkStart w:id="19" w:name="_Toc206509432"/>
      <w:r>
        <w:rPr>
          <w:rFonts w:hint="eastAsia" w:ascii="Times New Roman" w:hAnsi="Times New Roman" w:eastAsia="黑体"/>
          <w:b w:val="0"/>
        </w:rPr>
        <w:t>二、机</w:t>
      </w:r>
      <w:r>
        <w:rPr>
          <w:rStyle w:val="33"/>
          <w:rFonts w:hint="eastAsia" w:ascii="Times New Roman" w:hAnsi="Times New Roman" w:eastAsia="黑体"/>
          <w:b w:val="0"/>
          <w:bCs w:val="0"/>
        </w:rPr>
        <w:t>构设置</w:t>
      </w:r>
      <w:bookmarkEnd w:id="17"/>
      <w:bookmarkEnd w:id="18"/>
      <w:bookmarkEnd w:id="19"/>
    </w:p>
    <w:p w14:paraId="46062F8A">
      <w:pPr>
        <w:ind w:firstLine="800" w:firstLineChars="250"/>
        <w:rPr>
          <w:rFonts w:eastAsia="仿宋_GB2312" w:cs="仿宋_GB2312"/>
          <w:sz w:val="32"/>
          <w:szCs w:val="32"/>
        </w:rPr>
      </w:pPr>
      <w:r>
        <w:rPr>
          <w:rFonts w:hint="eastAsia" w:eastAsia="仿宋_GB2312" w:cs="仿宋_GB2312"/>
          <w:sz w:val="32"/>
          <w:szCs w:val="32"/>
        </w:rPr>
        <w:t>四川省遂宁市西眉中学下属二级预算单位1个，其中行政单位0个，参照公务员法管理的事业单位0个，其他事业单位1个。</w:t>
      </w:r>
    </w:p>
    <w:p w14:paraId="1C07B481">
      <w:pPr>
        <w:ind w:firstLine="800" w:firstLineChars="250"/>
        <w:rPr>
          <w:rFonts w:eastAsia="仿宋_GB2312" w:cs="仿宋_GB2312"/>
          <w:sz w:val="32"/>
          <w:szCs w:val="32"/>
        </w:rPr>
      </w:pPr>
      <w:r>
        <w:rPr>
          <w:rFonts w:hint="eastAsia" w:eastAsia="仿宋_GB2312" w:cs="仿宋_GB2312"/>
          <w:sz w:val="32"/>
          <w:szCs w:val="32"/>
        </w:rPr>
        <w:t>本单位纳入2024年度部门决算编制范围的二级预算单位。</w:t>
      </w:r>
    </w:p>
    <w:p w14:paraId="0977EFC4">
      <w:pPr>
        <w:pStyle w:val="9"/>
        <w:adjustRightInd w:val="0"/>
        <w:snapToGrid w:val="0"/>
        <w:spacing w:before="93" w:line="600" w:lineRule="exact"/>
        <w:ind w:firstLine="1120" w:firstLineChars="350"/>
        <w:rPr>
          <w:rFonts w:ascii="Times New Roman" w:cs="仿宋_GB2312"/>
          <w:sz w:val="32"/>
          <w:szCs w:val="32"/>
        </w:rPr>
      </w:pPr>
    </w:p>
    <w:p w14:paraId="45939E1D">
      <w:pPr>
        <w:widowControl/>
        <w:jc w:val="left"/>
        <w:rPr>
          <w:rFonts w:eastAsia="仿宋"/>
          <w:kern w:val="0"/>
          <w:sz w:val="32"/>
          <w:szCs w:val="32"/>
        </w:rPr>
      </w:pPr>
      <w:r>
        <w:rPr>
          <w:rFonts w:eastAsia="仿宋"/>
          <w:sz w:val="32"/>
          <w:szCs w:val="32"/>
        </w:rPr>
        <w:br w:type="page"/>
      </w:r>
    </w:p>
    <w:p w14:paraId="2994D73C">
      <w:pPr>
        <w:pStyle w:val="5"/>
        <w:jc w:val="center"/>
        <w:rPr>
          <w:rFonts w:eastAsia="方正小标宋简体" w:cs="方正小标宋简体"/>
          <w:b w:val="0"/>
        </w:rPr>
      </w:pPr>
      <w:bookmarkStart w:id="20" w:name="_Toc206509433"/>
      <w:bookmarkStart w:id="21" w:name="_Toc15377204"/>
      <w:bookmarkStart w:id="22" w:name="_Toc15396602"/>
      <w:r>
        <w:rPr>
          <w:rFonts w:hint="eastAsia" w:eastAsia="方正小标宋简体" w:cs="方正小标宋简体"/>
          <w:b w:val="0"/>
        </w:rPr>
        <w:t>第二部分2024年度部门决算情况说明</w:t>
      </w:r>
      <w:bookmarkEnd w:id="20"/>
      <w:bookmarkEnd w:id="21"/>
      <w:bookmarkEnd w:id="22"/>
    </w:p>
    <w:p w14:paraId="2A5A23AD"/>
    <w:p w14:paraId="676704CD">
      <w:pPr>
        <w:pStyle w:val="31"/>
        <w:spacing w:line="600" w:lineRule="exact"/>
        <w:ind w:firstLine="640"/>
        <w:outlineLvl w:val="1"/>
        <w:rPr>
          <w:rStyle w:val="33"/>
          <w:rFonts w:ascii="Times New Roman" w:hAnsi="Times New Roman" w:eastAsia="黑体"/>
          <w:b w:val="0"/>
        </w:rPr>
      </w:pPr>
      <w:bookmarkStart w:id="23" w:name="_Toc206509434"/>
      <w:bookmarkStart w:id="24" w:name="_Toc15396603"/>
      <w:bookmarkStart w:id="25" w:name="_Toc15377205"/>
      <w:r>
        <w:rPr>
          <w:rFonts w:hint="eastAsia" w:eastAsia="黑体"/>
          <w:sz w:val="32"/>
          <w:szCs w:val="32"/>
        </w:rPr>
        <w:t>一、收</w:t>
      </w:r>
      <w:r>
        <w:rPr>
          <w:rStyle w:val="33"/>
          <w:rFonts w:hint="eastAsia" w:ascii="Times New Roman" w:hAnsi="Times New Roman" w:eastAsia="黑体"/>
          <w:b w:val="0"/>
        </w:rPr>
        <w:t>入支出决算总体情况说明</w:t>
      </w:r>
      <w:bookmarkEnd w:id="23"/>
      <w:bookmarkEnd w:id="24"/>
      <w:bookmarkEnd w:id="25"/>
    </w:p>
    <w:p w14:paraId="09C0DB63">
      <w:pPr>
        <w:spacing w:line="600" w:lineRule="exact"/>
        <w:ind w:firstLine="640"/>
        <w:rPr>
          <w:rFonts w:eastAsia="仿宋_GB2312" w:cs="仿宋_GB2312"/>
          <w:sz w:val="32"/>
          <w:szCs w:val="32"/>
        </w:rPr>
      </w:pPr>
      <w:r>
        <w:rPr>
          <w:rFonts w:hint="eastAsia" w:eastAsia="仿宋_GB2312" w:cs="仿宋_GB2312"/>
          <w:sz w:val="32"/>
          <w:szCs w:val="32"/>
        </w:rPr>
        <w:t>2024年度收入、支出总计均为5880.91万元。与2023年度相比，收入、支出总计各增加1071.22万元，增长22.27%。主要变动原因是人员调标，涉及保险类人员经费增加。</w:t>
      </w:r>
    </w:p>
    <w:p w14:paraId="3C7B44D2">
      <w:pPr>
        <w:rPr>
          <w:rFonts w:eastAsia="仿宋_GB2312" w:cs="仿宋_GB2312"/>
          <w:sz w:val="32"/>
          <w:szCs w:val="32"/>
        </w:rPr>
      </w:pPr>
      <w:r>
        <w:drawing>
          <wp:inline distT="0" distB="0" distL="0" distR="0">
            <wp:extent cx="5274310" cy="3076575"/>
            <wp:effectExtent l="0" t="0" r="254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4DC394">
      <w:pPr>
        <w:ind w:firstLine="640" w:firstLineChars="200"/>
        <w:jc w:val="center"/>
        <w:rPr>
          <w:rFonts w:eastAsia="仿宋_GB2312" w:cs="仿宋_GB2312"/>
          <w:sz w:val="32"/>
          <w:szCs w:val="32"/>
        </w:rPr>
      </w:pPr>
      <w:r>
        <w:rPr>
          <w:rFonts w:hint="eastAsia" w:eastAsia="仿宋_GB2312" w:cs="仿宋_GB2312"/>
          <w:sz w:val="32"/>
          <w:szCs w:val="32"/>
        </w:rPr>
        <w:t>（图1：收入、支出决算总计变动情况图）</w:t>
      </w:r>
    </w:p>
    <w:p w14:paraId="0720D804">
      <w:pPr>
        <w:pStyle w:val="2"/>
        <w:rPr>
          <w:sz w:val="32"/>
          <w:szCs w:val="32"/>
        </w:rPr>
      </w:pPr>
    </w:p>
    <w:p w14:paraId="389736A5">
      <w:pPr>
        <w:pStyle w:val="31"/>
        <w:spacing w:line="600" w:lineRule="exact"/>
        <w:ind w:firstLine="640"/>
        <w:outlineLvl w:val="1"/>
        <w:rPr>
          <w:rFonts w:eastAsia="黑体"/>
          <w:sz w:val="32"/>
          <w:szCs w:val="32"/>
        </w:rPr>
      </w:pPr>
      <w:bookmarkStart w:id="26" w:name="_Toc15377206"/>
      <w:bookmarkStart w:id="27" w:name="_Toc15396604"/>
      <w:bookmarkStart w:id="28" w:name="_Toc206509435"/>
      <w:r>
        <w:rPr>
          <w:rFonts w:hint="eastAsia" w:eastAsia="黑体"/>
          <w:sz w:val="32"/>
          <w:szCs w:val="32"/>
        </w:rPr>
        <w:t>二、收入决算情况说明</w:t>
      </w:r>
      <w:bookmarkEnd w:id="26"/>
      <w:bookmarkEnd w:id="27"/>
      <w:bookmarkEnd w:id="28"/>
    </w:p>
    <w:p w14:paraId="62AA4470">
      <w:pPr>
        <w:spacing w:line="600" w:lineRule="exact"/>
        <w:ind w:firstLine="640"/>
        <w:rPr>
          <w:rFonts w:eastAsia="仿宋_GB2312" w:cs="仿宋_GB2312"/>
          <w:sz w:val="32"/>
          <w:szCs w:val="32"/>
        </w:rPr>
      </w:pPr>
      <w:r>
        <w:rPr>
          <w:rFonts w:hint="eastAsia" w:eastAsia="仿宋_GB2312" w:cs="仿宋_GB2312"/>
          <w:sz w:val="32"/>
          <w:szCs w:val="32"/>
        </w:rPr>
        <w:t>2024年度本年收入合计5880.91万元，其中：一般公共预算财政拨款收入</w:t>
      </w:r>
      <w:r>
        <w:rPr>
          <w:rFonts w:eastAsia="仿宋_GB2312" w:cs="仿宋_GB2312"/>
          <w:sz w:val="32"/>
          <w:szCs w:val="32"/>
        </w:rPr>
        <w:t>4773.18</w:t>
      </w:r>
      <w:r>
        <w:rPr>
          <w:rFonts w:hint="eastAsia" w:eastAsia="仿宋_GB2312" w:cs="仿宋_GB2312"/>
          <w:sz w:val="32"/>
          <w:szCs w:val="32"/>
        </w:rPr>
        <w:t>万元，占81.16%；事业收入145.68万元，占2.48%；其他收入962.05万元，占16.36%。</w:t>
      </w:r>
    </w:p>
    <w:p w14:paraId="4C5F27BC">
      <w:pPr>
        <w:rPr>
          <w:rFonts w:eastAsia="仿宋_GB2312" w:cs="仿宋_GB2312"/>
          <w:sz w:val="32"/>
          <w:szCs w:val="32"/>
        </w:rPr>
      </w:pPr>
      <w:r>
        <w:rPr>
          <w:rFonts w:ascii="仿宋" w:hAnsi="仿宋" w:eastAsia="仿宋"/>
          <w:b/>
          <w:sz w:val="32"/>
          <w:szCs w:val="32"/>
        </w:rPr>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274310" cy="3076575"/>
            <wp:effectExtent l="0" t="0" r="2540"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1312CA0">
      <w:pPr>
        <w:ind w:firstLine="800" w:firstLineChars="250"/>
        <w:jc w:val="center"/>
        <w:rPr>
          <w:rFonts w:eastAsia="仿宋_GB2312" w:cs="仿宋_GB2312"/>
          <w:sz w:val="32"/>
          <w:szCs w:val="32"/>
        </w:rPr>
      </w:pPr>
      <w:r>
        <w:rPr>
          <w:rFonts w:hint="eastAsia" w:eastAsia="仿宋_GB2312" w:cs="仿宋_GB2312"/>
          <w:sz w:val="32"/>
          <w:szCs w:val="32"/>
        </w:rPr>
        <w:t>（图2：收入决算结构图）</w:t>
      </w:r>
    </w:p>
    <w:p w14:paraId="75B9974C">
      <w:pPr>
        <w:pStyle w:val="2"/>
        <w:rPr>
          <w:sz w:val="32"/>
          <w:szCs w:val="32"/>
        </w:rPr>
      </w:pPr>
    </w:p>
    <w:p w14:paraId="2D274EDC">
      <w:pPr>
        <w:pStyle w:val="31"/>
        <w:spacing w:line="600" w:lineRule="exact"/>
        <w:ind w:firstLine="640"/>
        <w:outlineLvl w:val="1"/>
        <w:rPr>
          <w:rStyle w:val="33"/>
          <w:rFonts w:ascii="Times New Roman" w:hAnsi="Times New Roman" w:eastAsia="黑体"/>
          <w:b w:val="0"/>
        </w:rPr>
      </w:pPr>
      <w:bookmarkStart w:id="29" w:name="_Toc15396605"/>
      <w:bookmarkStart w:id="30" w:name="_Toc206509436"/>
      <w:bookmarkStart w:id="31" w:name="_Toc15377207"/>
      <w:r>
        <w:rPr>
          <w:rFonts w:hint="eastAsia" w:eastAsia="黑体"/>
          <w:sz w:val="32"/>
          <w:szCs w:val="32"/>
        </w:rPr>
        <w:t>三、支</w:t>
      </w:r>
      <w:r>
        <w:rPr>
          <w:rStyle w:val="33"/>
          <w:rFonts w:hint="eastAsia" w:ascii="Times New Roman" w:hAnsi="Times New Roman" w:eastAsia="黑体"/>
          <w:b w:val="0"/>
        </w:rPr>
        <w:t>出决算情况说明</w:t>
      </w:r>
      <w:bookmarkEnd w:id="29"/>
      <w:bookmarkEnd w:id="30"/>
      <w:bookmarkEnd w:id="31"/>
    </w:p>
    <w:p w14:paraId="4EEF7500">
      <w:pPr>
        <w:spacing w:line="600" w:lineRule="exact"/>
        <w:ind w:firstLine="640"/>
        <w:rPr>
          <w:rFonts w:eastAsia="仿宋_GB2312" w:cs="仿宋_GB2312"/>
          <w:sz w:val="32"/>
          <w:szCs w:val="32"/>
        </w:rPr>
      </w:pPr>
      <w:r>
        <w:rPr>
          <w:rFonts w:hint="eastAsia" w:eastAsia="仿宋_GB2312" w:cs="仿宋_GB2312"/>
          <w:sz w:val="32"/>
          <w:szCs w:val="32"/>
        </w:rPr>
        <w:t>2024年度本年支出合计5880.91万元，其中：基本支出4105.72万元，占69.81%；项目支出1775.19万元，占30.19%。</w:t>
      </w:r>
    </w:p>
    <w:p w14:paraId="62B46C1C">
      <w:pPr>
        <w:rPr>
          <w:rFonts w:eastAsia="仿宋_GB2312" w:cs="仿宋_GB2312"/>
          <w:sz w:val="32"/>
          <w:szCs w:val="32"/>
        </w:rPr>
      </w:pPr>
      <w:r>
        <w:drawing>
          <wp:inline distT="0" distB="0" distL="0" distR="0">
            <wp:extent cx="5171440" cy="2505075"/>
            <wp:effectExtent l="0" t="0" r="1016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9B7D1E">
      <w:pPr>
        <w:ind w:firstLine="800" w:firstLineChars="250"/>
        <w:jc w:val="center"/>
        <w:rPr>
          <w:rFonts w:eastAsia="仿宋_GB2312" w:cs="仿宋_GB2312"/>
          <w:sz w:val="32"/>
          <w:szCs w:val="32"/>
        </w:rPr>
      </w:pPr>
      <w:r>
        <w:rPr>
          <w:rFonts w:hint="eastAsia" w:eastAsia="仿宋_GB2312" w:cs="仿宋_GB2312"/>
          <w:sz w:val="32"/>
          <w:szCs w:val="32"/>
        </w:rPr>
        <w:t>（图3：支出决算结构图）</w:t>
      </w:r>
    </w:p>
    <w:p w14:paraId="3C6A0D8A">
      <w:pPr>
        <w:ind w:firstLine="800" w:firstLineChars="250"/>
        <w:rPr>
          <w:rFonts w:eastAsia="仿宋_GB2312" w:cs="仿宋_GB2312"/>
          <w:sz w:val="32"/>
          <w:szCs w:val="32"/>
        </w:rPr>
      </w:pPr>
    </w:p>
    <w:p w14:paraId="34A5315C">
      <w:pPr>
        <w:spacing w:line="600" w:lineRule="exact"/>
        <w:ind w:firstLine="640" w:firstLineChars="200"/>
        <w:outlineLvl w:val="1"/>
        <w:rPr>
          <w:rStyle w:val="33"/>
          <w:rFonts w:ascii="Times New Roman" w:hAnsi="Times New Roman" w:eastAsia="黑体"/>
          <w:b w:val="0"/>
        </w:rPr>
      </w:pPr>
      <w:bookmarkStart w:id="32" w:name="_Toc206509437"/>
      <w:bookmarkStart w:id="33" w:name="_Toc15396606"/>
      <w:bookmarkStart w:id="34" w:name="_Toc15377208"/>
      <w:r>
        <w:rPr>
          <w:rFonts w:hint="eastAsia" w:eastAsia="黑体"/>
          <w:sz w:val="32"/>
          <w:szCs w:val="32"/>
        </w:rPr>
        <w:t>四、财</w:t>
      </w:r>
      <w:r>
        <w:rPr>
          <w:rStyle w:val="33"/>
          <w:rFonts w:hint="eastAsia" w:ascii="Times New Roman" w:hAnsi="Times New Roman" w:eastAsia="黑体"/>
          <w:b w:val="0"/>
        </w:rPr>
        <w:t>政拨款收入支出决算总体情况说明</w:t>
      </w:r>
      <w:bookmarkEnd w:id="32"/>
      <w:bookmarkEnd w:id="33"/>
      <w:bookmarkEnd w:id="34"/>
    </w:p>
    <w:p w14:paraId="416B297B">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2024年度财政拨款收入、支出总计均为4773.18万元。与2023年度相比，财政拨款收入、支出总计各增加117.59万元，增长2.53%。主要变动原因是政策性调资，人员经费增加，教师退休等。</w:t>
      </w:r>
    </w:p>
    <w:p w14:paraId="454E4A2D">
      <w:pPr>
        <w:spacing w:line="600" w:lineRule="exact"/>
        <w:jc w:val="center"/>
        <w:rPr>
          <w:rFonts w:eastAsia="仿宋_GB2312" w:cs="仿宋_GB2312"/>
          <w:sz w:val="32"/>
          <w:szCs w:val="32"/>
        </w:rPr>
      </w:pPr>
      <w:r>
        <w:rPr>
          <w:rFonts w:ascii="仿宋" w:hAnsi="仿宋" w:eastAsia="仿宋"/>
          <w:sz w:val="32"/>
          <w:szCs w:val="32"/>
          <w:u w:val="single"/>
        </w:rPr>
        <w:drawing>
          <wp:anchor distT="0" distB="0" distL="114300" distR="114300" simplePos="0" relativeHeight="251662336" behindDoc="0" locked="0" layoutInCell="1" allowOverlap="1">
            <wp:simplePos x="0" y="0"/>
            <wp:positionH relativeFrom="column">
              <wp:posOffset>0</wp:posOffset>
            </wp:positionH>
            <wp:positionV relativeFrom="paragraph">
              <wp:posOffset>380365</wp:posOffset>
            </wp:positionV>
            <wp:extent cx="5274310" cy="3076575"/>
            <wp:effectExtent l="0" t="0" r="2540" b="952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eastAsia="仿宋_GB2312" w:cs="仿宋_GB2312"/>
          <w:sz w:val="32"/>
          <w:szCs w:val="32"/>
        </w:rPr>
        <w:t>（图4：财政拨款收、支决算总计变动情况）</w:t>
      </w:r>
    </w:p>
    <w:p w14:paraId="790E5617">
      <w:pPr>
        <w:spacing w:line="600" w:lineRule="exact"/>
        <w:ind w:firstLine="640"/>
        <w:rPr>
          <w:rFonts w:eastAsia="仿宋_GB2312" w:cs="仿宋_GB2312"/>
          <w:sz w:val="32"/>
          <w:szCs w:val="32"/>
        </w:rPr>
      </w:pPr>
    </w:p>
    <w:p w14:paraId="6F10C855">
      <w:pPr>
        <w:spacing w:line="600" w:lineRule="exact"/>
        <w:ind w:firstLine="640" w:firstLineChars="200"/>
        <w:outlineLvl w:val="1"/>
        <w:rPr>
          <w:rStyle w:val="33"/>
          <w:rFonts w:ascii="Times New Roman" w:hAnsi="Times New Roman" w:eastAsia="黑体"/>
          <w:b w:val="0"/>
        </w:rPr>
      </w:pPr>
      <w:bookmarkStart w:id="35" w:name="_Toc15377209"/>
      <w:bookmarkStart w:id="36" w:name="_Toc15396607"/>
      <w:bookmarkStart w:id="37" w:name="_Toc206509438"/>
      <w:r>
        <w:rPr>
          <w:rFonts w:hint="eastAsia" w:eastAsia="黑体"/>
          <w:sz w:val="32"/>
          <w:szCs w:val="32"/>
        </w:rPr>
        <w:t>五、</w:t>
      </w:r>
      <w:r>
        <w:rPr>
          <w:rFonts w:hint="eastAsia" w:eastAsia="黑体"/>
          <w:b/>
          <w:sz w:val="32"/>
          <w:szCs w:val="32"/>
        </w:rPr>
        <w:t>一</w:t>
      </w:r>
      <w:r>
        <w:rPr>
          <w:rStyle w:val="33"/>
          <w:rFonts w:hint="eastAsia" w:ascii="Times New Roman" w:hAnsi="Times New Roman" w:eastAsia="黑体"/>
          <w:b w:val="0"/>
        </w:rPr>
        <w:t>般公共预算财政拨款支出决算情况说明</w:t>
      </w:r>
      <w:bookmarkEnd w:id="35"/>
      <w:bookmarkEnd w:id="36"/>
      <w:bookmarkEnd w:id="37"/>
    </w:p>
    <w:p w14:paraId="2A73E96F">
      <w:pPr>
        <w:spacing w:line="600" w:lineRule="exact"/>
        <w:ind w:firstLine="643" w:firstLineChars="200"/>
        <w:outlineLvl w:val="2"/>
        <w:rPr>
          <w:rFonts w:eastAsia="楷体_GB2312" w:cs="楷体_GB2312"/>
          <w:b/>
          <w:sz w:val="32"/>
          <w:szCs w:val="32"/>
        </w:rPr>
      </w:pPr>
      <w:bookmarkStart w:id="38" w:name="_Toc206509439"/>
      <w:bookmarkStart w:id="39" w:name="_Toc15377210"/>
      <w:r>
        <w:rPr>
          <w:rFonts w:hint="eastAsia" w:eastAsia="楷体_GB2312" w:cs="楷体_GB2312"/>
          <w:b/>
          <w:sz w:val="32"/>
          <w:szCs w:val="32"/>
        </w:rPr>
        <w:t>（一）一般公共预算财政拨款支出决算总体情况</w:t>
      </w:r>
      <w:bookmarkEnd w:id="38"/>
      <w:bookmarkEnd w:id="39"/>
    </w:p>
    <w:p w14:paraId="7A96CC61">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2024年度一般公共预算财政拨款支出4773.18万元，占本年支出合计的81.16%。与2023年度相比，一般公共预算财政拨款支出增加117.59万元，增长2.53%。主要变动原因是政策性调资，人员经费增加，教师退休等。</w:t>
      </w:r>
    </w:p>
    <w:p w14:paraId="6A0B2970">
      <w:pPr>
        <w:spacing w:line="600" w:lineRule="exact"/>
        <w:jc w:val="center"/>
        <w:rPr>
          <w:rFonts w:eastAsia="仿宋_GB2312" w:cs="仿宋_GB2312"/>
          <w:sz w:val="32"/>
          <w:szCs w:val="32"/>
        </w:rPr>
      </w:pPr>
      <w:r>
        <w:rPr>
          <w:rFonts w:hint="eastAsia" w:ascii="仿宋" w:hAnsi="仿宋" w:eastAsia="仿宋"/>
          <w:kern w:val="0"/>
          <w:sz w:val="32"/>
          <w:szCs w:val="32"/>
        </w:rPr>
        <w:drawing>
          <wp:anchor distT="0" distB="0" distL="114300" distR="114300" simplePos="0" relativeHeight="251663360" behindDoc="0" locked="0" layoutInCell="1" allowOverlap="1">
            <wp:simplePos x="0" y="0"/>
            <wp:positionH relativeFrom="margin">
              <wp:align>center</wp:align>
            </wp:positionH>
            <wp:positionV relativeFrom="paragraph">
              <wp:posOffset>69215</wp:posOffset>
            </wp:positionV>
            <wp:extent cx="4620260" cy="2652395"/>
            <wp:effectExtent l="0" t="0" r="8890" b="1460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（图5：一般公共预算财政拨款支出决算变动情况）</w:t>
      </w:r>
    </w:p>
    <w:p w14:paraId="47E63C16">
      <w:pPr>
        <w:spacing w:line="600" w:lineRule="exact"/>
        <w:ind w:firstLine="640"/>
        <w:rPr>
          <w:rFonts w:eastAsia="仿宋_GB2312" w:cs="仿宋_GB2312"/>
          <w:sz w:val="32"/>
          <w:szCs w:val="32"/>
        </w:rPr>
      </w:pPr>
    </w:p>
    <w:p w14:paraId="47AA796E">
      <w:pPr>
        <w:spacing w:line="600" w:lineRule="exact"/>
        <w:ind w:firstLine="643" w:firstLineChars="200"/>
        <w:outlineLvl w:val="2"/>
        <w:rPr>
          <w:rFonts w:eastAsia="楷体_GB2312" w:cs="楷体_GB2312"/>
          <w:b/>
          <w:sz w:val="32"/>
          <w:szCs w:val="32"/>
        </w:rPr>
      </w:pPr>
      <w:bookmarkStart w:id="40" w:name="_Toc206509440"/>
      <w:bookmarkStart w:id="41" w:name="_Toc15377211"/>
      <w:r>
        <w:rPr>
          <w:rFonts w:hint="eastAsia" w:eastAsia="楷体_GB2312" w:cs="楷体_GB2312"/>
          <w:b/>
          <w:sz w:val="32"/>
          <w:szCs w:val="32"/>
        </w:rPr>
        <w:t>（二）一般公共预算财政拨款支出决算结构情况</w:t>
      </w:r>
      <w:bookmarkEnd w:id="40"/>
      <w:bookmarkEnd w:id="41"/>
    </w:p>
    <w:p w14:paraId="2097385B">
      <w:pPr>
        <w:spacing w:line="600" w:lineRule="exact"/>
        <w:ind w:firstLine="640"/>
      </w:pPr>
      <w:r>
        <w:rPr>
          <w:rFonts w:hint="eastAsia" w:ascii="仿宋" w:hAnsi="仿宋" w:eastAsia="仿宋"/>
          <w:b/>
          <w:sz w:val="32"/>
          <w:szCs w:val="32"/>
        </w:rPr>
        <w:drawing>
          <wp:anchor distT="0" distB="0" distL="114300" distR="114300" simplePos="0" relativeHeight="251664384" behindDoc="0" locked="0" layoutInCell="1" allowOverlap="1">
            <wp:simplePos x="0" y="0"/>
            <wp:positionH relativeFrom="margin">
              <wp:align>center</wp:align>
            </wp:positionH>
            <wp:positionV relativeFrom="paragraph">
              <wp:posOffset>1572260</wp:posOffset>
            </wp:positionV>
            <wp:extent cx="4806950" cy="2985135"/>
            <wp:effectExtent l="0" t="0" r="12700" b="5715"/>
            <wp:wrapTopAndBottom/>
            <wp:docPr id="191493291" name="图表 191493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sz w:val="32"/>
          <w:szCs w:val="32"/>
        </w:rPr>
        <w:t>2024年度一般公共预算财政拨款支出4773.18万元，主要用于以下方面：教育支出3762.78万元，占78.83%；社会保障和就业支出484.08万元，占8.23%；卫生健康支出193.43万元，占3.29%；住房保障支出332.90万元，占5.66%。</w:t>
      </w:r>
    </w:p>
    <w:p w14:paraId="1CDEECE3">
      <w:pPr>
        <w:spacing w:line="600" w:lineRule="exact"/>
        <w:jc w:val="center"/>
        <w:rPr>
          <w:rFonts w:eastAsia="仿宋_GB2312" w:cs="仿宋_GB2312"/>
          <w:sz w:val="32"/>
          <w:szCs w:val="32"/>
        </w:rPr>
      </w:pPr>
      <w:r>
        <w:rPr>
          <w:rFonts w:hint="eastAsia" w:eastAsia="仿宋_GB2312" w:cs="仿宋_GB2312"/>
          <w:sz w:val="32"/>
          <w:szCs w:val="32"/>
        </w:rPr>
        <w:t>（图6：一般公共预算财政拨款支出决算结构）（饼状图）</w:t>
      </w:r>
    </w:p>
    <w:p w14:paraId="6A9D35A1">
      <w:pPr>
        <w:spacing w:line="600" w:lineRule="exact"/>
        <w:ind w:firstLine="643" w:firstLineChars="200"/>
        <w:outlineLvl w:val="2"/>
        <w:rPr>
          <w:rFonts w:eastAsia="楷体_GB2312" w:cs="楷体_GB2312"/>
          <w:b/>
          <w:sz w:val="32"/>
          <w:szCs w:val="32"/>
        </w:rPr>
      </w:pPr>
      <w:bookmarkStart w:id="42" w:name="_Toc206509441"/>
      <w:bookmarkStart w:id="43" w:name="_Toc15377212"/>
      <w:r>
        <w:rPr>
          <w:rFonts w:hint="eastAsia" w:eastAsia="楷体_GB2312" w:cs="楷体_GB2312"/>
          <w:b/>
          <w:sz w:val="32"/>
          <w:szCs w:val="32"/>
        </w:rPr>
        <w:t>（三）一般公共预算财政拨款支出决算具体情况</w:t>
      </w:r>
      <w:bookmarkEnd w:id="42"/>
      <w:bookmarkEnd w:id="43"/>
    </w:p>
    <w:p w14:paraId="30D0EC9B">
      <w:pPr>
        <w:spacing w:line="600" w:lineRule="exact"/>
        <w:ind w:firstLine="640"/>
        <w:rPr>
          <w:rFonts w:eastAsia="仿宋_GB2312" w:cs="仿宋_GB2312"/>
          <w:sz w:val="32"/>
          <w:szCs w:val="32"/>
        </w:rPr>
      </w:pPr>
      <w:bookmarkStart w:id="44" w:name="_Toc15378460"/>
      <w:bookmarkStart w:id="45" w:name="_Toc15377444"/>
      <w:bookmarkStart w:id="46" w:name="_Toc15377213"/>
      <w:r>
        <w:rPr>
          <w:rFonts w:hint="eastAsia" w:eastAsia="仿宋_GB2312" w:cs="仿宋_GB2312"/>
          <w:sz w:val="32"/>
          <w:szCs w:val="32"/>
        </w:rPr>
        <w:t>2024年度一般公共预算支出决算数为4773.18万元，完成预算100%。其中：</w:t>
      </w:r>
      <w:bookmarkEnd w:id="44"/>
      <w:bookmarkEnd w:id="45"/>
      <w:bookmarkEnd w:id="46"/>
    </w:p>
    <w:p w14:paraId="2CE6650E">
      <w:pPr>
        <w:spacing w:line="600" w:lineRule="exact"/>
        <w:ind w:firstLine="640"/>
        <w:rPr>
          <w:rFonts w:eastAsia="仿宋_GB2312" w:cs="仿宋_GB2312"/>
          <w:sz w:val="32"/>
          <w:szCs w:val="32"/>
        </w:rPr>
      </w:pPr>
      <w:r>
        <w:rPr>
          <w:rFonts w:hint="eastAsia" w:eastAsia="仿宋_GB2312" w:cs="仿宋_GB2312"/>
          <w:sz w:val="32"/>
          <w:szCs w:val="32"/>
        </w:rPr>
        <w:t>1.教育（类）普通教育（款）初中教育（项）:支出决算为157.48万元，完成预算100%，决算数与预算数持平。</w:t>
      </w:r>
    </w:p>
    <w:p w14:paraId="5E3D7B4C">
      <w:pPr>
        <w:spacing w:line="600" w:lineRule="exact"/>
        <w:ind w:firstLine="640"/>
        <w:rPr>
          <w:rFonts w:eastAsia="仿宋_GB2312" w:cs="仿宋_GB2312"/>
          <w:sz w:val="32"/>
          <w:szCs w:val="32"/>
        </w:rPr>
      </w:pPr>
      <w:r>
        <w:rPr>
          <w:rFonts w:hint="eastAsia" w:eastAsia="仿宋_GB2312" w:cs="仿宋_GB2312"/>
          <w:sz w:val="32"/>
          <w:szCs w:val="32"/>
        </w:rPr>
        <w:t>2.教育（类）普通教育（款）高中教育（项）:支出决算为</w:t>
      </w:r>
      <w:r>
        <w:rPr>
          <w:rFonts w:eastAsia="仿宋_GB2312" w:cs="仿宋_GB2312"/>
          <w:sz w:val="32"/>
          <w:szCs w:val="32"/>
        </w:rPr>
        <w:t>3335.74</w:t>
      </w:r>
      <w:r>
        <w:rPr>
          <w:rFonts w:hint="eastAsia" w:eastAsia="仿宋_GB2312" w:cs="仿宋_GB2312"/>
          <w:sz w:val="32"/>
          <w:szCs w:val="32"/>
        </w:rPr>
        <w:t>万元，完成预算100%，决算数与预算数持平。</w:t>
      </w:r>
    </w:p>
    <w:p w14:paraId="4A292DC1">
      <w:pPr>
        <w:spacing w:line="600" w:lineRule="exact"/>
        <w:ind w:firstLine="640"/>
        <w:rPr>
          <w:rFonts w:eastAsia="仿宋_GB2312" w:cs="仿宋_GB2312"/>
          <w:sz w:val="32"/>
          <w:szCs w:val="32"/>
        </w:rPr>
      </w:pPr>
      <w:r>
        <w:rPr>
          <w:rFonts w:hint="eastAsia" w:eastAsia="仿宋_GB2312" w:cs="仿宋_GB2312"/>
          <w:sz w:val="32"/>
          <w:szCs w:val="32"/>
        </w:rPr>
        <w:t>3.教育（类）普通教育（款）其他普通教育支出（项）:支出决算为269.56万元，完成预算100%，决算数与预算数持平。</w:t>
      </w:r>
    </w:p>
    <w:p w14:paraId="39942D24">
      <w:pPr>
        <w:spacing w:line="600" w:lineRule="exact"/>
        <w:ind w:firstLine="640"/>
        <w:rPr>
          <w:rFonts w:eastAsia="仿宋_GB2312" w:cs="仿宋_GB2312"/>
          <w:sz w:val="32"/>
          <w:szCs w:val="32"/>
        </w:rPr>
      </w:pPr>
      <w:r>
        <w:rPr>
          <w:rFonts w:hint="eastAsia" w:eastAsia="仿宋_GB2312" w:cs="仿宋_GB2312"/>
          <w:sz w:val="32"/>
          <w:szCs w:val="32"/>
        </w:rPr>
        <w:t>4.社会保障和就业（类）行政事业单位养老（款）机关事业单位基本养老保险缴费（项）:支出决算为438.31万元，完成预算100%，决算数与预算数持平。</w:t>
      </w:r>
    </w:p>
    <w:p w14:paraId="27E3638C">
      <w:pPr>
        <w:spacing w:line="600" w:lineRule="exact"/>
        <w:ind w:firstLine="640"/>
        <w:rPr>
          <w:rFonts w:eastAsia="仿宋_GB2312" w:cs="仿宋_GB2312"/>
          <w:sz w:val="32"/>
          <w:szCs w:val="32"/>
        </w:rPr>
      </w:pPr>
      <w:r>
        <w:rPr>
          <w:rFonts w:hint="eastAsia" w:eastAsia="仿宋_GB2312" w:cs="仿宋_GB2312"/>
          <w:sz w:val="32"/>
          <w:szCs w:val="32"/>
        </w:rPr>
        <w:t>5.社会保障和就业（类）行政事业单位养老（款）其他行政事业单位养老支出（项）:支出决算为5.91万元，完成预算100%，决算数与预算数持平。</w:t>
      </w:r>
    </w:p>
    <w:p w14:paraId="7B32A5EA">
      <w:pPr>
        <w:spacing w:line="600" w:lineRule="exact"/>
        <w:ind w:firstLine="640"/>
        <w:rPr>
          <w:rFonts w:eastAsia="仿宋_GB2312" w:cs="仿宋_GB2312"/>
          <w:sz w:val="32"/>
          <w:szCs w:val="32"/>
        </w:rPr>
      </w:pPr>
      <w:r>
        <w:rPr>
          <w:rFonts w:hint="eastAsia" w:eastAsia="仿宋_GB2312" w:cs="仿宋_GB2312"/>
          <w:sz w:val="32"/>
          <w:szCs w:val="32"/>
        </w:rPr>
        <w:t>6.社会保障和就业（类）其他社会保障和就业（款）其他社会保障和就业支出（项）:支出决算为39.85万元，完成预算100%，决算数与预算数持平。</w:t>
      </w:r>
    </w:p>
    <w:p w14:paraId="6DDB0661">
      <w:pPr>
        <w:spacing w:line="600" w:lineRule="exact"/>
        <w:ind w:firstLine="640"/>
        <w:rPr>
          <w:rFonts w:eastAsia="仿宋_GB2312" w:cs="仿宋_GB2312"/>
          <w:sz w:val="32"/>
          <w:szCs w:val="32"/>
        </w:rPr>
      </w:pPr>
      <w:r>
        <w:rPr>
          <w:rFonts w:hint="eastAsia" w:eastAsia="仿宋_GB2312" w:cs="仿宋_GB2312"/>
          <w:sz w:val="32"/>
          <w:szCs w:val="32"/>
        </w:rPr>
        <w:t>7.卫生健康（类）行政事业单位医疗（款）事业单位医疗（项）:支出决算为193.43万元，完成预算100%，决算数与预算数持平。</w:t>
      </w:r>
    </w:p>
    <w:p w14:paraId="23AF7097">
      <w:pPr>
        <w:spacing w:line="600" w:lineRule="exact"/>
        <w:ind w:firstLine="640"/>
        <w:rPr>
          <w:rFonts w:eastAsia="仿宋_GB2312" w:cs="仿宋_GB2312"/>
          <w:b/>
          <w:bCs/>
          <w:sz w:val="32"/>
          <w:szCs w:val="32"/>
        </w:rPr>
      </w:pPr>
      <w:r>
        <w:rPr>
          <w:rFonts w:hint="eastAsia" w:eastAsia="仿宋_GB2312" w:cs="仿宋_GB2312"/>
          <w:sz w:val="32"/>
          <w:szCs w:val="32"/>
        </w:rPr>
        <w:t>8.住房保障（类）住房改革（款）住房公积金（项）:支出决算为332.90万元，完成预算100%，决算数与预算数持平。</w:t>
      </w:r>
    </w:p>
    <w:p w14:paraId="0661469B">
      <w:pPr>
        <w:spacing w:line="600" w:lineRule="exact"/>
        <w:ind w:firstLine="640"/>
        <w:rPr>
          <w:rFonts w:eastAsia="仿宋_GB2312" w:cs="仿宋_GB2312"/>
          <w:sz w:val="32"/>
          <w:szCs w:val="32"/>
        </w:rPr>
      </w:pPr>
    </w:p>
    <w:p w14:paraId="679DBD44">
      <w:pPr>
        <w:tabs>
          <w:tab w:val="right" w:pos="8306"/>
        </w:tabs>
        <w:spacing w:line="600" w:lineRule="exact"/>
        <w:ind w:firstLine="640"/>
        <w:outlineLvl w:val="1"/>
        <w:rPr>
          <w:rStyle w:val="33"/>
          <w:rFonts w:ascii="Times New Roman" w:hAnsi="Times New Roman"/>
        </w:rPr>
      </w:pPr>
      <w:bookmarkStart w:id="47" w:name="_Toc206509442"/>
      <w:bookmarkStart w:id="48" w:name="_Toc15377214"/>
      <w:bookmarkStart w:id="49" w:name="_Toc15396608"/>
      <w:r>
        <w:rPr>
          <w:rFonts w:hint="eastAsia" w:eastAsia="黑体"/>
          <w:sz w:val="32"/>
          <w:szCs w:val="32"/>
        </w:rPr>
        <w:t>六</w:t>
      </w:r>
      <w:r>
        <w:rPr>
          <w:rFonts w:hint="eastAsia" w:eastAsia="黑体"/>
          <w:b/>
          <w:sz w:val="32"/>
          <w:szCs w:val="32"/>
        </w:rPr>
        <w:t>、一</w:t>
      </w:r>
      <w:r>
        <w:rPr>
          <w:rStyle w:val="33"/>
          <w:rFonts w:hint="eastAsia" w:ascii="Times New Roman" w:hAnsi="Times New Roman" w:eastAsia="黑体"/>
          <w:b w:val="0"/>
        </w:rPr>
        <w:t>般公共预算财政拨款基本支出决算情况说明</w:t>
      </w:r>
      <w:bookmarkEnd w:id="47"/>
      <w:bookmarkEnd w:id="48"/>
      <w:bookmarkEnd w:id="49"/>
      <w:r>
        <w:rPr>
          <w:rStyle w:val="33"/>
          <w:rFonts w:ascii="Times New Roman" w:hAnsi="Times New Roman" w:eastAsia="黑体"/>
          <w:b w:val="0"/>
        </w:rPr>
        <w:tab/>
      </w:r>
    </w:p>
    <w:p w14:paraId="3B105058">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2024年度一般公共预算财政拨款基本支出4105.71万元，其中：</w:t>
      </w:r>
    </w:p>
    <w:p w14:paraId="0B668141">
      <w:pPr>
        <w:spacing w:line="600" w:lineRule="exact"/>
        <w:ind w:firstLine="640"/>
        <w:rPr>
          <w:rFonts w:eastAsia="仿宋_GB2312" w:cs="仿宋_GB2312"/>
          <w:sz w:val="32"/>
          <w:szCs w:val="32"/>
        </w:rPr>
      </w:pPr>
      <w:r>
        <w:rPr>
          <w:rFonts w:hint="eastAsia" w:eastAsia="仿宋_GB2312" w:cs="仿宋_GB2312"/>
          <w:sz w:val="32"/>
          <w:szCs w:val="32"/>
        </w:rPr>
        <w:t>人员经费3918.20万元，主要包括：基本工资、津贴补贴、绩效工资、机关事业单位基本养老保险缴费、职工基本医疗保险缴费、其他社会保障缴费、住房公积金、其他工资福利支出、生活补助、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公用经费187.51万元，主要包括：办公费、差旅费、维修（护）费、培训费、劳务费、工会经费、福利费、其他商品和服务支出等。</w:t>
      </w:r>
    </w:p>
    <w:p w14:paraId="315E880C">
      <w:pPr>
        <w:spacing w:line="600" w:lineRule="exact"/>
        <w:ind w:firstLine="640"/>
        <w:rPr>
          <w:rFonts w:eastAsia="仿宋_GB2312" w:cs="仿宋_GB2312"/>
          <w:sz w:val="32"/>
          <w:szCs w:val="32"/>
        </w:rPr>
      </w:pPr>
    </w:p>
    <w:p w14:paraId="0C3B933E">
      <w:pPr>
        <w:spacing w:line="600" w:lineRule="exact"/>
        <w:ind w:firstLine="640"/>
        <w:outlineLvl w:val="1"/>
        <w:rPr>
          <w:rStyle w:val="33"/>
          <w:rFonts w:ascii="Times New Roman" w:hAnsi="Times New Roman" w:eastAsia="黑体"/>
          <w:b w:val="0"/>
        </w:rPr>
      </w:pPr>
      <w:bookmarkStart w:id="50" w:name="_Toc206509443"/>
      <w:bookmarkStart w:id="51" w:name="_Toc15377215"/>
      <w:bookmarkStart w:id="52" w:name="_Toc15396609"/>
      <w:r>
        <w:rPr>
          <w:rFonts w:hint="eastAsia" w:eastAsia="黑体"/>
          <w:sz w:val="32"/>
          <w:szCs w:val="32"/>
        </w:rPr>
        <w:t>七、</w:t>
      </w:r>
      <w:r>
        <w:rPr>
          <w:rStyle w:val="33"/>
          <w:rFonts w:hint="eastAsia" w:ascii="Times New Roman" w:hAnsi="Times New Roman" w:eastAsia="黑体"/>
          <w:b w:val="0"/>
        </w:rPr>
        <w:t>财政拨款</w:t>
      </w:r>
      <w:r>
        <w:rPr>
          <w:rStyle w:val="33"/>
          <w:rFonts w:hint="eastAsia" w:ascii="Times New Roman" w:hAnsi="Times New Roman" w:eastAsia="黑体"/>
        </w:rPr>
        <w:t>“</w:t>
      </w:r>
      <w:r>
        <w:rPr>
          <w:rStyle w:val="33"/>
          <w:rFonts w:hint="eastAsia" w:ascii="Times New Roman" w:hAnsi="Times New Roman" w:eastAsia="黑体"/>
          <w:b w:val="0"/>
        </w:rPr>
        <w:t>三公”经费支出决算情况说明</w:t>
      </w:r>
      <w:bookmarkEnd w:id="50"/>
      <w:bookmarkEnd w:id="51"/>
      <w:bookmarkEnd w:id="52"/>
    </w:p>
    <w:p w14:paraId="42CD521B">
      <w:pPr>
        <w:spacing w:line="600" w:lineRule="exact"/>
        <w:ind w:firstLine="643" w:firstLineChars="200"/>
        <w:outlineLvl w:val="2"/>
        <w:rPr>
          <w:rFonts w:eastAsia="楷体_GB2312" w:cs="楷体_GB2312"/>
          <w:b/>
          <w:sz w:val="32"/>
          <w:szCs w:val="32"/>
        </w:rPr>
      </w:pPr>
      <w:bookmarkStart w:id="53" w:name="_Toc206509444"/>
      <w:bookmarkStart w:id="54" w:name="_Toc15377216"/>
      <w:r>
        <w:rPr>
          <w:rFonts w:hint="eastAsia" w:eastAsia="楷体_GB2312" w:cs="楷体_GB2312"/>
          <w:b/>
          <w:sz w:val="32"/>
          <w:szCs w:val="32"/>
        </w:rPr>
        <w:t>（一）“三公”经费财政拨款支出决算总体情况说明</w:t>
      </w:r>
      <w:bookmarkEnd w:id="53"/>
      <w:bookmarkEnd w:id="54"/>
    </w:p>
    <w:p w14:paraId="39793FA3">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2024年度“三公”经费财政拨款支出决算为0万元，完成预算100%，与上年度持平。决算数与预算数持平。</w:t>
      </w:r>
    </w:p>
    <w:p w14:paraId="063B964E">
      <w:pPr>
        <w:spacing w:line="600" w:lineRule="exact"/>
        <w:ind w:firstLine="643" w:firstLineChars="200"/>
        <w:outlineLvl w:val="2"/>
        <w:rPr>
          <w:rFonts w:eastAsia="楷体_GB2312" w:cs="楷体_GB2312"/>
          <w:b/>
          <w:sz w:val="32"/>
          <w:szCs w:val="32"/>
        </w:rPr>
      </w:pPr>
      <w:bookmarkStart w:id="55" w:name="_Toc15377217"/>
      <w:bookmarkStart w:id="56" w:name="_Toc206509445"/>
      <w:r>
        <w:rPr>
          <w:rFonts w:hint="eastAsia" w:eastAsia="楷体_GB2312" w:cs="楷体_GB2312"/>
          <w:b/>
          <w:sz w:val="32"/>
          <w:szCs w:val="32"/>
        </w:rPr>
        <w:t>（二）“三公”经费财政拨款支出决算具体情况说明</w:t>
      </w:r>
      <w:bookmarkEnd w:id="55"/>
      <w:bookmarkEnd w:id="56"/>
    </w:p>
    <w:p w14:paraId="76A630B1">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7FDA3108">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1.因公出国（境）经费支出0万元，完成预算100%。</w:t>
      </w:r>
      <w:r>
        <w:rPr>
          <w:rFonts w:hint="eastAsia" w:eastAsia="仿宋_GB2312" w:cs="仿宋_GB2312"/>
          <w:sz w:val="32"/>
          <w:szCs w:val="32"/>
        </w:rPr>
        <w:t>全年安排因公出国（境）团组0次，出国（境）0人。因公出国（境）支出决算与2023年持平。</w:t>
      </w:r>
    </w:p>
    <w:p w14:paraId="61F5340D">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2.公务用车购置及运行维护费支出0万元，完成预算100%。</w:t>
      </w:r>
      <w:r>
        <w:rPr>
          <w:rFonts w:hint="eastAsia" w:eastAsia="仿宋_GB2312" w:cs="仿宋_GB2312"/>
          <w:sz w:val="32"/>
          <w:szCs w:val="32"/>
        </w:rPr>
        <w:t>公务用车购置及运行维护费支出决算与2023年持平</w:t>
      </w:r>
    </w:p>
    <w:p w14:paraId="6ECFEDCA">
      <w:pPr>
        <w:spacing w:line="600" w:lineRule="exact"/>
        <w:ind w:firstLine="640"/>
        <w:rPr>
          <w:rFonts w:eastAsia="仿宋_GB2312" w:cs="仿宋_GB2312"/>
          <w:sz w:val="32"/>
          <w:szCs w:val="32"/>
        </w:rPr>
      </w:pPr>
      <w:r>
        <w:rPr>
          <w:rFonts w:hint="eastAsia" w:eastAsia="仿宋_GB2312" w:cs="仿宋_GB2312"/>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32CA19CF">
      <w:pPr>
        <w:spacing w:line="600" w:lineRule="exact"/>
        <w:ind w:firstLine="640"/>
        <w:rPr>
          <w:rFonts w:eastAsia="仿宋_GB2312" w:cs="仿宋_GB2312"/>
          <w:sz w:val="32"/>
          <w:szCs w:val="32"/>
        </w:rPr>
      </w:pPr>
      <w:r>
        <w:rPr>
          <w:rFonts w:hint="eastAsia" w:eastAsia="仿宋_GB2312" w:cs="仿宋_GB2312"/>
          <w:sz w:val="32"/>
          <w:szCs w:val="32"/>
        </w:rPr>
        <w:t>公务用车运行维护费支出0万元。</w:t>
      </w:r>
    </w:p>
    <w:p w14:paraId="0A5B1971">
      <w:pPr>
        <w:spacing w:line="600" w:lineRule="exact"/>
        <w:ind w:firstLine="640"/>
        <w:rPr>
          <w:rFonts w:eastAsia="仿宋_GB2312" w:cs="仿宋_GB2312"/>
          <w:sz w:val="32"/>
          <w:szCs w:val="32"/>
        </w:rPr>
      </w:pPr>
      <w:r>
        <w:rPr>
          <w:rFonts w:hint="eastAsia" w:eastAsia="仿宋_GB2312" w:cs="仿宋_GB2312"/>
          <w:b/>
          <w:bCs/>
          <w:sz w:val="32"/>
          <w:szCs w:val="32"/>
        </w:rPr>
        <w:t>3.公务接待费支出0万元，完成预算100%。</w:t>
      </w:r>
      <w:r>
        <w:rPr>
          <w:rFonts w:hint="eastAsia" w:eastAsia="仿宋_GB2312" w:cs="仿宋_GB2312"/>
          <w:sz w:val="32"/>
          <w:szCs w:val="32"/>
        </w:rPr>
        <w:t>公务接待费支出决算与2023年持平：</w:t>
      </w:r>
    </w:p>
    <w:p w14:paraId="2D03ACF8">
      <w:pPr>
        <w:spacing w:line="600" w:lineRule="exact"/>
        <w:ind w:firstLine="640"/>
        <w:rPr>
          <w:rFonts w:eastAsia="仿宋_GB2312" w:cs="仿宋_GB2312"/>
          <w:sz w:val="32"/>
          <w:szCs w:val="32"/>
        </w:rPr>
      </w:pPr>
      <w:r>
        <w:rPr>
          <w:rFonts w:hint="eastAsia" w:eastAsia="仿宋_GB2312" w:cs="仿宋_GB2312"/>
          <w:sz w:val="32"/>
          <w:szCs w:val="32"/>
        </w:rPr>
        <w:t>国内公务接待支出0万元。国内公务接待0批次，0人次（不包括陪同人员），共计支出0万元。</w:t>
      </w:r>
    </w:p>
    <w:p w14:paraId="51917E19">
      <w:pPr>
        <w:spacing w:line="600" w:lineRule="exact"/>
        <w:ind w:firstLine="640"/>
        <w:rPr>
          <w:rFonts w:eastAsia="仿宋_GB2312" w:cs="仿宋_GB2312"/>
          <w:sz w:val="32"/>
          <w:szCs w:val="32"/>
        </w:rPr>
      </w:pPr>
      <w:r>
        <w:rPr>
          <w:rFonts w:hint="eastAsia" w:eastAsia="仿宋_GB2312" w:cs="仿宋_GB2312"/>
          <w:sz w:val="32"/>
          <w:szCs w:val="32"/>
        </w:rPr>
        <w:t>外事接待支出0万元。外事接待0批次，0人次（不包括陪同人员），共计支出0万元。</w:t>
      </w:r>
    </w:p>
    <w:p w14:paraId="5F9A2D95">
      <w:pPr>
        <w:spacing w:line="600" w:lineRule="exact"/>
        <w:ind w:firstLine="640"/>
        <w:rPr>
          <w:rFonts w:eastAsia="仿宋_GB2312" w:cs="仿宋_GB2312"/>
          <w:sz w:val="32"/>
          <w:szCs w:val="32"/>
        </w:rPr>
      </w:pPr>
      <w:bookmarkStart w:id="57" w:name="_Toc15396610"/>
      <w:bookmarkStart w:id="58" w:name="_Toc15377218"/>
    </w:p>
    <w:p w14:paraId="6FB70A57">
      <w:pPr>
        <w:spacing w:line="600" w:lineRule="exact"/>
        <w:ind w:firstLine="640"/>
        <w:outlineLvl w:val="1"/>
        <w:rPr>
          <w:rStyle w:val="33"/>
          <w:rFonts w:ascii="Times New Roman" w:hAnsi="Times New Roman" w:eastAsia="黑体"/>
        </w:rPr>
      </w:pPr>
      <w:bookmarkStart w:id="59" w:name="_Toc206509446"/>
      <w:r>
        <w:rPr>
          <w:rFonts w:hint="eastAsia" w:eastAsia="黑体"/>
          <w:sz w:val="32"/>
          <w:szCs w:val="32"/>
        </w:rPr>
        <w:t>八、</w:t>
      </w:r>
      <w:r>
        <w:rPr>
          <w:rStyle w:val="33"/>
          <w:rFonts w:hint="eastAsia" w:ascii="Times New Roman" w:hAnsi="Times New Roman" w:eastAsia="黑体"/>
          <w:b w:val="0"/>
        </w:rPr>
        <w:t>政府性基金预算支出决算情况说明</w:t>
      </w:r>
      <w:bookmarkEnd w:id="57"/>
      <w:bookmarkEnd w:id="58"/>
      <w:bookmarkEnd w:id="59"/>
    </w:p>
    <w:p w14:paraId="7D6E3CCE">
      <w:pPr>
        <w:spacing w:line="600" w:lineRule="exact"/>
        <w:ind w:firstLine="640"/>
        <w:rPr>
          <w:rFonts w:eastAsia="仿宋_GB2312" w:cs="仿宋_GB2312"/>
          <w:b/>
          <w:bCs/>
          <w:sz w:val="32"/>
          <w:szCs w:val="32"/>
        </w:rPr>
      </w:pPr>
      <w:r>
        <w:rPr>
          <w:rFonts w:hint="eastAsia" w:eastAsia="仿宋_GB2312" w:cs="仿宋_GB2312"/>
          <w:sz w:val="32"/>
          <w:szCs w:val="32"/>
        </w:rPr>
        <w:t>2024年度政府性基金预算财政拨款支出0万元，占本年支出合计的0%。与2023年度持平。</w:t>
      </w:r>
    </w:p>
    <w:p w14:paraId="1C269E80">
      <w:pPr>
        <w:spacing w:line="600" w:lineRule="exact"/>
        <w:ind w:firstLine="640"/>
        <w:rPr>
          <w:rFonts w:eastAsia="仿宋_GB2312" w:cs="仿宋_GB2312"/>
          <w:sz w:val="32"/>
          <w:szCs w:val="32"/>
        </w:rPr>
      </w:pPr>
    </w:p>
    <w:p w14:paraId="7F7565A4">
      <w:pPr>
        <w:spacing w:line="600" w:lineRule="exact"/>
        <w:ind w:left="630"/>
        <w:outlineLvl w:val="1"/>
        <w:rPr>
          <w:rStyle w:val="33"/>
          <w:rFonts w:ascii="Times New Roman" w:hAnsi="Times New Roman" w:eastAsia="黑体"/>
          <w:b w:val="0"/>
        </w:rPr>
      </w:pPr>
      <w:bookmarkStart w:id="60" w:name="_Toc15396611"/>
      <w:bookmarkStart w:id="61" w:name="_Toc206509447"/>
      <w:bookmarkStart w:id="62" w:name="_Toc15377219"/>
      <w:r>
        <w:rPr>
          <w:rStyle w:val="33"/>
          <w:rFonts w:hint="eastAsia" w:ascii="Times New Roman" w:hAnsi="Times New Roman" w:eastAsia="黑体"/>
          <w:b w:val="0"/>
        </w:rPr>
        <w:t>九、国有资本经营预算支出决算情况说明</w:t>
      </w:r>
      <w:bookmarkEnd w:id="60"/>
      <w:bookmarkEnd w:id="61"/>
      <w:bookmarkEnd w:id="62"/>
    </w:p>
    <w:p w14:paraId="72EB5E37">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2024年度国有资本经营预算财政拨款支出0万元，占本年支出合计的0%。与2023年度持平。</w:t>
      </w:r>
    </w:p>
    <w:p w14:paraId="0C80F155">
      <w:pPr>
        <w:spacing w:line="600" w:lineRule="exact"/>
        <w:ind w:firstLine="640"/>
        <w:rPr>
          <w:rFonts w:eastAsia="仿宋_GB2312" w:cs="仿宋_GB2312"/>
          <w:sz w:val="32"/>
          <w:szCs w:val="32"/>
        </w:rPr>
      </w:pPr>
    </w:p>
    <w:p w14:paraId="04F76925">
      <w:pPr>
        <w:spacing w:line="600" w:lineRule="exact"/>
        <w:ind w:left="630"/>
        <w:outlineLvl w:val="1"/>
        <w:rPr>
          <w:rStyle w:val="33"/>
          <w:rFonts w:ascii="Times New Roman" w:hAnsi="Times New Roman" w:eastAsia="黑体"/>
          <w:b w:val="0"/>
        </w:rPr>
      </w:pPr>
      <w:bookmarkStart w:id="63" w:name="_Toc15396612"/>
      <w:bookmarkStart w:id="64" w:name="_Toc15377221"/>
      <w:bookmarkStart w:id="65" w:name="_Toc206509448"/>
      <w:r>
        <w:rPr>
          <w:rStyle w:val="33"/>
          <w:rFonts w:hint="eastAsia" w:ascii="Times New Roman" w:hAnsi="Times New Roman" w:eastAsia="黑体"/>
          <w:b w:val="0"/>
        </w:rPr>
        <w:t>十、其他重要事项的情况说明</w:t>
      </w:r>
      <w:bookmarkEnd w:id="63"/>
      <w:bookmarkEnd w:id="64"/>
      <w:bookmarkEnd w:id="65"/>
    </w:p>
    <w:p w14:paraId="26F35B2B">
      <w:pPr>
        <w:spacing w:line="600" w:lineRule="exact"/>
        <w:ind w:firstLine="643" w:firstLineChars="200"/>
        <w:outlineLvl w:val="2"/>
        <w:rPr>
          <w:rFonts w:eastAsia="楷体_GB2312" w:cs="楷体_GB2312"/>
          <w:b/>
          <w:sz w:val="32"/>
          <w:szCs w:val="32"/>
        </w:rPr>
      </w:pPr>
      <w:bookmarkStart w:id="66" w:name="_Toc15377222"/>
      <w:bookmarkStart w:id="67" w:name="_Toc206509449"/>
      <w:r>
        <w:rPr>
          <w:rFonts w:hint="eastAsia" w:eastAsia="楷体_GB2312" w:cs="楷体_GB2312"/>
          <w:b/>
          <w:sz w:val="32"/>
          <w:szCs w:val="32"/>
        </w:rPr>
        <w:t>（一）机关运行经费支出情况</w:t>
      </w:r>
      <w:bookmarkEnd w:id="66"/>
      <w:bookmarkEnd w:id="67"/>
    </w:p>
    <w:p w14:paraId="2690B127">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eastAsia="仿宋_GB2312"/>
          <w:sz w:val="32"/>
          <w:szCs w:val="32"/>
        </w:rPr>
        <w:t>四川省遂宁市西眉中学</w:t>
      </w:r>
      <w:r>
        <w:rPr>
          <w:rFonts w:hint="eastAsia" w:eastAsia="仿宋_GB2312" w:cs="仿宋_GB2312"/>
          <w:sz w:val="32"/>
          <w:szCs w:val="32"/>
        </w:rPr>
        <w:t>机关运行经费支出0万元，与2023年度持平。</w:t>
      </w:r>
    </w:p>
    <w:p w14:paraId="43301607">
      <w:pPr>
        <w:spacing w:line="600" w:lineRule="exact"/>
        <w:ind w:firstLine="640"/>
        <w:rPr>
          <w:rFonts w:eastAsia="仿宋_GB2312" w:cs="仿宋_GB2312"/>
          <w:sz w:val="32"/>
          <w:szCs w:val="32"/>
        </w:rPr>
      </w:pPr>
    </w:p>
    <w:p w14:paraId="5B5797A1">
      <w:pPr>
        <w:spacing w:line="600" w:lineRule="exact"/>
        <w:ind w:firstLine="643" w:firstLineChars="200"/>
        <w:outlineLvl w:val="2"/>
        <w:rPr>
          <w:rFonts w:eastAsia="楷体_GB2312" w:cs="楷体_GB2312"/>
          <w:b/>
          <w:sz w:val="32"/>
          <w:szCs w:val="32"/>
        </w:rPr>
      </w:pPr>
      <w:bookmarkStart w:id="68" w:name="_Toc206509450"/>
      <w:bookmarkStart w:id="69" w:name="_Toc15377223"/>
      <w:r>
        <w:rPr>
          <w:rFonts w:hint="eastAsia" w:eastAsia="楷体_GB2312" w:cs="楷体_GB2312"/>
          <w:b/>
          <w:sz w:val="32"/>
          <w:szCs w:val="32"/>
        </w:rPr>
        <w:t>（二）政府采购支出情况</w:t>
      </w:r>
      <w:bookmarkEnd w:id="68"/>
      <w:bookmarkEnd w:id="69"/>
    </w:p>
    <w:p w14:paraId="609C2B96">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eastAsia="仿宋_GB2312"/>
          <w:sz w:val="32"/>
          <w:szCs w:val="32"/>
        </w:rPr>
        <w:t>四川省遂宁市西眉中学</w:t>
      </w:r>
      <w:r>
        <w:rPr>
          <w:rFonts w:hint="eastAsia" w:eastAsia="仿宋_GB2312" w:cs="仿宋_GB2312"/>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01707F9">
      <w:pPr>
        <w:spacing w:line="600" w:lineRule="exact"/>
        <w:ind w:firstLine="640"/>
        <w:rPr>
          <w:rFonts w:eastAsia="仿宋_GB2312" w:cs="仿宋_GB2312"/>
          <w:sz w:val="32"/>
          <w:szCs w:val="32"/>
        </w:rPr>
      </w:pPr>
    </w:p>
    <w:p w14:paraId="3AF096DD">
      <w:pPr>
        <w:spacing w:line="600" w:lineRule="exact"/>
        <w:ind w:firstLine="643" w:firstLineChars="200"/>
        <w:outlineLvl w:val="2"/>
        <w:rPr>
          <w:rFonts w:eastAsia="楷体_GB2312" w:cs="楷体_GB2312"/>
          <w:b/>
          <w:sz w:val="32"/>
          <w:szCs w:val="32"/>
        </w:rPr>
      </w:pPr>
      <w:bookmarkStart w:id="70" w:name="_Toc15377224"/>
      <w:bookmarkStart w:id="71" w:name="_Toc206509451"/>
      <w:r>
        <w:rPr>
          <w:rFonts w:hint="eastAsia" w:eastAsia="楷体_GB2312" w:cs="楷体_GB2312"/>
          <w:b/>
          <w:sz w:val="32"/>
          <w:szCs w:val="32"/>
        </w:rPr>
        <w:t>（三）国有资产占有使用情况</w:t>
      </w:r>
      <w:bookmarkEnd w:id="70"/>
      <w:bookmarkEnd w:id="71"/>
    </w:p>
    <w:p w14:paraId="6C212BAA">
      <w:pPr>
        <w:spacing w:line="600" w:lineRule="exact"/>
        <w:ind w:firstLine="640"/>
        <w:rPr>
          <w:rFonts w:eastAsia="仿宋_GB2312" w:cs="仿宋_GB2312"/>
          <w:sz w:val="32"/>
          <w:szCs w:val="32"/>
        </w:rPr>
      </w:pPr>
      <w:r>
        <w:rPr>
          <w:rFonts w:hint="eastAsia" w:eastAsia="仿宋_GB2312" w:cs="仿宋_GB2312"/>
          <w:sz w:val="32"/>
          <w:szCs w:val="32"/>
        </w:rPr>
        <w:t>截至2024年12月31日，</w:t>
      </w:r>
      <w:r>
        <w:rPr>
          <w:rFonts w:hint="eastAsia" w:ascii="仿宋_GB2312" w:eastAsia="仿宋_GB2312"/>
          <w:sz w:val="32"/>
          <w:szCs w:val="32"/>
        </w:rPr>
        <w:t>四川省遂宁市西眉中学</w:t>
      </w:r>
      <w:r>
        <w:rPr>
          <w:rFonts w:hint="eastAsia" w:eastAsia="仿宋_GB2312" w:cs="仿宋_GB2312"/>
          <w:sz w:val="32"/>
          <w:szCs w:val="32"/>
        </w:rPr>
        <w:t>共有车辆0辆，其中：主要负责人用车0辆、机要通信用车0辆、应急保障用车0辆、其他用车0辆。单价100万元（含）以上设备（不含车辆）0台（套）。</w:t>
      </w:r>
    </w:p>
    <w:p w14:paraId="1EF9176B">
      <w:pPr>
        <w:spacing w:line="600" w:lineRule="exact"/>
        <w:ind w:firstLine="640"/>
        <w:rPr>
          <w:rFonts w:eastAsia="仿宋_GB2312" w:cs="仿宋_GB2312"/>
          <w:sz w:val="32"/>
          <w:szCs w:val="32"/>
        </w:rPr>
      </w:pPr>
    </w:p>
    <w:p w14:paraId="55AA5C26">
      <w:pPr>
        <w:spacing w:line="600" w:lineRule="exact"/>
        <w:ind w:firstLine="643" w:firstLineChars="200"/>
        <w:outlineLvl w:val="2"/>
        <w:rPr>
          <w:rFonts w:eastAsia="楷体_GB2312" w:cs="楷体_GB2312"/>
          <w:b/>
          <w:sz w:val="32"/>
          <w:szCs w:val="32"/>
        </w:rPr>
      </w:pPr>
      <w:bookmarkStart w:id="72" w:name="_Toc206509452"/>
      <w:r>
        <w:rPr>
          <w:rFonts w:hint="eastAsia" w:eastAsia="楷体_GB2312" w:cs="楷体_GB2312"/>
          <w:b/>
          <w:sz w:val="32"/>
          <w:szCs w:val="32"/>
        </w:rPr>
        <w:t>（四）预算绩效管理情况</w:t>
      </w:r>
      <w:bookmarkEnd w:id="72"/>
    </w:p>
    <w:p w14:paraId="486955A9">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eastAsia="仿宋_GB2312"/>
          <w:sz w:val="32"/>
          <w:szCs w:val="32"/>
        </w:rPr>
        <w:t>四川省遂宁市西眉中学</w:t>
      </w:r>
      <w:r>
        <w:rPr>
          <w:rFonts w:hint="eastAsia" w:eastAsia="仿宋_GB2312" w:cs="仿宋_GB2312"/>
          <w:sz w:val="32"/>
          <w:szCs w:val="32"/>
        </w:rPr>
        <w:t>在2024年度预算编制阶段，组织对校舍维修等3个项目开展了预算事前绩效评估，对7个项目编制了绩效目标，预算执行过程中，对2个项目开展绩效监控。</w:t>
      </w:r>
    </w:p>
    <w:p w14:paraId="34A987B7">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仿宋_GB2312" w:eastAsia="仿宋_GB2312"/>
          <w:sz w:val="32"/>
          <w:szCs w:val="32"/>
        </w:rPr>
        <w:t>四川省遂宁市西眉中学</w:t>
      </w:r>
      <w:r>
        <w:rPr>
          <w:rFonts w:hint="eastAsia" w:eastAsia="仿宋_GB2312" w:cs="仿宋_GB2312"/>
          <w:sz w:val="32"/>
          <w:szCs w:val="32"/>
        </w:rPr>
        <w:t>部门整体（含部门预算项目）绩效自评报告，其中，</w:t>
      </w:r>
      <w:r>
        <w:rPr>
          <w:rFonts w:hint="eastAsia" w:ascii="仿宋_GB2312" w:eastAsia="仿宋_GB2312"/>
          <w:sz w:val="32"/>
          <w:szCs w:val="32"/>
        </w:rPr>
        <w:t>四川省遂宁市西眉中学</w:t>
      </w:r>
      <w:r>
        <w:rPr>
          <w:rFonts w:hint="eastAsia" w:eastAsia="仿宋_GB2312" w:cs="仿宋_GB2312"/>
          <w:sz w:val="32"/>
          <w:szCs w:val="32"/>
        </w:rPr>
        <w:t>部门整体（含部门预算项目）绩效自评得分为97分，绩效自评综述：严格执行相关政策，保障工资及时发放、足额发放，预算编制科学合理，减少结余资金，广泛听取意见，认真总结分析,搜集完善各类资料。进一步深化课程改革，提高教育质量，努力改善办学条件,促进教育均衡发展。</w:t>
      </w:r>
    </w:p>
    <w:p w14:paraId="55232260">
      <w:pPr>
        <w:spacing w:line="600" w:lineRule="exact"/>
        <w:ind w:firstLine="640"/>
        <w:rPr>
          <w:rFonts w:eastAsia="仿宋_GB2312" w:cs="仿宋_GB2312"/>
          <w:sz w:val="32"/>
          <w:szCs w:val="32"/>
        </w:rPr>
      </w:pPr>
      <w:r>
        <w:rPr>
          <w:rFonts w:hint="eastAsia" w:eastAsia="仿宋_GB2312" w:cs="仿宋_GB2312"/>
          <w:sz w:val="32"/>
          <w:szCs w:val="32"/>
        </w:rPr>
        <w:t>校舍维修预算项目绩效自评得分98分，绩效自评综述：加强民生资金专项管理，确保专款专用，有效保障校舍安全、满足教学使用需求。</w:t>
      </w:r>
    </w:p>
    <w:p w14:paraId="1CC0783D">
      <w:pPr>
        <w:spacing w:line="600" w:lineRule="exact"/>
        <w:ind w:firstLine="640"/>
        <w:rPr>
          <w:rFonts w:eastAsia="仿宋_GB2312" w:cs="仿宋_GB2312"/>
          <w:sz w:val="32"/>
          <w:szCs w:val="32"/>
        </w:rPr>
      </w:pPr>
      <w:r>
        <w:rPr>
          <w:rFonts w:hint="eastAsia" w:eastAsia="仿宋_GB2312" w:cs="仿宋_GB2312"/>
          <w:sz w:val="32"/>
          <w:szCs w:val="32"/>
        </w:rPr>
        <w:t>普通高中助学金预算项目绩效自评得分为100分，绩效自评综述：加强民生资金专项管理，提高民生资金使用效益，确保专款专用，</w:t>
      </w:r>
      <w:r>
        <w:rPr>
          <w:rFonts w:eastAsia="仿宋_GB2312" w:cs="仿宋_GB2312"/>
          <w:sz w:val="32"/>
          <w:szCs w:val="32"/>
        </w:rPr>
        <w:t>资金使用合规，有效保障困难学生就学，受助学生满意度良好</w:t>
      </w:r>
      <w:r>
        <w:rPr>
          <w:rFonts w:hint="eastAsia" w:eastAsia="仿宋_GB2312" w:cs="仿宋_GB2312"/>
          <w:sz w:val="32"/>
          <w:szCs w:val="32"/>
        </w:rPr>
        <w:t>。</w:t>
      </w:r>
    </w:p>
    <w:p w14:paraId="6FAFFB5C">
      <w:pPr>
        <w:spacing w:line="600" w:lineRule="exact"/>
        <w:ind w:firstLine="640"/>
        <w:rPr>
          <w:rFonts w:eastAsia="仿宋_GB2312" w:cs="仿宋_GB2312"/>
          <w:sz w:val="32"/>
          <w:szCs w:val="32"/>
        </w:rPr>
      </w:pPr>
      <w:r>
        <w:rPr>
          <w:rFonts w:hint="eastAsia" w:eastAsia="仿宋_GB2312" w:cs="仿宋_GB2312"/>
          <w:sz w:val="32"/>
          <w:szCs w:val="32"/>
        </w:rPr>
        <w:t>义务教育薄弱环节改善与能力提升建设项目资金预算项目绩效自评得分为100分，绩效自评综述：加强民生资金专项管理，提高民生资金使用效益，确保专款专用，</w:t>
      </w:r>
      <w:r>
        <w:rPr>
          <w:rFonts w:eastAsia="仿宋_GB2312" w:cs="仿宋_GB2312"/>
          <w:sz w:val="32"/>
          <w:szCs w:val="32"/>
        </w:rPr>
        <w:t>资金使用规范合规，办学条件达标，保障教学需求</w:t>
      </w:r>
      <w:r>
        <w:rPr>
          <w:rFonts w:hint="eastAsia" w:eastAsia="仿宋_GB2312" w:cs="仿宋_GB2312"/>
          <w:sz w:val="32"/>
          <w:szCs w:val="32"/>
        </w:rPr>
        <w:t>。</w:t>
      </w:r>
    </w:p>
    <w:p w14:paraId="13627C10">
      <w:pPr>
        <w:spacing w:line="600" w:lineRule="exact"/>
        <w:ind w:firstLine="640"/>
        <w:rPr>
          <w:rFonts w:eastAsia="仿宋_GB2312" w:cs="仿宋_GB2312"/>
          <w:sz w:val="32"/>
          <w:szCs w:val="32"/>
        </w:rPr>
      </w:pPr>
      <w:r>
        <w:rPr>
          <w:rFonts w:hint="eastAsia" w:eastAsia="仿宋_GB2312" w:cs="仿宋_GB2312"/>
          <w:sz w:val="32"/>
          <w:szCs w:val="32"/>
        </w:rPr>
        <w:t>秋季市级义务教育家庭经济困难学生生活补助预算项目绩效自评得分为100分，绩效自评综述：加强民生资金专项管理，提高民生资金使用效益，确保专款专用，</w:t>
      </w:r>
      <w:r>
        <w:rPr>
          <w:rFonts w:eastAsia="仿宋_GB2312" w:cs="仿宋_GB2312"/>
          <w:sz w:val="32"/>
          <w:szCs w:val="32"/>
        </w:rPr>
        <w:t>资金使用合规，精准发放，保障重点人群就学，资金合规零截留</w:t>
      </w:r>
      <w:r>
        <w:rPr>
          <w:rFonts w:hint="eastAsia" w:eastAsia="仿宋_GB2312" w:cs="仿宋_GB2312"/>
          <w:sz w:val="32"/>
          <w:szCs w:val="32"/>
        </w:rPr>
        <w:t>。</w:t>
      </w:r>
    </w:p>
    <w:p w14:paraId="30E87053">
      <w:pPr>
        <w:spacing w:line="600" w:lineRule="exact"/>
        <w:ind w:firstLine="640"/>
        <w:rPr>
          <w:rFonts w:eastAsia="仿宋_GB2312" w:cs="仿宋_GB2312"/>
          <w:sz w:val="32"/>
          <w:szCs w:val="32"/>
        </w:rPr>
      </w:pPr>
      <w:r>
        <w:rPr>
          <w:rFonts w:hint="eastAsia" w:eastAsia="仿宋_GB2312" w:cs="仿宋_GB2312"/>
          <w:sz w:val="32"/>
          <w:szCs w:val="32"/>
        </w:rPr>
        <w:t>义务教育家庭经济困难学生生活补助预算项目绩效自评得分为100分，绩效自评综述：加强民生资金专项管理，提高民生资金使用效益，确保专款专用，</w:t>
      </w:r>
      <w:r>
        <w:rPr>
          <w:rFonts w:eastAsia="仿宋_GB2312" w:cs="仿宋_GB2312"/>
          <w:sz w:val="32"/>
          <w:szCs w:val="32"/>
        </w:rPr>
        <w:t>资金使用合规，有效保障困难学生就学，受助学生满意度良好</w:t>
      </w:r>
      <w:r>
        <w:rPr>
          <w:rFonts w:hint="eastAsia" w:eastAsia="仿宋_GB2312" w:cs="仿宋_GB2312"/>
          <w:sz w:val="32"/>
          <w:szCs w:val="32"/>
        </w:rPr>
        <w:t>。</w:t>
      </w:r>
    </w:p>
    <w:p w14:paraId="66E42752">
      <w:pPr>
        <w:spacing w:line="600" w:lineRule="exact"/>
        <w:ind w:firstLine="640"/>
        <w:rPr>
          <w:rFonts w:eastAsia="仿宋_GB2312" w:cs="仿宋_GB2312"/>
          <w:sz w:val="32"/>
          <w:szCs w:val="32"/>
        </w:rPr>
      </w:pPr>
      <w:r>
        <w:rPr>
          <w:rFonts w:hint="eastAsia" w:eastAsia="仿宋_GB2312" w:cs="仿宋_GB2312"/>
          <w:sz w:val="32"/>
          <w:szCs w:val="32"/>
        </w:rPr>
        <w:t>高中免学费预算项目绩效自评得分为100分，绩效自评综述：加强民生资金专项管理，提高民生资金使用效益，确保专款专用，</w:t>
      </w:r>
      <w:r>
        <w:rPr>
          <w:rFonts w:eastAsia="仿宋_GB2312" w:cs="仿宋_GB2312"/>
          <w:sz w:val="32"/>
          <w:szCs w:val="32"/>
        </w:rPr>
        <w:t>资金精准拨付合规，有效减轻家庭负担，保障学生就学，受助反馈良好</w:t>
      </w:r>
      <w:r>
        <w:rPr>
          <w:rFonts w:hint="eastAsia" w:eastAsia="仿宋_GB2312" w:cs="仿宋_GB2312"/>
          <w:sz w:val="32"/>
          <w:szCs w:val="32"/>
        </w:rPr>
        <w:t>。</w:t>
      </w:r>
    </w:p>
    <w:p w14:paraId="1C1C8D21">
      <w:pPr>
        <w:spacing w:line="600" w:lineRule="exact"/>
        <w:ind w:firstLine="640"/>
        <w:rPr>
          <w:rFonts w:eastAsia="仿宋_GB2312" w:cs="仿宋_GB2312"/>
          <w:sz w:val="32"/>
          <w:szCs w:val="32"/>
        </w:rPr>
      </w:pPr>
      <w:r>
        <w:rPr>
          <w:rFonts w:hint="eastAsia" w:eastAsia="仿宋_GB2312" w:cs="仿宋_GB2312"/>
          <w:sz w:val="32"/>
          <w:szCs w:val="32"/>
        </w:rPr>
        <w:t>普通高中免教科书费预算项目绩效自评得分为100分，绩效自评综述：加强民生资金专项管理，提高民生资金使用效益，确保专款专用，</w:t>
      </w:r>
      <w:r>
        <w:rPr>
          <w:rFonts w:eastAsia="仿宋_GB2312" w:cs="仿宋_GB2312"/>
          <w:sz w:val="32"/>
          <w:szCs w:val="32"/>
        </w:rPr>
        <w:t>资金使用合规，精准覆盖困难生，减负助学反馈良好</w:t>
      </w:r>
      <w:r>
        <w:rPr>
          <w:rFonts w:hint="eastAsia" w:eastAsia="仿宋_GB2312" w:cs="仿宋_GB2312"/>
          <w:sz w:val="32"/>
          <w:szCs w:val="32"/>
        </w:rPr>
        <w:t>。绩效自评报告详见附件。</w:t>
      </w:r>
    </w:p>
    <w:p w14:paraId="308B59CC">
      <w:pPr>
        <w:pStyle w:val="2"/>
      </w:pPr>
      <w:r>
        <w:br w:type="page"/>
      </w:r>
    </w:p>
    <w:p w14:paraId="74EA97C6">
      <w:pPr>
        <w:spacing w:line="600" w:lineRule="exact"/>
        <w:jc w:val="center"/>
        <w:outlineLvl w:val="0"/>
        <w:rPr>
          <w:rFonts w:eastAsia="黑体"/>
          <w:sz w:val="44"/>
          <w:szCs w:val="44"/>
        </w:rPr>
      </w:pPr>
      <w:bookmarkStart w:id="73" w:name="_Toc15396613"/>
      <w:bookmarkStart w:id="74" w:name="_Toc206509453"/>
      <w:bookmarkStart w:id="75" w:name="_Toc15377225"/>
      <w:r>
        <w:rPr>
          <w:rFonts w:hint="eastAsia" w:eastAsia="黑体"/>
          <w:sz w:val="44"/>
          <w:szCs w:val="44"/>
        </w:rPr>
        <w:t>第三部分名词解释</w:t>
      </w:r>
      <w:bookmarkEnd w:id="73"/>
      <w:bookmarkEnd w:id="74"/>
      <w:bookmarkEnd w:id="75"/>
    </w:p>
    <w:p w14:paraId="32C58B3C">
      <w:pPr>
        <w:spacing w:line="600" w:lineRule="exact"/>
        <w:jc w:val="left"/>
        <w:rPr>
          <w:b/>
          <w:sz w:val="44"/>
          <w:szCs w:val="44"/>
        </w:rPr>
      </w:pPr>
    </w:p>
    <w:p w14:paraId="3CAB3F72">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2216FBE0">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14:paraId="07FB3C5D">
      <w:pPr>
        <w:spacing w:line="600" w:lineRule="exact"/>
        <w:ind w:firstLine="640"/>
        <w:rPr>
          <w:rFonts w:eastAsia="仿宋_GB2312" w:cs="仿宋_GB2312"/>
          <w:sz w:val="32"/>
          <w:szCs w:val="32"/>
        </w:rPr>
      </w:pPr>
      <w:r>
        <w:rPr>
          <w:rFonts w:hint="eastAsia" w:eastAsia="仿宋_GB2312" w:cs="仿宋_GB2312"/>
          <w:sz w:val="32"/>
          <w:szCs w:val="32"/>
        </w:rPr>
        <w:t>3.其他收入：指单位取得的除上述收入以外的各项收入。</w:t>
      </w:r>
    </w:p>
    <w:p w14:paraId="1CB77595">
      <w:pPr>
        <w:spacing w:line="600" w:lineRule="exact"/>
        <w:ind w:firstLine="640"/>
        <w:rPr>
          <w:rFonts w:eastAsia="仿宋_GB2312" w:cs="仿宋_GB2312"/>
          <w:sz w:val="32"/>
          <w:szCs w:val="32"/>
        </w:rPr>
      </w:pPr>
      <w:r>
        <w:rPr>
          <w:rFonts w:hint="eastAsia" w:eastAsia="仿宋_GB2312" w:cs="仿宋_GB2312"/>
          <w:sz w:val="32"/>
          <w:szCs w:val="32"/>
        </w:rPr>
        <w:t>4.教育（类）普通教育（款）初中教育（项）:反映各部门举办的初中教育支出。政府各部门对社会中介组织等举办的初中教育的资助，如各类捐赠、补贴等，也在本科目中反映。</w:t>
      </w:r>
    </w:p>
    <w:p w14:paraId="2C3CE5C5">
      <w:pPr>
        <w:spacing w:line="600" w:lineRule="exact"/>
        <w:ind w:firstLine="640"/>
        <w:rPr>
          <w:rFonts w:eastAsia="仿宋_GB2312" w:cs="仿宋_GB2312"/>
          <w:sz w:val="32"/>
          <w:szCs w:val="32"/>
        </w:rPr>
      </w:pPr>
      <w:r>
        <w:rPr>
          <w:rFonts w:hint="eastAsia" w:eastAsia="仿宋_GB2312" w:cs="仿宋_GB2312"/>
          <w:sz w:val="32"/>
          <w:szCs w:val="32"/>
        </w:rPr>
        <w:t>5.教育（类）普通教育（款）高中教育（项）：指各部门举办的高级中学教育支出。</w:t>
      </w:r>
    </w:p>
    <w:p w14:paraId="06DD4180">
      <w:pPr>
        <w:spacing w:line="600" w:lineRule="exact"/>
        <w:ind w:firstLine="640"/>
        <w:rPr>
          <w:rFonts w:eastAsia="仿宋_GB2312" w:cs="仿宋_GB2312"/>
          <w:sz w:val="32"/>
          <w:szCs w:val="32"/>
        </w:rPr>
      </w:pPr>
      <w:r>
        <w:rPr>
          <w:rFonts w:hint="eastAsia" w:eastAsia="仿宋_GB2312" w:cs="仿宋_GB2312"/>
          <w:sz w:val="32"/>
          <w:szCs w:val="32"/>
        </w:rPr>
        <w:t>6.教育（类）普通教育（款）其他普通教育支出（项）：指除上述项目以外其他用于普通教育方面的支出。</w:t>
      </w:r>
    </w:p>
    <w:p w14:paraId="0E36F0EC">
      <w:pPr>
        <w:spacing w:line="600" w:lineRule="exact"/>
        <w:ind w:firstLine="640"/>
        <w:rPr>
          <w:rFonts w:eastAsia="仿宋_GB2312" w:cs="仿宋_GB2312"/>
          <w:sz w:val="32"/>
          <w:szCs w:val="32"/>
        </w:rPr>
      </w:pPr>
      <w:r>
        <w:rPr>
          <w:rFonts w:hint="eastAsia" w:eastAsia="仿宋_GB2312" w:cs="仿宋_GB2312"/>
          <w:sz w:val="32"/>
          <w:szCs w:val="32"/>
        </w:rPr>
        <w:t>7.社会保障和就业（类）行政事业单位养老（款）机关事业单位基本养老保险缴费支出（项）：指机关事业单位实施养老保险制度由单位缴纳的基本养老保险费支出。</w:t>
      </w:r>
    </w:p>
    <w:p w14:paraId="1415CAAD">
      <w:pPr>
        <w:spacing w:line="600" w:lineRule="exact"/>
        <w:ind w:firstLine="640"/>
        <w:rPr>
          <w:rFonts w:eastAsia="仿宋_GB2312" w:cs="仿宋_GB2312"/>
          <w:sz w:val="32"/>
          <w:szCs w:val="32"/>
        </w:rPr>
      </w:pPr>
      <w:r>
        <w:rPr>
          <w:rFonts w:hint="eastAsia" w:eastAsia="仿宋_GB2312" w:cs="仿宋_GB2312"/>
          <w:sz w:val="32"/>
          <w:szCs w:val="32"/>
        </w:rPr>
        <w:t>8.社会保障和就业（类）行政事业单位养老（款）其他行政事业单位养老支出（项）：指除上述项目以外其他用于行政事业单位养老方面的支出。</w:t>
      </w:r>
    </w:p>
    <w:p w14:paraId="040D6BAD">
      <w:pPr>
        <w:spacing w:line="600" w:lineRule="exact"/>
        <w:ind w:firstLine="640"/>
        <w:rPr>
          <w:rFonts w:eastAsia="仿宋_GB2312" w:cs="仿宋_GB2312"/>
          <w:sz w:val="32"/>
          <w:szCs w:val="32"/>
        </w:rPr>
      </w:pPr>
      <w:r>
        <w:rPr>
          <w:rFonts w:hint="eastAsia" w:eastAsia="仿宋_GB2312" w:cs="仿宋_GB2312"/>
          <w:sz w:val="32"/>
          <w:szCs w:val="32"/>
        </w:rPr>
        <w:t>9.社会保障和就业（208类）其他社会保障和就业支出（99款）其他社会保障和就业支出（01项）:反映上述项目以外其他用于社会保障和就业方面的支出。</w:t>
      </w:r>
    </w:p>
    <w:p w14:paraId="21C84889">
      <w:pPr>
        <w:spacing w:line="600" w:lineRule="exact"/>
        <w:ind w:firstLine="640"/>
        <w:rPr>
          <w:rFonts w:eastAsia="仿宋_GB2312" w:cs="仿宋_GB2312"/>
          <w:sz w:val="32"/>
          <w:szCs w:val="32"/>
        </w:rPr>
      </w:pPr>
      <w:r>
        <w:rPr>
          <w:rFonts w:hint="eastAsia" w:eastAsia="仿宋_GB2312" w:cs="仿宋_GB2312"/>
          <w:sz w:val="32"/>
          <w:szCs w:val="32"/>
        </w:rPr>
        <w:t>10.医疗卫生与计划生育（210类）行政事业单位医疗（11款）行政单位医疗（01项）:反映财政部门集中安排的行政单位基本医疗保险缴费经费，未参加医疗保险的行政单位的公费医疗经费，按国家规定享受离休人员、红军老战士待遇人员的医疗经费。</w:t>
      </w:r>
    </w:p>
    <w:p w14:paraId="4130F044">
      <w:pPr>
        <w:spacing w:line="600" w:lineRule="exact"/>
        <w:ind w:firstLine="640"/>
        <w:rPr>
          <w:rFonts w:eastAsia="仿宋_GB2312" w:cs="仿宋_GB2312"/>
          <w:sz w:val="32"/>
          <w:szCs w:val="32"/>
        </w:rPr>
      </w:pPr>
      <w:r>
        <w:rPr>
          <w:rFonts w:hint="eastAsia" w:eastAsia="仿宋_GB2312" w:cs="仿宋_GB2312"/>
          <w:sz w:val="32"/>
          <w:szCs w:val="32"/>
        </w:rPr>
        <w:t>11.医疗卫生与计划生育（210类）行政事业单位医疗（11款）事业单位医疗（02项）:反映财政部门集中安排的事业单位基本医疗保险缴费经费，未参加医疗保险的事业单位的公费医疗经费，按国家规定享受离休人员待遇的医疗经费。</w:t>
      </w:r>
    </w:p>
    <w:p w14:paraId="50CEB587">
      <w:pPr>
        <w:spacing w:line="600" w:lineRule="exact"/>
        <w:ind w:firstLine="640"/>
        <w:rPr>
          <w:rFonts w:eastAsia="仿宋_GB2312" w:cs="仿宋_GB2312"/>
          <w:sz w:val="32"/>
          <w:szCs w:val="32"/>
        </w:rPr>
      </w:pPr>
      <w:r>
        <w:rPr>
          <w:rFonts w:hint="eastAsia" w:eastAsia="仿宋_GB2312" w:cs="仿宋_GB2312"/>
          <w:sz w:val="32"/>
          <w:szCs w:val="32"/>
        </w:rPr>
        <w:t>12.医疗卫生与计划生育（210类）行政事业单位医疗（11款）公务员医疗补助（03项）:反映财政部门集中安排的公务员医疗补助经费。</w:t>
      </w:r>
    </w:p>
    <w:p w14:paraId="481A607B">
      <w:pPr>
        <w:spacing w:line="600" w:lineRule="exact"/>
        <w:ind w:firstLine="640"/>
        <w:rPr>
          <w:rFonts w:eastAsia="仿宋_GB2312" w:cs="仿宋_GB2312"/>
          <w:sz w:val="32"/>
          <w:szCs w:val="32"/>
        </w:rPr>
      </w:pPr>
      <w:r>
        <w:rPr>
          <w:rFonts w:hint="eastAsia" w:eastAsia="仿宋_GB2312" w:cs="仿宋_GB2312"/>
          <w:sz w:val="32"/>
          <w:szCs w:val="32"/>
        </w:rPr>
        <w:t>13.住房保障支出（221类）住房改革支出（02款）住房公积金（01项）:反映行政事业单位按人力资源和社会保障部、财政部规定的基本工资和津贴补贴</w:t>
      </w:r>
      <w:r>
        <w:rPr>
          <w:rFonts w:hint="eastAsia" w:eastAsia="仿宋_GB2312" w:cs="仿宋_GB2312"/>
          <w:sz w:val="32"/>
          <w:szCs w:val="32"/>
          <w:lang w:eastAsia="zh-CN"/>
        </w:rPr>
        <w:t>以及按规定比例</w:t>
      </w:r>
      <w:r>
        <w:rPr>
          <w:rFonts w:hint="eastAsia" w:eastAsia="仿宋_GB2312" w:cs="仿宋_GB2312"/>
          <w:sz w:val="32"/>
          <w:szCs w:val="32"/>
        </w:rPr>
        <w:t>为职工缴纳的住房公积金。</w:t>
      </w:r>
    </w:p>
    <w:p w14:paraId="71B6A7A0">
      <w:pPr>
        <w:spacing w:line="600" w:lineRule="exact"/>
        <w:ind w:firstLine="640"/>
        <w:rPr>
          <w:rFonts w:eastAsia="仿宋_GB2312" w:cs="仿宋_GB2312"/>
          <w:sz w:val="32"/>
          <w:szCs w:val="32"/>
        </w:rPr>
      </w:pPr>
      <w:r>
        <w:rPr>
          <w:rFonts w:hint="eastAsia" w:eastAsia="仿宋_GB2312" w:cs="仿宋_GB2312"/>
          <w:sz w:val="32"/>
          <w:szCs w:val="32"/>
        </w:rPr>
        <w:t>14.基本支出：指为保障机构正常运转、完成日常工作任务而发生的人员支出和公用支出。</w:t>
      </w:r>
    </w:p>
    <w:p w14:paraId="15B47201">
      <w:pPr>
        <w:spacing w:line="600" w:lineRule="exact"/>
        <w:ind w:firstLine="640"/>
        <w:rPr>
          <w:rFonts w:eastAsia="仿宋_GB2312" w:cs="仿宋_GB2312"/>
          <w:sz w:val="32"/>
          <w:szCs w:val="32"/>
        </w:rPr>
      </w:pPr>
      <w:r>
        <w:rPr>
          <w:rFonts w:hint="eastAsia" w:eastAsia="仿宋_GB2312" w:cs="仿宋_GB2312"/>
          <w:sz w:val="32"/>
          <w:szCs w:val="32"/>
        </w:rPr>
        <w:t>15.项目支出：指在基本支出之外为完成特定行政任务和事业发展目标所发生的支出。</w:t>
      </w:r>
    </w:p>
    <w:p w14:paraId="0487DA77">
      <w:pPr>
        <w:spacing w:line="600" w:lineRule="exact"/>
        <w:ind w:firstLine="640"/>
        <w:rPr>
          <w:rFonts w:eastAsia="仿宋_GB2312" w:cs="仿宋_GB2312"/>
          <w:sz w:val="32"/>
          <w:szCs w:val="32"/>
        </w:rPr>
      </w:pPr>
      <w:r>
        <w:rPr>
          <w:rFonts w:hint="eastAsia" w:eastAsia="仿宋_GB2312" w:cs="仿宋_GB2312"/>
          <w:sz w:val="32"/>
          <w:szCs w:val="32"/>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77A8E1">
      <w:pPr>
        <w:spacing w:line="600" w:lineRule="exact"/>
        <w:ind w:firstLine="640"/>
        <w:rPr>
          <w:rFonts w:eastAsia="仿宋_GB2312" w:cs="仿宋_GB2312"/>
          <w:sz w:val="32"/>
          <w:szCs w:val="32"/>
        </w:rPr>
      </w:pPr>
      <w:r>
        <w:rPr>
          <w:rFonts w:hint="eastAsia" w:eastAsia="仿宋_GB2312" w:cs="仿宋_GB2312"/>
          <w:sz w:val="32"/>
          <w:szCs w:val="32"/>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891A55">
      <w:pPr>
        <w:spacing w:line="600" w:lineRule="exact"/>
        <w:ind w:firstLine="640"/>
        <w:rPr>
          <w:rFonts w:eastAsia="仿宋_GB2312" w:cs="仿宋_GB2312"/>
          <w:sz w:val="32"/>
          <w:szCs w:val="32"/>
        </w:rPr>
      </w:pPr>
    </w:p>
    <w:p w14:paraId="2C150BE9">
      <w:pPr>
        <w:spacing w:line="600" w:lineRule="exact"/>
        <w:jc w:val="center"/>
        <w:outlineLvl w:val="0"/>
        <w:rPr>
          <w:rStyle w:val="32"/>
          <w:rFonts w:eastAsia="黑体"/>
          <w:b w:val="0"/>
        </w:rPr>
      </w:pPr>
      <w:bookmarkStart w:id="76" w:name="_Toc15377226"/>
      <w:r>
        <w:rPr>
          <w:rFonts w:hint="eastAsia" w:eastAsia="仿宋_GB2312" w:cs="仿宋_GB2312"/>
          <w:sz w:val="32"/>
          <w:szCs w:val="32"/>
        </w:rPr>
        <w:br w:type="page"/>
      </w:r>
      <w:bookmarkStart w:id="77" w:name="_Toc206509454"/>
      <w:bookmarkStart w:id="78" w:name="_Toc15396614"/>
      <w:r>
        <w:rPr>
          <w:rFonts w:hint="eastAsia" w:eastAsia="黑体"/>
          <w:sz w:val="44"/>
          <w:szCs w:val="44"/>
        </w:rPr>
        <w:t>第四部分附件</w:t>
      </w:r>
      <w:bookmarkEnd w:id="77"/>
      <w:bookmarkEnd w:id="78"/>
    </w:p>
    <w:p w14:paraId="68725B2F">
      <w:pPr>
        <w:rPr>
          <w:rFonts w:cs="方正小标宋简体"/>
          <w:sz w:val="32"/>
          <w:szCs w:val="32"/>
        </w:rPr>
      </w:pPr>
    </w:p>
    <w:p w14:paraId="4A335D67">
      <w:pPr>
        <w:widowControl/>
        <w:spacing w:line="578" w:lineRule="exact"/>
        <w:contextualSpacing/>
        <w:jc w:val="center"/>
        <w:rPr>
          <w:rFonts w:eastAsia="方正小标宋简体"/>
          <w:bCs/>
          <w:sz w:val="44"/>
          <w:szCs w:val="44"/>
          <w:shd w:val="clear" w:color="auto" w:fill="FFFFFF"/>
        </w:rPr>
      </w:pPr>
    </w:p>
    <w:p w14:paraId="2EDD4DD4">
      <w:pPr>
        <w:spacing w:line="578" w:lineRule="exact"/>
        <w:contextualSpacing/>
        <w:jc w:val="center"/>
        <w:rPr>
          <w:rFonts w:hint="eastAsia" w:ascii="宋体" w:hAnsi="宋体" w:eastAsia="方正小标宋简体"/>
          <w:bCs/>
          <w:sz w:val="44"/>
          <w:szCs w:val="44"/>
          <w:shd w:val="clear" w:color="auto" w:fill="FFFFFF"/>
        </w:rPr>
      </w:pPr>
      <w:r>
        <w:rPr>
          <w:rFonts w:ascii="宋体" w:hAnsi="宋体" w:eastAsia="方正小标宋简体"/>
          <w:bCs/>
          <w:sz w:val="44"/>
          <w:szCs w:val="44"/>
          <w:shd w:val="clear" w:color="auto" w:fill="FFFFFF"/>
        </w:rPr>
        <w:t>部门预算绩效自评报告</w:t>
      </w:r>
    </w:p>
    <w:p w14:paraId="6DD6877F">
      <w:pPr>
        <w:spacing w:line="578" w:lineRule="exact"/>
        <w:contextualSpacing/>
        <w:jc w:val="center"/>
        <w:rPr>
          <w:rFonts w:hint="eastAsia" w:ascii="宋体" w:hAnsi="宋体" w:eastAsia="仿宋_GB2312"/>
          <w:sz w:val="32"/>
          <w:szCs w:val="32"/>
          <w:shd w:val="clear" w:color="auto" w:fill="FFFFFF"/>
        </w:rPr>
      </w:pPr>
      <w:r>
        <w:rPr>
          <w:rFonts w:ascii="宋体" w:hAnsi="宋体" w:eastAsia="仿宋_GB2312"/>
          <w:sz w:val="32"/>
          <w:szCs w:val="32"/>
          <w:shd w:val="clear" w:color="auto" w:fill="FFFFFF"/>
        </w:rPr>
        <w:t>（</w:t>
      </w:r>
      <w:r>
        <w:rPr>
          <w:rFonts w:hint="eastAsia" w:ascii="宋体" w:hAnsi="宋体" w:eastAsia="仿宋_GB2312"/>
          <w:sz w:val="32"/>
          <w:szCs w:val="32"/>
          <w:shd w:val="clear" w:color="auto" w:fill="FFFFFF"/>
        </w:rPr>
        <w:t>四川省遂宁市西眉中学</w:t>
      </w:r>
      <w:r>
        <w:rPr>
          <w:rFonts w:ascii="宋体" w:hAnsi="宋体" w:eastAsia="仿宋_GB2312"/>
          <w:sz w:val="32"/>
          <w:szCs w:val="32"/>
          <w:shd w:val="clear" w:color="auto" w:fill="FFFFFF"/>
        </w:rPr>
        <w:t>）</w:t>
      </w:r>
    </w:p>
    <w:p w14:paraId="1F34F398">
      <w:pPr>
        <w:spacing w:line="578" w:lineRule="exact"/>
        <w:ind w:firstLine="480" w:firstLineChars="200"/>
        <w:contextualSpacing/>
        <w:rPr>
          <w:rFonts w:hint="eastAsia" w:ascii="宋体" w:hAnsi="宋体" w:eastAsia="黑体"/>
          <w:color w:val="000000"/>
          <w:sz w:val="24"/>
          <w:szCs w:val="32"/>
          <w:shd w:val="clear" w:color="auto" w:fill="FFFFFF"/>
        </w:rPr>
      </w:pPr>
    </w:p>
    <w:p w14:paraId="52119223">
      <w:pPr>
        <w:spacing w:line="578" w:lineRule="exact"/>
        <w:ind w:firstLine="640" w:firstLineChars="200"/>
        <w:contextualSpacing/>
        <w:rPr>
          <w:rFonts w:hint="eastAsia" w:ascii="宋体" w:hAnsi="宋体" w:eastAsia="仿宋_GB2312"/>
          <w:sz w:val="32"/>
          <w:szCs w:val="32"/>
        </w:rPr>
      </w:pPr>
      <w:r>
        <w:rPr>
          <w:rFonts w:ascii="宋体" w:hAnsi="宋体" w:eastAsia="黑体"/>
          <w:color w:val="000000"/>
          <w:sz w:val="32"/>
          <w:szCs w:val="32"/>
          <w:shd w:val="clear" w:color="auto" w:fill="FFFFFF"/>
          <w:lang w:val="zh-CN"/>
        </w:rPr>
        <w:t>一、部门（单位）基本情况</w:t>
      </w:r>
    </w:p>
    <w:p w14:paraId="7140A243">
      <w:pPr>
        <w:spacing w:line="578" w:lineRule="exact"/>
        <w:ind w:firstLine="640" w:firstLineChars="200"/>
        <w:contextualSpacing/>
        <w:rPr>
          <w:rFonts w:hint="eastAsia" w:ascii="宋体" w:hAnsi="宋体" w:eastAsia="仿宋_GB2312"/>
          <w:sz w:val="32"/>
          <w:szCs w:val="32"/>
        </w:rPr>
      </w:pPr>
      <w:r>
        <w:rPr>
          <w:rFonts w:ascii="宋体" w:hAnsi="宋体" w:eastAsia="楷体_GB2312"/>
          <w:color w:val="000000"/>
          <w:sz w:val="32"/>
          <w:szCs w:val="32"/>
          <w:shd w:val="clear" w:color="auto" w:fill="FFFFFF"/>
          <w:lang w:val="zh-CN"/>
        </w:rPr>
        <w:t>（一）机构组成。</w:t>
      </w:r>
    </w:p>
    <w:p w14:paraId="7B1D6C69">
      <w:pPr>
        <w:spacing w:line="578" w:lineRule="exact"/>
        <w:ind w:firstLine="640" w:firstLineChars="200"/>
        <w:contextualSpacing/>
      </w:pPr>
      <w:r>
        <w:rPr>
          <w:rStyle w:val="41"/>
          <w:rFonts w:hint="eastAsia" w:ascii="仿宋_GB2312" w:hAnsi="仿宋_GB2312" w:eastAsia="仿宋_GB2312"/>
          <w:sz w:val="32"/>
        </w:rPr>
        <w:t>四川省遂宁市西眉中学属于公益二类事业单位，隶属于遂宁市安居区教育局，主要承担义务教育阶段（初中）和普通高中教育教学任务，校内设教务处、德育处、总务处、财务室等职能科室。</w:t>
      </w:r>
    </w:p>
    <w:p w14:paraId="7816A334">
      <w:pPr>
        <w:spacing w:line="578" w:lineRule="exact"/>
        <w:ind w:firstLine="640" w:firstLineChars="200"/>
        <w:contextualSpacing/>
        <w:rPr>
          <w:rFonts w:hint="eastAsia" w:ascii="宋体" w:hAnsi="宋体" w:eastAsia="仿宋_GB2312"/>
          <w:sz w:val="32"/>
          <w:szCs w:val="32"/>
        </w:rPr>
      </w:pPr>
      <w:r>
        <w:rPr>
          <w:rFonts w:ascii="宋体" w:hAnsi="宋体" w:eastAsia="楷体_GB2312"/>
          <w:color w:val="000000"/>
          <w:sz w:val="32"/>
          <w:szCs w:val="32"/>
          <w:shd w:val="clear" w:color="auto" w:fill="FFFFFF"/>
          <w:lang w:val="zh-CN"/>
        </w:rPr>
        <w:t>（二）机构职能。</w:t>
      </w:r>
    </w:p>
    <w:p w14:paraId="46E9D3B0">
      <w:pPr>
        <w:spacing w:line="578" w:lineRule="exact"/>
        <w:ind w:firstLine="640" w:firstLineChars="200"/>
        <w:contextualSpacing/>
        <w:rPr>
          <w:rStyle w:val="41"/>
          <w:rFonts w:ascii="仿宋_GB2312" w:eastAsia="仿宋_GB2312"/>
          <w:sz w:val="32"/>
        </w:rPr>
      </w:pPr>
      <w:r>
        <w:rPr>
          <w:rStyle w:val="41"/>
          <w:rFonts w:hint="eastAsia" w:ascii="仿宋_GB2312" w:eastAsia="仿宋_GB2312"/>
          <w:sz w:val="32"/>
        </w:rPr>
        <w:t>1.落实教育方针：贯彻国家教育方针政策，执行中小学教育教学相关法规，实施义务教育和普通高中教育，保障适龄学生接受教育的权利。</w:t>
      </w:r>
    </w:p>
    <w:p w14:paraId="635AC7BB">
      <w:pPr>
        <w:spacing w:line="578" w:lineRule="exact"/>
        <w:ind w:firstLine="640" w:firstLineChars="200"/>
        <w:contextualSpacing/>
        <w:rPr>
          <w:rStyle w:val="41"/>
          <w:rFonts w:ascii="仿宋_GB2312" w:eastAsia="仿宋_GB2312"/>
          <w:sz w:val="32"/>
        </w:rPr>
      </w:pPr>
      <w:r>
        <w:rPr>
          <w:rStyle w:val="41"/>
          <w:rFonts w:hint="eastAsia" w:ascii="仿宋_GB2312" w:eastAsia="仿宋_GB2312"/>
          <w:sz w:val="32"/>
        </w:rPr>
        <w:t>2.组织教育教学：制定教育教学计划，开展课程教学、课后服务、学业评价等工作，提升教育教学质量，力争中考、高考综合评估达到区域先进水平。</w:t>
      </w:r>
    </w:p>
    <w:p w14:paraId="410F44B3">
      <w:pPr>
        <w:spacing w:line="578" w:lineRule="exact"/>
        <w:ind w:firstLine="640" w:firstLineChars="200"/>
        <w:contextualSpacing/>
        <w:rPr>
          <w:rStyle w:val="41"/>
          <w:rFonts w:ascii="仿宋_GB2312" w:eastAsia="仿宋_GB2312"/>
          <w:sz w:val="32"/>
        </w:rPr>
      </w:pPr>
      <w:r>
        <w:rPr>
          <w:rStyle w:val="41"/>
          <w:rFonts w:hint="eastAsia" w:ascii="仿宋_GB2312" w:eastAsia="仿宋_GB2312"/>
          <w:sz w:val="32"/>
        </w:rPr>
        <w:t>3.建设教师队伍：负责教职工招聘、培训、考核与绩效管理，落实工资福利、社会保险等保障政策，提升教师专业素养和教学能力。</w:t>
      </w:r>
    </w:p>
    <w:p w14:paraId="6295F507">
      <w:pPr>
        <w:spacing w:line="578" w:lineRule="exact"/>
        <w:ind w:firstLine="640" w:firstLineChars="200"/>
        <w:contextualSpacing/>
        <w:rPr>
          <w:rStyle w:val="41"/>
          <w:rFonts w:ascii="仿宋_GB2312" w:eastAsia="仿宋_GB2312"/>
          <w:sz w:val="32"/>
        </w:rPr>
      </w:pPr>
      <w:r>
        <w:rPr>
          <w:rStyle w:val="41"/>
          <w:rFonts w:hint="eastAsia" w:ascii="仿宋_GB2312" w:eastAsia="仿宋_GB2312"/>
          <w:sz w:val="32"/>
        </w:rPr>
        <w:t>4.保障校园运转：管理校园资产与经费，保障公用经费合理使用；维护校园设施设备，落实校园安全（消防、食品、防疫等）、环境卫生等后勤保障工作。</w:t>
      </w:r>
    </w:p>
    <w:p w14:paraId="3B9210FB">
      <w:pPr>
        <w:spacing w:line="578" w:lineRule="exact"/>
        <w:ind w:firstLine="640" w:firstLineChars="200"/>
        <w:contextualSpacing/>
        <w:rPr>
          <w:rStyle w:val="41"/>
          <w:rFonts w:ascii="仿宋_GB2312" w:eastAsia="仿宋_GB2312"/>
          <w:sz w:val="32"/>
        </w:rPr>
      </w:pPr>
      <w:r>
        <w:rPr>
          <w:rStyle w:val="41"/>
          <w:rFonts w:hint="eastAsia" w:ascii="仿宋_GB2312" w:eastAsia="仿宋_GB2312"/>
          <w:sz w:val="32"/>
        </w:rPr>
        <w:t>5.落实学生资助：执行义务教育和高中阶段学生资助政策，包括家庭经济困难学生生活补助、高中免学费、免教科书费等，促进教育公平。</w:t>
      </w:r>
    </w:p>
    <w:p w14:paraId="582587CA">
      <w:pPr>
        <w:spacing w:line="578" w:lineRule="exact"/>
        <w:ind w:firstLine="640" w:firstLineChars="200"/>
        <w:contextualSpacing/>
        <w:rPr>
          <w:rStyle w:val="41"/>
          <w:rFonts w:ascii="仿宋_GB2312" w:eastAsia="仿宋_GB2312"/>
          <w:sz w:val="32"/>
        </w:rPr>
      </w:pPr>
      <w:r>
        <w:rPr>
          <w:rStyle w:val="41"/>
          <w:rFonts w:hint="eastAsia" w:ascii="仿宋_GB2312" w:eastAsia="仿宋_GB2312"/>
          <w:sz w:val="32"/>
        </w:rPr>
        <w:t>6.开展素质教育：组织师生参与各类学科竞赛、文体活动、科技创新等，培养学生综合素质，鼓励教师发表教学论文并参与评奖。</w:t>
      </w:r>
    </w:p>
    <w:p w14:paraId="33F1F7C2">
      <w:pPr>
        <w:spacing w:line="578" w:lineRule="exact"/>
        <w:ind w:firstLine="640" w:firstLineChars="200"/>
        <w:contextualSpacing/>
        <w:rPr>
          <w:rStyle w:val="42"/>
          <w:rFonts w:hint="eastAsia" w:hAnsi="仿宋_GB2312" w:cs="Arial"/>
          <w:snapToGrid w:val="0"/>
          <w:color w:val="000000"/>
          <w:sz w:val="32"/>
          <w:szCs w:val="21"/>
          <w:lang w:bidi="ar"/>
        </w:rPr>
      </w:pPr>
      <w:r>
        <w:rPr>
          <w:rStyle w:val="41"/>
          <w:rFonts w:hint="eastAsia" w:ascii="仿宋_GB2312" w:eastAsia="仿宋_GB2312"/>
          <w:sz w:val="32"/>
        </w:rPr>
        <w:t>7.完成上级任务：落实上级教育部门交办的绩效考核、专项评估、政策试点等其他工作。</w:t>
      </w:r>
    </w:p>
    <w:p w14:paraId="29CD2AF4">
      <w:pPr>
        <w:spacing w:line="600" w:lineRule="exact"/>
        <w:ind w:firstLine="640" w:firstLineChars="200"/>
        <w:rPr>
          <w:rFonts w:hint="eastAsia" w:ascii="宋体" w:hAnsi="宋体" w:eastAsia="仿宋_GB2312"/>
          <w:sz w:val="32"/>
          <w:szCs w:val="32"/>
        </w:rPr>
      </w:pPr>
      <w:r>
        <w:rPr>
          <w:rFonts w:ascii="宋体" w:hAnsi="宋体" w:eastAsia="楷体_GB2312"/>
          <w:color w:val="000000"/>
          <w:sz w:val="32"/>
          <w:szCs w:val="32"/>
          <w:shd w:val="clear" w:color="auto" w:fill="FFFFFF"/>
          <w:lang w:val="zh-CN"/>
        </w:rPr>
        <w:t>（三）人员概况。</w:t>
      </w:r>
    </w:p>
    <w:p w14:paraId="3608BA4A">
      <w:pPr>
        <w:spacing w:line="600" w:lineRule="exact"/>
        <w:ind w:firstLine="640" w:firstLineChars="200"/>
        <w:rPr>
          <w:rFonts w:hint="eastAsia" w:ascii="宋体" w:hAnsi="宋体" w:eastAsia="仿宋_GB2312"/>
          <w:sz w:val="32"/>
          <w:szCs w:val="32"/>
        </w:rPr>
      </w:pPr>
      <w:r>
        <w:rPr>
          <w:rStyle w:val="42"/>
          <w:rFonts w:hint="eastAsia" w:ascii="仿宋_GB2312" w:hAnsi="仿宋_GB2312" w:eastAsia="仿宋_GB2312" w:cs="Arial"/>
          <w:snapToGrid w:val="0"/>
          <w:color w:val="000000"/>
          <w:sz w:val="32"/>
          <w:szCs w:val="21"/>
          <w:lang w:bidi="ar"/>
        </w:rPr>
        <w:t>我单位2024年年末实有在职人数232人，均为事业编制人员。</w:t>
      </w:r>
    </w:p>
    <w:p w14:paraId="52A1CAA1">
      <w:pPr>
        <w:spacing w:line="578" w:lineRule="exact"/>
        <w:ind w:firstLine="640" w:firstLineChars="200"/>
        <w:contextualSpacing/>
        <w:rPr>
          <w:rFonts w:hint="eastAsia" w:ascii="宋体" w:hAnsi="宋体" w:eastAsia="黑体"/>
          <w:color w:val="000000"/>
          <w:sz w:val="32"/>
          <w:szCs w:val="32"/>
          <w:shd w:val="clear" w:color="auto" w:fill="FFFFFF"/>
        </w:rPr>
      </w:pPr>
      <w:r>
        <w:rPr>
          <w:rFonts w:ascii="宋体" w:hAnsi="宋体" w:eastAsia="黑体"/>
          <w:color w:val="000000"/>
          <w:sz w:val="32"/>
          <w:szCs w:val="32"/>
          <w:shd w:val="clear" w:color="auto" w:fill="FFFFFF"/>
        </w:rPr>
        <w:t>二、部门资金收支情况</w:t>
      </w:r>
    </w:p>
    <w:p w14:paraId="142C6ABD">
      <w:pPr>
        <w:spacing w:line="578" w:lineRule="exact"/>
        <w:ind w:firstLine="640" w:firstLineChars="200"/>
        <w:contextualSpacing/>
        <w:rPr>
          <w:rFonts w:hint="eastAsia" w:ascii="宋体" w:hAnsi="宋体" w:eastAsia="仿宋_GB2312"/>
          <w:sz w:val="32"/>
          <w:szCs w:val="32"/>
        </w:rPr>
      </w:pPr>
      <w:r>
        <w:rPr>
          <w:rFonts w:ascii="宋体" w:hAnsi="宋体" w:eastAsia="楷体_GB2312"/>
          <w:color w:val="000000"/>
          <w:sz w:val="32"/>
          <w:szCs w:val="32"/>
          <w:shd w:val="clear" w:color="auto" w:fill="FFFFFF"/>
          <w:lang w:val="zh-CN"/>
        </w:rPr>
        <w:t>（一）收入情况。</w:t>
      </w:r>
    </w:p>
    <w:p w14:paraId="66CE9A30">
      <w:pPr>
        <w:spacing w:line="578" w:lineRule="exact"/>
        <w:ind w:firstLine="640" w:firstLineChars="200"/>
        <w:contextualSpacing/>
        <w:rPr>
          <w:rStyle w:val="42"/>
          <w:rFonts w:hint="eastAsia" w:ascii="仿宋_GB2312" w:hAnsi="仿宋_GB2312" w:eastAsia="仿宋_GB2312" w:cs="Arial"/>
          <w:snapToGrid w:val="0"/>
          <w:color w:val="000000"/>
          <w:position w:val="3"/>
          <w:sz w:val="32"/>
          <w:szCs w:val="21"/>
          <w:lang w:bidi="ar"/>
        </w:rPr>
      </w:pPr>
      <w:r>
        <w:rPr>
          <w:rStyle w:val="42"/>
          <w:rFonts w:hint="eastAsia" w:ascii="仿宋_GB2312" w:hAnsi="仿宋_GB2312" w:eastAsia="仿宋_GB2312" w:cs="Arial"/>
          <w:snapToGrid w:val="0"/>
          <w:color w:val="000000"/>
          <w:position w:val="3"/>
          <w:sz w:val="32"/>
          <w:szCs w:val="21"/>
          <w:lang w:bidi="ar"/>
        </w:rPr>
        <w:t>2024年本单位预算收入5880.91万元，实际决算收入5880.91万元，预算收入完成率为100%；</w:t>
      </w:r>
    </w:p>
    <w:tbl>
      <w:tblPr>
        <w:tblStyle w:val="17"/>
        <w:tblW w:w="6769" w:type="dxa"/>
        <w:jc w:val="center"/>
        <w:tblLayout w:type="fixed"/>
        <w:tblCellMar>
          <w:top w:w="0" w:type="dxa"/>
          <w:left w:w="108" w:type="dxa"/>
          <w:bottom w:w="0" w:type="dxa"/>
          <w:right w:w="108" w:type="dxa"/>
        </w:tblCellMar>
      </w:tblPr>
      <w:tblGrid>
        <w:gridCol w:w="1693"/>
        <w:gridCol w:w="1692"/>
        <w:gridCol w:w="1692"/>
        <w:gridCol w:w="1692"/>
      </w:tblGrid>
      <w:tr w14:paraId="3BF0824C">
        <w:tblPrEx>
          <w:tblCellMar>
            <w:top w:w="0" w:type="dxa"/>
            <w:left w:w="108" w:type="dxa"/>
            <w:bottom w:w="0" w:type="dxa"/>
            <w:right w:w="108" w:type="dxa"/>
          </w:tblCellMar>
        </w:tblPrEx>
        <w:trPr>
          <w:trHeight w:val="579" w:hRule="atLeast"/>
          <w:jc w:val="center"/>
        </w:trPr>
        <w:tc>
          <w:tcPr>
            <w:tcW w:w="6769" w:type="dxa"/>
            <w:gridSpan w:val="4"/>
            <w:tcBorders>
              <w:top w:val="nil"/>
              <w:left w:val="nil"/>
              <w:bottom w:val="single" w:color="000000" w:sz="8" w:space="0"/>
              <w:right w:val="nil"/>
            </w:tcBorders>
            <w:vAlign w:val="center"/>
          </w:tcPr>
          <w:p w14:paraId="5F40DDF1">
            <w:pPr>
              <w:jc w:val="right"/>
              <w:textAlignment w:val="center"/>
              <w:rPr>
                <w:rFonts w:hint="eastAsia" w:ascii="宋体" w:hAnsi="宋体" w:cs="宋体"/>
                <w:b/>
                <w:bCs/>
                <w:color w:val="000000"/>
                <w:sz w:val="28"/>
                <w:szCs w:val="28"/>
              </w:rPr>
            </w:pPr>
            <w:r>
              <w:rPr>
                <w:rFonts w:hint="eastAsia" w:ascii="宋体" w:hAnsi="宋体" w:cs="宋体"/>
                <w:b/>
                <w:bCs/>
                <w:color w:val="000000"/>
                <w:sz w:val="28"/>
                <w:szCs w:val="28"/>
                <w:lang w:bidi="ar"/>
              </w:rPr>
              <w:t>收入预算执行情况表</w:t>
            </w:r>
            <w:r>
              <w:rPr>
                <w:rFonts w:hint="eastAsia" w:ascii="宋体" w:hAnsi="宋体" w:cs="宋体"/>
                <w:color w:val="000000"/>
                <w:sz w:val="18"/>
                <w:szCs w:val="18"/>
                <w:lang w:bidi="ar"/>
              </w:rPr>
              <w:t>单位：万元</w:t>
            </w:r>
          </w:p>
        </w:tc>
      </w:tr>
      <w:tr w14:paraId="4CAA28EC">
        <w:tblPrEx>
          <w:tblCellMar>
            <w:top w:w="0" w:type="dxa"/>
            <w:left w:w="108" w:type="dxa"/>
            <w:bottom w:w="0" w:type="dxa"/>
            <w:right w:w="108" w:type="dxa"/>
          </w:tblCellMar>
        </w:tblPrEx>
        <w:trPr>
          <w:trHeight w:val="327" w:hRule="atLeast"/>
          <w:jc w:val="center"/>
        </w:trPr>
        <w:tc>
          <w:tcPr>
            <w:tcW w:w="1693" w:type="dxa"/>
            <w:tcBorders>
              <w:top w:val="nil"/>
              <w:left w:val="single" w:color="000000" w:sz="8" w:space="0"/>
              <w:bottom w:val="single" w:color="000000" w:sz="8" w:space="0"/>
              <w:right w:val="single" w:color="000000" w:sz="8" w:space="0"/>
            </w:tcBorders>
            <w:vAlign w:val="center"/>
          </w:tcPr>
          <w:p w14:paraId="37A5179D">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收入类别</w:t>
            </w:r>
          </w:p>
        </w:tc>
        <w:tc>
          <w:tcPr>
            <w:tcW w:w="1692" w:type="dxa"/>
            <w:tcBorders>
              <w:top w:val="nil"/>
              <w:left w:val="nil"/>
              <w:bottom w:val="single" w:color="000000" w:sz="8" w:space="0"/>
              <w:right w:val="single" w:color="000000" w:sz="8" w:space="0"/>
            </w:tcBorders>
            <w:vAlign w:val="center"/>
          </w:tcPr>
          <w:p w14:paraId="197B1021">
            <w:pPr>
              <w:jc w:val="center"/>
              <w:textAlignment w:val="center"/>
              <w:rPr>
                <w:rFonts w:hint="eastAsia" w:ascii="宋体" w:hAnsi="宋体" w:cs="宋体"/>
                <w:color w:val="000000"/>
                <w:sz w:val="24"/>
              </w:rPr>
            </w:pPr>
            <w:r>
              <w:rPr>
                <w:rFonts w:hint="eastAsia" w:ascii="宋体" w:hAnsi="宋体" w:cs="宋体"/>
                <w:color w:val="000000"/>
                <w:sz w:val="20"/>
                <w:szCs w:val="20"/>
                <w:lang w:bidi="ar"/>
              </w:rPr>
              <w:t>2024年预算数</w:t>
            </w:r>
          </w:p>
        </w:tc>
        <w:tc>
          <w:tcPr>
            <w:tcW w:w="1692" w:type="dxa"/>
            <w:tcBorders>
              <w:top w:val="nil"/>
              <w:left w:val="nil"/>
              <w:bottom w:val="single" w:color="000000" w:sz="8" w:space="0"/>
              <w:right w:val="single" w:color="000000" w:sz="8" w:space="0"/>
            </w:tcBorders>
            <w:vAlign w:val="center"/>
          </w:tcPr>
          <w:p w14:paraId="65F14CB2">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决算数</w:t>
            </w:r>
          </w:p>
        </w:tc>
        <w:tc>
          <w:tcPr>
            <w:tcW w:w="1692" w:type="dxa"/>
            <w:tcBorders>
              <w:top w:val="nil"/>
              <w:left w:val="nil"/>
              <w:bottom w:val="single" w:color="000000" w:sz="8" w:space="0"/>
              <w:right w:val="single" w:color="000000" w:sz="8" w:space="0"/>
            </w:tcBorders>
            <w:vAlign w:val="center"/>
          </w:tcPr>
          <w:p w14:paraId="7350B5A0">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预算收入完成%</w:t>
            </w:r>
          </w:p>
        </w:tc>
      </w:tr>
      <w:tr w14:paraId="4ED97778">
        <w:tblPrEx>
          <w:tblCellMar>
            <w:top w:w="0" w:type="dxa"/>
            <w:left w:w="108" w:type="dxa"/>
            <w:bottom w:w="0" w:type="dxa"/>
            <w:right w:w="108" w:type="dxa"/>
          </w:tblCellMar>
        </w:tblPrEx>
        <w:trPr>
          <w:trHeight w:val="480" w:hRule="atLeast"/>
          <w:jc w:val="center"/>
        </w:trPr>
        <w:tc>
          <w:tcPr>
            <w:tcW w:w="1693" w:type="dxa"/>
            <w:tcBorders>
              <w:top w:val="nil"/>
              <w:left w:val="single" w:color="000000" w:sz="8" w:space="0"/>
              <w:bottom w:val="single" w:color="000000" w:sz="8" w:space="0"/>
              <w:right w:val="single" w:color="000000" w:sz="8" w:space="0"/>
            </w:tcBorders>
            <w:vAlign w:val="center"/>
          </w:tcPr>
          <w:p w14:paraId="7507042A">
            <w:pPr>
              <w:textAlignment w:val="center"/>
              <w:rPr>
                <w:rFonts w:hint="eastAsia" w:ascii="宋体" w:hAnsi="宋体" w:cs="宋体"/>
                <w:color w:val="000000"/>
                <w:sz w:val="20"/>
                <w:szCs w:val="20"/>
              </w:rPr>
            </w:pPr>
            <w:r>
              <w:rPr>
                <w:rFonts w:hint="eastAsia" w:ascii="宋体" w:hAnsi="宋体" w:cs="宋体"/>
                <w:color w:val="000000"/>
                <w:sz w:val="20"/>
                <w:szCs w:val="20"/>
                <w:lang w:bidi="ar"/>
              </w:rPr>
              <w:t>一、财政拨款收入</w:t>
            </w:r>
          </w:p>
        </w:tc>
        <w:tc>
          <w:tcPr>
            <w:tcW w:w="1692" w:type="dxa"/>
            <w:tcBorders>
              <w:top w:val="nil"/>
              <w:left w:val="nil"/>
              <w:bottom w:val="single" w:color="000000" w:sz="8" w:space="0"/>
              <w:right w:val="single" w:color="000000" w:sz="8" w:space="0"/>
            </w:tcBorders>
            <w:vAlign w:val="center"/>
          </w:tcPr>
          <w:p w14:paraId="37FCCB02">
            <w:pPr>
              <w:jc w:val="center"/>
              <w:textAlignment w:val="center"/>
              <w:rPr>
                <w:rFonts w:hint="eastAsia" w:ascii="宋体" w:hAnsi="宋体" w:cs="宋体"/>
                <w:color w:val="000000"/>
                <w:sz w:val="24"/>
              </w:rPr>
            </w:pPr>
            <w:r>
              <w:rPr>
                <w:rFonts w:hint="eastAsia" w:ascii="宋体" w:hAnsi="宋体" w:cs="宋体"/>
                <w:color w:val="000000"/>
                <w:sz w:val="24"/>
              </w:rPr>
              <w:t>4</w:t>
            </w:r>
            <w:r>
              <w:rPr>
                <w:rFonts w:hint="eastAsia" w:ascii="宋体" w:hAnsi="宋体" w:cs="宋体"/>
                <w:sz w:val="24"/>
              </w:rPr>
              <w:t>778.18</w:t>
            </w:r>
          </w:p>
        </w:tc>
        <w:tc>
          <w:tcPr>
            <w:tcW w:w="1692" w:type="dxa"/>
            <w:tcBorders>
              <w:top w:val="nil"/>
              <w:left w:val="nil"/>
              <w:bottom w:val="single" w:color="000000" w:sz="8" w:space="0"/>
              <w:right w:val="single" w:color="000000" w:sz="8" w:space="0"/>
            </w:tcBorders>
            <w:vAlign w:val="center"/>
          </w:tcPr>
          <w:p w14:paraId="0C5F0617">
            <w:pPr>
              <w:jc w:val="center"/>
              <w:textAlignment w:val="center"/>
              <w:rPr>
                <w:rFonts w:hint="eastAsia" w:ascii="宋体" w:hAnsi="宋体" w:cs="宋体"/>
                <w:color w:val="000000"/>
                <w:sz w:val="24"/>
              </w:rPr>
            </w:pPr>
            <w:r>
              <w:rPr>
                <w:rFonts w:hint="eastAsia" w:ascii="宋体" w:hAnsi="宋体" w:cs="宋体"/>
                <w:color w:val="000000"/>
                <w:sz w:val="24"/>
              </w:rPr>
              <w:t>4</w:t>
            </w:r>
            <w:r>
              <w:rPr>
                <w:rFonts w:hint="eastAsia" w:ascii="宋体" w:hAnsi="宋体" w:cs="宋体"/>
                <w:sz w:val="24"/>
              </w:rPr>
              <w:t>778.18</w:t>
            </w:r>
          </w:p>
        </w:tc>
        <w:tc>
          <w:tcPr>
            <w:tcW w:w="1692" w:type="dxa"/>
            <w:tcBorders>
              <w:top w:val="nil"/>
              <w:left w:val="nil"/>
              <w:bottom w:val="single" w:color="000000" w:sz="8" w:space="0"/>
              <w:right w:val="single" w:color="000000" w:sz="8" w:space="0"/>
            </w:tcBorders>
            <w:vAlign w:val="center"/>
          </w:tcPr>
          <w:p w14:paraId="60F7D9C6">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w:t>
            </w:r>
            <w:r>
              <w:rPr>
                <w:rFonts w:hint="eastAsia" w:ascii="宋体" w:hAnsi="宋体" w:cs="宋体"/>
                <w:sz w:val="20"/>
                <w:szCs w:val="20"/>
              </w:rPr>
              <w:t>00</w:t>
            </w:r>
            <w:r>
              <w:rPr>
                <w:rFonts w:hint="eastAsia" w:ascii="宋体" w:hAnsi="宋体" w:cs="宋体"/>
                <w:color w:val="000000"/>
                <w:sz w:val="20"/>
                <w:szCs w:val="20"/>
                <w:lang w:bidi="ar"/>
              </w:rPr>
              <w:t>%</w:t>
            </w:r>
          </w:p>
        </w:tc>
      </w:tr>
      <w:tr w14:paraId="1D7A8E7B">
        <w:tblPrEx>
          <w:tblCellMar>
            <w:top w:w="0" w:type="dxa"/>
            <w:left w:w="108" w:type="dxa"/>
            <w:bottom w:w="0" w:type="dxa"/>
            <w:right w:w="108" w:type="dxa"/>
          </w:tblCellMar>
        </w:tblPrEx>
        <w:trPr>
          <w:trHeight w:val="495" w:hRule="atLeast"/>
          <w:jc w:val="center"/>
        </w:trPr>
        <w:tc>
          <w:tcPr>
            <w:tcW w:w="1693" w:type="dxa"/>
            <w:tcBorders>
              <w:top w:val="nil"/>
              <w:left w:val="single" w:color="000000" w:sz="8" w:space="0"/>
              <w:bottom w:val="single" w:color="000000" w:sz="8" w:space="0"/>
              <w:right w:val="single" w:color="000000" w:sz="8" w:space="0"/>
            </w:tcBorders>
            <w:vAlign w:val="center"/>
          </w:tcPr>
          <w:p w14:paraId="6506EC7E">
            <w:pPr>
              <w:textAlignment w:val="center"/>
              <w:rPr>
                <w:rFonts w:hint="eastAsia" w:ascii="宋体" w:hAnsi="宋体" w:cs="宋体"/>
                <w:color w:val="000000"/>
                <w:sz w:val="20"/>
                <w:szCs w:val="20"/>
              </w:rPr>
            </w:pPr>
            <w:r>
              <w:rPr>
                <w:rFonts w:hint="eastAsia" w:ascii="宋体" w:hAnsi="宋体" w:cs="宋体"/>
                <w:color w:val="000000"/>
                <w:sz w:val="20"/>
                <w:szCs w:val="20"/>
                <w:lang w:bidi="ar"/>
              </w:rPr>
              <w:t>二、事业收入</w:t>
            </w:r>
          </w:p>
        </w:tc>
        <w:tc>
          <w:tcPr>
            <w:tcW w:w="1692" w:type="dxa"/>
            <w:tcBorders>
              <w:top w:val="nil"/>
              <w:left w:val="nil"/>
              <w:bottom w:val="single" w:color="000000" w:sz="8" w:space="0"/>
              <w:right w:val="single" w:color="000000" w:sz="8" w:space="0"/>
            </w:tcBorders>
            <w:vAlign w:val="center"/>
          </w:tcPr>
          <w:p w14:paraId="5DEDA024">
            <w:pPr>
              <w:jc w:val="center"/>
              <w:textAlignment w:val="center"/>
              <w:rPr>
                <w:rFonts w:hint="eastAsia" w:ascii="宋体" w:hAnsi="宋体" w:cs="宋体"/>
                <w:color w:val="000000"/>
                <w:sz w:val="24"/>
              </w:rPr>
            </w:pPr>
            <w:r>
              <w:rPr>
                <w:rFonts w:hint="eastAsia" w:ascii="宋体" w:hAnsi="宋体" w:cs="宋体"/>
                <w:color w:val="000000"/>
                <w:sz w:val="24"/>
              </w:rPr>
              <w:t>145.68</w:t>
            </w:r>
          </w:p>
        </w:tc>
        <w:tc>
          <w:tcPr>
            <w:tcW w:w="1692" w:type="dxa"/>
            <w:tcBorders>
              <w:top w:val="nil"/>
              <w:left w:val="nil"/>
              <w:bottom w:val="single" w:color="000000" w:sz="8" w:space="0"/>
              <w:right w:val="single" w:color="000000" w:sz="8" w:space="0"/>
            </w:tcBorders>
            <w:vAlign w:val="center"/>
          </w:tcPr>
          <w:p w14:paraId="72DB60AF">
            <w:pPr>
              <w:jc w:val="center"/>
              <w:textAlignment w:val="center"/>
              <w:rPr>
                <w:rFonts w:hint="eastAsia" w:ascii="宋体" w:hAnsi="宋体" w:cs="宋体"/>
                <w:color w:val="000000"/>
                <w:sz w:val="24"/>
              </w:rPr>
            </w:pPr>
            <w:r>
              <w:rPr>
                <w:rFonts w:hint="eastAsia" w:ascii="宋体" w:hAnsi="宋体" w:cs="宋体"/>
                <w:color w:val="000000"/>
                <w:sz w:val="24"/>
              </w:rPr>
              <w:t>145.68</w:t>
            </w:r>
          </w:p>
        </w:tc>
        <w:tc>
          <w:tcPr>
            <w:tcW w:w="1692" w:type="dxa"/>
            <w:tcBorders>
              <w:top w:val="nil"/>
              <w:left w:val="nil"/>
              <w:bottom w:val="single" w:color="000000" w:sz="8" w:space="0"/>
              <w:right w:val="single" w:color="000000" w:sz="8" w:space="0"/>
            </w:tcBorders>
            <w:vAlign w:val="center"/>
          </w:tcPr>
          <w:p w14:paraId="28F4BB0B">
            <w:pPr>
              <w:jc w:val="center"/>
              <w:rPr>
                <w:rFonts w:hint="eastAsia" w:ascii="宋体" w:hAnsi="宋体" w:cs="宋体"/>
                <w:color w:val="000000"/>
                <w:sz w:val="20"/>
                <w:szCs w:val="20"/>
              </w:rPr>
            </w:pPr>
            <w:r>
              <w:rPr>
                <w:rFonts w:hint="eastAsia" w:ascii="宋体" w:hAnsi="宋体" w:cs="宋体"/>
                <w:color w:val="000000"/>
                <w:sz w:val="20"/>
                <w:szCs w:val="20"/>
                <w:lang w:bidi="ar"/>
              </w:rPr>
              <w:t>1</w:t>
            </w:r>
            <w:r>
              <w:rPr>
                <w:rFonts w:hint="eastAsia" w:ascii="宋体" w:hAnsi="宋体" w:cs="宋体"/>
                <w:sz w:val="20"/>
                <w:szCs w:val="20"/>
              </w:rPr>
              <w:t>00</w:t>
            </w:r>
            <w:r>
              <w:rPr>
                <w:rFonts w:hint="eastAsia" w:ascii="宋体" w:hAnsi="宋体" w:cs="宋体"/>
                <w:color w:val="000000"/>
                <w:sz w:val="20"/>
                <w:szCs w:val="20"/>
                <w:lang w:bidi="ar"/>
              </w:rPr>
              <w:t>%</w:t>
            </w:r>
          </w:p>
        </w:tc>
      </w:tr>
      <w:tr w14:paraId="73D5D015">
        <w:tblPrEx>
          <w:tblCellMar>
            <w:top w:w="0" w:type="dxa"/>
            <w:left w:w="108" w:type="dxa"/>
            <w:bottom w:w="0" w:type="dxa"/>
            <w:right w:w="108" w:type="dxa"/>
          </w:tblCellMar>
        </w:tblPrEx>
        <w:trPr>
          <w:trHeight w:val="495" w:hRule="atLeast"/>
          <w:jc w:val="center"/>
        </w:trPr>
        <w:tc>
          <w:tcPr>
            <w:tcW w:w="1693" w:type="dxa"/>
            <w:tcBorders>
              <w:top w:val="nil"/>
              <w:left w:val="single" w:color="000000" w:sz="8" w:space="0"/>
              <w:bottom w:val="single" w:color="000000" w:sz="8" w:space="0"/>
              <w:right w:val="single" w:color="000000" w:sz="8" w:space="0"/>
            </w:tcBorders>
            <w:vAlign w:val="center"/>
          </w:tcPr>
          <w:p w14:paraId="25C3802C">
            <w:pPr>
              <w:textAlignment w:val="center"/>
              <w:rPr>
                <w:rFonts w:hint="eastAsia" w:ascii="宋体" w:hAnsi="宋体" w:cs="宋体"/>
                <w:color w:val="000000"/>
                <w:sz w:val="20"/>
                <w:szCs w:val="20"/>
              </w:rPr>
            </w:pPr>
            <w:r>
              <w:rPr>
                <w:rFonts w:hint="eastAsia" w:ascii="宋体" w:hAnsi="宋体" w:cs="宋体"/>
                <w:color w:val="000000"/>
                <w:sz w:val="20"/>
                <w:szCs w:val="20"/>
                <w:lang w:bidi="ar"/>
              </w:rPr>
              <w:t>三、其他收入</w:t>
            </w:r>
          </w:p>
        </w:tc>
        <w:tc>
          <w:tcPr>
            <w:tcW w:w="1692" w:type="dxa"/>
            <w:tcBorders>
              <w:top w:val="nil"/>
              <w:left w:val="nil"/>
              <w:bottom w:val="single" w:color="000000" w:sz="8" w:space="0"/>
              <w:right w:val="single" w:color="000000" w:sz="8" w:space="0"/>
            </w:tcBorders>
            <w:vAlign w:val="center"/>
          </w:tcPr>
          <w:p w14:paraId="79948E5D">
            <w:pPr>
              <w:jc w:val="center"/>
              <w:textAlignment w:val="center"/>
              <w:rPr>
                <w:rFonts w:hint="eastAsia" w:ascii="宋体" w:hAnsi="宋体" w:cs="宋体"/>
                <w:color w:val="000000"/>
                <w:sz w:val="24"/>
              </w:rPr>
            </w:pPr>
            <w:r>
              <w:rPr>
                <w:rFonts w:hint="eastAsia" w:ascii="宋体" w:hAnsi="宋体" w:cs="宋体"/>
                <w:color w:val="000000"/>
                <w:sz w:val="24"/>
              </w:rPr>
              <w:t>962.05</w:t>
            </w:r>
          </w:p>
        </w:tc>
        <w:tc>
          <w:tcPr>
            <w:tcW w:w="1692" w:type="dxa"/>
            <w:tcBorders>
              <w:top w:val="nil"/>
              <w:left w:val="nil"/>
              <w:bottom w:val="single" w:color="000000" w:sz="8" w:space="0"/>
              <w:right w:val="single" w:color="000000" w:sz="8" w:space="0"/>
            </w:tcBorders>
            <w:vAlign w:val="center"/>
          </w:tcPr>
          <w:p w14:paraId="0319A51D">
            <w:pPr>
              <w:jc w:val="center"/>
              <w:textAlignment w:val="center"/>
              <w:rPr>
                <w:rFonts w:hint="eastAsia" w:ascii="宋体" w:hAnsi="宋体" w:cs="宋体"/>
                <w:color w:val="000000"/>
                <w:sz w:val="24"/>
              </w:rPr>
            </w:pPr>
            <w:r>
              <w:rPr>
                <w:rFonts w:hint="eastAsia" w:ascii="宋体" w:hAnsi="宋体" w:cs="宋体"/>
                <w:color w:val="000000"/>
                <w:sz w:val="24"/>
              </w:rPr>
              <w:t>962.05</w:t>
            </w:r>
          </w:p>
        </w:tc>
        <w:tc>
          <w:tcPr>
            <w:tcW w:w="1692" w:type="dxa"/>
            <w:tcBorders>
              <w:top w:val="nil"/>
              <w:left w:val="nil"/>
              <w:bottom w:val="single" w:color="000000" w:sz="8" w:space="0"/>
              <w:right w:val="single" w:color="000000" w:sz="8" w:space="0"/>
            </w:tcBorders>
            <w:vAlign w:val="center"/>
          </w:tcPr>
          <w:p w14:paraId="3A3E77AF">
            <w:pPr>
              <w:jc w:val="center"/>
              <w:rPr>
                <w:rFonts w:hint="eastAsia" w:ascii="宋体" w:hAnsi="宋体" w:cs="宋体"/>
                <w:color w:val="000000"/>
                <w:sz w:val="20"/>
                <w:szCs w:val="20"/>
              </w:rPr>
            </w:pPr>
            <w:r>
              <w:rPr>
                <w:rFonts w:hint="eastAsia" w:ascii="宋体" w:hAnsi="宋体" w:cs="宋体"/>
                <w:color w:val="000000"/>
                <w:sz w:val="20"/>
                <w:szCs w:val="20"/>
                <w:lang w:bidi="ar"/>
              </w:rPr>
              <w:t>1</w:t>
            </w:r>
            <w:r>
              <w:rPr>
                <w:rFonts w:hint="eastAsia" w:ascii="宋体" w:hAnsi="宋体" w:cs="宋体"/>
                <w:sz w:val="20"/>
                <w:szCs w:val="20"/>
              </w:rPr>
              <w:t>00</w:t>
            </w:r>
            <w:r>
              <w:rPr>
                <w:rFonts w:hint="eastAsia" w:ascii="宋体" w:hAnsi="宋体" w:cs="宋体"/>
                <w:color w:val="000000"/>
                <w:sz w:val="20"/>
                <w:szCs w:val="20"/>
                <w:lang w:bidi="ar"/>
              </w:rPr>
              <w:t>%</w:t>
            </w:r>
          </w:p>
        </w:tc>
      </w:tr>
      <w:tr w14:paraId="1FC98453">
        <w:tblPrEx>
          <w:tblCellMar>
            <w:top w:w="0" w:type="dxa"/>
            <w:left w:w="108" w:type="dxa"/>
            <w:bottom w:w="0" w:type="dxa"/>
            <w:right w:w="108" w:type="dxa"/>
          </w:tblCellMar>
        </w:tblPrEx>
        <w:trPr>
          <w:trHeight w:val="327" w:hRule="atLeast"/>
          <w:jc w:val="center"/>
        </w:trPr>
        <w:tc>
          <w:tcPr>
            <w:tcW w:w="1693" w:type="dxa"/>
            <w:tcBorders>
              <w:top w:val="nil"/>
              <w:left w:val="single" w:color="000000" w:sz="8" w:space="0"/>
              <w:bottom w:val="single" w:color="000000" w:sz="8" w:space="0"/>
              <w:right w:val="single" w:color="000000" w:sz="8" w:space="0"/>
            </w:tcBorders>
            <w:vAlign w:val="center"/>
          </w:tcPr>
          <w:p w14:paraId="3B240C1A">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收入合计</w:t>
            </w:r>
          </w:p>
        </w:tc>
        <w:tc>
          <w:tcPr>
            <w:tcW w:w="1692" w:type="dxa"/>
            <w:tcBorders>
              <w:top w:val="nil"/>
              <w:left w:val="nil"/>
              <w:bottom w:val="single" w:color="000000" w:sz="8" w:space="0"/>
              <w:right w:val="single" w:color="000000" w:sz="8" w:space="0"/>
            </w:tcBorders>
            <w:vAlign w:val="center"/>
          </w:tcPr>
          <w:p w14:paraId="274380AC">
            <w:pPr>
              <w:jc w:val="center"/>
              <w:textAlignment w:val="center"/>
              <w:rPr>
                <w:rFonts w:hint="eastAsia" w:ascii="宋体" w:hAnsi="宋体" w:cs="宋体"/>
                <w:color w:val="000000"/>
                <w:sz w:val="24"/>
              </w:rPr>
            </w:pPr>
            <w:r>
              <w:rPr>
                <w:rFonts w:hint="eastAsia" w:ascii="宋体" w:hAnsi="宋体" w:cs="宋体"/>
                <w:color w:val="000000"/>
                <w:sz w:val="24"/>
              </w:rPr>
              <w:t>5880.91</w:t>
            </w:r>
          </w:p>
        </w:tc>
        <w:tc>
          <w:tcPr>
            <w:tcW w:w="1692" w:type="dxa"/>
            <w:tcBorders>
              <w:top w:val="nil"/>
              <w:left w:val="nil"/>
              <w:bottom w:val="single" w:color="000000" w:sz="8" w:space="0"/>
              <w:right w:val="single" w:color="000000" w:sz="8" w:space="0"/>
            </w:tcBorders>
            <w:vAlign w:val="center"/>
          </w:tcPr>
          <w:p w14:paraId="5962EE54">
            <w:pPr>
              <w:jc w:val="center"/>
              <w:textAlignment w:val="center"/>
              <w:rPr>
                <w:rFonts w:hint="eastAsia" w:ascii="宋体" w:hAnsi="宋体" w:cs="宋体"/>
                <w:color w:val="000000"/>
                <w:sz w:val="24"/>
              </w:rPr>
            </w:pPr>
            <w:r>
              <w:rPr>
                <w:rFonts w:hint="eastAsia" w:ascii="宋体" w:hAnsi="宋体" w:cs="宋体"/>
                <w:color w:val="000000"/>
                <w:sz w:val="24"/>
              </w:rPr>
              <w:t>5880.91</w:t>
            </w:r>
          </w:p>
        </w:tc>
        <w:tc>
          <w:tcPr>
            <w:tcW w:w="1692" w:type="dxa"/>
            <w:tcBorders>
              <w:top w:val="nil"/>
              <w:left w:val="nil"/>
              <w:bottom w:val="single" w:color="000000" w:sz="8" w:space="0"/>
              <w:right w:val="single" w:color="000000" w:sz="8" w:space="0"/>
            </w:tcBorders>
            <w:vAlign w:val="center"/>
          </w:tcPr>
          <w:p w14:paraId="63513B6A">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w:t>
            </w:r>
            <w:r>
              <w:rPr>
                <w:rFonts w:hint="eastAsia" w:ascii="宋体" w:hAnsi="宋体" w:cs="宋体"/>
                <w:sz w:val="20"/>
                <w:szCs w:val="20"/>
              </w:rPr>
              <w:t>00</w:t>
            </w:r>
            <w:r>
              <w:rPr>
                <w:rFonts w:hint="eastAsia" w:ascii="宋体" w:hAnsi="宋体" w:cs="宋体"/>
                <w:color w:val="000000"/>
                <w:sz w:val="20"/>
                <w:szCs w:val="20"/>
                <w:lang w:bidi="ar"/>
              </w:rPr>
              <w:t>%</w:t>
            </w:r>
          </w:p>
        </w:tc>
      </w:tr>
    </w:tbl>
    <w:p w14:paraId="4703C2B3">
      <w:pPr>
        <w:spacing w:line="578" w:lineRule="exact"/>
        <w:ind w:firstLine="640" w:firstLineChars="200"/>
        <w:contextualSpacing/>
        <w:rPr>
          <w:rFonts w:hint="eastAsia" w:ascii="宋体" w:hAnsi="宋体" w:eastAsia="仿宋_GB2312"/>
          <w:sz w:val="32"/>
          <w:szCs w:val="32"/>
        </w:rPr>
      </w:pPr>
      <w:r>
        <w:rPr>
          <w:rFonts w:ascii="宋体" w:hAnsi="宋体" w:eastAsia="楷体_GB2312"/>
          <w:color w:val="000000"/>
          <w:sz w:val="32"/>
          <w:szCs w:val="32"/>
          <w:shd w:val="clear" w:color="auto" w:fill="FFFFFF"/>
          <w:lang w:val="zh-CN"/>
        </w:rPr>
        <w:t>（二）支出情况。</w:t>
      </w:r>
    </w:p>
    <w:p w14:paraId="5FF6B447">
      <w:pPr>
        <w:spacing w:line="578" w:lineRule="exact"/>
        <w:ind w:firstLine="640" w:firstLineChars="200"/>
        <w:contextualSpacing/>
        <w:rPr>
          <w:rFonts w:hint="eastAsia" w:ascii="宋体" w:hAnsi="宋体" w:eastAsia="仿宋_GB2312"/>
          <w:sz w:val="32"/>
          <w:szCs w:val="32"/>
        </w:rPr>
      </w:pPr>
      <w:r>
        <w:rPr>
          <w:rFonts w:hint="eastAsia" w:ascii="宋体" w:hAnsi="宋体" w:eastAsia="仿宋_GB2312"/>
          <w:sz w:val="32"/>
          <w:szCs w:val="32"/>
        </w:rPr>
        <w:t>2024年本单位预算支出5880.91万元，实际决算支出5880.91万元，预算支出完成率100%。</w:t>
      </w:r>
    </w:p>
    <w:tbl>
      <w:tblPr>
        <w:tblStyle w:val="17"/>
        <w:tblW w:w="6769" w:type="dxa"/>
        <w:jc w:val="center"/>
        <w:tblLayout w:type="fixed"/>
        <w:tblCellMar>
          <w:top w:w="0" w:type="dxa"/>
          <w:left w:w="108" w:type="dxa"/>
          <w:bottom w:w="0" w:type="dxa"/>
          <w:right w:w="108" w:type="dxa"/>
        </w:tblCellMar>
      </w:tblPr>
      <w:tblGrid>
        <w:gridCol w:w="1693"/>
        <w:gridCol w:w="1692"/>
        <w:gridCol w:w="1692"/>
        <w:gridCol w:w="1692"/>
      </w:tblGrid>
      <w:tr w14:paraId="3D94594E">
        <w:tblPrEx>
          <w:tblCellMar>
            <w:top w:w="0" w:type="dxa"/>
            <w:left w:w="108" w:type="dxa"/>
            <w:bottom w:w="0" w:type="dxa"/>
            <w:right w:w="108" w:type="dxa"/>
          </w:tblCellMar>
        </w:tblPrEx>
        <w:trPr>
          <w:trHeight w:val="579" w:hRule="atLeast"/>
          <w:jc w:val="center"/>
        </w:trPr>
        <w:tc>
          <w:tcPr>
            <w:tcW w:w="6769" w:type="dxa"/>
            <w:gridSpan w:val="4"/>
            <w:tcBorders>
              <w:top w:val="nil"/>
              <w:left w:val="nil"/>
              <w:bottom w:val="single" w:color="000000" w:sz="8" w:space="0"/>
              <w:right w:val="nil"/>
            </w:tcBorders>
            <w:vAlign w:val="center"/>
          </w:tcPr>
          <w:p w14:paraId="2D0030D5">
            <w:pPr>
              <w:jc w:val="right"/>
              <w:textAlignment w:val="center"/>
              <w:rPr>
                <w:rFonts w:hint="eastAsia" w:ascii="宋体" w:hAnsi="宋体" w:cs="宋体"/>
                <w:b/>
                <w:bCs/>
                <w:color w:val="000000"/>
                <w:sz w:val="28"/>
                <w:szCs w:val="28"/>
              </w:rPr>
            </w:pPr>
            <w:r>
              <w:rPr>
                <w:rFonts w:hint="eastAsia" w:ascii="宋体" w:hAnsi="宋体" w:cs="宋体"/>
                <w:b/>
                <w:bCs/>
                <w:color w:val="000000"/>
                <w:sz w:val="28"/>
                <w:szCs w:val="28"/>
                <w:lang w:bidi="ar"/>
              </w:rPr>
              <w:t>支出预算执行情况表</w:t>
            </w:r>
            <w:r>
              <w:rPr>
                <w:rFonts w:hint="eastAsia" w:ascii="宋体" w:hAnsi="宋体" w:cs="宋体"/>
                <w:color w:val="000000"/>
                <w:sz w:val="18"/>
                <w:szCs w:val="18"/>
                <w:lang w:bidi="ar"/>
              </w:rPr>
              <w:t>单位：万元</w:t>
            </w:r>
          </w:p>
        </w:tc>
      </w:tr>
      <w:tr w14:paraId="167269AF">
        <w:tblPrEx>
          <w:tblCellMar>
            <w:top w:w="0" w:type="dxa"/>
            <w:left w:w="108" w:type="dxa"/>
            <w:bottom w:w="0" w:type="dxa"/>
            <w:right w:w="108" w:type="dxa"/>
          </w:tblCellMar>
        </w:tblPrEx>
        <w:trPr>
          <w:trHeight w:val="480" w:hRule="atLeast"/>
          <w:jc w:val="center"/>
        </w:trPr>
        <w:tc>
          <w:tcPr>
            <w:tcW w:w="1693" w:type="dxa"/>
            <w:tcBorders>
              <w:top w:val="nil"/>
              <w:left w:val="single" w:color="000000" w:sz="8" w:space="0"/>
              <w:bottom w:val="single" w:color="000000" w:sz="8" w:space="0"/>
              <w:right w:val="single" w:color="000000" w:sz="8" w:space="0"/>
            </w:tcBorders>
            <w:vAlign w:val="center"/>
          </w:tcPr>
          <w:p w14:paraId="539C5536">
            <w:pPr>
              <w:textAlignment w:val="center"/>
              <w:rPr>
                <w:rFonts w:hint="eastAsia" w:ascii="宋体" w:hAnsi="宋体" w:cs="宋体"/>
                <w:color w:val="000000"/>
                <w:sz w:val="20"/>
                <w:szCs w:val="20"/>
              </w:rPr>
            </w:pPr>
            <w:r>
              <w:rPr>
                <w:rFonts w:hint="eastAsia" w:ascii="宋体" w:hAnsi="宋体" w:cs="宋体"/>
                <w:color w:val="000000"/>
                <w:sz w:val="20"/>
                <w:szCs w:val="20"/>
                <w:lang w:bidi="ar"/>
              </w:rPr>
              <w:t>项目(按支出性质和经济分类)</w:t>
            </w:r>
          </w:p>
        </w:tc>
        <w:tc>
          <w:tcPr>
            <w:tcW w:w="1692" w:type="dxa"/>
            <w:tcBorders>
              <w:top w:val="nil"/>
              <w:left w:val="nil"/>
              <w:bottom w:val="single" w:color="000000" w:sz="8" w:space="0"/>
              <w:right w:val="single" w:color="000000" w:sz="8" w:space="0"/>
            </w:tcBorders>
            <w:vAlign w:val="center"/>
          </w:tcPr>
          <w:p w14:paraId="2BEAD162">
            <w:pPr>
              <w:jc w:val="center"/>
              <w:textAlignment w:val="center"/>
              <w:rPr>
                <w:rFonts w:hint="eastAsia" w:ascii="宋体" w:hAnsi="宋体" w:cs="宋体"/>
                <w:color w:val="000000"/>
                <w:sz w:val="24"/>
              </w:rPr>
            </w:pPr>
            <w:r>
              <w:rPr>
                <w:rFonts w:hint="eastAsia" w:ascii="宋体" w:hAnsi="宋体" w:cs="宋体"/>
                <w:color w:val="000000"/>
                <w:sz w:val="20"/>
                <w:szCs w:val="20"/>
                <w:lang w:bidi="ar"/>
              </w:rPr>
              <w:t>2024年预算数</w:t>
            </w:r>
          </w:p>
        </w:tc>
        <w:tc>
          <w:tcPr>
            <w:tcW w:w="1692" w:type="dxa"/>
            <w:tcBorders>
              <w:top w:val="nil"/>
              <w:left w:val="nil"/>
              <w:bottom w:val="single" w:color="000000" w:sz="8" w:space="0"/>
              <w:right w:val="single" w:color="000000" w:sz="8" w:space="0"/>
            </w:tcBorders>
            <w:vAlign w:val="center"/>
          </w:tcPr>
          <w:p w14:paraId="48B97719">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决算数</w:t>
            </w:r>
          </w:p>
        </w:tc>
        <w:tc>
          <w:tcPr>
            <w:tcW w:w="1692" w:type="dxa"/>
            <w:tcBorders>
              <w:top w:val="nil"/>
              <w:left w:val="nil"/>
              <w:bottom w:val="single" w:color="000000" w:sz="8" w:space="0"/>
              <w:right w:val="single" w:color="000000" w:sz="8" w:space="0"/>
            </w:tcBorders>
            <w:vAlign w:val="center"/>
          </w:tcPr>
          <w:p w14:paraId="0D0EA860">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预算支出完成%</w:t>
            </w:r>
          </w:p>
        </w:tc>
      </w:tr>
      <w:tr w14:paraId="3E433988">
        <w:tblPrEx>
          <w:tblCellMar>
            <w:top w:w="0" w:type="dxa"/>
            <w:left w:w="108" w:type="dxa"/>
            <w:bottom w:w="0" w:type="dxa"/>
            <w:right w:w="108" w:type="dxa"/>
          </w:tblCellMar>
        </w:tblPrEx>
        <w:trPr>
          <w:trHeight w:val="327" w:hRule="atLeast"/>
          <w:jc w:val="center"/>
        </w:trPr>
        <w:tc>
          <w:tcPr>
            <w:tcW w:w="1693" w:type="dxa"/>
            <w:tcBorders>
              <w:top w:val="nil"/>
              <w:left w:val="single" w:color="000000" w:sz="8" w:space="0"/>
              <w:bottom w:val="single" w:color="000000" w:sz="8" w:space="0"/>
              <w:right w:val="single" w:color="000000" w:sz="8" w:space="0"/>
            </w:tcBorders>
            <w:vAlign w:val="center"/>
          </w:tcPr>
          <w:p w14:paraId="5296FC57">
            <w:pPr>
              <w:textAlignment w:val="center"/>
              <w:rPr>
                <w:rFonts w:hint="eastAsia" w:ascii="宋体" w:hAnsi="宋体" w:cs="宋体"/>
                <w:color w:val="000000"/>
                <w:sz w:val="20"/>
                <w:szCs w:val="20"/>
              </w:rPr>
            </w:pPr>
            <w:r>
              <w:rPr>
                <w:rFonts w:hint="eastAsia" w:ascii="宋体" w:hAnsi="宋体" w:cs="宋体"/>
                <w:color w:val="000000"/>
                <w:sz w:val="20"/>
                <w:szCs w:val="20"/>
                <w:lang w:bidi="ar"/>
              </w:rPr>
              <w:t>一、基本支出</w:t>
            </w:r>
          </w:p>
        </w:tc>
        <w:tc>
          <w:tcPr>
            <w:tcW w:w="1692" w:type="dxa"/>
            <w:tcBorders>
              <w:top w:val="nil"/>
              <w:left w:val="nil"/>
              <w:bottom w:val="single" w:color="000000" w:sz="8" w:space="0"/>
              <w:right w:val="single" w:color="000000" w:sz="8" w:space="0"/>
            </w:tcBorders>
            <w:vAlign w:val="center"/>
          </w:tcPr>
          <w:p w14:paraId="565C6800">
            <w:pPr>
              <w:jc w:val="center"/>
              <w:textAlignment w:val="center"/>
              <w:rPr>
                <w:rFonts w:hint="eastAsia" w:ascii="宋体" w:hAnsi="宋体" w:cs="宋体"/>
                <w:color w:val="000000"/>
                <w:sz w:val="20"/>
                <w:szCs w:val="20"/>
              </w:rPr>
            </w:pPr>
            <w:r>
              <w:rPr>
                <w:rFonts w:hint="eastAsia" w:ascii="宋体" w:hAnsi="宋体" w:cs="宋体"/>
                <w:color w:val="000000"/>
                <w:sz w:val="24"/>
              </w:rPr>
              <w:t>4105.72</w:t>
            </w:r>
          </w:p>
        </w:tc>
        <w:tc>
          <w:tcPr>
            <w:tcW w:w="1692" w:type="dxa"/>
            <w:tcBorders>
              <w:top w:val="nil"/>
              <w:left w:val="nil"/>
              <w:bottom w:val="single" w:color="000000" w:sz="8" w:space="0"/>
              <w:right w:val="single" w:color="000000" w:sz="8" w:space="0"/>
            </w:tcBorders>
            <w:vAlign w:val="center"/>
          </w:tcPr>
          <w:p w14:paraId="15481480">
            <w:pPr>
              <w:jc w:val="center"/>
              <w:textAlignment w:val="center"/>
              <w:rPr>
                <w:rFonts w:hint="eastAsia" w:ascii="宋体" w:hAnsi="宋体" w:cs="宋体"/>
                <w:color w:val="000000"/>
                <w:sz w:val="20"/>
                <w:szCs w:val="20"/>
              </w:rPr>
            </w:pPr>
            <w:r>
              <w:rPr>
                <w:rFonts w:hint="eastAsia" w:ascii="宋体" w:hAnsi="宋体" w:cs="宋体"/>
                <w:color w:val="000000"/>
                <w:sz w:val="24"/>
              </w:rPr>
              <w:t>4105.72</w:t>
            </w:r>
          </w:p>
        </w:tc>
        <w:tc>
          <w:tcPr>
            <w:tcW w:w="1692" w:type="dxa"/>
            <w:tcBorders>
              <w:top w:val="nil"/>
              <w:left w:val="nil"/>
              <w:bottom w:val="single" w:color="000000" w:sz="8" w:space="0"/>
              <w:right w:val="single" w:color="000000" w:sz="8" w:space="0"/>
            </w:tcBorders>
            <w:vAlign w:val="center"/>
          </w:tcPr>
          <w:p w14:paraId="376D0A33">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w:t>
            </w:r>
            <w:r>
              <w:rPr>
                <w:rFonts w:hint="eastAsia" w:ascii="宋体" w:hAnsi="宋体" w:cs="宋体"/>
                <w:sz w:val="20"/>
                <w:szCs w:val="20"/>
              </w:rPr>
              <w:t>00</w:t>
            </w:r>
            <w:r>
              <w:rPr>
                <w:rFonts w:hint="eastAsia" w:ascii="宋体" w:hAnsi="宋体" w:cs="宋体"/>
                <w:color w:val="000000"/>
                <w:sz w:val="20"/>
                <w:szCs w:val="20"/>
                <w:lang w:bidi="ar"/>
              </w:rPr>
              <w:t>%</w:t>
            </w:r>
          </w:p>
        </w:tc>
      </w:tr>
      <w:tr w14:paraId="4EB75605">
        <w:tblPrEx>
          <w:tblCellMar>
            <w:top w:w="0" w:type="dxa"/>
            <w:left w:w="108" w:type="dxa"/>
            <w:bottom w:w="0" w:type="dxa"/>
            <w:right w:w="108" w:type="dxa"/>
          </w:tblCellMar>
        </w:tblPrEx>
        <w:trPr>
          <w:trHeight w:val="327" w:hRule="atLeast"/>
          <w:jc w:val="center"/>
        </w:trPr>
        <w:tc>
          <w:tcPr>
            <w:tcW w:w="1693" w:type="dxa"/>
            <w:tcBorders>
              <w:top w:val="nil"/>
              <w:left w:val="single" w:color="000000" w:sz="8" w:space="0"/>
              <w:bottom w:val="single" w:color="000000" w:sz="8" w:space="0"/>
              <w:right w:val="single" w:color="000000" w:sz="8" w:space="0"/>
            </w:tcBorders>
            <w:vAlign w:val="center"/>
          </w:tcPr>
          <w:p w14:paraId="3FE697D5">
            <w:pPr>
              <w:textAlignment w:val="center"/>
              <w:rPr>
                <w:rFonts w:hint="eastAsia" w:ascii="宋体" w:hAnsi="宋体" w:cs="宋体"/>
                <w:color w:val="000000"/>
                <w:sz w:val="20"/>
                <w:szCs w:val="20"/>
              </w:rPr>
            </w:pPr>
            <w:r>
              <w:rPr>
                <w:rFonts w:hint="eastAsia" w:ascii="宋体" w:hAnsi="宋体" w:cs="宋体"/>
                <w:color w:val="000000"/>
                <w:sz w:val="20"/>
                <w:szCs w:val="20"/>
                <w:lang w:bidi="ar"/>
              </w:rPr>
              <w:t>人员经费</w:t>
            </w:r>
          </w:p>
        </w:tc>
        <w:tc>
          <w:tcPr>
            <w:tcW w:w="1692" w:type="dxa"/>
            <w:tcBorders>
              <w:top w:val="nil"/>
              <w:left w:val="nil"/>
              <w:bottom w:val="single" w:color="000000" w:sz="8" w:space="0"/>
              <w:right w:val="single" w:color="000000" w:sz="8" w:space="0"/>
            </w:tcBorders>
            <w:vAlign w:val="center"/>
          </w:tcPr>
          <w:p w14:paraId="5CE8A4C7">
            <w:pPr>
              <w:jc w:val="center"/>
              <w:textAlignment w:val="center"/>
              <w:rPr>
                <w:rFonts w:hint="eastAsia" w:ascii="宋体" w:hAnsi="宋体" w:cs="宋体"/>
                <w:color w:val="000000"/>
                <w:sz w:val="20"/>
                <w:szCs w:val="20"/>
              </w:rPr>
            </w:pPr>
            <w:r>
              <w:rPr>
                <w:rFonts w:hint="eastAsia" w:ascii="宋体" w:hAnsi="宋体" w:cs="宋体"/>
                <w:color w:val="000000"/>
                <w:sz w:val="24"/>
              </w:rPr>
              <w:t>3918.20</w:t>
            </w:r>
          </w:p>
        </w:tc>
        <w:tc>
          <w:tcPr>
            <w:tcW w:w="1692" w:type="dxa"/>
            <w:tcBorders>
              <w:top w:val="nil"/>
              <w:left w:val="nil"/>
              <w:bottom w:val="single" w:color="000000" w:sz="8" w:space="0"/>
              <w:right w:val="single" w:color="000000" w:sz="8" w:space="0"/>
            </w:tcBorders>
            <w:vAlign w:val="center"/>
          </w:tcPr>
          <w:p w14:paraId="70345DDC">
            <w:pPr>
              <w:jc w:val="center"/>
              <w:textAlignment w:val="center"/>
              <w:rPr>
                <w:rFonts w:hint="eastAsia" w:ascii="宋体" w:hAnsi="宋体" w:cs="宋体"/>
                <w:color w:val="000000"/>
                <w:sz w:val="20"/>
                <w:szCs w:val="20"/>
              </w:rPr>
            </w:pPr>
            <w:r>
              <w:rPr>
                <w:rFonts w:hint="eastAsia" w:ascii="宋体" w:hAnsi="宋体" w:cs="宋体"/>
                <w:color w:val="000000"/>
                <w:sz w:val="24"/>
              </w:rPr>
              <w:t>3918.20</w:t>
            </w:r>
          </w:p>
        </w:tc>
        <w:tc>
          <w:tcPr>
            <w:tcW w:w="1692" w:type="dxa"/>
            <w:tcBorders>
              <w:top w:val="nil"/>
              <w:left w:val="nil"/>
              <w:bottom w:val="single" w:color="000000" w:sz="8" w:space="0"/>
              <w:right w:val="single" w:color="000000" w:sz="8" w:space="0"/>
            </w:tcBorders>
            <w:vAlign w:val="center"/>
          </w:tcPr>
          <w:p w14:paraId="07A6C155">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w:t>
            </w:r>
            <w:r>
              <w:rPr>
                <w:rFonts w:hint="eastAsia" w:ascii="宋体" w:hAnsi="宋体" w:cs="宋体"/>
                <w:sz w:val="20"/>
                <w:szCs w:val="20"/>
              </w:rPr>
              <w:t>00</w:t>
            </w:r>
            <w:r>
              <w:rPr>
                <w:rFonts w:hint="eastAsia" w:ascii="宋体" w:hAnsi="宋体" w:cs="宋体"/>
                <w:color w:val="000000"/>
                <w:sz w:val="20"/>
                <w:szCs w:val="20"/>
                <w:lang w:bidi="ar"/>
              </w:rPr>
              <w:t>%</w:t>
            </w:r>
          </w:p>
        </w:tc>
      </w:tr>
      <w:tr w14:paraId="062CE47D">
        <w:tblPrEx>
          <w:tblCellMar>
            <w:top w:w="0" w:type="dxa"/>
            <w:left w:w="108" w:type="dxa"/>
            <w:bottom w:w="0" w:type="dxa"/>
            <w:right w:w="108" w:type="dxa"/>
          </w:tblCellMar>
        </w:tblPrEx>
        <w:trPr>
          <w:trHeight w:val="480" w:hRule="atLeast"/>
          <w:jc w:val="center"/>
        </w:trPr>
        <w:tc>
          <w:tcPr>
            <w:tcW w:w="1693" w:type="dxa"/>
            <w:tcBorders>
              <w:top w:val="nil"/>
              <w:left w:val="single" w:color="000000" w:sz="8" w:space="0"/>
              <w:bottom w:val="single" w:color="000000" w:sz="8" w:space="0"/>
              <w:right w:val="single" w:color="000000" w:sz="8" w:space="0"/>
            </w:tcBorders>
            <w:vAlign w:val="center"/>
          </w:tcPr>
          <w:p w14:paraId="302E63A9">
            <w:pPr>
              <w:textAlignment w:val="center"/>
              <w:rPr>
                <w:rFonts w:hint="eastAsia" w:ascii="宋体" w:hAnsi="宋体" w:cs="宋体"/>
                <w:color w:val="000000"/>
                <w:sz w:val="20"/>
                <w:szCs w:val="20"/>
              </w:rPr>
            </w:pPr>
            <w:r>
              <w:rPr>
                <w:rFonts w:hint="eastAsia" w:ascii="宋体" w:hAnsi="宋体" w:cs="宋体"/>
                <w:color w:val="000000"/>
                <w:sz w:val="20"/>
                <w:szCs w:val="20"/>
                <w:lang w:bidi="ar"/>
              </w:rPr>
              <w:t>日常公用经费</w:t>
            </w:r>
          </w:p>
        </w:tc>
        <w:tc>
          <w:tcPr>
            <w:tcW w:w="1692" w:type="dxa"/>
            <w:tcBorders>
              <w:top w:val="nil"/>
              <w:left w:val="nil"/>
              <w:bottom w:val="single" w:color="000000" w:sz="8" w:space="0"/>
              <w:right w:val="single" w:color="000000" w:sz="8" w:space="0"/>
            </w:tcBorders>
            <w:vAlign w:val="center"/>
          </w:tcPr>
          <w:p w14:paraId="7611AC56">
            <w:pPr>
              <w:jc w:val="center"/>
              <w:textAlignment w:val="center"/>
              <w:rPr>
                <w:rFonts w:hint="eastAsia" w:ascii="宋体" w:hAnsi="宋体" w:cs="宋体"/>
                <w:color w:val="000000"/>
                <w:sz w:val="20"/>
                <w:szCs w:val="20"/>
              </w:rPr>
            </w:pPr>
            <w:r>
              <w:rPr>
                <w:rFonts w:hint="eastAsia" w:ascii="宋体" w:hAnsi="宋体" w:cs="宋体"/>
                <w:color w:val="000000"/>
                <w:sz w:val="24"/>
              </w:rPr>
              <w:t>187.51</w:t>
            </w:r>
          </w:p>
        </w:tc>
        <w:tc>
          <w:tcPr>
            <w:tcW w:w="1692" w:type="dxa"/>
            <w:tcBorders>
              <w:top w:val="nil"/>
              <w:left w:val="nil"/>
              <w:bottom w:val="single" w:color="000000" w:sz="8" w:space="0"/>
              <w:right w:val="single" w:color="000000" w:sz="8" w:space="0"/>
            </w:tcBorders>
            <w:vAlign w:val="center"/>
          </w:tcPr>
          <w:p w14:paraId="78F4B466">
            <w:pPr>
              <w:jc w:val="center"/>
              <w:textAlignment w:val="center"/>
              <w:rPr>
                <w:rFonts w:hint="eastAsia" w:ascii="宋体" w:hAnsi="宋体" w:cs="宋体"/>
                <w:color w:val="000000"/>
                <w:sz w:val="20"/>
                <w:szCs w:val="20"/>
              </w:rPr>
            </w:pPr>
            <w:r>
              <w:rPr>
                <w:rFonts w:hint="eastAsia" w:ascii="宋体" w:hAnsi="宋体" w:cs="宋体"/>
                <w:color w:val="000000"/>
                <w:sz w:val="24"/>
              </w:rPr>
              <w:t>187.51</w:t>
            </w:r>
          </w:p>
        </w:tc>
        <w:tc>
          <w:tcPr>
            <w:tcW w:w="1692" w:type="dxa"/>
            <w:tcBorders>
              <w:top w:val="nil"/>
              <w:left w:val="nil"/>
              <w:bottom w:val="single" w:color="000000" w:sz="8" w:space="0"/>
              <w:right w:val="single" w:color="000000" w:sz="8" w:space="0"/>
            </w:tcBorders>
            <w:vAlign w:val="center"/>
          </w:tcPr>
          <w:p w14:paraId="06673F96">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w:t>
            </w:r>
            <w:r>
              <w:rPr>
                <w:rFonts w:hint="eastAsia" w:ascii="宋体" w:hAnsi="宋体" w:cs="宋体"/>
                <w:sz w:val="20"/>
                <w:szCs w:val="20"/>
              </w:rPr>
              <w:t>00</w:t>
            </w:r>
            <w:r>
              <w:rPr>
                <w:rFonts w:hint="eastAsia" w:ascii="宋体" w:hAnsi="宋体" w:cs="宋体"/>
                <w:color w:val="000000"/>
                <w:sz w:val="20"/>
                <w:szCs w:val="20"/>
                <w:lang w:bidi="ar"/>
              </w:rPr>
              <w:t>%</w:t>
            </w:r>
          </w:p>
        </w:tc>
      </w:tr>
      <w:tr w14:paraId="4A7F2D9F">
        <w:tblPrEx>
          <w:tblCellMar>
            <w:top w:w="0" w:type="dxa"/>
            <w:left w:w="108" w:type="dxa"/>
            <w:bottom w:w="0" w:type="dxa"/>
            <w:right w:w="108" w:type="dxa"/>
          </w:tblCellMar>
        </w:tblPrEx>
        <w:trPr>
          <w:trHeight w:val="342" w:hRule="atLeast"/>
          <w:jc w:val="center"/>
        </w:trPr>
        <w:tc>
          <w:tcPr>
            <w:tcW w:w="1693" w:type="dxa"/>
            <w:tcBorders>
              <w:top w:val="nil"/>
              <w:left w:val="single" w:color="000000" w:sz="8" w:space="0"/>
              <w:bottom w:val="single" w:color="000000" w:sz="8" w:space="0"/>
              <w:right w:val="single" w:color="000000" w:sz="8" w:space="0"/>
            </w:tcBorders>
            <w:vAlign w:val="center"/>
          </w:tcPr>
          <w:p w14:paraId="0F00E47C">
            <w:pPr>
              <w:textAlignment w:val="center"/>
              <w:rPr>
                <w:rFonts w:hint="eastAsia" w:ascii="宋体" w:hAnsi="宋体" w:cs="宋体"/>
                <w:color w:val="000000"/>
                <w:sz w:val="20"/>
                <w:szCs w:val="20"/>
              </w:rPr>
            </w:pPr>
            <w:r>
              <w:rPr>
                <w:rFonts w:hint="eastAsia" w:ascii="宋体" w:hAnsi="宋体" w:cs="宋体"/>
                <w:color w:val="000000"/>
                <w:sz w:val="20"/>
                <w:szCs w:val="20"/>
                <w:lang w:bidi="ar"/>
              </w:rPr>
              <w:t>二、项目支出</w:t>
            </w:r>
          </w:p>
        </w:tc>
        <w:tc>
          <w:tcPr>
            <w:tcW w:w="1692" w:type="dxa"/>
            <w:tcBorders>
              <w:top w:val="nil"/>
              <w:left w:val="nil"/>
              <w:bottom w:val="single" w:color="000000" w:sz="8" w:space="0"/>
              <w:right w:val="single" w:color="000000" w:sz="8" w:space="0"/>
            </w:tcBorders>
            <w:vAlign w:val="center"/>
          </w:tcPr>
          <w:p w14:paraId="62558BCB">
            <w:pPr>
              <w:jc w:val="center"/>
              <w:textAlignment w:val="center"/>
              <w:rPr>
                <w:rFonts w:hint="eastAsia" w:ascii="宋体" w:hAnsi="宋体" w:cs="宋体"/>
                <w:color w:val="000000"/>
                <w:sz w:val="24"/>
              </w:rPr>
            </w:pPr>
            <w:r>
              <w:rPr>
                <w:rFonts w:hint="eastAsia" w:ascii="宋体" w:hAnsi="宋体" w:cs="宋体"/>
                <w:color w:val="000000"/>
                <w:sz w:val="24"/>
              </w:rPr>
              <w:t>1775.19</w:t>
            </w:r>
          </w:p>
        </w:tc>
        <w:tc>
          <w:tcPr>
            <w:tcW w:w="1692" w:type="dxa"/>
            <w:tcBorders>
              <w:top w:val="nil"/>
              <w:left w:val="nil"/>
              <w:bottom w:val="single" w:color="000000" w:sz="8" w:space="0"/>
              <w:right w:val="single" w:color="000000" w:sz="8" w:space="0"/>
            </w:tcBorders>
            <w:vAlign w:val="center"/>
          </w:tcPr>
          <w:p w14:paraId="7D9F495F">
            <w:pPr>
              <w:jc w:val="center"/>
              <w:textAlignment w:val="center"/>
              <w:rPr>
                <w:rFonts w:hint="eastAsia" w:ascii="宋体" w:hAnsi="宋体" w:cs="宋体"/>
                <w:color w:val="000000"/>
                <w:sz w:val="24"/>
              </w:rPr>
            </w:pPr>
            <w:r>
              <w:rPr>
                <w:rFonts w:hint="eastAsia" w:ascii="宋体" w:hAnsi="宋体" w:cs="宋体"/>
                <w:color w:val="000000"/>
                <w:sz w:val="24"/>
              </w:rPr>
              <w:t>1775.19</w:t>
            </w:r>
          </w:p>
        </w:tc>
        <w:tc>
          <w:tcPr>
            <w:tcW w:w="1692" w:type="dxa"/>
            <w:tcBorders>
              <w:top w:val="nil"/>
              <w:left w:val="nil"/>
              <w:bottom w:val="single" w:color="000000" w:sz="8" w:space="0"/>
              <w:right w:val="single" w:color="000000" w:sz="8" w:space="0"/>
            </w:tcBorders>
            <w:vAlign w:val="center"/>
          </w:tcPr>
          <w:p w14:paraId="0BF97E26">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w:t>
            </w:r>
            <w:r>
              <w:rPr>
                <w:rFonts w:hint="eastAsia" w:ascii="宋体" w:hAnsi="宋体" w:cs="宋体"/>
                <w:sz w:val="20"/>
                <w:szCs w:val="20"/>
              </w:rPr>
              <w:t>00</w:t>
            </w:r>
            <w:r>
              <w:rPr>
                <w:rFonts w:hint="eastAsia" w:ascii="宋体" w:hAnsi="宋体" w:cs="宋体"/>
                <w:color w:val="000000"/>
                <w:sz w:val="20"/>
                <w:szCs w:val="20"/>
                <w:lang w:bidi="ar"/>
              </w:rPr>
              <w:t>%</w:t>
            </w:r>
          </w:p>
        </w:tc>
      </w:tr>
      <w:tr w14:paraId="7F592A09">
        <w:tblPrEx>
          <w:tblCellMar>
            <w:top w:w="0" w:type="dxa"/>
            <w:left w:w="108" w:type="dxa"/>
            <w:bottom w:w="0" w:type="dxa"/>
            <w:right w:w="108" w:type="dxa"/>
          </w:tblCellMar>
        </w:tblPrEx>
        <w:trPr>
          <w:trHeight w:val="327" w:hRule="atLeast"/>
          <w:jc w:val="center"/>
        </w:trPr>
        <w:tc>
          <w:tcPr>
            <w:tcW w:w="1693" w:type="dxa"/>
            <w:tcBorders>
              <w:top w:val="nil"/>
              <w:left w:val="single" w:color="000000" w:sz="8" w:space="0"/>
              <w:bottom w:val="single" w:color="000000" w:sz="8" w:space="0"/>
              <w:right w:val="single" w:color="000000" w:sz="8" w:space="0"/>
            </w:tcBorders>
            <w:noWrap/>
            <w:vAlign w:val="center"/>
          </w:tcPr>
          <w:p w14:paraId="356D6922">
            <w:pPr>
              <w:textAlignment w:val="center"/>
              <w:rPr>
                <w:rFonts w:hint="eastAsia" w:ascii="宋体" w:hAnsi="宋体" w:cs="宋体"/>
                <w:color w:val="000000"/>
              </w:rPr>
            </w:pPr>
            <w:r>
              <w:rPr>
                <w:rFonts w:hint="eastAsia" w:ascii="宋体" w:hAnsi="宋体" w:cs="宋体"/>
                <w:color w:val="000000"/>
                <w:lang w:bidi="ar"/>
              </w:rPr>
              <w:t>支出合计</w:t>
            </w:r>
          </w:p>
        </w:tc>
        <w:tc>
          <w:tcPr>
            <w:tcW w:w="1692" w:type="dxa"/>
            <w:tcBorders>
              <w:top w:val="nil"/>
              <w:left w:val="nil"/>
              <w:bottom w:val="single" w:color="000000" w:sz="8" w:space="0"/>
              <w:right w:val="single" w:color="000000" w:sz="8" w:space="0"/>
            </w:tcBorders>
            <w:noWrap/>
            <w:vAlign w:val="center"/>
          </w:tcPr>
          <w:p w14:paraId="6CC878AA">
            <w:pPr>
              <w:jc w:val="center"/>
              <w:textAlignment w:val="center"/>
              <w:rPr>
                <w:rFonts w:hint="eastAsia" w:ascii="宋体" w:hAnsi="宋体" w:cs="宋体"/>
                <w:color w:val="000000"/>
                <w:sz w:val="24"/>
              </w:rPr>
            </w:pPr>
            <w:r>
              <w:rPr>
                <w:rFonts w:hint="eastAsia" w:ascii="宋体" w:hAnsi="宋体" w:cs="宋体"/>
                <w:color w:val="000000"/>
                <w:sz w:val="24"/>
              </w:rPr>
              <w:t>5880.91</w:t>
            </w:r>
          </w:p>
        </w:tc>
        <w:tc>
          <w:tcPr>
            <w:tcW w:w="1692" w:type="dxa"/>
            <w:tcBorders>
              <w:top w:val="nil"/>
              <w:left w:val="nil"/>
              <w:bottom w:val="single" w:color="000000" w:sz="8" w:space="0"/>
              <w:right w:val="single" w:color="000000" w:sz="8" w:space="0"/>
            </w:tcBorders>
            <w:noWrap/>
            <w:vAlign w:val="center"/>
          </w:tcPr>
          <w:p w14:paraId="72055AA3">
            <w:pPr>
              <w:jc w:val="center"/>
              <w:textAlignment w:val="center"/>
              <w:rPr>
                <w:rFonts w:hint="eastAsia" w:ascii="宋体" w:hAnsi="宋体" w:cs="宋体"/>
                <w:color w:val="000000"/>
                <w:sz w:val="24"/>
              </w:rPr>
            </w:pPr>
            <w:r>
              <w:rPr>
                <w:rFonts w:hint="eastAsia" w:ascii="宋体" w:hAnsi="宋体" w:cs="宋体"/>
                <w:color w:val="000000"/>
                <w:sz w:val="24"/>
              </w:rPr>
              <w:t>5880.91</w:t>
            </w:r>
          </w:p>
        </w:tc>
        <w:tc>
          <w:tcPr>
            <w:tcW w:w="1692" w:type="dxa"/>
            <w:tcBorders>
              <w:top w:val="nil"/>
              <w:left w:val="nil"/>
              <w:bottom w:val="single" w:color="000000" w:sz="8" w:space="0"/>
              <w:right w:val="single" w:color="000000" w:sz="8" w:space="0"/>
            </w:tcBorders>
            <w:vAlign w:val="center"/>
          </w:tcPr>
          <w:p w14:paraId="7F9B1C28">
            <w:pPr>
              <w:jc w:val="center"/>
              <w:textAlignment w:val="center"/>
              <w:rPr>
                <w:rFonts w:hint="eastAsia" w:ascii="宋体" w:hAnsi="宋体" w:cs="宋体"/>
                <w:color w:val="000000"/>
                <w:sz w:val="20"/>
                <w:szCs w:val="20"/>
              </w:rPr>
            </w:pPr>
            <w:r>
              <w:rPr>
                <w:rFonts w:hint="eastAsia" w:ascii="宋体" w:hAnsi="宋体" w:cs="宋体"/>
                <w:color w:val="000000"/>
                <w:sz w:val="20"/>
                <w:szCs w:val="20"/>
                <w:lang w:bidi="ar"/>
              </w:rPr>
              <w:t>1</w:t>
            </w:r>
            <w:r>
              <w:rPr>
                <w:rFonts w:hint="eastAsia" w:ascii="宋体" w:hAnsi="宋体" w:cs="宋体"/>
                <w:sz w:val="20"/>
                <w:szCs w:val="20"/>
              </w:rPr>
              <w:t>00</w:t>
            </w:r>
            <w:r>
              <w:rPr>
                <w:rFonts w:hint="eastAsia" w:ascii="宋体" w:hAnsi="宋体" w:cs="宋体"/>
                <w:color w:val="000000"/>
                <w:sz w:val="20"/>
                <w:szCs w:val="20"/>
                <w:lang w:bidi="ar"/>
              </w:rPr>
              <w:t>%</w:t>
            </w:r>
          </w:p>
        </w:tc>
      </w:tr>
    </w:tbl>
    <w:p w14:paraId="7221D0A5">
      <w:pPr>
        <w:spacing w:line="578" w:lineRule="exact"/>
        <w:ind w:firstLine="640" w:firstLineChars="200"/>
        <w:contextualSpacing/>
        <w:rPr>
          <w:rFonts w:hint="eastAsia" w:ascii="宋体" w:hAnsi="宋体" w:eastAsia="楷体_GB2312"/>
          <w:sz w:val="32"/>
          <w:szCs w:val="32"/>
        </w:rPr>
      </w:pPr>
      <w:r>
        <w:rPr>
          <w:rFonts w:ascii="宋体" w:hAnsi="宋体" w:eastAsia="楷体_GB2312"/>
          <w:color w:val="000000"/>
          <w:sz w:val="32"/>
          <w:szCs w:val="32"/>
          <w:shd w:val="clear" w:color="auto" w:fill="FFFFFF"/>
          <w:lang w:val="zh-CN"/>
        </w:rPr>
        <w:t>（三）</w:t>
      </w:r>
      <w:r>
        <w:rPr>
          <w:rFonts w:ascii="宋体" w:hAnsi="宋体" w:eastAsia="楷体_GB2312"/>
          <w:sz w:val="32"/>
          <w:szCs w:val="32"/>
        </w:rPr>
        <w:t>结余分配和结转结余情况。</w:t>
      </w:r>
    </w:p>
    <w:p w14:paraId="21208F5C">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仿宋_GB2312"/>
          <w:sz w:val="32"/>
          <w:szCs w:val="32"/>
        </w:rPr>
        <w:t>2024年</w:t>
      </w:r>
      <w:r>
        <w:rPr>
          <w:rFonts w:hint="eastAsia" w:ascii="宋体" w:hAnsi="宋体" w:eastAsia="仿宋_GB2312"/>
          <w:sz w:val="32"/>
          <w:szCs w:val="32"/>
        </w:rPr>
        <w:t>年末本单位无结转和结余。</w:t>
      </w:r>
    </w:p>
    <w:p w14:paraId="5BA7BA96">
      <w:pPr>
        <w:spacing w:line="578" w:lineRule="exact"/>
        <w:ind w:firstLine="640" w:firstLineChars="200"/>
        <w:contextualSpacing/>
        <w:rPr>
          <w:rFonts w:hint="eastAsia" w:ascii="宋体" w:hAnsi="宋体" w:eastAsia="黑体"/>
          <w:color w:val="000000"/>
          <w:sz w:val="32"/>
          <w:szCs w:val="32"/>
          <w:shd w:val="clear" w:color="auto" w:fill="FFFFFF"/>
        </w:rPr>
      </w:pPr>
      <w:r>
        <w:rPr>
          <w:rFonts w:ascii="宋体" w:hAnsi="宋体" w:eastAsia="黑体"/>
          <w:color w:val="000000"/>
          <w:sz w:val="32"/>
          <w:szCs w:val="32"/>
          <w:shd w:val="clear" w:color="auto" w:fill="FFFFFF"/>
        </w:rPr>
        <w:t>三、部门预算绩效分析</w:t>
      </w:r>
    </w:p>
    <w:p w14:paraId="0D122EC7">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lang w:val="zh-CN"/>
        </w:rPr>
        <w:t>（一）部门预算总体绩效分析。</w:t>
      </w:r>
    </w:p>
    <w:p w14:paraId="285E96FC">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14:paraId="6FC92471">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2024年，我校以“重规范、树成绩、亮品牌”为工作重心，在各级领导重视与全体教职员工努力下，办学条件得以改善，各项工作稳步提升。</w:t>
      </w:r>
      <w:r>
        <w:rPr>
          <w:rFonts w:hint="default" w:ascii="Arial" w:hAnsi="Arial" w:eastAsia="仿宋_GB2312" w:cs="Arial"/>
          <w:color w:val="000000"/>
          <w:sz w:val="32"/>
          <w:szCs w:val="32"/>
          <w:shd w:val="clear" w:color="auto" w:fill="FFFFFF"/>
          <w:lang w:val="zh-CN"/>
        </w:rPr>
        <w:t>​</w:t>
      </w:r>
    </w:p>
    <w:p w14:paraId="1A19AD36">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一、奋力笃行做实党建工作</w:t>
      </w:r>
      <w:r>
        <w:rPr>
          <w:rFonts w:hint="default" w:ascii="Arial" w:hAnsi="Arial" w:eastAsia="仿宋_GB2312" w:cs="Arial"/>
          <w:color w:val="000000"/>
          <w:sz w:val="32"/>
          <w:szCs w:val="32"/>
          <w:shd w:val="clear" w:color="auto" w:fill="FFFFFF"/>
          <w:lang w:val="zh-CN"/>
        </w:rPr>
        <w:t>​</w:t>
      </w:r>
    </w:p>
    <w:p w14:paraId="6A2BA48C">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（一）不忘初心奋力笃行，谱写学校发展新篇</w:t>
      </w:r>
      <w:r>
        <w:rPr>
          <w:rFonts w:hint="default" w:ascii="Arial" w:hAnsi="Arial" w:eastAsia="仿宋_GB2312" w:cs="Arial"/>
          <w:color w:val="000000"/>
          <w:sz w:val="32"/>
          <w:szCs w:val="32"/>
          <w:shd w:val="clear" w:color="auto" w:fill="FFFFFF"/>
          <w:lang w:val="zh-CN"/>
        </w:rPr>
        <w:t>​</w:t>
      </w:r>
    </w:p>
    <w:p w14:paraId="170C4707">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加强党对学校工作全面领导，依治校方略履行党总支职责，实现精细化管理。重视政治理论学习，落实“三会一课”制度，2024年召开</w:t>
      </w:r>
      <w:r>
        <w:rPr>
          <w:rFonts w:hint="eastAsia" w:eastAsia="仿宋_GB2312"/>
          <w:color w:val="000000"/>
          <w:sz w:val="32"/>
          <w:szCs w:val="32"/>
          <w:shd w:val="clear" w:color="auto" w:fill="FFFFFF"/>
          <w:lang w:val="zh-CN"/>
        </w:rPr>
        <w:t>党总支委员会</w:t>
      </w:r>
      <w:r>
        <w:rPr>
          <w:rFonts w:eastAsia="仿宋_GB2312"/>
          <w:color w:val="000000"/>
          <w:sz w:val="32"/>
          <w:szCs w:val="32"/>
          <w:shd w:val="clear" w:color="auto" w:fill="FFFFFF"/>
          <w:lang w:val="zh-CN"/>
        </w:rPr>
        <w:t>12次，审议70余项事项。</w:t>
      </w:r>
    </w:p>
    <w:p w14:paraId="33D754F5">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推进管理团队建设，争创“五好班子”。开展党员“青蓝结对”，多名党员教师在竞赛中获奖。开展师德师风集中教育，追责违规者，表彰先进。强化班主任培养，落实月例会与班级评优制度。为27年教龄农村教师晋升高级教师提供政策倾斜，今年推荐5人评审高级教师。</w:t>
      </w:r>
      <w:r>
        <w:rPr>
          <w:rFonts w:hint="default" w:ascii="Arial" w:hAnsi="Arial" w:eastAsia="仿宋_GB2312" w:cs="Arial"/>
          <w:color w:val="000000"/>
          <w:sz w:val="32"/>
          <w:szCs w:val="32"/>
          <w:shd w:val="clear" w:color="auto" w:fill="FFFFFF"/>
          <w:lang w:val="zh-CN"/>
        </w:rPr>
        <w:t>​</w:t>
      </w:r>
    </w:p>
    <w:p w14:paraId="37B2FE11">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（二）抓实党风廉政建设，营造风清气正氛围</w:t>
      </w:r>
      <w:r>
        <w:rPr>
          <w:rFonts w:hint="default" w:ascii="Arial" w:hAnsi="Arial" w:eastAsia="仿宋_GB2312" w:cs="Arial"/>
          <w:color w:val="000000"/>
          <w:sz w:val="32"/>
          <w:szCs w:val="32"/>
          <w:shd w:val="clear" w:color="auto" w:fill="FFFFFF"/>
          <w:lang w:val="zh-CN"/>
        </w:rPr>
        <w:t>​</w:t>
      </w:r>
    </w:p>
    <w:p w14:paraId="6241B5DE">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以“崇清尚廉，廉洁从教，师生同行”开展清廉活动，借组织警示等三措施教育干部廉洁自律，按“四个亲自”要求压实党风廉政责任。</w:t>
      </w:r>
      <w:r>
        <w:rPr>
          <w:rFonts w:hint="default" w:ascii="Arial" w:hAnsi="Arial" w:eastAsia="仿宋_GB2312" w:cs="Arial"/>
          <w:color w:val="000000"/>
          <w:sz w:val="32"/>
          <w:szCs w:val="32"/>
          <w:shd w:val="clear" w:color="auto" w:fill="FFFFFF"/>
          <w:lang w:val="zh-CN"/>
        </w:rPr>
        <w:t>​</w:t>
      </w:r>
    </w:p>
    <w:p w14:paraId="22F8C545">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（三）狠抓意识形态工作，凝聚学校发展共识</w:t>
      </w:r>
      <w:r>
        <w:rPr>
          <w:rFonts w:hint="default" w:ascii="Arial" w:hAnsi="Arial" w:eastAsia="仿宋_GB2312" w:cs="Arial"/>
          <w:color w:val="000000"/>
          <w:sz w:val="32"/>
          <w:szCs w:val="32"/>
          <w:shd w:val="clear" w:color="auto" w:fill="FFFFFF"/>
          <w:lang w:val="zh-CN"/>
        </w:rPr>
        <w:t>​</w:t>
      </w:r>
    </w:p>
    <w:p w14:paraId="7D9FBF5B">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强化意识形态教育监督，管理校园网络与学生手机等，排查重点领域隐患，未发生上访投诉事件。</w:t>
      </w:r>
      <w:r>
        <w:rPr>
          <w:rFonts w:hint="default" w:ascii="Arial" w:hAnsi="Arial" w:eastAsia="仿宋_GB2312" w:cs="Arial"/>
          <w:color w:val="000000"/>
          <w:sz w:val="32"/>
          <w:szCs w:val="32"/>
          <w:shd w:val="clear" w:color="auto" w:fill="FFFFFF"/>
          <w:lang w:val="zh-CN"/>
        </w:rPr>
        <w:t>​</w:t>
      </w:r>
    </w:p>
    <w:p w14:paraId="402EC786">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（四）坚持依法依规办事，不断增强治理能力</w:t>
      </w:r>
      <w:r>
        <w:rPr>
          <w:rFonts w:hint="default" w:ascii="Arial" w:hAnsi="Arial" w:eastAsia="仿宋_GB2312" w:cs="Arial"/>
          <w:color w:val="000000"/>
          <w:sz w:val="32"/>
          <w:szCs w:val="32"/>
          <w:shd w:val="clear" w:color="auto" w:fill="FFFFFF"/>
          <w:lang w:val="zh-CN"/>
        </w:rPr>
        <w:t>​</w:t>
      </w:r>
    </w:p>
    <w:p w14:paraId="6F63B783">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落实依法治校，强化制度与法治思维，按法规履职，带头学法守法。</w:t>
      </w:r>
      <w:r>
        <w:rPr>
          <w:rFonts w:hint="default" w:ascii="Arial" w:hAnsi="Arial" w:eastAsia="仿宋_GB2312" w:cs="Arial"/>
          <w:color w:val="000000"/>
          <w:sz w:val="32"/>
          <w:szCs w:val="32"/>
          <w:shd w:val="clear" w:color="auto" w:fill="FFFFFF"/>
          <w:lang w:val="zh-CN"/>
        </w:rPr>
        <w:t>​</w:t>
      </w:r>
    </w:p>
    <w:p w14:paraId="01CEA84B">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二、全面加强德育体系建设</w:t>
      </w:r>
      <w:r>
        <w:rPr>
          <w:rFonts w:hint="default" w:ascii="Arial" w:hAnsi="Arial" w:eastAsia="仿宋_GB2312" w:cs="Arial"/>
          <w:color w:val="000000"/>
          <w:sz w:val="32"/>
          <w:szCs w:val="32"/>
          <w:shd w:val="clear" w:color="auto" w:fill="FFFFFF"/>
          <w:lang w:val="zh-CN"/>
        </w:rPr>
        <w:t>​</w:t>
      </w:r>
    </w:p>
    <w:p w14:paraId="32FA1E8B">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（一）坚持德育为首，进一步完善德育管理制度</w:t>
      </w:r>
      <w:r>
        <w:rPr>
          <w:rFonts w:hint="default" w:ascii="Arial" w:hAnsi="Arial" w:eastAsia="仿宋_GB2312" w:cs="Arial"/>
          <w:color w:val="000000"/>
          <w:sz w:val="32"/>
          <w:szCs w:val="32"/>
          <w:shd w:val="clear" w:color="auto" w:fill="FFFFFF"/>
          <w:lang w:val="zh-CN"/>
        </w:rPr>
        <w:t>​</w:t>
      </w:r>
    </w:p>
    <w:p w14:paraId="65154810">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强化五类管理，完善《优秀班主任评比细则》等，科学化学生管理。规范学生干部管理，政教处开展班干部、室长培训。</w:t>
      </w:r>
      <w:r>
        <w:rPr>
          <w:rFonts w:hint="default" w:ascii="Arial" w:hAnsi="Arial" w:eastAsia="仿宋_GB2312" w:cs="Arial"/>
          <w:color w:val="000000"/>
          <w:sz w:val="32"/>
          <w:szCs w:val="32"/>
          <w:shd w:val="clear" w:color="auto" w:fill="FFFFFF"/>
          <w:lang w:val="zh-CN"/>
        </w:rPr>
        <w:t>​</w:t>
      </w:r>
    </w:p>
    <w:p w14:paraId="60B5B176">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（二）开展整风静校专项行动，抓好学生常规管理</w:t>
      </w:r>
      <w:r>
        <w:rPr>
          <w:rFonts w:hint="default" w:ascii="Arial" w:hAnsi="Arial" w:eastAsia="仿宋_GB2312" w:cs="Arial"/>
          <w:color w:val="000000"/>
          <w:sz w:val="32"/>
          <w:szCs w:val="32"/>
          <w:shd w:val="clear" w:color="auto" w:fill="FFFFFF"/>
          <w:lang w:val="zh-CN"/>
        </w:rPr>
        <w:t>​</w:t>
      </w:r>
    </w:p>
    <w:p w14:paraId="51ED9143">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梳理67条学生问题，开展制度学习与德育班会等。开展“德困生”培训16次，47人参训。强化卫生、内务等管理，深夜返查晚睡纪律。</w:t>
      </w:r>
      <w:r>
        <w:rPr>
          <w:rFonts w:hint="default" w:ascii="Arial" w:hAnsi="Arial" w:eastAsia="仿宋_GB2312" w:cs="Arial"/>
          <w:color w:val="000000"/>
          <w:sz w:val="32"/>
          <w:szCs w:val="32"/>
          <w:shd w:val="clear" w:color="auto" w:fill="FFFFFF"/>
          <w:lang w:val="zh-CN"/>
        </w:rPr>
        <w:t>​</w:t>
      </w:r>
    </w:p>
    <w:p w14:paraId="139634C6">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（三）开展丰富多彩的校园活动</w:t>
      </w:r>
      <w:r>
        <w:rPr>
          <w:rFonts w:hint="default" w:ascii="Arial" w:hAnsi="Arial" w:eastAsia="仿宋_GB2312" w:cs="Arial"/>
          <w:color w:val="000000"/>
          <w:sz w:val="32"/>
          <w:szCs w:val="32"/>
          <w:shd w:val="clear" w:color="auto" w:fill="FFFFFF"/>
          <w:lang w:val="zh-CN"/>
        </w:rPr>
        <w:t>​</w:t>
      </w:r>
    </w:p>
    <w:p w14:paraId="21F3A1D6">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落实黑板报、朝会等活动，举办法治、廉政等每月主题班会。举行成人礼、百日誓师等，办艺术节汇演。开展征文、朗诵、演讲等各类比赛。</w:t>
      </w:r>
      <w:r>
        <w:rPr>
          <w:rFonts w:hint="default" w:ascii="Arial" w:hAnsi="Arial" w:eastAsia="仿宋_GB2312" w:cs="Arial"/>
          <w:color w:val="000000"/>
          <w:sz w:val="32"/>
          <w:szCs w:val="32"/>
          <w:shd w:val="clear" w:color="auto" w:fill="FFFFFF"/>
          <w:lang w:val="zh-CN"/>
        </w:rPr>
        <w:t>​</w:t>
      </w:r>
    </w:p>
    <w:p w14:paraId="76EF4B6F">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三、全面加强教学科研体系建设</w:t>
      </w:r>
      <w:r>
        <w:rPr>
          <w:rFonts w:hint="default" w:ascii="Arial" w:hAnsi="Arial" w:eastAsia="仿宋_GB2312" w:cs="Arial"/>
          <w:color w:val="000000"/>
          <w:sz w:val="32"/>
          <w:szCs w:val="32"/>
          <w:shd w:val="clear" w:color="auto" w:fill="FFFFFF"/>
          <w:lang w:val="zh-CN"/>
        </w:rPr>
        <w:t>​</w:t>
      </w:r>
    </w:p>
    <w:p w14:paraId="50EB37FF">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（一）规范管理，全面提高教育教学质量</w:t>
      </w:r>
      <w:r>
        <w:rPr>
          <w:rFonts w:hint="default" w:ascii="Arial" w:hAnsi="Arial" w:eastAsia="仿宋_GB2312" w:cs="Arial"/>
          <w:color w:val="000000"/>
          <w:sz w:val="32"/>
          <w:szCs w:val="32"/>
          <w:shd w:val="clear" w:color="auto" w:fill="FFFFFF"/>
          <w:lang w:val="zh-CN"/>
        </w:rPr>
        <w:t>​</w:t>
      </w:r>
    </w:p>
    <w:p w14:paraId="4006BC3B">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完善教学制度与激励机制，制定《西眉中学教学质量提升办法》等。落实课堂巡查与月考核公示，规范检测。2024年高考本科上线126人，一本13人，超额完成局目标任务。</w:t>
      </w:r>
      <w:r>
        <w:rPr>
          <w:rFonts w:hint="default" w:ascii="Arial" w:hAnsi="Arial" w:eastAsia="仿宋_GB2312" w:cs="Arial"/>
          <w:color w:val="000000"/>
          <w:sz w:val="32"/>
          <w:szCs w:val="32"/>
          <w:shd w:val="clear" w:color="auto" w:fill="FFFFFF"/>
          <w:lang w:val="zh-CN"/>
        </w:rPr>
        <w:t>​</w:t>
      </w:r>
    </w:p>
    <w:p w14:paraId="38EABCFF">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（二）加强教学科研，促进教师专业发展</w:t>
      </w:r>
      <w:r>
        <w:rPr>
          <w:rFonts w:hint="default" w:ascii="Arial" w:hAnsi="Arial" w:eastAsia="仿宋_GB2312" w:cs="Arial"/>
          <w:color w:val="000000"/>
          <w:sz w:val="32"/>
          <w:szCs w:val="32"/>
          <w:shd w:val="clear" w:color="auto" w:fill="FFFFFF"/>
          <w:lang w:val="zh-CN"/>
        </w:rPr>
        <w:t>​</w:t>
      </w:r>
    </w:p>
    <w:p w14:paraId="2CFCA6A4">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规范集体教研，落实备课与听评课。“请进来、走出去”培训教师900余人次。教师参与竞赛表现出色，26人次获教育教学经验文章评选一、二等奖等。</w:t>
      </w:r>
      <w:r>
        <w:rPr>
          <w:rFonts w:hint="default" w:ascii="Arial" w:hAnsi="Arial" w:eastAsia="仿宋_GB2312" w:cs="Arial"/>
          <w:color w:val="000000"/>
          <w:sz w:val="32"/>
          <w:szCs w:val="32"/>
          <w:shd w:val="clear" w:color="auto" w:fill="FFFFFF"/>
          <w:lang w:val="zh-CN"/>
        </w:rPr>
        <w:t>​</w:t>
      </w:r>
    </w:p>
    <w:p w14:paraId="67E9428E">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（三）落实师德师风建设工作，树立教育行风标杆</w:t>
      </w:r>
      <w:r>
        <w:rPr>
          <w:rFonts w:hint="default" w:ascii="Arial" w:hAnsi="Arial" w:eastAsia="仿宋_GB2312" w:cs="Arial"/>
          <w:color w:val="000000"/>
          <w:sz w:val="32"/>
          <w:szCs w:val="32"/>
          <w:shd w:val="clear" w:color="auto" w:fill="FFFFFF"/>
          <w:lang w:val="zh-CN"/>
        </w:rPr>
        <w:t>​</w:t>
      </w:r>
    </w:p>
    <w:p w14:paraId="29E9A7A5">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开展“十严十不准”等师德教育，组织评选“爱生之星”等，全年无师德问题。</w:t>
      </w:r>
      <w:r>
        <w:rPr>
          <w:rFonts w:hint="default" w:ascii="Arial" w:hAnsi="Arial" w:eastAsia="仿宋_GB2312" w:cs="Arial"/>
          <w:color w:val="000000"/>
          <w:sz w:val="32"/>
          <w:szCs w:val="32"/>
          <w:shd w:val="clear" w:color="auto" w:fill="FFFFFF"/>
          <w:lang w:val="zh-CN"/>
        </w:rPr>
        <w:t>​</w:t>
      </w:r>
    </w:p>
    <w:p w14:paraId="3C69767B">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（四）多元发展，打造个性延时服务</w:t>
      </w:r>
      <w:r>
        <w:rPr>
          <w:rFonts w:hint="default" w:ascii="Arial" w:hAnsi="Arial" w:eastAsia="仿宋_GB2312" w:cs="Arial"/>
          <w:color w:val="000000"/>
          <w:sz w:val="32"/>
          <w:szCs w:val="32"/>
          <w:shd w:val="clear" w:color="auto" w:fill="FFFFFF"/>
          <w:lang w:val="zh-CN"/>
        </w:rPr>
        <w:t>​</w:t>
      </w:r>
    </w:p>
    <w:p w14:paraId="5C08D08C">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初中课后服务设20个社团项目，参与率100%。机器人竞赛获省二等奖，3件科创作品获区一等奖。</w:t>
      </w:r>
      <w:r>
        <w:rPr>
          <w:rFonts w:hint="default" w:ascii="Arial" w:hAnsi="Arial" w:eastAsia="仿宋_GB2312" w:cs="Arial"/>
          <w:color w:val="000000"/>
          <w:sz w:val="32"/>
          <w:szCs w:val="32"/>
          <w:shd w:val="clear" w:color="auto" w:fill="FFFFFF"/>
          <w:lang w:val="zh-CN"/>
        </w:rPr>
        <w:t>​</w:t>
      </w:r>
    </w:p>
    <w:p w14:paraId="39882F60">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四、全面加强后勤保障体系建设</w:t>
      </w:r>
      <w:r>
        <w:rPr>
          <w:rFonts w:hint="default" w:ascii="Arial" w:hAnsi="Arial" w:eastAsia="仿宋_GB2312" w:cs="Arial"/>
          <w:color w:val="000000"/>
          <w:sz w:val="32"/>
          <w:szCs w:val="32"/>
          <w:shd w:val="clear" w:color="auto" w:fill="FFFFFF"/>
          <w:lang w:val="zh-CN"/>
        </w:rPr>
        <w:t>​</w:t>
      </w:r>
    </w:p>
    <w:p w14:paraId="1BA80140">
      <w:pPr>
        <w:pStyle w:val="16"/>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规范财务与食堂管理，落实收费公示、家长配餐等制度。投入约60万元改造食堂，12万元更新安防等，510万元改造寝室与操场接近完工，550万改善项目待招标，3600万元高中建设项目完成立项等前期工作。选派5名乡村振兴队员，资助学生2282人次，</w:t>
      </w:r>
      <w:r>
        <w:rPr>
          <w:rFonts w:hint="eastAsia" w:eastAsia="仿宋_GB2312"/>
          <w:color w:val="000000"/>
          <w:sz w:val="32"/>
          <w:szCs w:val="32"/>
          <w:shd w:val="clear" w:color="auto" w:fill="FFFFFF"/>
          <w:lang w:val="zh-CN"/>
        </w:rPr>
        <w:t>发放资助金</w:t>
      </w:r>
      <w:r>
        <w:rPr>
          <w:rFonts w:eastAsia="仿宋_GB2312"/>
          <w:color w:val="000000"/>
          <w:sz w:val="32"/>
          <w:szCs w:val="32"/>
          <w:shd w:val="clear" w:color="auto" w:fill="FFFFFF"/>
          <w:lang w:val="zh-CN"/>
        </w:rPr>
        <w:t>154.4万元。</w:t>
      </w:r>
      <w:r>
        <w:rPr>
          <w:rFonts w:hint="default" w:ascii="Arial" w:hAnsi="Arial" w:eastAsia="仿宋_GB2312" w:cs="Arial"/>
          <w:color w:val="000000"/>
          <w:sz w:val="32"/>
          <w:szCs w:val="32"/>
          <w:shd w:val="clear" w:color="auto" w:fill="FFFFFF"/>
          <w:lang w:val="zh-CN"/>
        </w:rPr>
        <w:t>​</w:t>
      </w:r>
    </w:p>
    <w:p w14:paraId="31730628">
      <w:pPr>
        <w:pStyle w:val="16"/>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14:paraId="43271963">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14:paraId="5A6F3886">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14:paraId="2615D532">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14:paraId="09BE91EF">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14:paraId="23CE774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14:paraId="1694AA34">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14:paraId="2530ACDF">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p>
    <w:p w14:paraId="56C55D77">
      <w:pPr>
        <w:spacing w:line="578" w:lineRule="exact"/>
        <w:ind w:firstLine="640" w:firstLineChars="200"/>
        <w:contextualSpacing/>
        <w:rPr>
          <w:rFonts w:hint="eastAsia" w:ascii="宋体" w:hAnsi="宋体" w:eastAsia="仿宋_GB2312"/>
          <w:color w:val="000000"/>
          <w:sz w:val="32"/>
          <w:szCs w:val="32"/>
          <w:shd w:val="clear" w:color="auto" w:fill="FFFFFF"/>
        </w:rPr>
      </w:pPr>
      <w:r>
        <w:rPr>
          <w:rFonts w:ascii="宋体" w:hAnsi="宋体" w:eastAsia="楷体_GB2312"/>
          <w:color w:val="000000"/>
          <w:sz w:val="32"/>
          <w:szCs w:val="32"/>
          <w:shd w:val="clear" w:color="auto" w:fill="FFFFFF"/>
          <w:lang w:val="zh-CN"/>
        </w:rPr>
        <w:t>（二）部门预算项目绩效分析。</w:t>
      </w:r>
    </w:p>
    <w:p w14:paraId="3654313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仿宋_GB2312"/>
          <w:color w:val="000000"/>
          <w:sz w:val="32"/>
          <w:szCs w:val="32"/>
          <w:shd w:val="clear" w:color="auto" w:fill="FFFFFF"/>
        </w:rPr>
        <w:t>人员类项目绩效分析。</w:t>
      </w:r>
      <w:r>
        <w:rPr>
          <w:rFonts w:ascii="宋体" w:hAnsi="宋体" w:eastAsia="仿宋_GB2312"/>
          <w:color w:val="000000"/>
          <w:sz w:val="32"/>
          <w:szCs w:val="32"/>
          <w:shd w:val="clear" w:color="auto" w:fill="FFFFFF"/>
          <w:lang w:val="zh-CN"/>
        </w:rPr>
        <w:t>该类项目总数</w:t>
      </w:r>
      <w:r>
        <w:rPr>
          <w:rFonts w:hint="eastAsia" w:ascii="宋体" w:hAnsi="宋体" w:eastAsia="仿宋_GB2312"/>
          <w:color w:val="000000"/>
          <w:sz w:val="32"/>
          <w:szCs w:val="32"/>
          <w:shd w:val="clear" w:color="auto" w:fill="FFFFFF"/>
        </w:rPr>
        <w:t>12</w:t>
      </w:r>
      <w:r>
        <w:rPr>
          <w:rFonts w:ascii="宋体" w:hAnsi="宋体" w:eastAsia="仿宋_GB2312"/>
          <w:color w:val="000000"/>
          <w:sz w:val="32"/>
          <w:szCs w:val="32"/>
          <w:shd w:val="clear" w:color="auto" w:fill="FFFFFF"/>
          <w:lang w:val="zh-CN"/>
        </w:rPr>
        <w:t>个，涉及预算总金额</w:t>
      </w:r>
      <w:r>
        <w:rPr>
          <w:rFonts w:hint="eastAsia" w:ascii="宋体" w:hAnsi="宋体" w:eastAsia="仿宋_GB2312"/>
          <w:color w:val="000000"/>
          <w:sz w:val="32"/>
          <w:szCs w:val="32"/>
          <w:shd w:val="clear" w:color="auto" w:fill="FFFFFF"/>
        </w:rPr>
        <w:t>3918.20</w:t>
      </w:r>
      <w:r>
        <w:rPr>
          <w:rFonts w:ascii="宋体" w:hAnsi="宋体" w:eastAsia="仿宋_GB2312"/>
          <w:color w:val="000000"/>
          <w:sz w:val="32"/>
          <w:szCs w:val="32"/>
          <w:shd w:val="clear" w:color="auto" w:fill="FFFFFF"/>
          <w:lang w:val="zh-CN"/>
        </w:rPr>
        <w:t>万元，1—1</w:t>
      </w:r>
      <w:r>
        <w:rPr>
          <w:rFonts w:ascii="宋体" w:hAnsi="宋体" w:eastAsia="仿宋_GB2312"/>
          <w:color w:val="000000"/>
          <w:sz w:val="32"/>
          <w:szCs w:val="32"/>
          <w:shd w:val="clear" w:color="auto" w:fill="FFFFFF"/>
        </w:rPr>
        <w:t>2</w:t>
      </w:r>
      <w:r>
        <w:rPr>
          <w:rFonts w:ascii="宋体" w:hAnsi="宋体" w:eastAsia="仿宋_GB2312"/>
          <w:color w:val="000000"/>
          <w:sz w:val="32"/>
          <w:szCs w:val="32"/>
          <w:shd w:val="clear" w:color="auto" w:fill="FFFFFF"/>
          <w:lang w:val="zh-CN"/>
        </w:rPr>
        <w:t>月预算执行总体进度为</w:t>
      </w:r>
      <w:r>
        <w:rPr>
          <w:rFonts w:hint="eastAsia" w:ascii="宋体" w:hAnsi="宋体" w:eastAsia="仿宋_GB2312"/>
          <w:color w:val="000000"/>
          <w:sz w:val="32"/>
          <w:szCs w:val="32"/>
          <w:shd w:val="clear" w:color="auto" w:fill="FFFFFF"/>
        </w:rPr>
        <w:t>100</w:t>
      </w:r>
      <w:r>
        <w:rPr>
          <w:rFonts w:ascii="宋体" w:hAnsi="宋体" w:eastAsia="仿宋_GB2312"/>
          <w:color w:val="000000"/>
          <w:sz w:val="32"/>
          <w:szCs w:val="32"/>
          <w:shd w:val="clear" w:color="auto" w:fill="FFFFFF"/>
          <w:lang w:val="zh-CN"/>
        </w:rPr>
        <w:t>%，其中：预算结余率大于</w:t>
      </w:r>
      <w:r>
        <w:rPr>
          <w:rFonts w:ascii="宋体" w:hAnsi="宋体" w:eastAsia="仿宋_GB2312"/>
          <w:color w:val="000000"/>
          <w:sz w:val="32"/>
          <w:szCs w:val="32"/>
          <w:shd w:val="clear" w:color="auto" w:fill="FFFFFF"/>
        </w:rPr>
        <w:t>10%</w:t>
      </w:r>
      <w:r>
        <w:rPr>
          <w:rFonts w:ascii="宋体" w:hAnsi="宋体" w:eastAsia="仿宋_GB2312"/>
          <w:color w:val="000000"/>
          <w:sz w:val="32"/>
          <w:szCs w:val="32"/>
          <w:shd w:val="clear" w:color="auto" w:fill="FFFFFF"/>
          <w:lang w:val="zh-CN"/>
        </w:rPr>
        <w:t>的项目共计</w:t>
      </w:r>
      <w:r>
        <w:rPr>
          <w:rFonts w:hint="eastAsia" w:ascii="宋体" w:hAnsi="宋体" w:eastAsia="仿宋_GB2312"/>
          <w:color w:val="000000"/>
          <w:sz w:val="32"/>
          <w:szCs w:val="32"/>
          <w:shd w:val="clear" w:color="auto" w:fill="FFFFFF"/>
        </w:rPr>
        <w:t>0</w:t>
      </w:r>
      <w:r>
        <w:rPr>
          <w:rFonts w:ascii="宋体" w:hAnsi="宋体" w:eastAsia="仿宋_GB2312"/>
          <w:color w:val="000000"/>
          <w:sz w:val="32"/>
          <w:szCs w:val="32"/>
          <w:shd w:val="clear" w:color="auto" w:fill="FFFFFF"/>
          <w:lang w:val="zh-CN"/>
        </w:rPr>
        <w:t>个。</w:t>
      </w:r>
    </w:p>
    <w:p w14:paraId="6B7AE1F9">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仿宋_GB2312"/>
          <w:color w:val="000000"/>
          <w:sz w:val="32"/>
          <w:szCs w:val="32"/>
          <w:shd w:val="clear" w:color="auto" w:fill="FFFFFF"/>
        </w:rPr>
        <w:t>运转类项目绩效分析。</w:t>
      </w:r>
      <w:r>
        <w:rPr>
          <w:rFonts w:ascii="宋体" w:hAnsi="宋体" w:eastAsia="仿宋_GB2312"/>
          <w:color w:val="000000"/>
          <w:sz w:val="32"/>
          <w:szCs w:val="32"/>
          <w:shd w:val="clear" w:color="auto" w:fill="FFFFFF"/>
          <w:lang w:val="zh-CN"/>
        </w:rPr>
        <w:t>该类项目总数</w:t>
      </w:r>
      <w:r>
        <w:rPr>
          <w:rFonts w:hint="eastAsia" w:ascii="宋体" w:hAnsi="宋体" w:eastAsia="仿宋_GB2312"/>
          <w:color w:val="000000"/>
          <w:sz w:val="32"/>
          <w:szCs w:val="32"/>
          <w:shd w:val="clear" w:color="auto" w:fill="FFFFFF"/>
        </w:rPr>
        <w:t>5</w:t>
      </w:r>
      <w:r>
        <w:rPr>
          <w:rFonts w:ascii="宋体" w:hAnsi="宋体" w:eastAsia="仿宋_GB2312"/>
          <w:color w:val="000000"/>
          <w:sz w:val="32"/>
          <w:szCs w:val="32"/>
          <w:shd w:val="clear" w:color="auto" w:fill="FFFFFF"/>
          <w:lang w:val="zh-CN"/>
        </w:rPr>
        <w:t>个，涉及预算总金额</w:t>
      </w:r>
      <w:r>
        <w:rPr>
          <w:rFonts w:hint="eastAsia" w:ascii="宋体" w:hAnsi="宋体" w:eastAsia="仿宋_GB2312"/>
          <w:color w:val="000000"/>
          <w:sz w:val="32"/>
          <w:szCs w:val="32"/>
          <w:shd w:val="clear" w:color="auto" w:fill="FFFFFF"/>
        </w:rPr>
        <w:t>187.51</w:t>
      </w:r>
      <w:r>
        <w:rPr>
          <w:rFonts w:ascii="宋体" w:hAnsi="宋体" w:eastAsia="仿宋_GB2312"/>
          <w:color w:val="000000"/>
          <w:sz w:val="32"/>
          <w:szCs w:val="32"/>
          <w:shd w:val="clear" w:color="auto" w:fill="FFFFFF"/>
          <w:lang w:val="zh-CN"/>
        </w:rPr>
        <w:t>万元，1—1</w:t>
      </w:r>
      <w:r>
        <w:rPr>
          <w:rFonts w:ascii="宋体" w:hAnsi="宋体" w:eastAsia="仿宋_GB2312"/>
          <w:color w:val="000000"/>
          <w:sz w:val="32"/>
          <w:szCs w:val="32"/>
          <w:shd w:val="clear" w:color="auto" w:fill="FFFFFF"/>
        </w:rPr>
        <w:t>2</w:t>
      </w:r>
      <w:r>
        <w:rPr>
          <w:rFonts w:ascii="宋体" w:hAnsi="宋体" w:eastAsia="仿宋_GB2312"/>
          <w:color w:val="000000"/>
          <w:sz w:val="32"/>
          <w:szCs w:val="32"/>
          <w:shd w:val="clear" w:color="auto" w:fill="FFFFFF"/>
          <w:lang w:val="zh-CN"/>
        </w:rPr>
        <w:t>月预算执行总体进度为</w:t>
      </w:r>
      <w:r>
        <w:rPr>
          <w:rFonts w:hint="eastAsia" w:ascii="宋体" w:hAnsi="宋体" w:eastAsia="仿宋_GB2312"/>
          <w:color w:val="000000"/>
          <w:sz w:val="32"/>
          <w:szCs w:val="32"/>
          <w:shd w:val="clear" w:color="auto" w:fill="FFFFFF"/>
        </w:rPr>
        <w:t>100</w:t>
      </w:r>
      <w:r>
        <w:rPr>
          <w:rFonts w:ascii="宋体" w:hAnsi="宋体" w:eastAsia="仿宋_GB2312"/>
          <w:color w:val="000000"/>
          <w:sz w:val="32"/>
          <w:szCs w:val="32"/>
          <w:shd w:val="clear" w:color="auto" w:fill="FFFFFF"/>
          <w:lang w:val="zh-CN"/>
        </w:rPr>
        <w:t>%，其中：预算结余率大于</w:t>
      </w:r>
      <w:r>
        <w:rPr>
          <w:rFonts w:ascii="宋体" w:hAnsi="宋体" w:eastAsia="仿宋_GB2312"/>
          <w:color w:val="000000"/>
          <w:sz w:val="32"/>
          <w:szCs w:val="32"/>
          <w:shd w:val="clear" w:color="auto" w:fill="FFFFFF"/>
        </w:rPr>
        <w:t>10%</w:t>
      </w:r>
      <w:r>
        <w:rPr>
          <w:rFonts w:ascii="宋体" w:hAnsi="宋体" w:eastAsia="仿宋_GB2312"/>
          <w:color w:val="000000"/>
          <w:sz w:val="32"/>
          <w:szCs w:val="32"/>
          <w:shd w:val="clear" w:color="auto" w:fill="FFFFFF"/>
          <w:lang w:val="zh-CN"/>
        </w:rPr>
        <w:t>的项目共计</w:t>
      </w:r>
      <w:r>
        <w:rPr>
          <w:rFonts w:hint="eastAsia" w:ascii="宋体" w:hAnsi="宋体" w:eastAsia="仿宋_GB2312"/>
          <w:color w:val="000000"/>
          <w:sz w:val="32"/>
          <w:szCs w:val="32"/>
          <w:shd w:val="clear" w:color="auto" w:fill="FFFFFF"/>
        </w:rPr>
        <w:t>0</w:t>
      </w:r>
      <w:r>
        <w:rPr>
          <w:rFonts w:ascii="宋体" w:hAnsi="宋体" w:eastAsia="仿宋_GB2312"/>
          <w:color w:val="000000"/>
          <w:sz w:val="32"/>
          <w:szCs w:val="32"/>
          <w:shd w:val="clear" w:color="auto" w:fill="FFFFFF"/>
          <w:lang w:val="zh-CN"/>
        </w:rPr>
        <w:t>个。</w:t>
      </w:r>
    </w:p>
    <w:p w14:paraId="6748295B">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仿宋_GB2312"/>
          <w:color w:val="000000"/>
          <w:sz w:val="32"/>
          <w:szCs w:val="32"/>
          <w:shd w:val="clear" w:color="auto" w:fill="FFFFFF"/>
        </w:rPr>
        <w:t>特定目标类项目绩效分析。</w:t>
      </w:r>
      <w:r>
        <w:rPr>
          <w:rFonts w:ascii="宋体" w:hAnsi="宋体" w:eastAsia="仿宋_GB2312"/>
          <w:color w:val="000000"/>
          <w:sz w:val="32"/>
          <w:szCs w:val="32"/>
          <w:shd w:val="clear" w:color="auto" w:fill="FFFFFF"/>
          <w:lang w:val="zh-CN"/>
        </w:rPr>
        <w:t>该类项目总数</w:t>
      </w:r>
      <w:r>
        <w:rPr>
          <w:rFonts w:hint="eastAsia" w:ascii="宋体" w:hAnsi="宋体" w:eastAsia="仿宋_GB2312"/>
          <w:color w:val="000000"/>
          <w:sz w:val="32"/>
          <w:szCs w:val="32"/>
          <w:shd w:val="clear" w:color="auto" w:fill="FFFFFF"/>
        </w:rPr>
        <w:t>15</w:t>
      </w:r>
      <w:r>
        <w:rPr>
          <w:rFonts w:ascii="宋体" w:hAnsi="宋体" w:eastAsia="仿宋_GB2312"/>
          <w:color w:val="000000"/>
          <w:sz w:val="32"/>
          <w:szCs w:val="32"/>
          <w:shd w:val="clear" w:color="auto" w:fill="FFFFFF"/>
          <w:lang w:val="zh-CN"/>
        </w:rPr>
        <w:t>个，涉及预算总金额</w:t>
      </w:r>
      <w:r>
        <w:rPr>
          <w:rFonts w:hint="eastAsia" w:ascii="宋体" w:hAnsi="宋体" w:eastAsia="仿宋_GB2312"/>
          <w:color w:val="000000"/>
          <w:sz w:val="32"/>
          <w:szCs w:val="32"/>
          <w:shd w:val="clear" w:color="auto" w:fill="FFFFFF"/>
        </w:rPr>
        <w:t>1775.19</w:t>
      </w:r>
      <w:r>
        <w:rPr>
          <w:rFonts w:ascii="宋体" w:hAnsi="宋体" w:eastAsia="仿宋_GB2312"/>
          <w:color w:val="000000"/>
          <w:sz w:val="32"/>
          <w:szCs w:val="32"/>
          <w:shd w:val="clear" w:color="auto" w:fill="FFFFFF"/>
          <w:lang w:val="zh-CN"/>
        </w:rPr>
        <w:t>万元，1—1</w:t>
      </w:r>
      <w:r>
        <w:rPr>
          <w:rFonts w:ascii="宋体" w:hAnsi="宋体" w:eastAsia="仿宋_GB2312"/>
          <w:color w:val="000000"/>
          <w:sz w:val="32"/>
          <w:szCs w:val="32"/>
          <w:shd w:val="clear" w:color="auto" w:fill="FFFFFF"/>
        </w:rPr>
        <w:t>2</w:t>
      </w:r>
      <w:r>
        <w:rPr>
          <w:rFonts w:ascii="宋体" w:hAnsi="宋体" w:eastAsia="仿宋_GB2312"/>
          <w:color w:val="000000"/>
          <w:sz w:val="32"/>
          <w:szCs w:val="32"/>
          <w:shd w:val="clear" w:color="auto" w:fill="FFFFFF"/>
          <w:lang w:val="zh-CN"/>
        </w:rPr>
        <w:t>月预算执行总体进度</w:t>
      </w:r>
      <w:r>
        <w:rPr>
          <w:rFonts w:hint="eastAsia" w:ascii="宋体" w:hAnsi="宋体" w:eastAsia="仿宋_GB2312"/>
          <w:color w:val="000000"/>
          <w:sz w:val="32"/>
          <w:szCs w:val="32"/>
          <w:shd w:val="clear" w:color="auto" w:fill="FFFFFF"/>
        </w:rPr>
        <w:t>为92.5</w:t>
      </w:r>
      <w:r>
        <w:rPr>
          <w:rFonts w:ascii="宋体" w:hAnsi="宋体" w:eastAsia="仿宋_GB2312"/>
          <w:color w:val="000000"/>
          <w:sz w:val="32"/>
          <w:szCs w:val="32"/>
          <w:shd w:val="clear" w:color="auto" w:fill="FFFFFF"/>
          <w:lang w:val="zh-CN"/>
        </w:rPr>
        <w:t>%，其中：预算结余率大于</w:t>
      </w:r>
      <w:r>
        <w:rPr>
          <w:rFonts w:ascii="宋体" w:hAnsi="宋体" w:eastAsia="仿宋_GB2312"/>
          <w:color w:val="000000"/>
          <w:sz w:val="32"/>
          <w:szCs w:val="32"/>
          <w:shd w:val="clear" w:color="auto" w:fill="FFFFFF"/>
        </w:rPr>
        <w:t>10%</w:t>
      </w:r>
      <w:r>
        <w:rPr>
          <w:rFonts w:ascii="宋体" w:hAnsi="宋体" w:eastAsia="仿宋_GB2312"/>
          <w:color w:val="000000"/>
          <w:sz w:val="32"/>
          <w:szCs w:val="32"/>
          <w:shd w:val="clear" w:color="auto" w:fill="FFFFFF"/>
          <w:lang w:val="zh-CN"/>
        </w:rPr>
        <w:t>的项目共计</w:t>
      </w:r>
      <w:r>
        <w:rPr>
          <w:rFonts w:hint="eastAsia" w:ascii="宋体" w:hAnsi="宋体" w:eastAsia="仿宋_GB2312"/>
          <w:color w:val="000000"/>
          <w:sz w:val="32"/>
          <w:szCs w:val="32"/>
          <w:shd w:val="clear" w:color="auto" w:fill="FFFFFF"/>
        </w:rPr>
        <w:t>3</w:t>
      </w:r>
      <w:r>
        <w:rPr>
          <w:rFonts w:ascii="宋体" w:hAnsi="宋体" w:eastAsia="仿宋_GB2312"/>
          <w:color w:val="000000"/>
          <w:sz w:val="32"/>
          <w:szCs w:val="32"/>
          <w:shd w:val="clear" w:color="auto" w:fill="FFFFFF"/>
          <w:lang w:val="zh-CN"/>
        </w:rPr>
        <w:t>个。</w:t>
      </w:r>
    </w:p>
    <w:p w14:paraId="22CC2699">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项目决策。</w:t>
      </w:r>
    </w:p>
    <w:p w14:paraId="7E0B68E6">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仿宋_GB2312"/>
          <w:color w:val="000000"/>
          <w:sz w:val="32"/>
          <w:szCs w:val="32"/>
          <w:shd w:val="clear" w:color="auto" w:fill="FFFFFF"/>
          <w:lang w:val="zh-CN"/>
        </w:rPr>
        <w:t>2024</w:t>
      </w:r>
      <w:r>
        <w:rPr>
          <w:rFonts w:hint="eastAsia" w:ascii="宋体" w:hAnsi="宋体" w:eastAsia="仿宋_GB2312"/>
          <w:color w:val="000000"/>
          <w:sz w:val="32"/>
          <w:szCs w:val="32"/>
          <w:shd w:val="clear" w:color="auto" w:fill="FFFFFF"/>
          <w:lang w:val="zh-CN"/>
        </w:rPr>
        <w:t>年度项目绩效目标基于学校年度工作任务（如教学质量提升、师资建设、学生资助）编制，目标要素完整、细化量化。</w:t>
      </w:r>
      <w:r>
        <w:rPr>
          <w:rFonts w:ascii="Arial" w:hAnsi="Arial" w:eastAsia="仿宋_GB2312" w:cs="Arial"/>
          <w:color w:val="000000"/>
          <w:sz w:val="32"/>
          <w:szCs w:val="32"/>
          <w:shd w:val="clear" w:color="auto" w:fill="FFFFFF"/>
          <w:lang w:val="zh-CN"/>
        </w:rPr>
        <w:t>​</w:t>
      </w:r>
      <w:r>
        <w:rPr>
          <w:rFonts w:hint="eastAsia" w:ascii="宋体" w:hAnsi="宋体" w:eastAsia="仿宋_GB2312"/>
          <w:color w:val="000000"/>
          <w:sz w:val="32"/>
          <w:szCs w:val="32"/>
          <w:shd w:val="clear" w:color="auto" w:fill="FFFFFF"/>
          <w:lang w:val="zh-CN"/>
        </w:rPr>
        <w:t>项目预算与学校职能、年度重点工作高度匹配，如“校舍维修经费”用于老旧教学楼防水改造，“课后服务支出”用于学生兴趣课程开展。</w:t>
      </w:r>
    </w:p>
    <w:p w14:paraId="4986D2E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2.项目执行</w:t>
      </w:r>
      <w:r>
        <w:rPr>
          <w:rFonts w:ascii="宋体" w:hAnsi="宋体" w:eastAsia="楷体_GB2312"/>
          <w:color w:val="000000"/>
          <w:sz w:val="32"/>
          <w:szCs w:val="32"/>
          <w:shd w:val="clear" w:color="auto" w:fill="FFFFFF"/>
          <w:lang w:val="zh-CN"/>
        </w:rPr>
        <w:t>。</w:t>
      </w:r>
    </w:p>
    <w:p w14:paraId="13B560FA">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强化预算与执行动态监控，绩效监控调整取消额与结余注销额为零，确保支出进度与绩效目标匹配。优化项目调整机制，对执行偏差项目及时纠偏。深化绩效结果应用，将评价结果与预算安排挂钩，重点项目目标完成率达100%，实现资金使用效益最大化。</w:t>
      </w:r>
    </w:p>
    <w:p w14:paraId="3882366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目标实现。</w:t>
      </w:r>
    </w:p>
    <w:p w14:paraId="6273D814">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人员类、运转类数量指标为足额保障率100%,各科目调整次数小于等于</w:t>
      </w:r>
      <w:r>
        <w:rPr>
          <w:rFonts w:hint="eastAsia" w:ascii="宋体" w:hAnsi="宋体" w:eastAsia="仿宋_GB2312"/>
          <w:color w:val="000000"/>
          <w:sz w:val="32"/>
          <w:szCs w:val="32"/>
          <w:shd w:val="clear" w:color="auto" w:fill="FFFFFF"/>
        </w:rPr>
        <w:t>2</w:t>
      </w:r>
      <w:r>
        <w:rPr>
          <w:rFonts w:hint="eastAsia" w:ascii="宋体" w:hAnsi="宋体" w:eastAsia="仿宋_GB2312"/>
          <w:color w:val="000000"/>
          <w:sz w:val="32"/>
          <w:szCs w:val="32"/>
          <w:shd w:val="clear" w:color="auto" w:fill="FFFFFF"/>
          <w:lang w:val="zh-CN"/>
        </w:rPr>
        <w:t>次，2024年度单位已按照支付标准足额保障，完成指标较好。</w:t>
      </w:r>
    </w:p>
    <w:p w14:paraId="39ABE7FB">
      <w:pPr>
        <w:spacing w:line="600" w:lineRule="exact"/>
        <w:ind w:firstLine="640" w:firstLineChars="200"/>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lang w:val="zh-CN"/>
        </w:rPr>
        <w:t>（三）</w:t>
      </w:r>
      <w:r>
        <w:rPr>
          <w:rFonts w:ascii="宋体" w:hAnsi="宋体" w:eastAsia="楷体_GB2312"/>
          <w:sz w:val="32"/>
          <w:szCs w:val="32"/>
          <w:lang w:val="zh-CN"/>
        </w:rPr>
        <w:t>绩效结果应用情况。</w:t>
      </w:r>
    </w:p>
    <w:p w14:paraId="367E1ED7">
      <w:pPr>
        <w:spacing w:line="600" w:lineRule="exact"/>
        <w:ind w:firstLine="640" w:firstLineChars="200"/>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1.内部应用：对照年初绩效目标，每季度召开绩效分析会，督促未达标项目（如校舍维修）加快进度；结合年末自评结果，编制</w:t>
      </w:r>
      <w:r>
        <w:rPr>
          <w:rFonts w:ascii="宋体" w:hAnsi="宋体" w:eastAsia="仿宋_GB2312"/>
          <w:color w:val="000000"/>
          <w:sz w:val="32"/>
          <w:szCs w:val="32"/>
          <w:shd w:val="clear" w:color="auto" w:fill="FFFFFF"/>
          <w:lang w:val="zh-CN"/>
        </w:rPr>
        <w:t>2025</w:t>
      </w:r>
      <w:r>
        <w:rPr>
          <w:rFonts w:hint="eastAsia" w:ascii="宋体" w:hAnsi="宋体" w:eastAsia="仿宋_GB2312"/>
          <w:color w:val="000000"/>
          <w:sz w:val="32"/>
          <w:szCs w:val="32"/>
          <w:shd w:val="clear" w:color="auto" w:fill="FFFFFF"/>
          <w:lang w:val="zh-CN"/>
        </w:rPr>
        <w:t>年预算时，优先保障教师培训、学生资助等高效益项目，压缩非必要支出。</w:t>
      </w:r>
    </w:p>
    <w:p w14:paraId="702DBF38">
      <w:pPr>
        <w:spacing w:line="600" w:lineRule="exact"/>
        <w:ind w:firstLine="640" w:firstLineChars="200"/>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2.自评公开：本单位严格按照要求在市财政部门批复二十日后，根据区财政要求按时在部门、政府信息公开网上公示本绩效目标情况。同时部门整体支出绩效自评报告及其他按要求应公开的绩效信息均已公开。</w:t>
      </w:r>
    </w:p>
    <w:p w14:paraId="5567C595">
      <w:pPr>
        <w:spacing w:line="600" w:lineRule="exact"/>
        <w:ind w:firstLine="640" w:firstLineChars="200"/>
        <w:rPr>
          <w:rFonts w:hint="eastAsia" w:ascii="宋体" w:hAnsi="宋体" w:eastAsia="仿宋_GB2312"/>
          <w:b/>
          <w:sz w:val="32"/>
          <w:szCs w:val="32"/>
        </w:rPr>
      </w:pPr>
      <w:r>
        <w:rPr>
          <w:rFonts w:hint="eastAsia" w:ascii="宋体" w:hAnsi="宋体" w:eastAsia="仿宋_GB2312"/>
          <w:color w:val="000000"/>
          <w:sz w:val="32"/>
          <w:szCs w:val="32"/>
          <w:shd w:val="clear" w:color="auto" w:fill="FFFFFF"/>
          <w:lang w:val="zh-CN"/>
        </w:rPr>
        <w:t>3.问题整改、应用反馈：单位在2024年度财政预算绩效管理中未收到相关问题反馈，无整改、反馈事项。</w:t>
      </w:r>
    </w:p>
    <w:p w14:paraId="725932F1">
      <w:pPr>
        <w:spacing w:line="578" w:lineRule="exact"/>
        <w:ind w:firstLine="640" w:firstLineChars="200"/>
        <w:contextualSpacing/>
        <w:rPr>
          <w:rFonts w:hint="eastAsia" w:ascii="宋体" w:hAnsi="宋体" w:eastAsia="黑体"/>
          <w:color w:val="000000"/>
          <w:sz w:val="32"/>
          <w:szCs w:val="32"/>
          <w:shd w:val="clear" w:color="auto" w:fill="FFFFFF"/>
        </w:rPr>
      </w:pPr>
      <w:r>
        <w:rPr>
          <w:rFonts w:ascii="宋体" w:hAnsi="宋体" w:eastAsia="黑体"/>
          <w:color w:val="000000"/>
          <w:sz w:val="32"/>
          <w:szCs w:val="32"/>
          <w:shd w:val="clear" w:color="auto" w:fill="FFFFFF"/>
        </w:rPr>
        <w:t>四、评价结论及建议</w:t>
      </w:r>
    </w:p>
    <w:p w14:paraId="48BDB7D3">
      <w:pPr>
        <w:spacing w:line="578" w:lineRule="exact"/>
        <w:ind w:firstLine="640" w:firstLineChars="200"/>
        <w:contextualSpacing/>
        <w:rPr>
          <w:rFonts w:hint="eastAsia" w:ascii="宋体" w:hAnsi="宋体" w:eastAsia="仿宋_GB2312"/>
          <w:sz w:val="32"/>
          <w:szCs w:val="32"/>
        </w:rPr>
      </w:pPr>
      <w:r>
        <w:rPr>
          <w:rFonts w:ascii="宋体" w:hAnsi="宋体" w:eastAsia="楷体_GB2312"/>
          <w:sz w:val="32"/>
          <w:szCs w:val="32"/>
          <w:shd w:val="clear" w:color="auto" w:fill="FFFFFF"/>
          <w:lang w:val="zh-CN"/>
        </w:rPr>
        <w:t>（一）评价结论。</w:t>
      </w:r>
    </w:p>
    <w:p w14:paraId="3900EA9E">
      <w:pPr>
        <w:spacing w:line="578" w:lineRule="exact"/>
        <w:ind w:firstLine="640" w:firstLineChars="200"/>
        <w:contextualSpacing/>
        <w:rPr>
          <w:rFonts w:hint="eastAsia" w:ascii="宋体" w:hAnsi="宋体" w:eastAsia="仿宋_GB2312"/>
          <w:sz w:val="32"/>
          <w:szCs w:val="32"/>
        </w:rPr>
      </w:pPr>
      <w:r>
        <w:rPr>
          <w:rFonts w:hint="eastAsia" w:ascii="宋体" w:hAnsi="宋体" w:eastAsia="仿宋_GB2312"/>
          <w:sz w:val="32"/>
          <w:szCs w:val="32"/>
        </w:rPr>
        <w:t>2024年，四川省遂宁市西眉中学预算编制科学合理，绩效目标要素完整、量化清晰，与学校教育教学职能高度匹配；预算执行情况良好，资金使用合规高效；教育教学、师资建设、学生资助、校园安全等核心任务均完成预期目标，其中“教师培训次数”“学生资助覆盖率”等指标超额完成，有效保障了学校正常运转和教育质量提升。</w:t>
      </w:r>
    </w:p>
    <w:p w14:paraId="51C341C1">
      <w:pPr>
        <w:spacing w:line="578" w:lineRule="exact"/>
        <w:ind w:firstLine="640" w:firstLineChars="200"/>
        <w:contextualSpacing/>
        <w:rPr>
          <w:rFonts w:hint="eastAsia" w:ascii="宋体" w:hAnsi="宋体" w:eastAsia="楷体_GB2312"/>
          <w:b/>
          <w:bCs/>
          <w:color w:val="000000" w:themeColor="text1"/>
          <w:sz w:val="32"/>
          <w:szCs w:val="32"/>
          <w:shd w:val="clear" w:color="auto" w:fill="FFFFFF"/>
          <w14:textFill>
            <w14:solidFill>
              <w14:schemeClr w14:val="tx1"/>
            </w14:solidFill>
          </w14:textFill>
        </w:rPr>
      </w:pPr>
      <w:r>
        <w:rPr>
          <w:rFonts w:hint="eastAsia" w:ascii="宋体" w:hAnsi="宋体" w:eastAsia="仿宋_GB2312"/>
          <w:color w:val="000000" w:themeColor="text1"/>
          <w:sz w:val="32"/>
          <w:szCs w:val="32"/>
          <w14:textFill>
            <w14:solidFill>
              <w14:schemeClr w14:val="tx1"/>
            </w14:solidFill>
          </w14:textFill>
        </w:rPr>
        <w:t>单位自评得分97分，详见部门预算绩效自评打分表。</w:t>
      </w:r>
    </w:p>
    <w:p w14:paraId="44237E7E">
      <w:pPr>
        <w:spacing w:line="578" w:lineRule="exact"/>
        <w:ind w:firstLine="640" w:firstLineChars="200"/>
        <w:contextualSpacing/>
        <w:rPr>
          <w:rFonts w:hint="eastAsia" w:ascii="宋体" w:hAnsi="宋体" w:eastAsia="仿宋_GB2312"/>
          <w:w w:val="95"/>
          <w:sz w:val="32"/>
          <w:szCs w:val="32"/>
        </w:rPr>
      </w:pPr>
      <w:r>
        <w:rPr>
          <w:rFonts w:ascii="宋体" w:hAnsi="宋体" w:eastAsia="楷体_GB2312"/>
          <w:color w:val="000000"/>
          <w:sz w:val="32"/>
          <w:szCs w:val="32"/>
          <w:shd w:val="clear" w:color="auto" w:fill="FFFFFF"/>
          <w:lang w:val="zh-CN"/>
        </w:rPr>
        <w:t>（二）存在问题。</w:t>
      </w:r>
    </w:p>
    <w:p w14:paraId="60AA81BD">
      <w:pPr>
        <w:spacing w:line="578" w:lineRule="exact"/>
        <w:ind w:firstLine="640" w:firstLineChars="200"/>
        <w:contextualSpacing/>
        <w:rPr>
          <w:rFonts w:hint="eastAsia" w:ascii="宋体" w:hAnsi="宋体" w:eastAsia="仿宋_GB2312"/>
          <w:sz w:val="32"/>
          <w:szCs w:val="32"/>
        </w:rPr>
      </w:pPr>
      <w:r>
        <w:rPr>
          <w:rFonts w:hint="eastAsia" w:ascii="宋体" w:hAnsi="宋体" w:eastAsia="仿宋_GB2312"/>
          <w:sz w:val="32"/>
          <w:szCs w:val="32"/>
        </w:rPr>
        <w:t>1.项目执行进度不均：部分特定目标类项目执行率低于</w:t>
      </w:r>
      <w:r>
        <w:rPr>
          <w:rFonts w:ascii="宋体" w:hAnsi="宋体" w:eastAsia="仿宋_GB2312"/>
          <w:sz w:val="32"/>
          <w:szCs w:val="32"/>
        </w:rPr>
        <w:t>90%</w:t>
      </w:r>
      <w:r>
        <w:rPr>
          <w:rFonts w:hint="eastAsia" w:ascii="宋体" w:hAnsi="宋体" w:eastAsia="仿宋_GB2312"/>
          <w:sz w:val="32"/>
          <w:szCs w:val="32"/>
        </w:rPr>
        <w:t>，主要原因是校舍维修受天气影响工期延后，导致资金支付滞后。</w:t>
      </w:r>
      <w:r>
        <w:rPr>
          <w:rFonts w:ascii="Arial" w:hAnsi="Arial" w:eastAsia="仿宋_GB2312" w:cs="Arial"/>
          <w:sz w:val="32"/>
          <w:szCs w:val="32"/>
        </w:rPr>
        <w:t>​</w:t>
      </w:r>
    </w:p>
    <w:p w14:paraId="70B60F97">
      <w:pPr>
        <w:spacing w:line="578" w:lineRule="exact"/>
        <w:ind w:firstLine="640" w:firstLineChars="200"/>
        <w:contextualSpacing/>
        <w:rPr>
          <w:rFonts w:hint="eastAsia" w:ascii="宋体" w:hAnsi="宋体" w:eastAsia="仿宋_GB2312"/>
          <w:sz w:val="32"/>
          <w:szCs w:val="32"/>
        </w:rPr>
      </w:pPr>
      <w:r>
        <w:rPr>
          <w:rFonts w:hint="eastAsia" w:ascii="宋体" w:hAnsi="宋体" w:eastAsia="仿宋_GB2312"/>
          <w:sz w:val="32"/>
          <w:szCs w:val="32"/>
        </w:rPr>
        <w:t>2.预算编制精准性待提升：部分项目年初预算与实际支出存在差异，主要原因是对学生人数变动、教学需求调整的预判不足，导致预算与实际脱节。</w:t>
      </w:r>
    </w:p>
    <w:p w14:paraId="69813B7E">
      <w:pPr>
        <w:widowControl/>
        <w:numPr>
          <w:ilvl w:val="0"/>
          <w:numId w:val="2"/>
        </w:numPr>
        <w:adjustRightInd w:val="0"/>
        <w:snapToGrid w:val="0"/>
        <w:spacing w:line="578" w:lineRule="exact"/>
        <w:ind w:firstLine="640" w:firstLineChars="200"/>
        <w:contextualSpacing/>
        <w:jc w:val="left"/>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lang w:val="zh-CN"/>
        </w:rPr>
        <w:t>改进建议。</w:t>
      </w:r>
    </w:p>
    <w:p w14:paraId="79BE616E">
      <w:pPr>
        <w:spacing w:line="578" w:lineRule="exact"/>
        <w:ind w:firstLine="640" w:firstLineChars="200"/>
        <w:contextualSpacing/>
        <w:rPr>
          <w:rFonts w:hint="eastAsia" w:ascii="宋体" w:hAnsi="宋体" w:eastAsia="仿宋_GB2312"/>
          <w:sz w:val="32"/>
          <w:szCs w:val="32"/>
        </w:rPr>
      </w:pPr>
      <w:r>
        <w:rPr>
          <w:rFonts w:hint="eastAsia" w:ascii="宋体" w:hAnsi="宋体" w:eastAsia="仿宋_GB2312"/>
          <w:sz w:val="32"/>
          <w:szCs w:val="32"/>
        </w:rPr>
        <w:t>1.提高预算绩效目标意识，加强绩效结果内部应用；进一步规范绩效目标编制，在编制项目资金绩效目标时要求指向明确、细化量化、合理可行、相应匹配。</w:t>
      </w:r>
    </w:p>
    <w:p w14:paraId="74A98FE7">
      <w:pPr>
        <w:spacing w:line="578" w:lineRule="exact"/>
        <w:ind w:firstLine="640" w:firstLineChars="200"/>
        <w:contextualSpacing/>
        <w:rPr>
          <w:rFonts w:hint="eastAsia" w:ascii="宋体" w:hAnsi="宋体" w:eastAsia="仿宋_GB2312"/>
          <w:sz w:val="32"/>
          <w:szCs w:val="32"/>
        </w:rPr>
      </w:pPr>
      <w:r>
        <w:rPr>
          <w:rFonts w:hint="eastAsia" w:ascii="宋体" w:hAnsi="宋体" w:eastAsia="仿宋_GB2312"/>
          <w:sz w:val="32"/>
          <w:szCs w:val="32"/>
        </w:rPr>
        <w:t>2.提升财政资金配置效率和使用效益，科学编制预算，规范执行。我们将进一步重视预算的编制工作，提高预算编制的精确度，提高财政资金使用效率，尽量减少预算执行调整、结转和结余情形。加强资金的合理使用，提前做好资金使用规划，确保资金有序正常使用。</w:t>
      </w:r>
    </w:p>
    <w:p w14:paraId="027D54AF">
      <w:pPr>
        <w:spacing w:line="578" w:lineRule="exact"/>
        <w:ind w:firstLine="640" w:firstLineChars="200"/>
        <w:contextualSpacing/>
        <w:rPr>
          <w:rFonts w:hint="eastAsia" w:ascii="宋体" w:hAnsi="宋体" w:eastAsia="仿宋_GB2312"/>
          <w:sz w:val="32"/>
          <w:szCs w:val="32"/>
        </w:rPr>
      </w:pPr>
    </w:p>
    <w:p w14:paraId="4C07FC1C">
      <w:pPr>
        <w:spacing w:line="578" w:lineRule="exact"/>
        <w:contextualSpacing/>
        <w:jc w:val="left"/>
        <w:rPr>
          <w:rFonts w:hint="eastAsia" w:ascii="宋体" w:hAnsi="宋体" w:eastAsia="仿宋_GB2312"/>
          <w:sz w:val="32"/>
          <w:szCs w:val="32"/>
        </w:rPr>
      </w:pPr>
      <w:r>
        <w:rPr>
          <w:rFonts w:ascii="宋体" w:hAnsi="宋体" w:eastAsia="仿宋_GB2312"/>
          <w:sz w:val="32"/>
          <w:szCs w:val="32"/>
        </w:rPr>
        <w:t xml:space="preserve">    </w:t>
      </w:r>
      <w:r>
        <w:rPr>
          <w:rFonts w:hint="eastAsia" w:ascii="宋体" w:hAnsi="宋体" w:eastAsia="仿宋_GB2312"/>
          <w:sz w:val="32"/>
          <w:szCs w:val="32"/>
        </w:rPr>
        <w:t>附表</w:t>
      </w:r>
      <w:r>
        <w:rPr>
          <w:rFonts w:hint="eastAsia"/>
          <w:sz w:val="32"/>
          <w:lang w:val="zh-CN"/>
        </w:rPr>
        <w:t>：</w:t>
      </w:r>
      <w:r>
        <w:rPr>
          <w:rFonts w:hint="eastAsia" w:ascii="宋体" w:hAnsi="宋体" w:eastAsia="仿宋_GB2312"/>
          <w:sz w:val="32"/>
          <w:szCs w:val="32"/>
        </w:rPr>
        <w:t>1.部门整体支出绩效自评表</w:t>
      </w:r>
    </w:p>
    <w:p w14:paraId="5FED108C">
      <w:pPr>
        <w:widowControl/>
        <w:ind w:firstLine="960" w:firstLineChars="300"/>
        <w:jc w:val="left"/>
        <w:rPr>
          <w:rFonts w:hint="eastAsia" w:ascii="宋体" w:hAnsi="宋体" w:eastAsia="仿宋_GB2312"/>
          <w:sz w:val="32"/>
          <w:szCs w:val="32"/>
        </w:rPr>
      </w:pPr>
      <w:r>
        <w:rPr>
          <w:rFonts w:ascii="宋体" w:hAnsi="宋体" w:eastAsia="仿宋_GB2312"/>
          <w:sz w:val="32"/>
          <w:szCs w:val="32"/>
        </w:rPr>
        <w:t xml:space="preserve">    </w:t>
      </w:r>
      <w:r>
        <w:rPr>
          <w:rFonts w:hint="eastAsia" w:ascii="宋体" w:hAnsi="宋体" w:eastAsia="仿宋_GB2312"/>
          <w:sz w:val="32"/>
          <w:szCs w:val="32"/>
        </w:rPr>
        <w:t>2.部门预算</w:t>
      </w:r>
      <w:r>
        <w:rPr>
          <w:rFonts w:hint="eastAsia" w:ascii="宋体" w:hAnsi="宋体" w:eastAsia="仿宋_GB2312"/>
          <w:sz w:val="32"/>
          <w:szCs w:val="32"/>
          <w:lang w:eastAsia="zh-CN"/>
        </w:rPr>
        <w:t>项目支出</w:t>
      </w:r>
      <w:r>
        <w:rPr>
          <w:rFonts w:hint="eastAsia" w:ascii="宋体" w:hAnsi="宋体" w:eastAsia="仿宋_GB2312"/>
          <w:sz w:val="32"/>
          <w:szCs w:val="32"/>
        </w:rPr>
        <w:t>绩</w:t>
      </w:r>
      <w:r>
        <w:rPr>
          <w:rFonts w:hint="eastAsia" w:ascii="宋体" w:hAnsi="宋体" w:eastAsia="仿宋_GB2312"/>
          <w:sz w:val="32"/>
          <w:szCs w:val="32"/>
          <w:lang w:eastAsia="zh-CN"/>
        </w:rPr>
        <w:t>效</w:t>
      </w:r>
      <w:r>
        <w:rPr>
          <w:rFonts w:hint="eastAsia" w:ascii="宋体" w:hAnsi="宋体" w:eastAsia="仿宋_GB2312"/>
          <w:sz w:val="32"/>
          <w:szCs w:val="32"/>
        </w:rPr>
        <w:t>自评表(2024年度)</w:t>
      </w:r>
    </w:p>
    <w:p w14:paraId="2FB0A020">
      <w:pPr>
        <w:pStyle w:val="2"/>
        <w:rPr>
          <w:lang w:val="zh-CN"/>
        </w:rPr>
      </w:pPr>
    </w:p>
    <w:p w14:paraId="7BA0CDC7">
      <w:pPr>
        <w:pStyle w:val="3"/>
        <w:ind w:left="420"/>
        <w:rPr>
          <w:lang w:val="zh-CN"/>
        </w:rPr>
      </w:pPr>
    </w:p>
    <w:p w14:paraId="6F13F8E8">
      <w:pPr>
        <w:pStyle w:val="3"/>
        <w:ind w:left="420"/>
        <w:rPr>
          <w:lang w:val="zh-CN"/>
        </w:rPr>
      </w:pPr>
    </w:p>
    <w:p w14:paraId="51BB4B18">
      <w:pPr>
        <w:widowControl/>
        <w:jc w:val="left"/>
        <w:rPr>
          <w:rFonts w:ascii="仿宋_GB2312"/>
          <w:szCs w:val="32"/>
          <w:lang w:val="zh-CN"/>
        </w:rPr>
      </w:pPr>
      <w:r>
        <w:rPr>
          <w:lang w:val="zh-CN"/>
        </w:rPr>
        <w:br w:type="page"/>
      </w:r>
    </w:p>
    <w:tbl>
      <w:tblPr>
        <w:tblStyle w:val="17"/>
        <w:tblW w:w="10722" w:type="dxa"/>
        <w:jc w:val="center"/>
        <w:tblLayout w:type="fixed"/>
        <w:tblCellMar>
          <w:top w:w="0" w:type="dxa"/>
          <w:left w:w="108" w:type="dxa"/>
          <w:bottom w:w="0" w:type="dxa"/>
          <w:right w:w="108" w:type="dxa"/>
        </w:tblCellMar>
      </w:tblPr>
      <w:tblGrid>
        <w:gridCol w:w="699"/>
        <w:gridCol w:w="919"/>
        <w:gridCol w:w="1428"/>
        <w:gridCol w:w="692"/>
        <w:gridCol w:w="1701"/>
        <w:gridCol w:w="3808"/>
        <w:gridCol w:w="766"/>
        <w:gridCol w:w="700"/>
        <w:gridCol w:w="9"/>
      </w:tblGrid>
      <w:tr w14:paraId="54EE2DD7">
        <w:tblPrEx>
          <w:tblCellMar>
            <w:top w:w="0" w:type="dxa"/>
            <w:left w:w="108" w:type="dxa"/>
            <w:bottom w:w="0" w:type="dxa"/>
            <w:right w:w="108" w:type="dxa"/>
          </w:tblCellMar>
        </w:tblPrEx>
        <w:trPr>
          <w:trHeight w:val="645" w:hRule="atLeast"/>
          <w:jc w:val="center"/>
        </w:trPr>
        <w:tc>
          <w:tcPr>
            <w:tcW w:w="10722" w:type="dxa"/>
            <w:gridSpan w:val="9"/>
            <w:tcBorders>
              <w:top w:val="nil"/>
              <w:left w:val="nil"/>
              <w:bottom w:val="nil"/>
              <w:right w:val="nil"/>
            </w:tcBorders>
            <w:vAlign w:val="center"/>
          </w:tcPr>
          <w:p w14:paraId="0C0DCBD0">
            <w:pPr>
              <w:rPr>
                <w:rFonts w:eastAsia="黑体" w:cs="黑体"/>
                <w:kern w:val="0"/>
                <w:sz w:val="32"/>
                <w:szCs w:val="32"/>
                <w:shd w:val="clear" w:color="auto" w:fill="FFFFFF"/>
                <w:lang w:val="zh-CN"/>
              </w:rPr>
            </w:pPr>
            <w:r>
              <w:rPr>
                <w:rFonts w:hint="eastAsia"/>
                <w:color w:val="000000"/>
                <w:kern w:val="0"/>
                <w:sz w:val="33"/>
                <w:szCs w:val="33"/>
                <w:shd w:val="clear" w:color="auto" w:fill="FFFFFF"/>
              </w:rPr>
              <w:t>附表1：</w:t>
            </w:r>
            <w:r>
              <w:rPr>
                <w:rFonts w:hint="eastAsia" w:eastAsia="黑体" w:cs="黑体"/>
                <w:kern w:val="0"/>
                <w:sz w:val="32"/>
                <w:szCs w:val="32"/>
                <w:shd w:val="clear" w:color="auto" w:fill="FFFFFF"/>
                <w:lang w:val="zh-CN"/>
              </w:rPr>
              <w:br w:type="page"/>
            </w:r>
          </w:p>
          <w:p w14:paraId="2B4205CB">
            <w:pPr>
              <w:widowControl/>
              <w:jc w:val="center"/>
              <w:rPr>
                <w:rFonts w:hint="eastAsia" w:ascii="方正小标宋简体" w:hAnsi="方正小标宋简体" w:eastAsia="方正小标宋简体" w:cs="宋体"/>
                <w:kern w:val="0"/>
                <w:sz w:val="48"/>
                <w:szCs w:val="48"/>
              </w:rPr>
            </w:pPr>
            <w:r>
              <w:rPr>
                <w:rFonts w:hint="eastAsia" w:eastAsia="黑体" w:cs="黑体"/>
                <w:kern w:val="0"/>
                <w:sz w:val="32"/>
                <w:szCs w:val="32"/>
                <w:shd w:val="clear" w:color="auto" w:fill="FFFFFF"/>
                <w:lang w:val="zh-CN"/>
              </w:rPr>
              <w:br w:type="page"/>
            </w:r>
            <w:r>
              <w:rPr>
                <w:rFonts w:eastAsia="黑体" w:cs="黑体"/>
                <w:kern w:val="0"/>
                <w:sz w:val="32"/>
                <w:szCs w:val="32"/>
                <w:shd w:val="clear" w:color="auto" w:fill="FFFFFF"/>
                <w:lang w:val="zh-CN"/>
              </w:rPr>
              <w:br w:type="page"/>
            </w:r>
            <w:r>
              <w:rPr>
                <w:rFonts w:hint="eastAsia" w:ascii="方正小标宋简体" w:hAnsi="方正小标宋简体" w:eastAsia="方正小标宋简体" w:cs="宋体"/>
                <w:kern w:val="0"/>
                <w:sz w:val="48"/>
                <w:szCs w:val="48"/>
              </w:rPr>
              <w:t>部门整体支出绩效自评表</w:t>
            </w:r>
          </w:p>
        </w:tc>
      </w:tr>
      <w:tr w14:paraId="00D925D5">
        <w:tblPrEx>
          <w:tblCellMar>
            <w:top w:w="0" w:type="dxa"/>
            <w:left w:w="108" w:type="dxa"/>
            <w:bottom w:w="0" w:type="dxa"/>
            <w:right w:w="108" w:type="dxa"/>
          </w:tblCellMar>
        </w:tblPrEx>
        <w:trPr>
          <w:gridAfter w:val="1"/>
          <w:wAfter w:w="9" w:type="dxa"/>
          <w:jc w:val="center"/>
        </w:trPr>
        <w:tc>
          <w:tcPr>
            <w:tcW w:w="3738" w:type="dxa"/>
            <w:gridSpan w:val="4"/>
            <w:tcBorders>
              <w:top w:val="single" w:color="auto" w:sz="4" w:space="0"/>
              <w:left w:val="single" w:color="auto" w:sz="4" w:space="0"/>
              <w:bottom w:val="single" w:color="auto" w:sz="4" w:space="0"/>
              <w:right w:val="single" w:color="auto" w:sz="4" w:space="0"/>
            </w:tcBorders>
            <w:vAlign w:val="center"/>
          </w:tcPr>
          <w:p w14:paraId="3770FE8D">
            <w:pPr>
              <w:widowControl/>
              <w:jc w:val="center"/>
              <w:rPr>
                <w:rFonts w:hint="eastAsia" w:ascii="黑体" w:hAnsi="黑体" w:eastAsia="黑体" w:cs="宋体"/>
                <w:kern w:val="0"/>
                <w:sz w:val="24"/>
              </w:rPr>
            </w:pPr>
            <w:r>
              <w:rPr>
                <w:rFonts w:hint="eastAsia" w:ascii="黑体" w:hAnsi="黑体" w:eastAsia="黑体" w:cs="宋体"/>
                <w:kern w:val="0"/>
                <w:sz w:val="24"/>
              </w:rPr>
              <w:t>绩效指标</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47B29D34">
            <w:pPr>
              <w:widowControl/>
              <w:jc w:val="center"/>
              <w:rPr>
                <w:rFonts w:hint="eastAsia" w:ascii="黑体" w:hAnsi="黑体" w:eastAsia="黑体" w:cs="宋体"/>
                <w:kern w:val="0"/>
                <w:sz w:val="24"/>
              </w:rPr>
            </w:pPr>
            <w:r>
              <w:rPr>
                <w:rFonts w:hint="eastAsia" w:ascii="黑体" w:hAnsi="黑体" w:eastAsia="黑体" w:cs="宋体"/>
                <w:kern w:val="0"/>
                <w:sz w:val="24"/>
              </w:rPr>
              <w:t>指标解释</w:t>
            </w:r>
          </w:p>
        </w:tc>
        <w:tc>
          <w:tcPr>
            <w:tcW w:w="3808" w:type="dxa"/>
            <w:vMerge w:val="restart"/>
            <w:tcBorders>
              <w:top w:val="single" w:color="auto" w:sz="4" w:space="0"/>
              <w:left w:val="single" w:color="auto" w:sz="4" w:space="0"/>
              <w:bottom w:val="single" w:color="auto" w:sz="4" w:space="0"/>
              <w:right w:val="single" w:color="auto" w:sz="4" w:space="0"/>
            </w:tcBorders>
            <w:vAlign w:val="center"/>
          </w:tcPr>
          <w:p w14:paraId="3F9C0C04">
            <w:pPr>
              <w:widowControl/>
              <w:jc w:val="center"/>
              <w:rPr>
                <w:rFonts w:hint="eastAsia" w:ascii="黑体" w:hAnsi="黑体" w:eastAsia="黑体" w:cs="宋体"/>
                <w:kern w:val="0"/>
                <w:sz w:val="24"/>
              </w:rPr>
            </w:pPr>
            <w:r>
              <w:rPr>
                <w:rFonts w:hint="eastAsia" w:ascii="黑体" w:hAnsi="黑体" w:eastAsia="黑体" w:cs="宋体"/>
                <w:kern w:val="0"/>
                <w:sz w:val="24"/>
              </w:rPr>
              <w:t>评分说明</w:t>
            </w:r>
          </w:p>
        </w:tc>
        <w:tc>
          <w:tcPr>
            <w:tcW w:w="766" w:type="dxa"/>
            <w:vMerge w:val="restart"/>
            <w:tcBorders>
              <w:top w:val="single" w:color="auto" w:sz="4" w:space="0"/>
              <w:left w:val="single" w:color="auto" w:sz="4" w:space="0"/>
              <w:bottom w:val="single" w:color="auto" w:sz="4" w:space="0"/>
              <w:right w:val="single" w:color="auto" w:sz="4" w:space="0"/>
            </w:tcBorders>
            <w:vAlign w:val="center"/>
          </w:tcPr>
          <w:p w14:paraId="1C6B0B6E">
            <w:pPr>
              <w:widowControl/>
              <w:jc w:val="center"/>
              <w:rPr>
                <w:rFonts w:hint="eastAsia" w:ascii="黑体" w:hAnsi="黑体" w:eastAsia="黑体" w:cs="宋体"/>
                <w:kern w:val="0"/>
                <w:sz w:val="24"/>
              </w:rPr>
            </w:pPr>
            <w:r>
              <w:rPr>
                <w:rFonts w:hint="eastAsia" w:ascii="黑体" w:hAnsi="黑体" w:eastAsia="黑体" w:cs="宋体"/>
                <w:kern w:val="0"/>
                <w:sz w:val="24"/>
              </w:rPr>
              <w:t>自评得分</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0ED0E10B">
            <w:pPr>
              <w:widowControl/>
              <w:jc w:val="center"/>
              <w:rPr>
                <w:rFonts w:hint="eastAsia" w:ascii="黑体" w:hAnsi="黑体" w:eastAsia="黑体" w:cs="宋体"/>
                <w:kern w:val="0"/>
                <w:sz w:val="24"/>
              </w:rPr>
            </w:pPr>
            <w:r>
              <w:rPr>
                <w:rFonts w:hint="eastAsia" w:ascii="黑体" w:hAnsi="黑体" w:eastAsia="黑体" w:cs="宋体"/>
                <w:kern w:val="0"/>
                <w:sz w:val="24"/>
              </w:rPr>
              <w:t>备注</w:t>
            </w:r>
          </w:p>
        </w:tc>
      </w:tr>
      <w:tr w14:paraId="1E027652">
        <w:tblPrEx>
          <w:tblCellMar>
            <w:top w:w="0" w:type="dxa"/>
            <w:left w:w="108" w:type="dxa"/>
            <w:bottom w:w="0" w:type="dxa"/>
            <w:right w:w="108" w:type="dxa"/>
          </w:tblCellMar>
        </w:tblPrEx>
        <w:trPr>
          <w:gridAfter w:val="1"/>
          <w:wAfter w:w="9" w:type="dxa"/>
          <w:trHeight w:val="1248" w:hRule="atLeast"/>
          <w:jc w:val="center"/>
        </w:trPr>
        <w:tc>
          <w:tcPr>
            <w:tcW w:w="699" w:type="dxa"/>
            <w:tcBorders>
              <w:top w:val="single" w:color="auto" w:sz="4" w:space="0"/>
              <w:left w:val="single" w:color="auto" w:sz="4" w:space="0"/>
              <w:bottom w:val="single" w:color="auto" w:sz="4" w:space="0"/>
              <w:right w:val="nil"/>
            </w:tcBorders>
            <w:vAlign w:val="center"/>
          </w:tcPr>
          <w:p w14:paraId="56D14446">
            <w:pPr>
              <w:widowControl/>
              <w:jc w:val="center"/>
              <w:rPr>
                <w:rFonts w:hint="eastAsia" w:ascii="黑体" w:hAnsi="黑体" w:eastAsia="黑体" w:cs="宋体"/>
                <w:kern w:val="0"/>
                <w:sz w:val="24"/>
              </w:rPr>
            </w:pPr>
            <w:r>
              <w:rPr>
                <w:rFonts w:hint="eastAsia" w:ascii="黑体" w:hAnsi="黑体" w:eastAsia="黑体" w:cs="宋体"/>
                <w:kern w:val="0"/>
                <w:sz w:val="24"/>
              </w:rPr>
              <w:t>一级指标</w:t>
            </w:r>
          </w:p>
        </w:tc>
        <w:tc>
          <w:tcPr>
            <w:tcW w:w="919" w:type="dxa"/>
            <w:tcBorders>
              <w:top w:val="single" w:color="auto" w:sz="4" w:space="0"/>
              <w:left w:val="single" w:color="auto" w:sz="4" w:space="0"/>
              <w:bottom w:val="single" w:color="auto" w:sz="4" w:space="0"/>
              <w:right w:val="single" w:color="auto" w:sz="4" w:space="0"/>
            </w:tcBorders>
            <w:vAlign w:val="center"/>
          </w:tcPr>
          <w:p w14:paraId="43F33354">
            <w:pPr>
              <w:widowControl/>
              <w:jc w:val="center"/>
              <w:rPr>
                <w:rFonts w:hint="eastAsia" w:ascii="黑体" w:hAnsi="黑体" w:eastAsia="黑体" w:cs="宋体"/>
                <w:kern w:val="0"/>
                <w:sz w:val="24"/>
              </w:rPr>
            </w:pPr>
            <w:r>
              <w:rPr>
                <w:rFonts w:hint="eastAsia" w:ascii="黑体" w:hAnsi="黑体" w:eastAsia="黑体" w:cs="宋体"/>
                <w:kern w:val="0"/>
                <w:sz w:val="24"/>
              </w:rPr>
              <w:t>二级指标</w:t>
            </w:r>
          </w:p>
        </w:tc>
        <w:tc>
          <w:tcPr>
            <w:tcW w:w="1428" w:type="dxa"/>
            <w:tcBorders>
              <w:top w:val="single" w:color="auto" w:sz="4" w:space="0"/>
              <w:left w:val="nil"/>
              <w:bottom w:val="single" w:color="auto" w:sz="4" w:space="0"/>
              <w:right w:val="single" w:color="auto" w:sz="4" w:space="0"/>
            </w:tcBorders>
            <w:vAlign w:val="center"/>
          </w:tcPr>
          <w:p w14:paraId="00FE28F9">
            <w:pPr>
              <w:widowControl/>
              <w:jc w:val="center"/>
              <w:rPr>
                <w:rFonts w:hint="eastAsia" w:ascii="黑体" w:hAnsi="黑体" w:eastAsia="黑体" w:cs="宋体"/>
                <w:kern w:val="0"/>
                <w:sz w:val="24"/>
              </w:rPr>
            </w:pPr>
            <w:r>
              <w:rPr>
                <w:rFonts w:hint="eastAsia" w:ascii="黑体" w:hAnsi="黑体" w:eastAsia="黑体" w:cs="宋体"/>
                <w:kern w:val="0"/>
                <w:sz w:val="24"/>
              </w:rPr>
              <w:t>三级指标</w:t>
            </w:r>
          </w:p>
        </w:tc>
        <w:tc>
          <w:tcPr>
            <w:tcW w:w="692" w:type="dxa"/>
            <w:tcBorders>
              <w:top w:val="single" w:color="auto" w:sz="4" w:space="0"/>
              <w:left w:val="nil"/>
              <w:bottom w:val="single" w:color="auto" w:sz="4" w:space="0"/>
              <w:right w:val="single" w:color="auto" w:sz="4" w:space="0"/>
            </w:tcBorders>
            <w:vAlign w:val="center"/>
          </w:tcPr>
          <w:p w14:paraId="20A1E69F">
            <w:pPr>
              <w:widowControl/>
              <w:jc w:val="center"/>
              <w:rPr>
                <w:rFonts w:hint="eastAsia" w:ascii="黑体" w:hAnsi="黑体" w:eastAsia="黑体" w:cs="宋体"/>
                <w:kern w:val="0"/>
                <w:sz w:val="24"/>
              </w:rPr>
            </w:pPr>
            <w:r>
              <w:rPr>
                <w:rFonts w:hint="eastAsia" w:ascii="黑体" w:hAnsi="黑体" w:eastAsia="黑体" w:cs="宋体"/>
                <w:kern w:val="0"/>
                <w:sz w:val="24"/>
              </w:rPr>
              <w:t>指标分值</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71ED8CE6">
            <w:pPr>
              <w:widowControl/>
              <w:jc w:val="left"/>
              <w:rPr>
                <w:rFonts w:hint="eastAsia" w:ascii="黑体" w:hAnsi="黑体" w:eastAsia="黑体" w:cs="宋体"/>
                <w:kern w:val="0"/>
                <w:sz w:val="24"/>
              </w:rPr>
            </w:pPr>
          </w:p>
        </w:tc>
        <w:tc>
          <w:tcPr>
            <w:tcW w:w="3808" w:type="dxa"/>
            <w:vMerge w:val="continue"/>
            <w:tcBorders>
              <w:top w:val="single" w:color="auto" w:sz="4" w:space="0"/>
              <w:left w:val="single" w:color="auto" w:sz="4" w:space="0"/>
              <w:bottom w:val="single" w:color="auto" w:sz="4" w:space="0"/>
              <w:right w:val="single" w:color="auto" w:sz="4" w:space="0"/>
            </w:tcBorders>
            <w:vAlign w:val="center"/>
          </w:tcPr>
          <w:p w14:paraId="7E40339F">
            <w:pPr>
              <w:widowControl/>
              <w:jc w:val="left"/>
              <w:rPr>
                <w:rFonts w:hint="eastAsia" w:ascii="黑体" w:hAnsi="黑体" w:eastAsia="黑体" w:cs="宋体"/>
                <w:kern w:val="0"/>
                <w:sz w:val="24"/>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6E99DCF6">
            <w:pPr>
              <w:widowControl/>
              <w:jc w:val="left"/>
              <w:rPr>
                <w:rFonts w:hint="eastAsia" w:ascii="黑体" w:hAnsi="黑体" w:eastAsia="黑体" w:cs="宋体"/>
                <w:kern w:val="0"/>
                <w:sz w:val="24"/>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6767E396">
            <w:pPr>
              <w:widowControl/>
              <w:jc w:val="left"/>
              <w:rPr>
                <w:rFonts w:hint="eastAsia" w:ascii="黑体" w:hAnsi="黑体" w:eastAsia="黑体" w:cs="宋体"/>
                <w:kern w:val="0"/>
                <w:sz w:val="24"/>
              </w:rPr>
            </w:pPr>
          </w:p>
        </w:tc>
      </w:tr>
      <w:tr w14:paraId="534E7097">
        <w:tblPrEx>
          <w:tblCellMar>
            <w:top w:w="0" w:type="dxa"/>
            <w:left w:w="108" w:type="dxa"/>
            <w:bottom w:w="0" w:type="dxa"/>
            <w:right w:w="108" w:type="dxa"/>
          </w:tblCellMar>
        </w:tblPrEx>
        <w:trPr>
          <w:gridAfter w:val="1"/>
          <w:wAfter w:w="9" w:type="dxa"/>
          <w:trHeight w:val="468"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14:paraId="5B75DC13">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45B27EEA">
            <w:pPr>
              <w:widowControl/>
              <w:jc w:val="center"/>
              <w:rPr>
                <w:rFonts w:hint="eastAsia" w:ascii="宋体" w:hAnsi="宋体" w:cs="宋体"/>
                <w:b/>
                <w:bCs/>
                <w:kern w:val="0"/>
                <w:sz w:val="24"/>
              </w:rPr>
            </w:pPr>
            <w:r>
              <w:rPr>
                <w:rFonts w:hint="eastAsia" w:ascii="宋体" w:hAnsi="宋体" w:cs="宋体"/>
                <w:b/>
                <w:bCs/>
                <w:kern w:val="0"/>
                <w:sz w:val="24"/>
              </w:rPr>
              <w:t>履职效能</w:t>
            </w:r>
            <w:r>
              <w:rPr>
                <w:rFonts w:hint="eastAsia" w:ascii="宋体" w:hAnsi="宋体" w:cs="宋体"/>
                <w:b/>
                <w:bCs/>
                <w:kern w:val="0"/>
                <w:sz w:val="24"/>
              </w:rPr>
              <w:br w:type="textWrapping"/>
            </w:r>
            <w:r>
              <w:rPr>
                <w:rFonts w:hint="eastAsia" w:ascii="宋体" w:hAnsi="宋体" w:cs="宋体"/>
                <w:b/>
                <w:bCs/>
                <w:kern w:val="0"/>
                <w:sz w:val="24"/>
              </w:rPr>
              <w:t>（19分）</w:t>
            </w:r>
          </w:p>
        </w:tc>
        <w:tc>
          <w:tcPr>
            <w:tcW w:w="1428" w:type="dxa"/>
            <w:tcBorders>
              <w:top w:val="single" w:color="auto" w:sz="4" w:space="0"/>
              <w:left w:val="nil"/>
              <w:bottom w:val="single" w:color="auto" w:sz="4" w:space="0"/>
              <w:right w:val="single" w:color="auto" w:sz="4" w:space="0"/>
            </w:tcBorders>
            <w:vAlign w:val="center"/>
          </w:tcPr>
          <w:p w14:paraId="2E8EB4F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教学质量达标</w:t>
            </w:r>
          </w:p>
        </w:tc>
        <w:tc>
          <w:tcPr>
            <w:tcW w:w="692" w:type="dxa"/>
            <w:vMerge w:val="restart"/>
            <w:tcBorders>
              <w:top w:val="single" w:color="auto" w:sz="4" w:space="0"/>
              <w:left w:val="single" w:color="auto" w:sz="4" w:space="0"/>
              <w:bottom w:val="single" w:color="auto" w:sz="4" w:space="0"/>
              <w:right w:val="single" w:color="auto" w:sz="4" w:space="0"/>
            </w:tcBorders>
            <w:vAlign w:val="center"/>
          </w:tcPr>
          <w:p w14:paraId="7E09B9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1701" w:type="dxa"/>
            <w:vMerge w:val="restart"/>
            <w:tcBorders>
              <w:top w:val="single" w:color="auto" w:sz="4" w:space="0"/>
              <w:left w:val="single" w:color="auto" w:sz="4" w:space="0"/>
              <w:bottom w:val="single" w:color="auto" w:sz="4" w:space="0"/>
              <w:right w:val="single" w:color="auto" w:sz="4" w:space="0"/>
            </w:tcBorders>
          </w:tcPr>
          <w:p w14:paraId="31F064EB">
            <w:pPr>
              <w:widowControl/>
              <w:jc w:val="left"/>
              <w:rPr>
                <w:rFonts w:hint="eastAsia" w:ascii="宋体" w:hAnsi="宋体" w:cs="宋体"/>
                <w:color w:val="000000"/>
                <w:kern w:val="0"/>
                <w:sz w:val="15"/>
                <w:szCs w:val="18"/>
              </w:rPr>
            </w:pPr>
            <w:r>
              <w:rPr>
                <w:rFonts w:hint="eastAsia"/>
                <w:sz w:val="15"/>
                <w:szCs w:val="18"/>
              </w:rPr>
              <w:t>部门整体绩效目标中选定4-6个核心职能目标，反映该项职能目标完成效果情况</w:t>
            </w:r>
          </w:p>
        </w:tc>
        <w:tc>
          <w:tcPr>
            <w:tcW w:w="3808" w:type="dxa"/>
            <w:vMerge w:val="restart"/>
            <w:tcBorders>
              <w:top w:val="single" w:color="auto" w:sz="4" w:space="0"/>
              <w:left w:val="single" w:color="auto" w:sz="4" w:space="0"/>
              <w:bottom w:val="single" w:color="auto" w:sz="4" w:space="0"/>
              <w:right w:val="single" w:color="auto" w:sz="4" w:space="0"/>
            </w:tcBorders>
          </w:tcPr>
          <w:p w14:paraId="6E14EF98">
            <w:pPr>
              <w:widowControl/>
              <w:jc w:val="left"/>
              <w:rPr>
                <w:rFonts w:hint="eastAsia" w:ascii="宋体" w:hAnsi="宋体" w:cs="宋体"/>
                <w:color w:val="000000"/>
                <w:kern w:val="0"/>
                <w:sz w:val="15"/>
                <w:szCs w:val="18"/>
              </w:rPr>
            </w:pPr>
            <w:r>
              <w:rPr>
                <w:rFonts w:hint="eastAsia"/>
                <w:sz w:val="15"/>
                <w:szCs w:val="18"/>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766" w:type="dxa"/>
            <w:vMerge w:val="restart"/>
            <w:tcBorders>
              <w:top w:val="single" w:color="auto" w:sz="4" w:space="0"/>
              <w:left w:val="single" w:color="auto" w:sz="4" w:space="0"/>
              <w:bottom w:val="single" w:color="auto" w:sz="4" w:space="0"/>
              <w:right w:val="single" w:color="auto" w:sz="4" w:space="0"/>
            </w:tcBorders>
            <w:vAlign w:val="center"/>
          </w:tcPr>
          <w:p w14:paraId="551DDD7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482FF903">
            <w:pPr>
              <w:widowControl/>
              <w:jc w:val="center"/>
              <w:rPr>
                <w:rFonts w:hint="eastAsia" w:ascii="宋体" w:hAnsi="宋体" w:cs="宋体"/>
                <w:kern w:val="0"/>
                <w:sz w:val="24"/>
              </w:rPr>
            </w:pPr>
            <w:r>
              <w:rPr>
                <w:rFonts w:hint="eastAsia" w:ascii="宋体" w:hAnsi="宋体" w:cs="宋体"/>
                <w:kern w:val="0"/>
                <w:sz w:val="24"/>
              </w:rPr>
              <w:t>　</w:t>
            </w:r>
          </w:p>
        </w:tc>
      </w:tr>
      <w:tr w14:paraId="701E80E3">
        <w:tblPrEx>
          <w:tblCellMar>
            <w:top w:w="0" w:type="dxa"/>
            <w:left w:w="108" w:type="dxa"/>
            <w:bottom w:w="0" w:type="dxa"/>
            <w:right w:w="108" w:type="dxa"/>
          </w:tblCellMar>
        </w:tblPrEx>
        <w:trPr>
          <w:gridAfter w:val="1"/>
          <w:wAfter w:w="9" w:type="dxa"/>
          <w:trHeight w:val="468"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62ABD822">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14751822">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1489BBC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师资培训落地</w:t>
            </w:r>
          </w:p>
        </w:tc>
        <w:tc>
          <w:tcPr>
            <w:tcW w:w="692" w:type="dxa"/>
            <w:vMerge w:val="continue"/>
            <w:tcBorders>
              <w:top w:val="single" w:color="auto" w:sz="4" w:space="0"/>
              <w:left w:val="single" w:color="auto" w:sz="4" w:space="0"/>
              <w:bottom w:val="single" w:color="auto" w:sz="4" w:space="0"/>
              <w:right w:val="single" w:color="auto" w:sz="4" w:space="0"/>
            </w:tcBorders>
            <w:vAlign w:val="center"/>
          </w:tcPr>
          <w:p w14:paraId="58F98F16">
            <w:pPr>
              <w:widowControl/>
              <w:jc w:val="left"/>
              <w:rPr>
                <w:rFonts w:hint="eastAsia" w:ascii="宋体" w:hAnsi="宋体" w:cs="宋体"/>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E8E0F50">
            <w:pPr>
              <w:widowControl/>
              <w:jc w:val="left"/>
              <w:rPr>
                <w:rFonts w:hint="eastAsia" w:ascii="宋体" w:hAnsi="宋体" w:cs="宋体"/>
                <w:kern w:val="0"/>
                <w:sz w:val="15"/>
                <w:szCs w:val="18"/>
              </w:rPr>
            </w:pPr>
          </w:p>
        </w:tc>
        <w:tc>
          <w:tcPr>
            <w:tcW w:w="3808" w:type="dxa"/>
            <w:vMerge w:val="continue"/>
            <w:tcBorders>
              <w:top w:val="single" w:color="auto" w:sz="4" w:space="0"/>
              <w:left w:val="single" w:color="auto" w:sz="4" w:space="0"/>
              <w:bottom w:val="single" w:color="auto" w:sz="4" w:space="0"/>
              <w:right w:val="single" w:color="auto" w:sz="4" w:space="0"/>
            </w:tcBorders>
            <w:vAlign w:val="center"/>
          </w:tcPr>
          <w:p w14:paraId="5500C623">
            <w:pPr>
              <w:widowControl/>
              <w:jc w:val="left"/>
              <w:rPr>
                <w:rFonts w:hint="eastAsia" w:ascii="宋体" w:hAnsi="宋体" w:cs="宋体"/>
                <w:kern w:val="0"/>
                <w:sz w:val="15"/>
                <w:szCs w:val="18"/>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7F0307AD">
            <w:pPr>
              <w:widowControl/>
              <w:jc w:val="left"/>
              <w:rPr>
                <w:rFonts w:hint="eastAsia" w:ascii="宋体" w:hAnsi="宋体" w:cs="宋体"/>
                <w:color w:val="000000"/>
                <w:kern w:val="0"/>
                <w:sz w:val="18"/>
                <w:szCs w:val="18"/>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16029345">
            <w:pPr>
              <w:widowControl/>
              <w:jc w:val="left"/>
              <w:rPr>
                <w:rFonts w:hint="eastAsia" w:ascii="宋体" w:hAnsi="宋体" w:cs="宋体"/>
                <w:kern w:val="0"/>
                <w:sz w:val="24"/>
              </w:rPr>
            </w:pPr>
          </w:p>
        </w:tc>
      </w:tr>
      <w:tr w14:paraId="21AD3101">
        <w:tblPrEx>
          <w:tblCellMar>
            <w:top w:w="0" w:type="dxa"/>
            <w:left w:w="108" w:type="dxa"/>
            <w:bottom w:w="0" w:type="dxa"/>
            <w:right w:w="108" w:type="dxa"/>
          </w:tblCellMar>
        </w:tblPrEx>
        <w:trPr>
          <w:gridAfter w:val="1"/>
          <w:wAfter w:w="9" w:type="dxa"/>
          <w:trHeight w:val="468"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636C73BB">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A613DBC">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0BE4040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学生资助全覆盖</w:t>
            </w:r>
          </w:p>
        </w:tc>
        <w:tc>
          <w:tcPr>
            <w:tcW w:w="692" w:type="dxa"/>
            <w:vMerge w:val="continue"/>
            <w:tcBorders>
              <w:top w:val="single" w:color="auto" w:sz="4" w:space="0"/>
              <w:left w:val="single" w:color="auto" w:sz="4" w:space="0"/>
              <w:bottom w:val="single" w:color="auto" w:sz="4" w:space="0"/>
              <w:right w:val="single" w:color="auto" w:sz="4" w:space="0"/>
            </w:tcBorders>
            <w:vAlign w:val="center"/>
          </w:tcPr>
          <w:p w14:paraId="28BC27BE">
            <w:pPr>
              <w:widowControl/>
              <w:jc w:val="left"/>
              <w:rPr>
                <w:rFonts w:hint="eastAsia" w:ascii="宋体" w:hAnsi="宋体" w:cs="宋体"/>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7992D4D">
            <w:pPr>
              <w:widowControl/>
              <w:jc w:val="left"/>
              <w:rPr>
                <w:rFonts w:hint="eastAsia" w:ascii="宋体" w:hAnsi="宋体" w:cs="宋体"/>
                <w:kern w:val="0"/>
                <w:sz w:val="15"/>
                <w:szCs w:val="18"/>
              </w:rPr>
            </w:pPr>
          </w:p>
        </w:tc>
        <w:tc>
          <w:tcPr>
            <w:tcW w:w="3808" w:type="dxa"/>
            <w:vMerge w:val="continue"/>
            <w:tcBorders>
              <w:top w:val="single" w:color="auto" w:sz="4" w:space="0"/>
              <w:left w:val="single" w:color="auto" w:sz="4" w:space="0"/>
              <w:bottom w:val="single" w:color="auto" w:sz="4" w:space="0"/>
              <w:right w:val="single" w:color="auto" w:sz="4" w:space="0"/>
            </w:tcBorders>
            <w:vAlign w:val="center"/>
          </w:tcPr>
          <w:p w14:paraId="327A4B01">
            <w:pPr>
              <w:widowControl/>
              <w:jc w:val="left"/>
              <w:rPr>
                <w:rFonts w:hint="eastAsia" w:ascii="宋体" w:hAnsi="宋体" w:cs="宋体"/>
                <w:kern w:val="0"/>
                <w:sz w:val="15"/>
                <w:szCs w:val="18"/>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54DD31AF">
            <w:pPr>
              <w:widowControl/>
              <w:jc w:val="left"/>
              <w:rPr>
                <w:rFonts w:hint="eastAsia" w:ascii="宋体" w:hAnsi="宋体" w:cs="宋体"/>
                <w:color w:val="000000"/>
                <w:kern w:val="0"/>
                <w:sz w:val="18"/>
                <w:szCs w:val="18"/>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1B872CE5">
            <w:pPr>
              <w:widowControl/>
              <w:jc w:val="left"/>
              <w:rPr>
                <w:rFonts w:hint="eastAsia" w:ascii="宋体" w:hAnsi="宋体" w:cs="宋体"/>
                <w:kern w:val="0"/>
                <w:sz w:val="24"/>
              </w:rPr>
            </w:pPr>
          </w:p>
        </w:tc>
      </w:tr>
      <w:tr w14:paraId="091807B3">
        <w:tblPrEx>
          <w:tblCellMar>
            <w:top w:w="0" w:type="dxa"/>
            <w:left w:w="108" w:type="dxa"/>
            <w:bottom w:w="0" w:type="dxa"/>
            <w:right w:w="108" w:type="dxa"/>
          </w:tblCellMar>
        </w:tblPrEx>
        <w:trPr>
          <w:gridAfter w:val="1"/>
          <w:wAfter w:w="9" w:type="dxa"/>
          <w:trHeight w:val="468"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25ADB5B5">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0A90E4AE">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153702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课后服务见效</w:t>
            </w:r>
          </w:p>
        </w:tc>
        <w:tc>
          <w:tcPr>
            <w:tcW w:w="692" w:type="dxa"/>
            <w:vMerge w:val="continue"/>
            <w:tcBorders>
              <w:top w:val="single" w:color="auto" w:sz="4" w:space="0"/>
              <w:left w:val="single" w:color="auto" w:sz="4" w:space="0"/>
              <w:bottom w:val="single" w:color="auto" w:sz="4" w:space="0"/>
              <w:right w:val="single" w:color="auto" w:sz="4" w:space="0"/>
            </w:tcBorders>
            <w:vAlign w:val="center"/>
          </w:tcPr>
          <w:p w14:paraId="3BA776C5">
            <w:pPr>
              <w:widowControl/>
              <w:jc w:val="left"/>
              <w:rPr>
                <w:rFonts w:hint="eastAsia" w:ascii="宋体" w:hAnsi="宋体" w:cs="宋体"/>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64DB756">
            <w:pPr>
              <w:widowControl/>
              <w:jc w:val="left"/>
              <w:rPr>
                <w:rFonts w:hint="eastAsia" w:ascii="宋体" w:hAnsi="宋体" w:cs="宋体"/>
                <w:kern w:val="0"/>
                <w:sz w:val="15"/>
                <w:szCs w:val="18"/>
              </w:rPr>
            </w:pPr>
          </w:p>
        </w:tc>
        <w:tc>
          <w:tcPr>
            <w:tcW w:w="3808" w:type="dxa"/>
            <w:vMerge w:val="continue"/>
            <w:tcBorders>
              <w:top w:val="single" w:color="auto" w:sz="4" w:space="0"/>
              <w:left w:val="single" w:color="auto" w:sz="4" w:space="0"/>
              <w:bottom w:val="single" w:color="auto" w:sz="4" w:space="0"/>
              <w:right w:val="single" w:color="auto" w:sz="4" w:space="0"/>
            </w:tcBorders>
            <w:vAlign w:val="center"/>
          </w:tcPr>
          <w:p w14:paraId="2FBC868C">
            <w:pPr>
              <w:widowControl/>
              <w:jc w:val="left"/>
              <w:rPr>
                <w:rFonts w:hint="eastAsia" w:ascii="宋体" w:hAnsi="宋体" w:cs="宋体"/>
                <w:kern w:val="0"/>
                <w:sz w:val="15"/>
                <w:szCs w:val="18"/>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0DDE36A1">
            <w:pPr>
              <w:widowControl/>
              <w:jc w:val="left"/>
              <w:rPr>
                <w:rFonts w:hint="eastAsia" w:ascii="宋体" w:hAnsi="宋体" w:cs="宋体"/>
                <w:color w:val="000000"/>
                <w:kern w:val="0"/>
                <w:sz w:val="18"/>
                <w:szCs w:val="18"/>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6DD94970">
            <w:pPr>
              <w:widowControl/>
              <w:jc w:val="left"/>
              <w:rPr>
                <w:rFonts w:hint="eastAsia" w:ascii="宋体" w:hAnsi="宋体" w:cs="宋体"/>
                <w:kern w:val="0"/>
                <w:sz w:val="24"/>
              </w:rPr>
            </w:pPr>
          </w:p>
        </w:tc>
      </w:tr>
      <w:tr w14:paraId="343688E6">
        <w:tblPrEx>
          <w:tblCellMar>
            <w:top w:w="0" w:type="dxa"/>
            <w:left w:w="108" w:type="dxa"/>
            <w:bottom w:w="0" w:type="dxa"/>
            <w:right w:w="108" w:type="dxa"/>
          </w:tblCellMar>
        </w:tblPrEx>
        <w:trPr>
          <w:gridAfter w:val="1"/>
          <w:wAfter w:w="9" w:type="dxa"/>
          <w:trHeight w:val="468"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5594A466">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175D96A5">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40CEC8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校园安全无事故</w:t>
            </w:r>
          </w:p>
        </w:tc>
        <w:tc>
          <w:tcPr>
            <w:tcW w:w="692" w:type="dxa"/>
            <w:vMerge w:val="continue"/>
            <w:tcBorders>
              <w:top w:val="single" w:color="auto" w:sz="4" w:space="0"/>
              <w:left w:val="single" w:color="auto" w:sz="4" w:space="0"/>
              <w:bottom w:val="single" w:color="auto" w:sz="4" w:space="0"/>
              <w:right w:val="single" w:color="auto" w:sz="4" w:space="0"/>
            </w:tcBorders>
            <w:vAlign w:val="center"/>
          </w:tcPr>
          <w:p w14:paraId="08C9257E">
            <w:pPr>
              <w:widowControl/>
              <w:jc w:val="left"/>
              <w:rPr>
                <w:rFonts w:hint="eastAsia" w:ascii="宋体" w:hAnsi="宋体" w:cs="宋体"/>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0932F918">
            <w:pPr>
              <w:widowControl/>
              <w:jc w:val="left"/>
              <w:rPr>
                <w:rFonts w:hint="eastAsia" w:ascii="宋体" w:hAnsi="宋体" w:cs="宋体"/>
                <w:kern w:val="0"/>
                <w:sz w:val="15"/>
                <w:szCs w:val="18"/>
              </w:rPr>
            </w:pPr>
          </w:p>
        </w:tc>
        <w:tc>
          <w:tcPr>
            <w:tcW w:w="3808" w:type="dxa"/>
            <w:vMerge w:val="continue"/>
            <w:tcBorders>
              <w:top w:val="single" w:color="auto" w:sz="4" w:space="0"/>
              <w:left w:val="single" w:color="auto" w:sz="4" w:space="0"/>
              <w:bottom w:val="single" w:color="auto" w:sz="4" w:space="0"/>
              <w:right w:val="single" w:color="auto" w:sz="4" w:space="0"/>
            </w:tcBorders>
            <w:vAlign w:val="center"/>
          </w:tcPr>
          <w:p w14:paraId="31E5B792">
            <w:pPr>
              <w:widowControl/>
              <w:jc w:val="left"/>
              <w:rPr>
                <w:rFonts w:hint="eastAsia" w:ascii="宋体" w:hAnsi="宋体" w:cs="宋体"/>
                <w:kern w:val="0"/>
                <w:sz w:val="15"/>
                <w:szCs w:val="18"/>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14:paraId="64C23617">
            <w:pPr>
              <w:widowControl/>
              <w:jc w:val="left"/>
              <w:rPr>
                <w:rFonts w:hint="eastAsia" w:ascii="宋体" w:hAnsi="宋体" w:cs="宋体"/>
                <w:color w:val="000000"/>
                <w:kern w:val="0"/>
                <w:sz w:val="18"/>
                <w:szCs w:val="18"/>
              </w:rPr>
            </w:pP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4797F05D">
            <w:pPr>
              <w:widowControl/>
              <w:jc w:val="left"/>
              <w:rPr>
                <w:rFonts w:hint="eastAsia" w:ascii="宋体" w:hAnsi="宋体" w:cs="宋体"/>
                <w:kern w:val="0"/>
                <w:sz w:val="24"/>
              </w:rPr>
            </w:pPr>
          </w:p>
        </w:tc>
      </w:tr>
      <w:tr w14:paraId="66234251">
        <w:tblPrEx>
          <w:tblCellMar>
            <w:top w:w="0" w:type="dxa"/>
            <w:left w:w="108" w:type="dxa"/>
            <w:bottom w:w="0" w:type="dxa"/>
            <w:right w:w="108" w:type="dxa"/>
          </w:tblCellMar>
        </w:tblPrEx>
        <w:trPr>
          <w:gridAfter w:val="1"/>
          <w:wAfter w:w="9" w:type="dxa"/>
          <w:trHeight w:val="936"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6A78DC2A">
            <w:pPr>
              <w:widowControl/>
              <w:jc w:val="left"/>
              <w:rPr>
                <w:rFonts w:hint="eastAsia"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05EE07E4">
            <w:pPr>
              <w:widowControl/>
              <w:jc w:val="center"/>
              <w:rPr>
                <w:rFonts w:hint="eastAsia" w:ascii="宋体" w:hAnsi="宋体" w:cs="宋体"/>
                <w:b/>
                <w:bCs/>
                <w:kern w:val="0"/>
                <w:sz w:val="24"/>
              </w:rPr>
            </w:pPr>
            <w:r>
              <w:rPr>
                <w:rFonts w:hint="eastAsia" w:ascii="宋体" w:hAnsi="宋体" w:cs="宋体"/>
                <w:b/>
                <w:bCs/>
                <w:kern w:val="0"/>
                <w:sz w:val="24"/>
              </w:rPr>
              <w:t>预算管理</w:t>
            </w:r>
            <w:r>
              <w:rPr>
                <w:rFonts w:hint="eastAsia" w:ascii="宋体" w:hAnsi="宋体" w:cs="宋体"/>
                <w:b/>
                <w:bCs/>
                <w:kern w:val="0"/>
                <w:sz w:val="24"/>
              </w:rPr>
              <w:br w:type="textWrapping"/>
            </w:r>
            <w:r>
              <w:rPr>
                <w:rFonts w:hint="eastAsia" w:ascii="宋体" w:hAnsi="宋体" w:cs="宋体"/>
                <w:b/>
                <w:bCs/>
                <w:kern w:val="0"/>
                <w:sz w:val="24"/>
              </w:rPr>
              <w:t>（21分）</w:t>
            </w:r>
          </w:p>
        </w:tc>
        <w:tc>
          <w:tcPr>
            <w:tcW w:w="1428" w:type="dxa"/>
            <w:tcBorders>
              <w:top w:val="single" w:color="auto" w:sz="4" w:space="0"/>
              <w:left w:val="nil"/>
              <w:bottom w:val="single" w:color="auto" w:sz="4" w:space="0"/>
              <w:right w:val="single" w:color="auto" w:sz="4" w:space="0"/>
            </w:tcBorders>
            <w:vAlign w:val="center"/>
          </w:tcPr>
          <w:p w14:paraId="2F26AEA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预算编制质量</w:t>
            </w:r>
          </w:p>
        </w:tc>
        <w:tc>
          <w:tcPr>
            <w:tcW w:w="692" w:type="dxa"/>
            <w:tcBorders>
              <w:top w:val="single" w:color="auto" w:sz="4" w:space="0"/>
              <w:left w:val="nil"/>
              <w:bottom w:val="single" w:color="auto" w:sz="4" w:space="0"/>
              <w:right w:val="single" w:color="auto" w:sz="4" w:space="0"/>
            </w:tcBorders>
            <w:vAlign w:val="center"/>
          </w:tcPr>
          <w:p w14:paraId="64F0B60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701" w:type="dxa"/>
            <w:tcBorders>
              <w:top w:val="single" w:color="auto" w:sz="4" w:space="0"/>
              <w:left w:val="nil"/>
              <w:bottom w:val="single" w:color="auto" w:sz="4" w:space="0"/>
              <w:right w:val="single" w:color="auto" w:sz="4" w:space="0"/>
            </w:tcBorders>
            <w:vAlign w:val="center"/>
          </w:tcPr>
          <w:p w14:paraId="123605E6">
            <w:pPr>
              <w:widowControl/>
              <w:jc w:val="left"/>
              <w:rPr>
                <w:rFonts w:hint="eastAsia" w:ascii="宋体" w:hAnsi="宋体" w:cs="宋体"/>
                <w:color w:val="000000"/>
                <w:kern w:val="0"/>
                <w:sz w:val="15"/>
                <w:szCs w:val="18"/>
              </w:rPr>
            </w:pPr>
            <w:r>
              <w:rPr>
                <w:rFonts w:hint="eastAsia"/>
                <w:sz w:val="15"/>
                <w:szCs w:val="18"/>
              </w:rPr>
              <w:t>部门是否严格按要求编制年初部门预算，年初预算编制的科学性和准确性</w:t>
            </w:r>
          </w:p>
        </w:tc>
        <w:tc>
          <w:tcPr>
            <w:tcW w:w="3808" w:type="dxa"/>
            <w:tcBorders>
              <w:top w:val="single" w:color="auto" w:sz="4" w:space="0"/>
              <w:left w:val="nil"/>
              <w:bottom w:val="single" w:color="auto" w:sz="4" w:space="0"/>
              <w:right w:val="single" w:color="auto" w:sz="4" w:space="0"/>
            </w:tcBorders>
            <w:vAlign w:val="center"/>
          </w:tcPr>
          <w:p w14:paraId="3EB9A429">
            <w:pPr>
              <w:widowControl/>
              <w:jc w:val="left"/>
              <w:rPr>
                <w:rFonts w:hint="eastAsia" w:ascii="宋体" w:hAnsi="宋体" w:cs="宋体"/>
                <w:color w:val="000000"/>
                <w:kern w:val="0"/>
                <w:sz w:val="15"/>
                <w:szCs w:val="18"/>
              </w:rPr>
            </w:pPr>
            <w:r>
              <w:rPr>
                <w:rFonts w:hint="eastAsia"/>
                <w:sz w:val="15"/>
                <w:szCs w:val="18"/>
              </w:rPr>
              <w:t>该项指标得分=（1-财政拨款预算偏离度）×100%×8。偏离度=|预算执行数-调整预算数|÷调整预算数。</w:t>
            </w:r>
          </w:p>
        </w:tc>
        <w:tc>
          <w:tcPr>
            <w:tcW w:w="766" w:type="dxa"/>
            <w:tcBorders>
              <w:top w:val="single" w:color="auto" w:sz="4" w:space="0"/>
              <w:left w:val="nil"/>
              <w:bottom w:val="single" w:color="auto" w:sz="4" w:space="0"/>
              <w:right w:val="single" w:color="auto" w:sz="4" w:space="0"/>
            </w:tcBorders>
            <w:vAlign w:val="center"/>
          </w:tcPr>
          <w:p w14:paraId="641063B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330FDFC4">
            <w:pPr>
              <w:widowControl/>
              <w:jc w:val="center"/>
              <w:rPr>
                <w:rFonts w:hint="eastAsia" w:ascii="宋体" w:hAnsi="宋体" w:cs="宋体"/>
                <w:kern w:val="0"/>
                <w:sz w:val="24"/>
              </w:rPr>
            </w:pPr>
            <w:r>
              <w:rPr>
                <w:rFonts w:hint="eastAsia" w:ascii="宋体" w:hAnsi="宋体" w:cs="宋体"/>
                <w:kern w:val="0"/>
                <w:sz w:val="24"/>
              </w:rPr>
              <w:t>　</w:t>
            </w:r>
          </w:p>
        </w:tc>
      </w:tr>
      <w:tr w14:paraId="44144EE8">
        <w:tblPrEx>
          <w:tblCellMar>
            <w:top w:w="0" w:type="dxa"/>
            <w:left w:w="108" w:type="dxa"/>
            <w:bottom w:w="0" w:type="dxa"/>
            <w:right w:w="108" w:type="dxa"/>
          </w:tblCellMar>
        </w:tblPrEx>
        <w:trPr>
          <w:gridAfter w:val="1"/>
          <w:wAfter w:w="9" w:type="dxa"/>
          <w:trHeight w:val="168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30C94171">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B9944D5">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7DA7520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支出执行进度</w:t>
            </w:r>
          </w:p>
        </w:tc>
        <w:tc>
          <w:tcPr>
            <w:tcW w:w="692" w:type="dxa"/>
            <w:tcBorders>
              <w:top w:val="single" w:color="auto" w:sz="4" w:space="0"/>
              <w:left w:val="nil"/>
              <w:bottom w:val="single" w:color="auto" w:sz="4" w:space="0"/>
              <w:right w:val="single" w:color="auto" w:sz="4" w:space="0"/>
            </w:tcBorders>
            <w:vAlign w:val="center"/>
          </w:tcPr>
          <w:p w14:paraId="1E85DF9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1701" w:type="dxa"/>
            <w:tcBorders>
              <w:top w:val="single" w:color="auto" w:sz="4" w:space="0"/>
              <w:left w:val="nil"/>
              <w:bottom w:val="single" w:color="auto" w:sz="4" w:space="0"/>
              <w:right w:val="single" w:color="auto" w:sz="4" w:space="0"/>
            </w:tcBorders>
            <w:vAlign w:val="center"/>
          </w:tcPr>
          <w:p w14:paraId="5D5A47EF">
            <w:pPr>
              <w:widowControl/>
              <w:jc w:val="left"/>
              <w:rPr>
                <w:rFonts w:hint="eastAsia" w:ascii="宋体" w:hAnsi="宋体" w:cs="宋体"/>
                <w:color w:val="000000"/>
                <w:kern w:val="0"/>
                <w:sz w:val="15"/>
                <w:szCs w:val="18"/>
              </w:rPr>
            </w:pPr>
            <w:r>
              <w:rPr>
                <w:rFonts w:hint="eastAsia"/>
                <w:sz w:val="15"/>
                <w:szCs w:val="18"/>
              </w:rPr>
              <w:t>部门1至12月预算执行情况</w:t>
            </w:r>
          </w:p>
        </w:tc>
        <w:tc>
          <w:tcPr>
            <w:tcW w:w="3808" w:type="dxa"/>
            <w:tcBorders>
              <w:top w:val="single" w:color="auto" w:sz="4" w:space="0"/>
              <w:left w:val="nil"/>
              <w:bottom w:val="single" w:color="auto" w:sz="4" w:space="0"/>
              <w:right w:val="single" w:color="auto" w:sz="4" w:space="0"/>
            </w:tcBorders>
            <w:vAlign w:val="center"/>
          </w:tcPr>
          <w:p w14:paraId="52C7930A">
            <w:pPr>
              <w:widowControl/>
              <w:jc w:val="left"/>
              <w:rPr>
                <w:rFonts w:hint="eastAsia" w:ascii="宋体" w:hAnsi="宋体" w:cs="宋体"/>
                <w:color w:val="000000"/>
                <w:kern w:val="0"/>
                <w:sz w:val="15"/>
                <w:szCs w:val="18"/>
              </w:rPr>
            </w:pPr>
            <w:r>
              <w:rPr>
                <w:rFonts w:hint="eastAsia"/>
                <w:sz w:val="15"/>
                <w:szCs w:val="18"/>
              </w:rPr>
              <w:t>该项指标得分=</w:t>
            </w:r>
            <w:r>
              <w:rPr>
                <w:rFonts w:hint="eastAsia"/>
                <w:sz w:val="15"/>
                <w:szCs w:val="18"/>
                <w:lang w:eastAsia="zh-CN"/>
              </w:rPr>
              <w:t>中央、省委</w:t>
            </w:r>
            <w:r>
              <w:rPr>
                <w:rFonts w:hint="eastAsia"/>
                <w:sz w:val="15"/>
                <w:szCs w:val="18"/>
              </w:rPr>
              <w:t>转移支付资金1至12月实际支出数÷1-12月预算数*3+专项债券资金实际支出数÷1-12月部门预算数*3+专项预算项目1至12月实际支出数÷1-12月预算数*3。</w:t>
            </w:r>
          </w:p>
        </w:tc>
        <w:tc>
          <w:tcPr>
            <w:tcW w:w="766" w:type="dxa"/>
            <w:tcBorders>
              <w:top w:val="single" w:color="auto" w:sz="4" w:space="0"/>
              <w:left w:val="nil"/>
              <w:bottom w:val="single" w:color="auto" w:sz="4" w:space="0"/>
              <w:right w:val="single" w:color="auto" w:sz="4" w:space="0"/>
            </w:tcBorders>
            <w:vAlign w:val="center"/>
          </w:tcPr>
          <w:p w14:paraId="491EF2F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45BB216D">
            <w:pPr>
              <w:widowControl/>
              <w:jc w:val="left"/>
              <w:rPr>
                <w:rFonts w:hint="eastAsia" w:ascii="宋体" w:hAnsi="宋体" w:cs="宋体"/>
                <w:kern w:val="0"/>
                <w:sz w:val="24"/>
              </w:rPr>
            </w:pPr>
          </w:p>
        </w:tc>
      </w:tr>
      <w:tr w14:paraId="537944F9">
        <w:tblPrEx>
          <w:tblCellMar>
            <w:top w:w="0" w:type="dxa"/>
            <w:left w:w="108" w:type="dxa"/>
            <w:bottom w:w="0" w:type="dxa"/>
            <w:right w:w="108" w:type="dxa"/>
          </w:tblCellMar>
        </w:tblPrEx>
        <w:trPr>
          <w:gridAfter w:val="1"/>
          <w:wAfter w:w="9" w:type="dxa"/>
          <w:trHeight w:val="592"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1923E78D">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48CC636E">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57CD063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预算年终结余</w:t>
            </w:r>
          </w:p>
        </w:tc>
        <w:tc>
          <w:tcPr>
            <w:tcW w:w="692" w:type="dxa"/>
            <w:tcBorders>
              <w:top w:val="single" w:color="auto" w:sz="4" w:space="0"/>
              <w:left w:val="nil"/>
              <w:bottom w:val="single" w:color="auto" w:sz="4" w:space="0"/>
              <w:right w:val="single" w:color="auto" w:sz="4" w:space="0"/>
            </w:tcBorders>
            <w:vAlign w:val="center"/>
          </w:tcPr>
          <w:p w14:paraId="26CD928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1701" w:type="dxa"/>
            <w:tcBorders>
              <w:top w:val="single" w:color="auto" w:sz="4" w:space="0"/>
              <w:left w:val="nil"/>
              <w:bottom w:val="single" w:color="auto" w:sz="4" w:space="0"/>
              <w:right w:val="single" w:color="auto" w:sz="4" w:space="0"/>
            </w:tcBorders>
            <w:vAlign w:val="center"/>
          </w:tcPr>
          <w:p w14:paraId="2FA1F9BD">
            <w:pPr>
              <w:widowControl/>
              <w:jc w:val="left"/>
              <w:rPr>
                <w:rFonts w:hint="eastAsia" w:ascii="宋体" w:hAnsi="宋体" w:cs="宋体"/>
                <w:color w:val="000000"/>
                <w:kern w:val="0"/>
                <w:sz w:val="15"/>
                <w:szCs w:val="18"/>
              </w:rPr>
            </w:pPr>
            <w:r>
              <w:rPr>
                <w:rFonts w:hint="eastAsia"/>
                <w:sz w:val="15"/>
                <w:szCs w:val="18"/>
              </w:rPr>
              <w:t>部门整体年终预算结余情况</w:t>
            </w:r>
          </w:p>
        </w:tc>
        <w:tc>
          <w:tcPr>
            <w:tcW w:w="3808" w:type="dxa"/>
            <w:tcBorders>
              <w:top w:val="single" w:color="auto" w:sz="4" w:space="0"/>
              <w:left w:val="nil"/>
              <w:bottom w:val="single" w:color="auto" w:sz="4" w:space="0"/>
              <w:right w:val="single" w:color="auto" w:sz="4" w:space="0"/>
            </w:tcBorders>
            <w:vAlign w:val="center"/>
          </w:tcPr>
          <w:p w14:paraId="24E0B462">
            <w:pPr>
              <w:widowControl/>
              <w:jc w:val="left"/>
              <w:rPr>
                <w:rFonts w:hint="eastAsia" w:ascii="宋体" w:hAnsi="宋体" w:cs="宋体"/>
                <w:color w:val="000000"/>
                <w:kern w:val="0"/>
                <w:sz w:val="15"/>
                <w:szCs w:val="18"/>
              </w:rPr>
            </w:pPr>
            <w:r>
              <w:rPr>
                <w:rFonts w:hint="eastAsia"/>
                <w:sz w:val="15"/>
                <w:szCs w:val="18"/>
              </w:rPr>
              <w:t>该项指标得分=（1-部门整体预算结余率）×100%×8部门整体预算结余率为当年年终部门预算注销金额和结转金额占部门预算总金额的比率。</w:t>
            </w:r>
          </w:p>
        </w:tc>
        <w:tc>
          <w:tcPr>
            <w:tcW w:w="766" w:type="dxa"/>
            <w:tcBorders>
              <w:top w:val="single" w:color="auto" w:sz="4" w:space="0"/>
              <w:left w:val="nil"/>
              <w:bottom w:val="single" w:color="auto" w:sz="4" w:space="0"/>
              <w:right w:val="single" w:color="auto" w:sz="4" w:space="0"/>
            </w:tcBorders>
            <w:vAlign w:val="center"/>
          </w:tcPr>
          <w:p w14:paraId="1C0B58A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549A1810">
            <w:pPr>
              <w:widowControl/>
              <w:jc w:val="left"/>
              <w:rPr>
                <w:rFonts w:hint="eastAsia" w:ascii="宋体" w:hAnsi="宋体" w:cs="宋体"/>
                <w:kern w:val="0"/>
                <w:sz w:val="24"/>
              </w:rPr>
            </w:pPr>
          </w:p>
        </w:tc>
      </w:tr>
      <w:tr w14:paraId="1D3D396B">
        <w:tblPrEx>
          <w:tblCellMar>
            <w:top w:w="0" w:type="dxa"/>
            <w:left w:w="108" w:type="dxa"/>
            <w:bottom w:w="0" w:type="dxa"/>
            <w:right w:w="108" w:type="dxa"/>
          </w:tblCellMar>
        </w:tblPrEx>
        <w:trPr>
          <w:gridAfter w:val="1"/>
          <w:wAfter w:w="9" w:type="dxa"/>
          <w:trHeight w:val="1266"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1354CEA0">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62D7BE80">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7750725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严控一般性支出</w:t>
            </w:r>
          </w:p>
        </w:tc>
        <w:tc>
          <w:tcPr>
            <w:tcW w:w="692" w:type="dxa"/>
            <w:tcBorders>
              <w:top w:val="single" w:color="auto" w:sz="4" w:space="0"/>
              <w:left w:val="nil"/>
              <w:bottom w:val="single" w:color="auto" w:sz="4" w:space="0"/>
              <w:right w:val="single" w:color="auto" w:sz="4" w:space="0"/>
            </w:tcBorders>
            <w:vAlign w:val="center"/>
          </w:tcPr>
          <w:p w14:paraId="0480769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single" w:color="auto" w:sz="4" w:space="0"/>
              <w:left w:val="nil"/>
              <w:bottom w:val="single" w:color="auto" w:sz="4" w:space="0"/>
              <w:right w:val="single" w:color="auto" w:sz="4" w:space="0"/>
            </w:tcBorders>
            <w:vAlign w:val="center"/>
          </w:tcPr>
          <w:p w14:paraId="38014808">
            <w:pPr>
              <w:widowControl/>
              <w:jc w:val="left"/>
              <w:rPr>
                <w:rFonts w:hint="eastAsia" w:ascii="宋体" w:hAnsi="宋体" w:cs="宋体"/>
                <w:color w:val="000000"/>
                <w:kern w:val="0"/>
                <w:sz w:val="15"/>
                <w:szCs w:val="18"/>
              </w:rPr>
            </w:pPr>
            <w:r>
              <w:rPr>
                <w:rFonts w:hint="eastAsia"/>
                <w:sz w:val="15"/>
                <w:szCs w:val="18"/>
              </w:rPr>
              <w:t>部门严控“三公”经费、会议、培训、差旅、办节办展、办公设备购置、信息网络及软件购置更新、课题经费等8项一般性支出情况</w:t>
            </w:r>
          </w:p>
        </w:tc>
        <w:tc>
          <w:tcPr>
            <w:tcW w:w="3808" w:type="dxa"/>
            <w:tcBorders>
              <w:top w:val="single" w:color="auto" w:sz="4" w:space="0"/>
              <w:left w:val="nil"/>
              <w:bottom w:val="single" w:color="auto" w:sz="4" w:space="0"/>
              <w:right w:val="single" w:color="auto" w:sz="4" w:space="0"/>
            </w:tcBorders>
            <w:vAlign w:val="center"/>
          </w:tcPr>
          <w:p w14:paraId="2C4693F6">
            <w:pPr>
              <w:widowControl/>
              <w:jc w:val="left"/>
              <w:rPr>
                <w:rFonts w:hint="eastAsia" w:ascii="宋体" w:hAnsi="宋体" w:cs="宋体"/>
                <w:color w:val="000000"/>
                <w:kern w:val="0"/>
                <w:sz w:val="15"/>
                <w:szCs w:val="18"/>
              </w:rPr>
            </w:pPr>
            <w:r>
              <w:rPr>
                <w:rFonts w:hint="eastAsia"/>
                <w:sz w:val="15"/>
                <w:szCs w:val="18"/>
              </w:rPr>
              <w:t>该项指标得分=基础分值+加分值。</w:t>
            </w:r>
            <w:r>
              <w:rPr>
                <w:rFonts w:hint="eastAsia"/>
                <w:sz w:val="15"/>
                <w:szCs w:val="18"/>
              </w:rPr>
              <w:br w:type="textWrapping"/>
            </w:r>
            <w:r>
              <w:rPr>
                <w:rFonts w:hint="eastAsia"/>
                <w:sz w:val="15"/>
                <w:szCs w:val="18"/>
              </w:rPr>
              <w:t>1.基础分值。一般性支出财政拨款年初预算较上年实现压减得1.5分；一般性支出财政拨款预算执行较上年实现压减得1.5分。</w:t>
            </w:r>
            <w:r>
              <w:rPr>
                <w:rFonts w:hint="eastAsia"/>
                <w:sz w:val="15"/>
                <w:szCs w:val="18"/>
              </w:rPr>
              <w:br w:type="textWrapping"/>
            </w:r>
            <w:r>
              <w:rPr>
                <w:rFonts w:hint="eastAsia"/>
                <w:sz w:val="15"/>
                <w:szCs w:val="18"/>
              </w:rPr>
              <w:t>2.加分值。一般性支出财政拨款年初预算较上年每压减1%得0.2分，累计不超过1分；一般性支出财政拨款预算执行较上年每压减1%得0.4分，累计不超过2分。</w:t>
            </w:r>
          </w:p>
        </w:tc>
        <w:tc>
          <w:tcPr>
            <w:tcW w:w="766" w:type="dxa"/>
            <w:tcBorders>
              <w:top w:val="single" w:color="auto" w:sz="4" w:space="0"/>
              <w:left w:val="nil"/>
              <w:bottom w:val="single" w:color="auto" w:sz="4" w:space="0"/>
              <w:right w:val="single" w:color="auto" w:sz="4" w:space="0"/>
            </w:tcBorders>
            <w:vAlign w:val="center"/>
          </w:tcPr>
          <w:p w14:paraId="060BE7F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3DB1AD4C">
            <w:pPr>
              <w:widowControl/>
              <w:jc w:val="left"/>
              <w:rPr>
                <w:rFonts w:hint="eastAsia" w:ascii="宋体" w:hAnsi="宋体" w:cs="宋体"/>
                <w:kern w:val="0"/>
                <w:sz w:val="24"/>
              </w:rPr>
            </w:pPr>
          </w:p>
        </w:tc>
      </w:tr>
      <w:tr w14:paraId="20ECF416">
        <w:tblPrEx>
          <w:tblCellMar>
            <w:top w:w="0" w:type="dxa"/>
            <w:left w:w="108" w:type="dxa"/>
            <w:bottom w:w="0" w:type="dxa"/>
            <w:right w:w="108" w:type="dxa"/>
          </w:tblCellMar>
        </w:tblPrEx>
        <w:trPr>
          <w:gridAfter w:val="1"/>
          <w:wAfter w:w="9" w:type="dxa"/>
          <w:trHeight w:val="2304"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61E16379">
            <w:pPr>
              <w:widowControl/>
              <w:jc w:val="left"/>
              <w:rPr>
                <w:rFonts w:hint="eastAsia"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3332B6BA">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1428" w:type="dxa"/>
            <w:tcBorders>
              <w:top w:val="single" w:color="auto" w:sz="4" w:space="0"/>
              <w:left w:val="single" w:color="auto" w:sz="4" w:space="0"/>
              <w:bottom w:val="single" w:color="auto" w:sz="4" w:space="0"/>
              <w:right w:val="single" w:color="auto" w:sz="4" w:space="0"/>
            </w:tcBorders>
            <w:vAlign w:val="center"/>
          </w:tcPr>
          <w:p w14:paraId="1DFF4A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人均资产变化率</w:t>
            </w:r>
          </w:p>
        </w:tc>
        <w:tc>
          <w:tcPr>
            <w:tcW w:w="692" w:type="dxa"/>
            <w:tcBorders>
              <w:top w:val="single" w:color="auto" w:sz="4" w:space="0"/>
              <w:left w:val="single" w:color="auto" w:sz="4" w:space="0"/>
              <w:bottom w:val="single" w:color="auto" w:sz="4" w:space="0"/>
              <w:right w:val="single" w:color="auto" w:sz="4" w:space="0"/>
            </w:tcBorders>
            <w:vAlign w:val="center"/>
          </w:tcPr>
          <w:p w14:paraId="32CE27B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auto" w:sz="4" w:space="0"/>
              <w:left w:val="single" w:color="auto" w:sz="4" w:space="0"/>
              <w:bottom w:val="single" w:color="auto" w:sz="4" w:space="0"/>
              <w:right w:val="single" w:color="auto" w:sz="4" w:space="0"/>
            </w:tcBorders>
            <w:vAlign w:val="center"/>
          </w:tcPr>
          <w:p w14:paraId="35F4F2F4">
            <w:pPr>
              <w:widowControl/>
              <w:jc w:val="left"/>
              <w:rPr>
                <w:rFonts w:hint="eastAsia" w:ascii="宋体" w:hAnsi="宋体" w:cs="宋体"/>
                <w:color w:val="000000"/>
                <w:kern w:val="0"/>
                <w:sz w:val="15"/>
                <w:szCs w:val="18"/>
              </w:rPr>
            </w:pPr>
            <w:r>
              <w:rPr>
                <w:rFonts w:hint="eastAsia"/>
                <w:color w:val="000000"/>
                <w:sz w:val="15"/>
                <w:szCs w:val="18"/>
              </w:rPr>
              <w:t>部门人均资产变化情况</w:t>
            </w:r>
          </w:p>
        </w:tc>
        <w:tc>
          <w:tcPr>
            <w:tcW w:w="3808" w:type="dxa"/>
            <w:tcBorders>
              <w:top w:val="single" w:color="auto" w:sz="4" w:space="0"/>
              <w:left w:val="single" w:color="auto" w:sz="4" w:space="0"/>
              <w:bottom w:val="single" w:color="auto" w:sz="4" w:space="0"/>
              <w:right w:val="single" w:color="auto" w:sz="4" w:space="0"/>
            </w:tcBorders>
            <w:vAlign w:val="center"/>
          </w:tcPr>
          <w:p w14:paraId="6229B248">
            <w:pPr>
              <w:widowControl/>
              <w:jc w:val="left"/>
              <w:rPr>
                <w:rFonts w:hint="eastAsia" w:ascii="宋体" w:hAnsi="宋体" w:cs="宋体"/>
                <w:color w:val="000000"/>
                <w:kern w:val="0"/>
                <w:sz w:val="15"/>
                <w:szCs w:val="18"/>
              </w:rPr>
            </w:pPr>
            <w:r>
              <w:rPr>
                <w:rFonts w:hint="eastAsia"/>
                <w:color w:val="000000"/>
                <w:sz w:val="15"/>
                <w:szCs w:val="18"/>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市直行政事业单位人均资产变化率平均值N为-4.63%，Y≤N，得3分；N＜Y≤0.8N（即-3.704%），得2分；0.8N＜Y≤0.5N（即-2.32%），得1分；Y＞0.5N，得0分。</w:t>
            </w:r>
          </w:p>
        </w:tc>
        <w:tc>
          <w:tcPr>
            <w:tcW w:w="766" w:type="dxa"/>
            <w:tcBorders>
              <w:top w:val="single" w:color="auto" w:sz="4" w:space="0"/>
              <w:left w:val="single" w:color="auto" w:sz="4" w:space="0"/>
              <w:bottom w:val="single" w:color="auto" w:sz="4" w:space="0"/>
              <w:right w:val="single" w:color="auto" w:sz="4" w:space="0"/>
            </w:tcBorders>
            <w:vAlign w:val="center"/>
          </w:tcPr>
          <w:p w14:paraId="0F0CE54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0A69D0F6">
            <w:pPr>
              <w:widowControl/>
              <w:jc w:val="center"/>
              <w:rPr>
                <w:rFonts w:hint="eastAsia" w:ascii="宋体" w:hAnsi="宋体" w:cs="宋体"/>
                <w:kern w:val="0"/>
                <w:sz w:val="24"/>
              </w:rPr>
            </w:pPr>
            <w:r>
              <w:rPr>
                <w:rFonts w:hint="eastAsia" w:ascii="宋体" w:hAnsi="宋体" w:cs="宋体"/>
                <w:kern w:val="0"/>
                <w:sz w:val="24"/>
              </w:rPr>
              <w:t>　</w:t>
            </w:r>
          </w:p>
        </w:tc>
      </w:tr>
      <w:tr w14:paraId="51DACCE0">
        <w:tblPrEx>
          <w:tblCellMar>
            <w:top w:w="0" w:type="dxa"/>
            <w:left w:w="108" w:type="dxa"/>
            <w:bottom w:w="0" w:type="dxa"/>
            <w:right w:w="108" w:type="dxa"/>
          </w:tblCellMar>
        </w:tblPrEx>
        <w:trPr>
          <w:gridAfter w:val="1"/>
          <w:wAfter w:w="9" w:type="dxa"/>
          <w:trHeight w:val="1031"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0614569D">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5348212F">
            <w:pPr>
              <w:widowControl/>
              <w:jc w:val="left"/>
              <w:rPr>
                <w:rFonts w:hint="eastAsia" w:ascii="宋体" w:hAnsi="宋体" w:cs="宋体"/>
                <w:b/>
                <w:bCs/>
                <w:kern w:val="0"/>
                <w:sz w:val="24"/>
              </w:rPr>
            </w:pPr>
          </w:p>
        </w:tc>
        <w:tc>
          <w:tcPr>
            <w:tcW w:w="1428" w:type="dxa"/>
            <w:tcBorders>
              <w:top w:val="single" w:color="auto" w:sz="4" w:space="0"/>
              <w:left w:val="single" w:color="auto" w:sz="4" w:space="0"/>
              <w:bottom w:val="single" w:color="auto" w:sz="4" w:space="0"/>
              <w:right w:val="single" w:color="auto" w:sz="4" w:space="0"/>
            </w:tcBorders>
            <w:vAlign w:val="center"/>
          </w:tcPr>
          <w:p w14:paraId="668F9BF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资产利用率</w:t>
            </w:r>
          </w:p>
        </w:tc>
        <w:tc>
          <w:tcPr>
            <w:tcW w:w="692" w:type="dxa"/>
            <w:tcBorders>
              <w:top w:val="single" w:color="auto" w:sz="4" w:space="0"/>
              <w:left w:val="single" w:color="auto" w:sz="4" w:space="0"/>
              <w:bottom w:val="single" w:color="auto" w:sz="4" w:space="0"/>
              <w:right w:val="single" w:color="auto" w:sz="4" w:space="0"/>
            </w:tcBorders>
            <w:vAlign w:val="center"/>
          </w:tcPr>
          <w:p w14:paraId="30CFE5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auto" w:sz="4" w:space="0"/>
              <w:left w:val="single" w:color="auto" w:sz="4" w:space="0"/>
              <w:bottom w:val="single" w:color="auto" w:sz="4" w:space="0"/>
              <w:right w:val="single" w:color="auto" w:sz="4" w:space="0"/>
            </w:tcBorders>
            <w:vAlign w:val="center"/>
          </w:tcPr>
          <w:p w14:paraId="4E55F063">
            <w:pPr>
              <w:widowControl/>
              <w:jc w:val="left"/>
              <w:rPr>
                <w:rFonts w:hint="eastAsia" w:ascii="宋体" w:hAnsi="宋体" w:cs="宋体"/>
                <w:color w:val="000000"/>
                <w:kern w:val="0"/>
                <w:sz w:val="15"/>
                <w:szCs w:val="18"/>
              </w:rPr>
            </w:pPr>
            <w:r>
              <w:rPr>
                <w:rFonts w:hint="eastAsia"/>
                <w:color w:val="000000"/>
                <w:sz w:val="15"/>
                <w:szCs w:val="18"/>
              </w:rPr>
              <w:t>部门资产超最低使用年限情况</w:t>
            </w:r>
          </w:p>
        </w:tc>
        <w:tc>
          <w:tcPr>
            <w:tcW w:w="3808" w:type="dxa"/>
            <w:tcBorders>
              <w:top w:val="single" w:color="auto" w:sz="4" w:space="0"/>
              <w:left w:val="single" w:color="auto" w:sz="4" w:space="0"/>
              <w:bottom w:val="single" w:color="auto" w:sz="4" w:space="0"/>
              <w:right w:val="single" w:color="auto" w:sz="4" w:space="0"/>
            </w:tcBorders>
            <w:vAlign w:val="center"/>
          </w:tcPr>
          <w:p w14:paraId="03331CB2">
            <w:pPr>
              <w:widowControl/>
              <w:jc w:val="left"/>
              <w:rPr>
                <w:rFonts w:hint="eastAsia" w:ascii="宋体" w:hAnsi="宋体" w:cs="宋体"/>
                <w:color w:val="000000"/>
                <w:kern w:val="0"/>
                <w:sz w:val="15"/>
                <w:szCs w:val="18"/>
              </w:rPr>
            </w:pPr>
            <w:r>
              <w:rPr>
                <w:rFonts w:hint="eastAsia"/>
                <w:color w:val="000000"/>
                <w:sz w:val="15"/>
                <w:szCs w:val="18"/>
              </w:rPr>
              <w:t>该项指标得分=（超最低使用年限的办公家具账面原值÷办公家具账面原值×100%×1.5）+（超最低使用年限的办公设备账面原值÷办公设备账面原值×100%×1.5）。</w:t>
            </w:r>
          </w:p>
        </w:tc>
        <w:tc>
          <w:tcPr>
            <w:tcW w:w="766" w:type="dxa"/>
            <w:tcBorders>
              <w:top w:val="single" w:color="auto" w:sz="4" w:space="0"/>
              <w:left w:val="single" w:color="auto" w:sz="4" w:space="0"/>
              <w:bottom w:val="single" w:color="auto" w:sz="4" w:space="0"/>
              <w:right w:val="single" w:color="auto" w:sz="4" w:space="0"/>
            </w:tcBorders>
            <w:vAlign w:val="center"/>
          </w:tcPr>
          <w:p w14:paraId="145F3AF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74685478">
            <w:pPr>
              <w:widowControl/>
              <w:jc w:val="left"/>
              <w:rPr>
                <w:rFonts w:hint="eastAsia" w:ascii="宋体" w:hAnsi="宋体" w:cs="宋体"/>
                <w:kern w:val="0"/>
                <w:sz w:val="24"/>
              </w:rPr>
            </w:pPr>
          </w:p>
        </w:tc>
      </w:tr>
      <w:tr w14:paraId="76BD5C8A">
        <w:tblPrEx>
          <w:tblCellMar>
            <w:top w:w="0" w:type="dxa"/>
            <w:left w:w="108" w:type="dxa"/>
            <w:bottom w:w="0" w:type="dxa"/>
            <w:right w:w="108" w:type="dxa"/>
          </w:tblCellMar>
        </w:tblPrEx>
        <w:trPr>
          <w:gridAfter w:val="1"/>
          <w:wAfter w:w="9" w:type="dxa"/>
          <w:trHeight w:val="1281"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14:paraId="7B1C33EC">
            <w:pPr>
              <w:widowControl/>
              <w:jc w:val="center"/>
              <w:rPr>
                <w:rFonts w:hint="eastAsia" w:ascii="宋体" w:hAnsi="宋体" w:cs="宋体"/>
                <w:b/>
                <w:bCs/>
                <w:kern w:val="0"/>
                <w:sz w:val="24"/>
              </w:rPr>
            </w:pPr>
            <w:r>
              <w:rPr>
                <w:rFonts w:hint="eastAsia" w:ascii="宋体" w:hAnsi="宋体" w:cs="宋体"/>
                <w:b/>
                <w:bCs/>
                <w:kern w:val="0"/>
                <w:sz w:val="24"/>
              </w:rPr>
              <w:t>总体绩效</w:t>
            </w:r>
            <w:r>
              <w:rPr>
                <w:rFonts w:hint="eastAsia" w:ascii="宋体" w:hAnsi="宋体" w:cs="宋体"/>
                <w:b/>
                <w:bCs/>
                <w:kern w:val="0"/>
                <w:sz w:val="24"/>
              </w:rPr>
              <w:br w:type="textWrapping"/>
            </w:r>
            <w:r>
              <w:rPr>
                <w:rFonts w:hint="eastAsia" w:ascii="宋体" w:hAnsi="宋体" w:cs="宋体"/>
                <w:b/>
                <w:bCs/>
                <w:kern w:val="0"/>
                <w:sz w:val="24"/>
              </w:rPr>
              <w:t>（65分）</w:t>
            </w:r>
          </w:p>
        </w:tc>
        <w:tc>
          <w:tcPr>
            <w:tcW w:w="919" w:type="dxa"/>
            <w:tcBorders>
              <w:top w:val="single" w:color="auto" w:sz="4" w:space="0"/>
              <w:left w:val="nil"/>
              <w:bottom w:val="single" w:color="auto" w:sz="4" w:space="0"/>
              <w:right w:val="single" w:color="auto" w:sz="4" w:space="0"/>
            </w:tcBorders>
            <w:vAlign w:val="center"/>
          </w:tcPr>
          <w:p w14:paraId="5A74DD74">
            <w:pPr>
              <w:widowControl/>
              <w:jc w:val="center"/>
              <w:rPr>
                <w:rFonts w:hint="eastAsia" w:ascii="宋体" w:hAnsi="宋体" w:cs="宋体"/>
                <w:b/>
                <w:bCs/>
                <w:kern w:val="0"/>
                <w:sz w:val="24"/>
              </w:rPr>
            </w:pPr>
            <w:r>
              <w:rPr>
                <w:rFonts w:hint="eastAsia" w:ascii="宋体" w:hAnsi="宋体" w:cs="宋体"/>
                <w:b/>
                <w:bCs/>
                <w:kern w:val="0"/>
                <w:sz w:val="24"/>
              </w:rPr>
              <w:t>资产管理</w:t>
            </w:r>
            <w:r>
              <w:rPr>
                <w:rFonts w:hint="eastAsia" w:ascii="宋体" w:hAnsi="宋体" w:cs="宋体"/>
                <w:b/>
                <w:bCs/>
                <w:kern w:val="0"/>
                <w:sz w:val="24"/>
              </w:rPr>
              <w:br w:type="textWrapping"/>
            </w:r>
            <w:r>
              <w:rPr>
                <w:rFonts w:hint="eastAsia" w:ascii="宋体" w:hAnsi="宋体" w:cs="宋体"/>
                <w:b/>
                <w:bCs/>
                <w:kern w:val="0"/>
                <w:sz w:val="24"/>
              </w:rPr>
              <w:t>（9分）</w:t>
            </w:r>
          </w:p>
        </w:tc>
        <w:tc>
          <w:tcPr>
            <w:tcW w:w="1428" w:type="dxa"/>
            <w:tcBorders>
              <w:top w:val="single" w:color="auto" w:sz="4" w:space="0"/>
              <w:left w:val="nil"/>
              <w:bottom w:val="single" w:color="auto" w:sz="4" w:space="0"/>
              <w:right w:val="single" w:color="auto" w:sz="4" w:space="0"/>
            </w:tcBorders>
            <w:vAlign w:val="center"/>
          </w:tcPr>
          <w:p w14:paraId="491F792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资产盘活率</w:t>
            </w:r>
          </w:p>
        </w:tc>
        <w:tc>
          <w:tcPr>
            <w:tcW w:w="692" w:type="dxa"/>
            <w:tcBorders>
              <w:top w:val="single" w:color="auto" w:sz="4" w:space="0"/>
              <w:left w:val="nil"/>
              <w:bottom w:val="single" w:color="auto" w:sz="4" w:space="0"/>
              <w:right w:val="single" w:color="auto" w:sz="4" w:space="0"/>
            </w:tcBorders>
            <w:vAlign w:val="center"/>
          </w:tcPr>
          <w:p w14:paraId="1CE9497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auto" w:sz="4" w:space="0"/>
              <w:left w:val="nil"/>
              <w:bottom w:val="single" w:color="auto" w:sz="4" w:space="0"/>
              <w:right w:val="single" w:color="auto" w:sz="4" w:space="0"/>
            </w:tcBorders>
            <w:vAlign w:val="center"/>
          </w:tcPr>
          <w:p w14:paraId="08F500FE">
            <w:pPr>
              <w:widowControl/>
              <w:jc w:val="left"/>
              <w:rPr>
                <w:rFonts w:hint="eastAsia" w:ascii="宋体" w:hAnsi="宋体" w:cs="宋体"/>
                <w:color w:val="000000"/>
                <w:kern w:val="0"/>
                <w:sz w:val="15"/>
                <w:szCs w:val="18"/>
              </w:rPr>
            </w:pPr>
            <w:r>
              <w:rPr>
                <w:rFonts w:hint="eastAsia"/>
                <w:sz w:val="15"/>
                <w:szCs w:val="18"/>
              </w:rPr>
              <w:t>部门闲置一年以上的资产盘活情况</w:t>
            </w:r>
          </w:p>
        </w:tc>
        <w:tc>
          <w:tcPr>
            <w:tcW w:w="3808" w:type="dxa"/>
            <w:tcBorders>
              <w:top w:val="single" w:color="auto" w:sz="4" w:space="0"/>
              <w:left w:val="nil"/>
              <w:bottom w:val="single" w:color="auto" w:sz="4" w:space="0"/>
              <w:right w:val="single" w:color="auto" w:sz="4" w:space="0"/>
            </w:tcBorders>
            <w:vAlign w:val="center"/>
          </w:tcPr>
          <w:p w14:paraId="29D82A75">
            <w:pPr>
              <w:widowControl/>
              <w:jc w:val="left"/>
              <w:rPr>
                <w:rFonts w:hint="eastAsia" w:ascii="宋体" w:hAnsi="宋体" w:cs="宋体"/>
                <w:color w:val="000000"/>
                <w:kern w:val="0"/>
                <w:sz w:val="15"/>
                <w:szCs w:val="18"/>
              </w:rPr>
            </w:pPr>
            <w:r>
              <w:rPr>
                <w:rFonts w:hint="eastAsia"/>
                <w:sz w:val="15"/>
                <w:szCs w:val="18"/>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766" w:type="dxa"/>
            <w:tcBorders>
              <w:top w:val="single" w:color="auto" w:sz="4" w:space="0"/>
              <w:left w:val="nil"/>
              <w:bottom w:val="single" w:color="auto" w:sz="4" w:space="0"/>
              <w:right w:val="single" w:color="auto" w:sz="4" w:space="0"/>
            </w:tcBorders>
            <w:vAlign w:val="center"/>
          </w:tcPr>
          <w:p w14:paraId="16C0FAD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0" w:type="dxa"/>
            <w:tcBorders>
              <w:top w:val="single" w:color="auto" w:sz="4" w:space="0"/>
              <w:left w:val="nil"/>
              <w:bottom w:val="single" w:color="auto" w:sz="4" w:space="0"/>
              <w:right w:val="single" w:color="auto" w:sz="4" w:space="0"/>
            </w:tcBorders>
            <w:vAlign w:val="center"/>
          </w:tcPr>
          <w:p w14:paraId="5B0F8630">
            <w:pPr>
              <w:widowControl/>
              <w:jc w:val="center"/>
              <w:rPr>
                <w:rFonts w:hint="eastAsia" w:ascii="宋体" w:hAnsi="宋体" w:cs="宋体"/>
                <w:kern w:val="0"/>
                <w:sz w:val="24"/>
              </w:rPr>
            </w:pPr>
            <w:r>
              <w:rPr>
                <w:rFonts w:hint="eastAsia" w:ascii="宋体" w:hAnsi="宋体" w:cs="宋体"/>
                <w:kern w:val="0"/>
                <w:sz w:val="24"/>
              </w:rPr>
              <w:t>　</w:t>
            </w:r>
          </w:p>
        </w:tc>
      </w:tr>
      <w:tr w14:paraId="46727548">
        <w:tblPrEx>
          <w:tblCellMar>
            <w:top w:w="0" w:type="dxa"/>
            <w:left w:w="108" w:type="dxa"/>
            <w:bottom w:w="0" w:type="dxa"/>
            <w:right w:w="108" w:type="dxa"/>
          </w:tblCellMar>
        </w:tblPrEx>
        <w:trPr>
          <w:gridAfter w:val="1"/>
          <w:wAfter w:w="9" w:type="dxa"/>
          <w:trHeight w:val="801"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03580B18">
            <w:pPr>
              <w:widowControl/>
              <w:jc w:val="left"/>
              <w:rPr>
                <w:rFonts w:hint="eastAsia"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29B0FE3E">
            <w:pPr>
              <w:widowControl/>
              <w:jc w:val="center"/>
              <w:rPr>
                <w:rFonts w:hint="eastAsia" w:ascii="宋体" w:hAnsi="宋体" w:cs="宋体"/>
                <w:b/>
                <w:bCs/>
                <w:kern w:val="0"/>
                <w:sz w:val="24"/>
              </w:rPr>
            </w:pPr>
            <w:r>
              <w:rPr>
                <w:rFonts w:hint="eastAsia" w:ascii="宋体" w:hAnsi="宋体" w:cs="宋体"/>
                <w:b/>
                <w:bCs/>
                <w:kern w:val="0"/>
                <w:sz w:val="24"/>
              </w:rPr>
              <w:t>采购管理</w:t>
            </w:r>
            <w:r>
              <w:rPr>
                <w:rFonts w:hint="eastAsia" w:ascii="宋体" w:hAnsi="宋体" w:cs="宋体"/>
                <w:b/>
                <w:bCs/>
                <w:kern w:val="0"/>
                <w:sz w:val="24"/>
              </w:rPr>
              <w:br w:type="textWrapping"/>
            </w:r>
            <w:r>
              <w:rPr>
                <w:rFonts w:hint="eastAsia" w:ascii="宋体" w:hAnsi="宋体" w:cs="宋体"/>
                <w:b/>
                <w:bCs/>
                <w:kern w:val="0"/>
                <w:sz w:val="24"/>
              </w:rPr>
              <w:t>（6分）</w:t>
            </w:r>
          </w:p>
        </w:tc>
        <w:tc>
          <w:tcPr>
            <w:tcW w:w="1428" w:type="dxa"/>
            <w:tcBorders>
              <w:top w:val="single" w:color="auto" w:sz="4" w:space="0"/>
              <w:left w:val="nil"/>
              <w:bottom w:val="single" w:color="auto" w:sz="4" w:space="0"/>
              <w:right w:val="single" w:color="auto" w:sz="4" w:space="0"/>
            </w:tcBorders>
            <w:vAlign w:val="center"/>
          </w:tcPr>
          <w:p w14:paraId="4D63D82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支持中小企业发展</w:t>
            </w:r>
          </w:p>
        </w:tc>
        <w:tc>
          <w:tcPr>
            <w:tcW w:w="692" w:type="dxa"/>
            <w:tcBorders>
              <w:top w:val="single" w:color="auto" w:sz="4" w:space="0"/>
              <w:left w:val="nil"/>
              <w:bottom w:val="single" w:color="auto" w:sz="4" w:space="0"/>
              <w:right w:val="single" w:color="auto" w:sz="4" w:space="0"/>
            </w:tcBorders>
            <w:vAlign w:val="center"/>
          </w:tcPr>
          <w:p w14:paraId="66EF03C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auto" w:sz="4" w:space="0"/>
              <w:left w:val="nil"/>
              <w:bottom w:val="single" w:color="auto" w:sz="4" w:space="0"/>
              <w:right w:val="single" w:color="auto" w:sz="4" w:space="0"/>
            </w:tcBorders>
            <w:vAlign w:val="center"/>
          </w:tcPr>
          <w:p w14:paraId="50052825">
            <w:pPr>
              <w:widowControl/>
              <w:jc w:val="left"/>
              <w:rPr>
                <w:rFonts w:hint="eastAsia" w:ascii="宋体" w:hAnsi="宋体" w:cs="宋体"/>
                <w:color w:val="000000"/>
                <w:kern w:val="0"/>
                <w:sz w:val="15"/>
                <w:szCs w:val="18"/>
              </w:rPr>
            </w:pPr>
            <w:r>
              <w:rPr>
                <w:rFonts w:hint="eastAsia"/>
                <w:sz w:val="15"/>
                <w:szCs w:val="18"/>
              </w:rPr>
              <w:t>部门是否严格执行政府采购促进中小企业发展相关管理办法</w:t>
            </w:r>
          </w:p>
        </w:tc>
        <w:tc>
          <w:tcPr>
            <w:tcW w:w="3808" w:type="dxa"/>
            <w:tcBorders>
              <w:top w:val="single" w:color="auto" w:sz="4" w:space="0"/>
              <w:left w:val="nil"/>
              <w:bottom w:val="single" w:color="auto" w:sz="4" w:space="0"/>
              <w:right w:val="single" w:color="auto" w:sz="4" w:space="0"/>
            </w:tcBorders>
            <w:vAlign w:val="center"/>
          </w:tcPr>
          <w:p w14:paraId="18FD937B">
            <w:pPr>
              <w:widowControl/>
              <w:jc w:val="left"/>
              <w:rPr>
                <w:rFonts w:hint="eastAsia" w:ascii="宋体" w:hAnsi="宋体" w:cs="宋体"/>
                <w:color w:val="000000"/>
                <w:kern w:val="0"/>
                <w:sz w:val="15"/>
                <w:szCs w:val="18"/>
              </w:rPr>
            </w:pPr>
            <w:r>
              <w:rPr>
                <w:rFonts w:hint="eastAsia"/>
                <w:sz w:val="15"/>
                <w:szCs w:val="18"/>
              </w:rPr>
              <w:t>对适宜由中小企业提供的采购项目和采购包，预留采购份额专门面向中小企业采购，并在采购预算中单独列示，不符合要求的扣3分。</w:t>
            </w:r>
          </w:p>
        </w:tc>
        <w:tc>
          <w:tcPr>
            <w:tcW w:w="766" w:type="dxa"/>
            <w:tcBorders>
              <w:top w:val="single" w:color="auto" w:sz="4" w:space="0"/>
              <w:left w:val="nil"/>
              <w:bottom w:val="single" w:color="auto" w:sz="4" w:space="0"/>
              <w:right w:val="single" w:color="auto" w:sz="4" w:space="0"/>
            </w:tcBorders>
            <w:vAlign w:val="center"/>
          </w:tcPr>
          <w:p w14:paraId="3B2314B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0" w:type="dxa"/>
            <w:vMerge w:val="restart"/>
            <w:tcBorders>
              <w:top w:val="single" w:color="auto" w:sz="4" w:space="0"/>
              <w:left w:val="single" w:color="auto" w:sz="4" w:space="0"/>
              <w:bottom w:val="single" w:color="auto" w:sz="4" w:space="0"/>
              <w:right w:val="single" w:color="auto" w:sz="4" w:space="0"/>
            </w:tcBorders>
            <w:vAlign w:val="center"/>
          </w:tcPr>
          <w:p w14:paraId="0D84BAA6">
            <w:pPr>
              <w:widowControl/>
              <w:jc w:val="center"/>
              <w:rPr>
                <w:rFonts w:hint="eastAsia" w:ascii="宋体" w:hAnsi="宋体" w:cs="宋体"/>
                <w:kern w:val="0"/>
                <w:sz w:val="24"/>
              </w:rPr>
            </w:pPr>
            <w:r>
              <w:rPr>
                <w:rFonts w:hint="eastAsia" w:ascii="宋体" w:hAnsi="宋体" w:cs="宋体"/>
                <w:kern w:val="0"/>
                <w:sz w:val="24"/>
              </w:rPr>
              <w:t>　</w:t>
            </w:r>
          </w:p>
        </w:tc>
      </w:tr>
      <w:tr w14:paraId="54D874EF">
        <w:tblPrEx>
          <w:tblCellMar>
            <w:top w:w="0" w:type="dxa"/>
            <w:left w:w="108" w:type="dxa"/>
            <w:bottom w:w="0" w:type="dxa"/>
            <w:right w:w="108" w:type="dxa"/>
          </w:tblCellMar>
        </w:tblPrEx>
        <w:trPr>
          <w:gridAfter w:val="1"/>
          <w:wAfter w:w="9" w:type="dxa"/>
          <w:trHeight w:val="72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728F5DF8">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27794739">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2A4E2F1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采购执行率</w:t>
            </w:r>
          </w:p>
        </w:tc>
        <w:tc>
          <w:tcPr>
            <w:tcW w:w="692" w:type="dxa"/>
            <w:tcBorders>
              <w:top w:val="single" w:color="auto" w:sz="4" w:space="0"/>
              <w:left w:val="nil"/>
              <w:bottom w:val="single" w:color="auto" w:sz="4" w:space="0"/>
              <w:right w:val="single" w:color="auto" w:sz="4" w:space="0"/>
            </w:tcBorders>
            <w:vAlign w:val="center"/>
          </w:tcPr>
          <w:p w14:paraId="020C8A2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1701" w:type="dxa"/>
            <w:tcBorders>
              <w:top w:val="single" w:color="auto" w:sz="4" w:space="0"/>
              <w:left w:val="nil"/>
              <w:bottom w:val="single" w:color="auto" w:sz="4" w:space="0"/>
              <w:right w:val="single" w:color="auto" w:sz="4" w:space="0"/>
            </w:tcBorders>
            <w:vAlign w:val="center"/>
          </w:tcPr>
          <w:p w14:paraId="5E041DFA">
            <w:pPr>
              <w:widowControl/>
              <w:jc w:val="left"/>
              <w:rPr>
                <w:rFonts w:hint="eastAsia" w:ascii="宋体" w:hAnsi="宋体" w:cs="宋体"/>
                <w:color w:val="000000"/>
                <w:kern w:val="0"/>
                <w:sz w:val="15"/>
                <w:szCs w:val="18"/>
              </w:rPr>
            </w:pPr>
            <w:r>
              <w:rPr>
                <w:rFonts w:hint="eastAsia"/>
                <w:sz w:val="15"/>
                <w:szCs w:val="18"/>
              </w:rPr>
              <w:t>部门政府采购项目资金支付比例情况</w:t>
            </w:r>
          </w:p>
        </w:tc>
        <w:tc>
          <w:tcPr>
            <w:tcW w:w="3808" w:type="dxa"/>
            <w:tcBorders>
              <w:top w:val="single" w:color="auto" w:sz="4" w:space="0"/>
              <w:left w:val="nil"/>
              <w:bottom w:val="single" w:color="auto" w:sz="4" w:space="0"/>
              <w:right w:val="single" w:color="auto" w:sz="4" w:space="0"/>
            </w:tcBorders>
            <w:vAlign w:val="center"/>
          </w:tcPr>
          <w:p w14:paraId="30E33363">
            <w:pPr>
              <w:widowControl/>
              <w:jc w:val="left"/>
              <w:rPr>
                <w:rFonts w:hint="eastAsia" w:ascii="宋体" w:hAnsi="宋体" w:cs="宋体"/>
                <w:color w:val="000000"/>
                <w:kern w:val="0"/>
                <w:sz w:val="15"/>
                <w:szCs w:val="18"/>
              </w:rPr>
            </w:pPr>
            <w:r>
              <w:rPr>
                <w:rFonts w:hint="eastAsia"/>
                <w:sz w:val="15"/>
                <w:szCs w:val="18"/>
              </w:rPr>
              <w:t>该项指标得分=当年政府采购实际支付总金额÷（当年政府采购总预算数-当年已完成采购项目节约金额）×100%×3。</w:t>
            </w:r>
          </w:p>
        </w:tc>
        <w:tc>
          <w:tcPr>
            <w:tcW w:w="766" w:type="dxa"/>
            <w:tcBorders>
              <w:top w:val="single" w:color="auto" w:sz="4" w:space="0"/>
              <w:left w:val="nil"/>
              <w:bottom w:val="single" w:color="auto" w:sz="4" w:space="0"/>
              <w:right w:val="single" w:color="auto" w:sz="4" w:space="0"/>
            </w:tcBorders>
            <w:vAlign w:val="center"/>
          </w:tcPr>
          <w:p w14:paraId="7FE436E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700" w:type="dxa"/>
            <w:vMerge w:val="continue"/>
            <w:tcBorders>
              <w:top w:val="single" w:color="auto" w:sz="4" w:space="0"/>
              <w:left w:val="single" w:color="auto" w:sz="4" w:space="0"/>
              <w:bottom w:val="single" w:color="auto" w:sz="4" w:space="0"/>
              <w:right w:val="single" w:color="auto" w:sz="4" w:space="0"/>
            </w:tcBorders>
            <w:vAlign w:val="center"/>
          </w:tcPr>
          <w:p w14:paraId="4A64538B">
            <w:pPr>
              <w:widowControl/>
              <w:jc w:val="left"/>
              <w:rPr>
                <w:rFonts w:hint="eastAsia" w:ascii="宋体" w:hAnsi="宋体" w:cs="宋体"/>
                <w:kern w:val="0"/>
                <w:sz w:val="24"/>
              </w:rPr>
            </w:pPr>
          </w:p>
        </w:tc>
      </w:tr>
      <w:tr w14:paraId="65D5B9C2">
        <w:tblPrEx>
          <w:tblCellMar>
            <w:top w:w="0" w:type="dxa"/>
            <w:left w:w="108" w:type="dxa"/>
            <w:bottom w:w="0" w:type="dxa"/>
            <w:right w:w="108" w:type="dxa"/>
          </w:tblCellMar>
        </w:tblPrEx>
        <w:trPr>
          <w:gridAfter w:val="1"/>
          <w:wAfter w:w="9" w:type="dxa"/>
          <w:trHeight w:val="1320"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14:paraId="324EA6D3">
            <w:pPr>
              <w:widowControl/>
              <w:jc w:val="center"/>
              <w:rPr>
                <w:rFonts w:hint="eastAsia" w:ascii="宋体" w:hAnsi="宋体" w:cs="宋体"/>
                <w:b/>
                <w:bCs/>
                <w:kern w:val="0"/>
                <w:sz w:val="24"/>
              </w:rPr>
            </w:pPr>
            <w:r>
              <w:rPr>
                <w:rFonts w:hint="eastAsia" w:ascii="宋体" w:hAnsi="宋体" w:cs="宋体"/>
                <w:b/>
                <w:bCs/>
                <w:kern w:val="0"/>
                <w:sz w:val="24"/>
              </w:rPr>
              <w:t>项目绩效</w:t>
            </w:r>
            <w:r>
              <w:rPr>
                <w:rFonts w:hint="eastAsia" w:ascii="宋体" w:hAnsi="宋体" w:cs="宋体"/>
                <w:b/>
                <w:bCs/>
                <w:kern w:val="0"/>
                <w:sz w:val="24"/>
              </w:rPr>
              <w:br w:type="textWrapping"/>
            </w:r>
            <w:r>
              <w:rPr>
                <w:rFonts w:hint="eastAsia" w:ascii="宋体" w:hAnsi="宋体" w:cs="宋体"/>
                <w:b/>
                <w:bCs/>
                <w:kern w:val="0"/>
                <w:sz w:val="24"/>
              </w:rPr>
              <w:t>（35分）</w:t>
            </w: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5EC52645">
            <w:pPr>
              <w:widowControl/>
              <w:jc w:val="center"/>
              <w:rPr>
                <w:rFonts w:hint="eastAsia" w:ascii="宋体" w:hAnsi="宋体" w:cs="宋体"/>
                <w:b/>
                <w:bCs/>
                <w:kern w:val="0"/>
                <w:sz w:val="24"/>
              </w:rPr>
            </w:pPr>
            <w:r>
              <w:rPr>
                <w:rFonts w:hint="eastAsia" w:ascii="宋体" w:hAnsi="宋体" w:cs="宋体"/>
                <w:b/>
                <w:bCs/>
                <w:kern w:val="0"/>
                <w:sz w:val="24"/>
              </w:rPr>
              <w:t>项目决策</w:t>
            </w:r>
            <w:r>
              <w:rPr>
                <w:rFonts w:hint="eastAsia" w:ascii="宋体" w:hAnsi="宋体" w:cs="宋体"/>
                <w:b/>
                <w:bCs/>
                <w:kern w:val="0"/>
                <w:sz w:val="24"/>
              </w:rPr>
              <w:br w:type="textWrapping"/>
            </w:r>
            <w:r>
              <w:rPr>
                <w:rFonts w:hint="eastAsia" w:ascii="宋体" w:hAnsi="宋体" w:cs="宋体"/>
                <w:b/>
                <w:bCs/>
                <w:kern w:val="0"/>
                <w:sz w:val="24"/>
              </w:rPr>
              <w:t>（12分）</w:t>
            </w:r>
          </w:p>
        </w:tc>
        <w:tc>
          <w:tcPr>
            <w:tcW w:w="1428" w:type="dxa"/>
            <w:tcBorders>
              <w:top w:val="single" w:color="auto" w:sz="4" w:space="0"/>
              <w:left w:val="nil"/>
              <w:bottom w:val="single" w:color="auto" w:sz="4" w:space="0"/>
              <w:right w:val="single" w:color="auto" w:sz="4" w:space="0"/>
            </w:tcBorders>
            <w:vAlign w:val="center"/>
          </w:tcPr>
          <w:p w14:paraId="0A19C8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决策程序</w:t>
            </w:r>
          </w:p>
        </w:tc>
        <w:tc>
          <w:tcPr>
            <w:tcW w:w="692" w:type="dxa"/>
            <w:tcBorders>
              <w:top w:val="single" w:color="auto" w:sz="4" w:space="0"/>
              <w:left w:val="nil"/>
              <w:bottom w:val="single" w:color="auto" w:sz="4" w:space="0"/>
              <w:right w:val="single" w:color="auto" w:sz="4" w:space="0"/>
            </w:tcBorders>
            <w:vAlign w:val="center"/>
          </w:tcPr>
          <w:p w14:paraId="0198E56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single" w:color="auto" w:sz="4" w:space="0"/>
              <w:left w:val="nil"/>
              <w:bottom w:val="single" w:color="auto" w:sz="4" w:space="0"/>
              <w:right w:val="single" w:color="auto" w:sz="4" w:space="0"/>
            </w:tcBorders>
            <w:vAlign w:val="center"/>
          </w:tcPr>
          <w:p w14:paraId="330A0D7D">
            <w:pPr>
              <w:widowControl/>
              <w:jc w:val="left"/>
              <w:rPr>
                <w:rFonts w:hint="eastAsia" w:ascii="宋体" w:hAnsi="宋体" w:cs="宋体"/>
                <w:color w:val="000000"/>
                <w:kern w:val="0"/>
                <w:sz w:val="15"/>
                <w:szCs w:val="18"/>
              </w:rPr>
            </w:pPr>
            <w:r>
              <w:rPr>
                <w:rFonts w:hint="eastAsia"/>
                <w:sz w:val="15"/>
                <w:szCs w:val="18"/>
              </w:rPr>
              <w:t>部门预算项目设立是否按规定履行评估论证、申报程序</w:t>
            </w:r>
          </w:p>
        </w:tc>
        <w:tc>
          <w:tcPr>
            <w:tcW w:w="3808" w:type="dxa"/>
            <w:tcBorders>
              <w:top w:val="single" w:color="auto" w:sz="4" w:space="0"/>
              <w:left w:val="nil"/>
              <w:bottom w:val="single" w:color="auto" w:sz="4" w:space="0"/>
              <w:right w:val="single" w:color="auto" w:sz="4" w:space="0"/>
            </w:tcBorders>
            <w:vAlign w:val="center"/>
          </w:tcPr>
          <w:p w14:paraId="0DE49436">
            <w:pPr>
              <w:widowControl/>
              <w:jc w:val="left"/>
              <w:rPr>
                <w:rFonts w:hint="eastAsia" w:ascii="宋体" w:hAnsi="宋体" w:cs="宋体"/>
                <w:color w:val="000000"/>
                <w:kern w:val="0"/>
                <w:sz w:val="15"/>
                <w:szCs w:val="18"/>
              </w:rPr>
            </w:pPr>
            <w:r>
              <w:rPr>
                <w:rFonts w:hint="eastAsia"/>
                <w:sz w:val="15"/>
                <w:szCs w:val="18"/>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766" w:type="dxa"/>
            <w:tcBorders>
              <w:top w:val="single" w:color="auto" w:sz="4" w:space="0"/>
              <w:left w:val="nil"/>
              <w:bottom w:val="single" w:color="auto" w:sz="4" w:space="0"/>
              <w:right w:val="single" w:color="auto" w:sz="4" w:space="0"/>
            </w:tcBorders>
            <w:vAlign w:val="center"/>
          </w:tcPr>
          <w:p w14:paraId="2E71F8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00" w:type="dxa"/>
            <w:tcBorders>
              <w:top w:val="single" w:color="auto" w:sz="4" w:space="0"/>
              <w:left w:val="nil"/>
              <w:bottom w:val="single" w:color="auto" w:sz="4" w:space="0"/>
              <w:right w:val="single" w:color="auto" w:sz="4" w:space="0"/>
            </w:tcBorders>
            <w:vAlign w:val="center"/>
          </w:tcPr>
          <w:p w14:paraId="5927442D">
            <w:pPr>
              <w:widowControl/>
              <w:jc w:val="center"/>
              <w:rPr>
                <w:rFonts w:hint="eastAsia" w:ascii="宋体" w:hAnsi="宋体" w:cs="宋体"/>
                <w:kern w:val="0"/>
                <w:sz w:val="24"/>
              </w:rPr>
            </w:pPr>
            <w:r>
              <w:rPr>
                <w:rFonts w:hint="eastAsia" w:ascii="宋体" w:hAnsi="宋体" w:cs="宋体"/>
                <w:kern w:val="0"/>
                <w:sz w:val="24"/>
              </w:rPr>
              <w:t>　</w:t>
            </w:r>
          </w:p>
        </w:tc>
      </w:tr>
      <w:tr w14:paraId="042F5D56">
        <w:tblPrEx>
          <w:tblCellMar>
            <w:top w:w="0" w:type="dxa"/>
            <w:left w:w="108" w:type="dxa"/>
            <w:bottom w:w="0" w:type="dxa"/>
            <w:right w:w="108" w:type="dxa"/>
          </w:tblCellMar>
        </w:tblPrEx>
        <w:trPr>
          <w:gridAfter w:val="1"/>
          <w:wAfter w:w="9" w:type="dxa"/>
          <w:trHeight w:val="120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607BEA30">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27CD481F">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684ADA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目标设置</w:t>
            </w:r>
          </w:p>
        </w:tc>
        <w:tc>
          <w:tcPr>
            <w:tcW w:w="692" w:type="dxa"/>
            <w:tcBorders>
              <w:top w:val="single" w:color="auto" w:sz="4" w:space="0"/>
              <w:left w:val="nil"/>
              <w:bottom w:val="single" w:color="auto" w:sz="4" w:space="0"/>
              <w:right w:val="single" w:color="auto" w:sz="4" w:space="0"/>
            </w:tcBorders>
            <w:vAlign w:val="center"/>
          </w:tcPr>
          <w:p w14:paraId="63221A7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single" w:color="auto" w:sz="4" w:space="0"/>
              <w:left w:val="nil"/>
              <w:bottom w:val="single" w:color="auto" w:sz="4" w:space="0"/>
              <w:right w:val="single" w:color="auto" w:sz="4" w:space="0"/>
            </w:tcBorders>
            <w:vAlign w:val="center"/>
          </w:tcPr>
          <w:p w14:paraId="06EC6710">
            <w:pPr>
              <w:widowControl/>
              <w:jc w:val="left"/>
              <w:rPr>
                <w:rFonts w:hint="eastAsia" w:ascii="宋体" w:hAnsi="宋体" w:cs="宋体"/>
                <w:color w:val="000000"/>
                <w:kern w:val="0"/>
                <w:sz w:val="15"/>
                <w:szCs w:val="18"/>
              </w:rPr>
            </w:pPr>
            <w:r>
              <w:rPr>
                <w:rFonts w:hint="eastAsia"/>
                <w:sz w:val="15"/>
                <w:szCs w:val="18"/>
              </w:rPr>
              <w:t>部门预算项目绩效目标与计划期内的任务量、预算安排的资金量匹配情况，绩效目标设置是否科学合理、规范完整、量化细化、预算匹配</w:t>
            </w:r>
          </w:p>
        </w:tc>
        <w:tc>
          <w:tcPr>
            <w:tcW w:w="3808" w:type="dxa"/>
            <w:tcBorders>
              <w:top w:val="single" w:color="auto" w:sz="4" w:space="0"/>
              <w:left w:val="nil"/>
              <w:bottom w:val="single" w:color="auto" w:sz="4" w:space="0"/>
              <w:right w:val="single" w:color="auto" w:sz="4" w:space="0"/>
            </w:tcBorders>
            <w:vAlign w:val="center"/>
          </w:tcPr>
          <w:p w14:paraId="379E241C">
            <w:pPr>
              <w:widowControl/>
              <w:jc w:val="left"/>
              <w:rPr>
                <w:rFonts w:hint="eastAsia" w:ascii="宋体" w:hAnsi="宋体" w:cs="宋体"/>
                <w:color w:val="000000"/>
                <w:kern w:val="0"/>
                <w:sz w:val="15"/>
                <w:szCs w:val="18"/>
              </w:rPr>
            </w:pPr>
            <w:r>
              <w:rPr>
                <w:rFonts w:hint="eastAsia"/>
                <w:sz w:val="15"/>
                <w:szCs w:val="18"/>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766" w:type="dxa"/>
            <w:tcBorders>
              <w:top w:val="single" w:color="auto" w:sz="4" w:space="0"/>
              <w:left w:val="nil"/>
              <w:bottom w:val="single" w:color="auto" w:sz="4" w:space="0"/>
              <w:right w:val="single" w:color="auto" w:sz="4" w:space="0"/>
            </w:tcBorders>
            <w:vAlign w:val="center"/>
          </w:tcPr>
          <w:p w14:paraId="214F44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00" w:type="dxa"/>
            <w:tcBorders>
              <w:top w:val="single" w:color="auto" w:sz="4" w:space="0"/>
              <w:left w:val="nil"/>
              <w:bottom w:val="single" w:color="auto" w:sz="4" w:space="0"/>
              <w:right w:val="single" w:color="auto" w:sz="4" w:space="0"/>
            </w:tcBorders>
            <w:vAlign w:val="center"/>
          </w:tcPr>
          <w:p w14:paraId="29B5728E">
            <w:pPr>
              <w:widowControl/>
              <w:jc w:val="center"/>
              <w:rPr>
                <w:rFonts w:hint="eastAsia" w:ascii="宋体" w:hAnsi="宋体" w:cs="宋体"/>
                <w:kern w:val="0"/>
                <w:sz w:val="24"/>
              </w:rPr>
            </w:pPr>
            <w:r>
              <w:rPr>
                <w:rFonts w:hint="eastAsia" w:ascii="宋体" w:hAnsi="宋体" w:cs="宋体"/>
                <w:kern w:val="0"/>
                <w:sz w:val="24"/>
              </w:rPr>
              <w:t>　</w:t>
            </w:r>
          </w:p>
        </w:tc>
      </w:tr>
      <w:tr w14:paraId="10DE1AC4">
        <w:tblPrEx>
          <w:tblCellMar>
            <w:top w:w="0" w:type="dxa"/>
            <w:left w:w="108" w:type="dxa"/>
            <w:bottom w:w="0" w:type="dxa"/>
            <w:right w:w="108" w:type="dxa"/>
          </w:tblCellMar>
        </w:tblPrEx>
        <w:trPr>
          <w:gridAfter w:val="1"/>
          <w:wAfter w:w="9" w:type="dxa"/>
          <w:trHeight w:val="1041"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422406A1">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3987B39B">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4EDC1A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项目入库</w:t>
            </w:r>
          </w:p>
        </w:tc>
        <w:tc>
          <w:tcPr>
            <w:tcW w:w="692" w:type="dxa"/>
            <w:tcBorders>
              <w:top w:val="single" w:color="auto" w:sz="4" w:space="0"/>
              <w:left w:val="nil"/>
              <w:bottom w:val="single" w:color="auto" w:sz="4" w:space="0"/>
              <w:right w:val="single" w:color="auto" w:sz="4" w:space="0"/>
            </w:tcBorders>
            <w:vAlign w:val="center"/>
          </w:tcPr>
          <w:p w14:paraId="2457BA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single" w:color="auto" w:sz="4" w:space="0"/>
              <w:left w:val="nil"/>
              <w:bottom w:val="single" w:color="auto" w:sz="4" w:space="0"/>
              <w:right w:val="single" w:color="auto" w:sz="4" w:space="0"/>
            </w:tcBorders>
            <w:vAlign w:val="center"/>
          </w:tcPr>
          <w:p w14:paraId="51D1DC97">
            <w:pPr>
              <w:widowControl/>
              <w:jc w:val="left"/>
              <w:rPr>
                <w:rFonts w:hint="eastAsia" w:ascii="宋体" w:hAnsi="宋体" w:cs="宋体"/>
                <w:color w:val="000000"/>
                <w:kern w:val="0"/>
                <w:sz w:val="15"/>
                <w:szCs w:val="18"/>
              </w:rPr>
            </w:pPr>
            <w:r>
              <w:rPr>
                <w:rFonts w:hint="eastAsia"/>
                <w:sz w:val="15"/>
                <w:szCs w:val="18"/>
              </w:rPr>
              <w:t>部门预算项目是否在规定时间完成项目入库</w:t>
            </w:r>
          </w:p>
        </w:tc>
        <w:tc>
          <w:tcPr>
            <w:tcW w:w="3808" w:type="dxa"/>
            <w:tcBorders>
              <w:top w:val="single" w:color="auto" w:sz="4" w:space="0"/>
              <w:left w:val="nil"/>
              <w:bottom w:val="single" w:color="auto" w:sz="4" w:space="0"/>
              <w:right w:val="single" w:color="auto" w:sz="4" w:space="0"/>
            </w:tcBorders>
            <w:vAlign w:val="center"/>
          </w:tcPr>
          <w:p w14:paraId="09AFA74C">
            <w:pPr>
              <w:widowControl/>
              <w:jc w:val="left"/>
              <w:rPr>
                <w:rFonts w:hint="eastAsia" w:ascii="宋体" w:hAnsi="宋体" w:cs="宋体"/>
                <w:color w:val="000000"/>
                <w:kern w:val="0"/>
                <w:sz w:val="15"/>
                <w:szCs w:val="18"/>
              </w:rPr>
            </w:pPr>
            <w:r>
              <w:rPr>
                <w:rFonts w:hint="eastAsia"/>
                <w:sz w:val="15"/>
                <w:szCs w:val="18"/>
              </w:rPr>
              <w:t>该项指标得分=4-规定时间未入财政库部门预算阶段项目（含一次性项目）数量÷最终安排部门预算阶段项目（含一次性项目）总数×100%×4。（默认满分）</w:t>
            </w:r>
          </w:p>
        </w:tc>
        <w:tc>
          <w:tcPr>
            <w:tcW w:w="766" w:type="dxa"/>
            <w:tcBorders>
              <w:top w:val="single" w:color="auto" w:sz="4" w:space="0"/>
              <w:left w:val="nil"/>
              <w:bottom w:val="single" w:color="auto" w:sz="4" w:space="0"/>
              <w:right w:val="single" w:color="auto" w:sz="4" w:space="0"/>
            </w:tcBorders>
            <w:vAlign w:val="center"/>
          </w:tcPr>
          <w:p w14:paraId="2AAB62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00" w:type="dxa"/>
            <w:tcBorders>
              <w:top w:val="single" w:color="auto" w:sz="4" w:space="0"/>
              <w:left w:val="nil"/>
              <w:bottom w:val="single" w:color="auto" w:sz="4" w:space="0"/>
              <w:right w:val="single" w:color="auto" w:sz="4" w:space="0"/>
            </w:tcBorders>
            <w:vAlign w:val="center"/>
          </w:tcPr>
          <w:p w14:paraId="59CE9B68">
            <w:pPr>
              <w:widowControl/>
              <w:jc w:val="center"/>
              <w:rPr>
                <w:rFonts w:hint="eastAsia" w:ascii="宋体" w:hAnsi="宋体" w:cs="宋体"/>
                <w:kern w:val="0"/>
                <w:sz w:val="24"/>
              </w:rPr>
            </w:pPr>
            <w:r>
              <w:rPr>
                <w:rFonts w:hint="eastAsia" w:ascii="宋体" w:hAnsi="宋体" w:cs="宋体"/>
                <w:kern w:val="0"/>
                <w:sz w:val="24"/>
              </w:rPr>
              <w:t>　</w:t>
            </w:r>
          </w:p>
        </w:tc>
      </w:tr>
      <w:tr w14:paraId="26CE738A">
        <w:tblPrEx>
          <w:tblCellMar>
            <w:top w:w="0" w:type="dxa"/>
            <w:left w:w="108" w:type="dxa"/>
            <w:bottom w:w="0" w:type="dxa"/>
            <w:right w:w="108" w:type="dxa"/>
          </w:tblCellMar>
        </w:tblPrEx>
        <w:trPr>
          <w:gridAfter w:val="1"/>
          <w:wAfter w:w="9" w:type="dxa"/>
          <w:trHeight w:val="78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77A5DDE1">
            <w:pPr>
              <w:widowControl/>
              <w:jc w:val="left"/>
              <w:rPr>
                <w:rFonts w:hint="eastAsia"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4EB21C55">
            <w:pPr>
              <w:widowControl/>
              <w:jc w:val="center"/>
              <w:rPr>
                <w:rFonts w:hint="eastAsia" w:ascii="宋体" w:hAnsi="宋体" w:cs="宋体"/>
                <w:b/>
                <w:bCs/>
                <w:kern w:val="0"/>
                <w:sz w:val="24"/>
              </w:rPr>
            </w:pPr>
            <w:r>
              <w:rPr>
                <w:rFonts w:hint="eastAsia" w:ascii="宋体" w:hAnsi="宋体" w:cs="宋体"/>
                <w:b/>
                <w:bCs/>
                <w:kern w:val="0"/>
                <w:sz w:val="24"/>
              </w:rPr>
              <w:t>项目执行</w:t>
            </w:r>
            <w:r>
              <w:rPr>
                <w:rFonts w:hint="eastAsia" w:ascii="宋体" w:hAnsi="宋体" w:cs="宋体"/>
                <w:b/>
                <w:bCs/>
                <w:kern w:val="0"/>
                <w:sz w:val="24"/>
              </w:rPr>
              <w:br w:type="textWrapping"/>
            </w:r>
            <w:r>
              <w:rPr>
                <w:rFonts w:hint="eastAsia" w:ascii="宋体" w:hAnsi="宋体" w:cs="宋体"/>
                <w:b/>
                <w:bCs/>
                <w:kern w:val="0"/>
                <w:sz w:val="24"/>
              </w:rPr>
              <w:t>（12分）</w:t>
            </w:r>
          </w:p>
        </w:tc>
        <w:tc>
          <w:tcPr>
            <w:tcW w:w="1428" w:type="dxa"/>
            <w:tcBorders>
              <w:top w:val="single" w:color="auto" w:sz="4" w:space="0"/>
              <w:left w:val="nil"/>
              <w:bottom w:val="single" w:color="auto" w:sz="4" w:space="0"/>
              <w:right w:val="single" w:color="auto" w:sz="4" w:space="0"/>
            </w:tcBorders>
            <w:vAlign w:val="center"/>
          </w:tcPr>
          <w:p w14:paraId="11341E4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执行同向</w:t>
            </w:r>
          </w:p>
        </w:tc>
        <w:tc>
          <w:tcPr>
            <w:tcW w:w="692" w:type="dxa"/>
            <w:tcBorders>
              <w:top w:val="single" w:color="auto" w:sz="4" w:space="0"/>
              <w:left w:val="nil"/>
              <w:bottom w:val="single" w:color="auto" w:sz="4" w:space="0"/>
              <w:right w:val="single" w:color="auto" w:sz="4" w:space="0"/>
            </w:tcBorders>
            <w:vAlign w:val="center"/>
          </w:tcPr>
          <w:p w14:paraId="6DA8762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701" w:type="dxa"/>
            <w:tcBorders>
              <w:top w:val="single" w:color="auto" w:sz="4" w:space="0"/>
              <w:left w:val="nil"/>
              <w:bottom w:val="single" w:color="auto" w:sz="4" w:space="0"/>
              <w:right w:val="single" w:color="auto" w:sz="4" w:space="0"/>
            </w:tcBorders>
            <w:vAlign w:val="center"/>
          </w:tcPr>
          <w:p w14:paraId="6F85C21D">
            <w:pPr>
              <w:widowControl/>
              <w:jc w:val="left"/>
              <w:rPr>
                <w:rFonts w:hint="eastAsia" w:ascii="宋体" w:hAnsi="宋体" w:cs="宋体"/>
                <w:color w:val="000000"/>
                <w:kern w:val="0"/>
                <w:sz w:val="15"/>
                <w:szCs w:val="18"/>
              </w:rPr>
            </w:pPr>
            <w:r>
              <w:rPr>
                <w:rFonts w:hint="eastAsia"/>
                <w:sz w:val="15"/>
                <w:szCs w:val="18"/>
              </w:rPr>
              <w:t>部门预算项目实际列支内容是否与绩效目标设置方向相符</w:t>
            </w:r>
          </w:p>
        </w:tc>
        <w:tc>
          <w:tcPr>
            <w:tcW w:w="3808" w:type="dxa"/>
            <w:tcBorders>
              <w:top w:val="single" w:color="auto" w:sz="4" w:space="0"/>
              <w:left w:val="nil"/>
              <w:bottom w:val="single" w:color="auto" w:sz="4" w:space="0"/>
              <w:right w:val="single" w:color="auto" w:sz="4" w:space="0"/>
            </w:tcBorders>
            <w:vAlign w:val="center"/>
          </w:tcPr>
          <w:p w14:paraId="6574F55B">
            <w:pPr>
              <w:widowControl/>
              <w:jc w:val="left"/>
              <w:rPr>
                <w:rFonts w:hint="eastAsia" w:ascii="宋体" w:hAnsi="宋体" w:cs="宋体"/>
                <w:color w:val="000000"/>
                <w:kern w:val="0"/>
                <w:sz w:val="15"/>
                <w:szCs w:val="18"/>
              </w:rPr>
            </w:pPr>
            <w:r>
              <w:rPr>
                <w:rFonts w:hint="eastAsia"/>
                <w:sz w:val="15"/>
                <w:szCs w:val="18"/>
              </w:rPr>
              <w:t>该项指标得分=4-实际列支内容与绩效目标设置方向不相符的部门预算阶段项目（含一次性项目）数量÷部门预算阶段项目（含一次性项目）总数×100%×5。</w:t>
            </w:r>
          </w:p>
        </w:tc>
        <w:tc>
          <w:tcPr>
            <w:tcW w:w="766" w:type="dxa"/>
            <w:tcBorders>
              <w:top w:val="single" w:color="auto" w:sz="4" w:space="0"/>
              <w:left w:val="nil"/>
              <w:bottom w:val="single" w:color="auto" w:sz="4" w:space="0"/>
              <w:right w:val="single" w:color="auto" w:sz="4" w:space="0"/>
            </w:tcBorders>
            <w:vAlign w:val="center"/>
          </w:tcPr>
          <w:p w14:paraId="2EAAAE0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0" w:type="dxa"/>
            <w:tcBorders>
              <w:top w:val="single" w:color="auto" w:sz="4" w:space="0"/>
              <w:left w:val="nil"/>
              <w:bottom w:val="single" w:color="auto" w:sz="4" w:space="0"/>
              <w:right w:val="single" w:color="auto" w:sz="4" w:space="0"/>
            </w:tcBorders>
            <w:vAlign w:val="center"/>
          </w:tcPr>
          <w:p w14:paraId="1BC310B4">
            <w:pPr>
              <w:widowControl/>
              <w:jc w:val="center"/>
              <w:rPr>
                <w:rFonts w:hint="eastAsia" w:ascii="宋体" w:hAnsi="宋体" w:cs="宋体"/>
                <w:kern w:val="0"/>
                <w:sz w:val="24"/>
              </w:rPr>
            </w:pPr>
            <w:r>
              <w:rPr>
                <w:rFonts w:hint="eastAsia" w:ascii="宋体" w:hAnsi="宋体" w:cs="宋体"/>
                <w:kern w:val="0"/>
                <w:sz w:val="24"/>
              </w:rPr>
              <w:t>　</w:t>
            </w:r>
          </w:p>
        </w:tc>
      </w:tr>
      <w:tr w14:paraId="5011FD6B">
        <w:tblPrEx>
          <w:tblCellMar>
            <w:top w:w="0" w:type="dxa"/>
            <w:left w:w="108" w:type="dxa"/>
            <w:bottom w:w="0" w:type="dxa"/>
            <w:right w:w="108" w:type="dxa"/>
          </w:tblCellMar>
        </w:tblPrEx>
        <w:trPr>
          <w:gridAfter w:val="1"/>
          <w:wAfter w:w="9" w:type="dxa"/>
          <w:trHeight w:val="102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0E999C5F">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0DA78D39">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3ACBDA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项目调整</w:t>
            </w:r>
          </w:p>
        </w:tc>
        <w:tc>
          <w:tcPr>
            <w:tcW w:w="692" w:type="dxa"/>
            <w:tcBorders>
              <w:top w:val="single" w:color="auto" w:sz="4" w:space="0"/>
              <w:left w:val="nil"/>
              <w:bottom w:val="single" w:color="auto" w:sz="4" w:space="0"/>
              <w:right w:val="single" w:color="auto" w:sz="4" w:space="0"/>
            </w:tcBorders>
            <w:vAlign w:val="center"/>
          </w:tcPr>
          <w:p w14:paraId="675993A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single" w:color="auto" w:sz="4" w:space="0"/>
              <w:left w:val="nil"/>
              <w:bottom w:val="single" w:color="auto" w:sz="4" w:space="0"/>
              <w:right w:val="single" w:color="auto" w:sz="4" w:space="0"/>
            </w:tcBorders>
            <w:vAlign w:val="center"/>
          </w:tcPr>
          <w:p w14:paraId="3F99EB31">
            <w:pPr>
              <w:widowControl/>
              <w:jc w:val="left"/>
              <w:rPr>
                <w:rFonts w:hint="eastAsia" w:ascii="宋体" w:hAnsi="宋体" w:cs="宋体"/>
                <w:color w:val="000000"/>
                <w:kern w:val="0"/>
                <w:sz w:val="15"/>
                <w:szCs w:val="18"/>
              </w:rPr>
            </w:pPr>
            <w:r>
              <w:rPr>
                <w:rFonts w:hint="eastAsia"/>
                <w:sz w:val="15"/>
                <w:szCs w:val="18"/>
              </w:rPr>
              <w:t>部门预算项目是否采取对应调整措施</w:t>
            </w:r>
          </w:p>
        </w:tc>
        <w:tc>
          <w:tcPr>
            <w:tcW w:w="3808" w:type="dxa"/>
            <w:tcBorders>
              <w:top w:val="single" w:color="auto" w:sz="4" w:space="0"/>
              <w:left w:val="nil"/>
              <w:bottom w:val="single" w:color="auto" w:sz="4" w:space="0"/>
              <w:right w:val="single" w:color="auto" w:sz="4" w:space="0"/>
            </w:tcBorders>
            <w:vAlign w:val="center"/>
          </w:tcPr>
          <w:p w14:paraId="02BADB01">
            <w:pPr>
              <w:widowControl/>
              <w:jc w:val="left"/>
              <w:rPr>
                <w:rFonts w:hint="eastAsia" w:ascii="宋体" w:hAnsi="宋体" w:cs="宋体"/>
                <w:color w:val="000000"/>
                <w:kern w:val="0"/>
                <w:sz w:val="15"/>
                <w:szCs w:val="18"/>
              </w:rPr>
            </w:pPr>
            <w:r>
              <w:rPr>
                <w:rFonts w:hint="eastAsia"/>
                <w:sz w:val="15"/>
                <w:szCs w:val="18"/>
              </w:rPr>
              <w:t>该项指标得分=4-应采取未采取收回预算、调整目标等处置措施的部门预算阶段项目（含一次性项目）数量÷应采取收回预算、调整目标等处置措施的部门预算阶段项目（含一次性项目）总数×100%×6。</w:t>
            </w:r>
          </w:p>
        </w:tc>
        <w:tc>
          <w:tcPr>
            <w:tcW w:w="766" w:type="dxa"/>
            <w:tcBorders>
              <w:top w:val="single" w:color="auto" w:sz="4" w:space="0"/>
              <w:left w:val="nil"/>
              <w:bottom w:val="single" w:color="auto" w:sz="4" w:space="0"/>
              <w:right w:val="single" w:color="auto" w:sz="4" w:space="0"/>
            </w:tcBorders>
            <w:vAlign w:val="center"/>
          </w:tcPr>
          <w:p w14:paraId="118FEA1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00" w:type="dxa"/>
            <w:tcBorders>
              <w:top w:val="single" w:color="auto" w:sz="4" w:space="0"/>
              <w:left w:val="nil"/>
              <w:bottom w:val="single" w:color="auto" w:sz="4" w:space="0"/>
              <w:right w:val="single" w:color="auto" w:sz="4" w:space="0"/>
            </w:tcBorders>
            <w:vAlign w:val="center"/>
          </w:tcPr>
          <w:p w14:paraId="2C2F1FCB">
            <w:pPr>
              <w:widowControl/>
              <w:jc w:val="center"/>
              <w:rPr>
                <w:rFonts w:hint="eastAsia" w:ascii="宋体" w:hAnsi="宋体" w:cs="宋体"/>
                <w:kern w:val="0"/>
                <w:sz w:val="24"/>
              </w:rPr>
            </w:pPr>
            <w:r>
              <w:rPr>
                <w:rFonts w:hint="eastAsia" w:ascii="宋体" w:hAnsi="宋体" w:cs="宋体"/>
                <w:kern w:val="0"/>
                <w:sz w:val="24"/>
              </w:rPr>
              <w:t>　</w:t>
            </w:r>
          </w:p>
        </w:tc>
      </w:tr>
      <w:tr w14:paraId="294DF3A5">
        <w:tblPrEx>
          <w:tblCellMar>
            <w:top w:w="0" w:type="dxa"/>
            <w:left w:w="108" w:type="dxa"/>
            <w:bottom w:w="0" w:type="dxa"/>
            <w:right w:w="108" w:type="dxa"/>
          </w:tblCellMar>
        </w:tblPrEx>
        <w:trPr>
          <w:gridAfter w:val="1"/>
          <w:wAfter w:w="9" w:type="dxa"/>
          <w:trHeight w:val="879"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563CB260">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3156DAA7">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54671A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执行结果</w:t>
            </w:r>
          </w:p>
        </w:tc>
        <w:tc>
          <w:tcPr>
            <w:tcW w:w="692" w:type="dxa"/>
            <w:tcBorders>
              <w:top w:val="single" w:color="auto" w:sz="4" w:space="0"/>
              <w:left w:val="nil"/>
              <w:bottom w:val="single" w:color="auto" w:sz="4" w:space="0"/>
              <w:right w:val="single" w:color="auto" w:sz="4" w:space="0"/>
            </w:tcBorders>
            <w:vAlign w:val="center"/>
          </w:tcPr>
          <w:p w14:paraId="389AAD4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1701" w:type="dxa"/>
            <w:tcBorders>
              <w:top w:val="single" w:color="auto" w:sz="4" w:space="0"/>
              <w:left w:val="nil"/>
              <w:bottom w:val="single" w:color="auto" w:sz="4" w:space="0"/>
              <w:right w:val="single" w:color="auto" w:sz="4" w:space="0"/>
            </w:tcBorders>
            <w:vAlign w:val="center"/>
          </w:tcPr>
          <w:p w14:paraId="2013D6CF">
            <w:pPr>
              <w:widowControl/>
              <w:jc w:val="left"/>
              <w:rPr>
                <w:rFonts w:hint="eastAsia" w:ascii="宋体" w:hAnsi="宋体" w:cs="宋体"/>
                <w:color w:val="000000"/>
                <w:kern w:val="0"/>
                <w:sz w:val="15"/>
                <w:szCs w:val="18"/>
              </w:rPr>
            </w:pPr>
            <w:r>
              <w:rPr>
                <w:rFonts w:hint="eastAsia"/>
                <w:sz w:val="15"/>
                <w:szCs w:val="18"/>
              </w:rPr>
              <w:t>部门预算项目预算执行情况</w:t>
            </w:r>
          </w:p>
        </w:tc>
        <w:tc>
          <w:tcPr>
            <w:tcW w:w="3808" w:type="dxa"/>
            <w:tcBorders>
              <w:top w:val="single" w:color="auto" w:sz="4" w:space="0"/>
              <w:left w:val="nil"/>
              <w:bottom w:val="single" w:color="auto" w:sz="4" w:space="0"/>
              <w:right w:val="single" w:color="auto" w:sz="4" w:space="0"/>
            </w:tcBorders>
            <w:vAlign w:val="center"/>
          </w:tcPr>
          <w:p w14:paraId="0914438B">
            <w:pPr>
              <w:widowControl/>
              <w:jc w:val="left"/>
              <w:rPr>
                <w:rFonts w:hint="eastAsia" w:ascii="宋体" w:hAnsi="宋体" w:cs="宋体"/>
                <w:color w:val="000000"/>
                <w:kern w:val="0"/>
                <w:sz w:val="15"/>
                <w:szCs w:val="18"/>
              </w:rPr>
            </w:pPr>
            <w:r>
              <w:rPr>
                <w:rFonts w:hint="eastAsia"/>
                <w:sz w:val="15"/>
                <w:szCs w:val="18"/>
              </w:rPr>
              <w:t>该项指标得分=预算结余率小于10%的常年项目数量÷部门预算常年项目总数×100%×2+预算结余率小于10%的一次性项目和阶段项目数量÷部门预算一次性项目和阶段项目总数×100%×2。</w:t>
            </w:r>
          </w:p>
        </w:tc>
        <w:tc>
          <w:tcPr>
            <w:tcW w:w="766" w:type="dxa"/>
            <w:tcBorders>
              <w:top w:val="single" w:color="auto" w:sz="4" w:space="0"/>
              <w:left w:val="nil"/>
              <w:bottom w:val="single" w:color="auto" w:sz="4" w:space="0"/>
              <w:right w:val="single" w:color="auto" w:sz="4" w:space="0"/>
            </w:tcBorders>
            <w:vAlign w:val="center"/>
          </w:tcPr>
          <w:p w14:paraId="22EAD5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700" w:type="dxa"/>
            <w:tcBorders>
              <w:top w:val="single" w:color="auto" w:sz="4" w:space="0"/>
              <w:left w:val="nil"/>
              <w:bottom w:val="single" w:color="auto" w:sz="4" w:space="0"/>
              <w:right w:val="single" w:color="auto" w:sz="4" w:space="0"/>
            </w:tcBorders>
            <w:vAlign w:val="center"/>
          </w:tcPr>
          <w:p w14:paraId="00444DAD">
            <w:pPr>
              <w:widowControl/>
              <w:jc w:val="center"/>
              <w:rPr>
                <w:rFonts w:hint="eastAsia" w:ascii="宋体" w:hAnsi="宋体" w:cs="宋体"/>
                <w:kern w:val="0"/>
                <w:sz w:val="24"/>
              </w:rPr>
            </w:pPr>
            <w:r>
              <w:rPr>
                <w:rFonts w:hint="eastAsia" w:ascii="宋体" w:hAnsi="宋体" w:cs="宋体"/>
                <w:kern w:val="0"/>
                <w:sz w:val="24"/>
              </w:rPr>
              <w:t>　</w:t>
            </w:r>
          </w:p>
        </w:tc>
      </w:tr>
      <w:tr w14:paraId="4898B4E5">
        <w:tblPrEx>
          <w:tblCellMar>
            <w:top w:w="0" w:type="dxa"/>
            <w:left w:w="108" w:type="dxa"/>
            <w:bottom w:w="0" w:type="dxa"/>
            <w:right w:w="108" w:type="dxa"/>
          </w:tblCellMar>
        </w:tblPrEx>
        <w:trPr>
          <w:gridAfter w:val="1"/>
          <w:wAfter w:w="9" w:type="dxa"/>
          <w:trHeight w:val="84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58C83687">
            <w:pPr>
              <w:widowControl/>
              <w:jc w:val="left"/>
              <w:rPr>
                <w:rFonts w:hint="eastAsia" w:ascii="宋体" w:hAnsi="宋体" w:cs="宋体"/>
                <w:b/>
                <w:bCs/>
                <w:kern w:val="0"/>
                <w:sz w:val="24"/>
              </w:rPr>
            </w:pP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0DAD91BB">
            <w:pPr>
              <w:widowControl/>
              <w:jc w:val="center"/>
              <w:rPr>
                <w:rFonts w:hint="eastAsia" w:ascii="宋体" w:hAnsi="宋体" w:cs="宋体"/>
                <w:b/>
                <w:bCs/>
                <w:kern w:val="0"/>
                <w:sz w:val="24"/>
              </w:rPr>
            </w:pPr>
            <w:r>
              <w:rPr>
                <w:rFonts w:hint="eastAsia" w:ascii="宋体" w:hAnsi="宋体" w:cs="宋体"/>
                <w:b/>
                <w:bCs/>
                <w:kern w:val="0"/>
                <w:sz w:val="24"/>
              </w:rPr>
              <w:t>目标实现</w:t>
            </w:r>
            <w:r>
              <w:rPr>
                <w:rFonts w:hint="eastAsia" w:ascii="宋体" w:hAnsi="宋体" w:cs="宋体"/>
                <w:b/>
                <w:bCs/>
                <w:kern w:val="0"/>
                <w:sz w:val="24"/>
              </w:rPr>
              <w:br w:type="textWrapping"/>
            </w:r>
            <w:r>
              <w:rPr>
                <w:rFonts w:hint="eastAsia" w:ascii="宋体" w:hAnsi="宋体" w:cs="宋体"/>
                <w:b/>
                <w:bCs/>
                <w:kern w:val="0"/>
                <w:sz w:val="24"/>
              </w:rPr>
              <w:t>（11分）</w:t>
            </w:r>
          </w:p>
        </w:tc>
        <w:tc>
          <w:tcPr>
            <w:tcW w:w="1428" w:type="dxa"/>
            <w:tcBorders>
              <w:top w:val="single" w:color="auto" w:sz="4" w:space="0"/>
              <w:left w:val="nil"/>
              <w:bottom w:val="single" w:color="auto" w:sz="4" w:space="0"/>
              <w:right w:val="single" w:color="auto" w:sz="4" w:space="0"/>
            </w:tcBorders>
            <w:vAlign w:val="center"/>
          </w:tcPr>
          <w:p w14:paraId="626E5D3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目标完成</w:t>
            </w:r>
          </w:p>
        </w:tc>
        <w:tc>
          <w:tcPr>
            <w:tcW w:w="692" w:type="dxa"/>
            <w:tcBorders>
              <w:top w:val="single" w:color="auto" w:sz="4" w:space="0"/>
              <w:left w:val="nil"/>
              <w:bottom w:val="single" w:color="auto" w:sz="4" w:space="0"/>
              <w:right w:val="single" w:color="auto" w:sz="4" w:space="0"/>
            </w:tcBorders>
            <w:vAlign w:val="center"/>
          </w:tcPr>
          <w:p w14:paraId="11072F9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single" w:color="auto" w:sz="4" w:space="0"/>
              <w:left w:val="nil"/>
              <w:bottom w:val="single" w:color="auto" w:sz="4" w:space="0"/>
              <w:right w:val="single" w:color="auto" w:sz="4" w:space="0"/>
            </w:tcBorders>
            <w:vAlign w:val="center"/>
          </w:tcPr>
          <w:p w14:paraId="1A7B274E">
            <w:pPr>
              <w:widowControl/>
              <w:jc w:val="left"/>
              <w:rPr>
                <w:rFonts w:hint="eastAsia" w:ascii="宋体" w:hAnsi="宋体" w:cs="宋体"/>
                <w:color w:val="000000"/>
                <w:kern w:val="0"/>
                <w:sz w:val="15"/>
                <w:szCs w:val="18"/>
              </w:rPr>
            </w:pPr>
            <w:r>
              <w:rPr>
                <w:rFonts w:hint="eastAsia"/>
                <w:sz w:val="15"/>
                <w:szCs w:val="18"/>
              </w:rPr>
              <w:t>部门预算项目绩效目标数量指标完成情况</w:t>
            </w:r>
          </w:p>
        </w:tc>
        <w:tc>
          <w:tcPr>
            <w:tcW w:w="3808" w:type="dxa"/>
            <w:tcBorders>
              <w:top w:val="single" w:color="auto" w:sz="4" w:space="0"/>
              <w:left w:val="nil"/>
              <w:bottom w:val="single" w:color="auto" w:sz="4" w:space="0"/>
              <w:right w:val="single" w:color="auto" w:sz="4" w:space="0"/>
            </w:tcBorders>
            <w:vAlign w:val="center"/>
          </w:tcPr>
          <w:p w14:paraId="33201D4D">
            <w:pPr>
              <w:widowControl/>
              <w:jc w:val="left"/>
              <w:rPr>
                <w:rFonts w:hint="eastAsia" w:ascii="宋体" w:hAnsi="宋体" w:cs="宋体"/>
                <w:color w:val="000000"/>
                <w:kern w:val="0"/>
                <w:sz w:val="15"/>
                <w:szCs w:val="18"/>
              </w:rPr>
            </w:pPr>
            <w:r>
              <w:rPr>
                <w:rFonts w:hint="eastAsia"/>
                <w:sz w:val="15"/>
                <w:szCs w:val="18"/>
              </w:rPr>
              <w:t>该项指标得分=完成绩效目标数量指标的部门预算阶段项目（含一次性项目）数量÷部门预算阶段项目（含一次性项目）总数×100%×6。</w:t>
            </w:r>
          </w:p>
        </w:tc>
        <w:tc>
          <w:tcPr>
            <w:tcW w:w="766" w:type="dxa"/>
            <w:tcBorders>
              <w:top w:val="single" w:color="auto" w:sz="4" w:space="0"/>
              <w:left w:val="nil"/>
              <w:bottom w:val="single" w:color="auto" w:sz="4" w:space="0"/>
              <w:right w:val="single" w:color="auto" w:sz="4" w:space="0"/>
            </w:tcBorders>
            <w:vAlign w:val="center"/>
          </w:tcPr>
          <w:p w14:paraId="55788D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00" w:type="dxa"/>
            <w:tcBorders>
              <w:top w:val="single" w:color="auto" w:sz="4" w:space="0"/>
              <w:left w:val="nil"/>
              <w:bottom w:val="single" w:color="auto" w:sz="4" w:space="0"/>
              <w:right w:val="single" w:color="auto" w:sz="4" w:space="0"/>
            </w:tcBorders>
            <w:vAlign w:val="center"/>
          </w:tcPr>
          <w:p w14:paraId="1FF1E4EC">
            <w:pPr>
              <w:widowControl/>
              <w:jc w:val="center"/>
              <w:rPr>
                <w:rFonts w:hint="eastAsia" w:ascii="宋体" w:hAnsi="宋体" w:cs="宋体"/>
                <w:kern w:val="0"/>
                <w:sz w:val="24"/>
              </w:rPr>
            </w:pPr>
            <w:r>
              <w:rPr>
                <w:rFonts w:hint="eastAsia" w:ascii="宋体" w:hAnsi="宋体" w:cs="宋体"/>
                <w:kern w:val="0"/>
                <w:sz w:val="24"/>
              </w:rPr>
              <w:t>　</w:t>
            </w:r>
          </w:p>
        </w:tc>
      </w:tr>
      <w:tr w14:paraId="10208E5B">
        <w:tblPrEx>
          <w:tblCellMar>
            <w:top w:w="0" w:type="dxa"/>
            <w:left w:w="108" w:type="dxa"/>
            <w:bottom w:w="0" w:type="dxa"/>
            <w:right w:w="108" w:type="dxa"/>
          </w:tblCellMar>
        </w:tblPrEx>
        <w:trPr>
          <w:gridAfter w:val="1"/>
          <w:wAfter w:w="9" w:type="dxa"/>
          <w:trHeight w:val="1179"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2FAE79F0">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1B5FEBB9">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4BA47C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目标偏离</w:t>
            </w:r>
          </w:p>
        </w:tc>
        <w:tc>
          <w:tcPr>
            <w:tcW w:w="692" w:type="dxa"/>
            <w:tcBorders>
              <w:top w:val="single" w:color="auto" w:sz="4" w:space="0"/>
              <w:left w:val="nil"/>
              <w:bottom w:val="single" w:color="auto" w:sz="4" w:space="0"/>
              <w:right w:val="single" w:color="auto" w:sz="4" w:space="0"/>
            </w:tcBorders>
            <w:vAlign w:val="center"/>
          </w:tcPr>
          <w:p w14:paraId="74BD6A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1701" w:type="dxa"/>
            <w:tcBorders>
              <w:top w:val="single" w:color="auto" w:sz="4" w:space="0"/>
              <w:left w:val="nil"/>
              <w:bottom w:val="single" w:color="auto" w:sz="4" w:space="0"/>
              <w:right w:val="single" w:color="auto" w:sz="4" w:space="0"/>
            </w:tcBorders>
            <w:vAlign w:val="center"/>
          </w:tcPr>
          <w:p w14:paraId="39C039AD">
            <w:pPr>
              <w:widowControl/>
              <w:jc w:val="left"/>
              <w:rPr>
                <w:rFonts w:hint="eastAsia" w:ascii="宋体" w:hAnsi="宋体" w:cs="宋体"/>
                <w:color w:val="000000"/>
                <w:kern w:val="0"/>
                <w:sz w:val="15"/>
                <w:szCs w:val="18"/>
              </w:rPr>
            </w:pPr>
            <w:r>
              <w:rPr>
                <w:rFonts w:hint="eastAsia"/>
                <w:sz w:val="15"/>
                <w:szCs w:val="18"/>
              </w:rPr>
              <w:t>部门预算项目绩效目标数量指标实现程度与预期目标的偏离情况</w:t>
            </w:r>
          </w:p>
        </w:tc>
        <w:tc>
          <w:tcPr>
            <w:tcW w:w="3808" w:type="dxa"/>
            <w:tcBorders>
              <w:top w:val="single" w:color="auto" w:sz="4" w:space="0"/>
              <w:left w:val="nil"/>
              <w:bottom w:val="single" w:color="auto" w:sz="4" w:space="0"/>
              <w:right w:val="single" w:color="auto" w:sz="4" w:space="0"/>
            </w:tcBorders>
            <w:vAlign w:val="center"/>
          </w:tcPr>
          <w:p w14:paraId="370413E7">
            <w:pPr>
              <w:widowControl/>
              <w:jc w:val="left"/>
              <w:rPr>
                <w:rFonts w:hint="eastAsia" w:ascii="宋体" w:hAnsi="宋体" w:cs="宋体"/>
                <w:color w:val="000000"/>
                <w:kern w:val="0"/>
                <w:sz w:val="15"/>
                <w:szCs w:val="18"/>
              </w:rPr>
            </w:pPr>
            <w:r>
              <w:rPr>
                <w:rFonts w:hint="eastAsia"/>
                <w:sz w:val="15"/>
                <w:szCs w:val="18"/>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766" w:type="dxa"/>
            <w:tcBorders>
              <w:top w:val="single" w:color="auto" w:sz="4" w:space="0"/>
              <w:left w:val="nil"/>
              <w:bottom w:val="single" w:color="auto" w:sz="4" w:space="0"/>
              <w:right w:val="single" w:color="auto" w:sz="4" w:space="0"/>
            </w:tcBorders>
            <w:vAlign w:val="center"/>
          </w:tcPr>
          <w:p w14:paraId="11505D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700" w:type="dxa"/>
            <w:tcBorders>
              <w:top w:val="single" w:color="auto" w:sz="4" w:space="0"/>
              <w:left w:val="nil"/>
              <w:bottom w:val="single" w:color="auto" w:sz="4" w:space="0"/>
              <w:right w:val="single" w:color="auto" w:sz="4" w:space="0"/>
            </w:tcBorders>
            <w:vAlign w:val="center"/>
          </w:tcPr>
          <w:p w14:paraId="341B2218">
            <w:pPr>
              <w:widowControl/>
              <w:jc w:val="center"/>
              <w:rPr>
                <w:rFonts w:hint="eastAsia" w:ascii="宋体" w:hAnsi="宋体" w:cs="宋体"/>
                <w:kern w:val="0"/>
                <w:sz w:val="24"/>
              </w:rPr>
            </w:pPr>
            <w:r>
              <w:rPr>
                <w:rFonts w:hint="eastAsia" w:ascii="宋体" w:hAnsi="宋体" w:cs="宋体"/>
                <w:kern w:val="0"/>
                <w:sz w:val="24"/>
              </w:rPr>
              <w:t>　</w:t>
            </w:r>
          </w:p>
        </w:tc>
      </w:tr>
      <w:tr w14:paraId="3433E59E">
        <w:tblPrEx>
          <w:tblCellMar>
            <w:top w:w="0" w:type="dxa"/>
            <w:left w:w="108" w:type="dxa"/>
            <w:bottom w:w="0" w:type="dxa"/>
            <w:right w:w="108" w:type="dxa"/>
          </w:tblCellMar>
        </w:tblPrEx>
        <w:trPr>
          <w:gridAfter w:val="1"/>
          <w:wAfter w:w="9" w:type="dxa"/>
          <w:trHeight w:val="78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355EEF28">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5499092C">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6440EBB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实现效果</w:t>
            </w:r>
          </w:p>
        </w:tc>
        <w:tc>
          <w:tcPr>
            <w:tcW w:w="692" w:type="dxa"/>
            <w:tcBorders>
              <w:top w:val="single" w:color="auto" w:sz="4" w:space="0"/>
              <w:left w:val="nil"/>
              <w:bottom w:val="single" w:color="auto" w:sz="4" w:space="0"/>
              <w:right w:val="single" w:color="auto" w:sz="4" w:space="0"/>
            </w:tcBorders>
            <w:vAlign w:val="center"/>
          </w:tcPr>
          <w:p w14:paraId="53692B8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1701" w:type="dxa"/>
            <w:tcBorders>
              <w:top w:val="single" w:color="auto" w:sz="4" w:space="0"/>
              <w:left w:val="nil"/>
              <w:bottom w:val="single" w:color="auto" w:sz="4" w:space="0"/>
              <w:right w:val="single" w:color="auto" w:sz="4" w:space="0"/>
            </w:tcBorders>
            <w:vAlign w:val="center"/>
          </w:tcPr>
          <w:p w14:paraId="5C3BD51A">
            <w:pPr>
              <w:widowControl/>
              <w:jc w:val="left"/>
              <w:rPr>
                <w:rFonts w:hint="eastAsia" w:ascii="宋体" w:hAnsi="宋体" w:cs="宋体"/>
                <w:color w:val="000000"/>
                <w:kern w:val="0"/>
                <w:sz w:val="15"/>
                <w:szCs w:val="18"/>
              </w:rPr>
            </w:pPr>
            <w:r>
              <w:rPr>
                <w:rFonts w:hint="eastAsia"/>
                <w:sz w:val="15"/>
                <w:szCs w:val="18"/>
              </w:rPr>
              <w:t>部门预算项目绩效目标效益指标实施效果</w:t>
            </w:r>
          </w:p>
        </w:tc>
        <w:tc>
          <w:tcPr>
            <w:tcW w:w="3808" w:type="dxa"/>
            <w:tcBorders>
              <w:top w:val="single" w:color="auto" w:sz="4" w:space="0"/>
              <w:left w:val="nil"/>
              <w:bottom w:val="single" w:color="auto" w:sz="4" w:space="0"/>
              <w:right w:val="single" w:color="auto" w:sz="4" w:space="0"/>
            </w:tcBorders>
            <w:vAlign w:val="center"/>
          </w:tcPr>
          <w:p w14:paraId="5826BF9A">
            <w:pPr>
              <w:widowControl/>
              <w:jc w:val="left"/>
              <w:rPr>
                <w:rFonts w:hint="eastAsia" w:ascii="宋体" w:hAnsi="宋体" w:cs="宋体"/>
                <w:color w:val="000000"/>
                <w:kern w:val="0"/>
                <w:sz w:val="15"/>
                <w:szCs w:val="18"/>
              </w:rPr>
            </w:pPr>
            <w:r>
              <w:rPr>
                <w:rFonts w:hint="eastAsia"/>
                <w:sz w:val="15"/>
                <w:szCs w:val="18"/>
              </w:rPr>
              <w:t>该项指标得分=完成绩效目标效益指标的部门预算阶段项目（含一次性项目）数量÷部门预算阶段项目（含一次性项目）总数×100%×5。</w:t>
            </w:r>
          </w:p>
        </w:tc>
        <w:tc>
          <w:tcPr>
            <w:tcW w:w="766" w:type="dxa"/>
            <w:tcBorders>
              <w:top w:val="single" w:color="auto" w:sz="4" w:space="0"/>
              <w:left w:val="nil"/>
              <w:bottom w:val="single" w:color="auto" w:sz="4" w:space="0"/>
              <w:right w:val="single" w:color="auto" w:sz="4" w:space="0"/>
            </w:tcBorders>
            <w:vAlign w:val="center"/>
          </w:tcPr>
          <w:p w14:paraId="54AC7B0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700" w:type="dxa"/>
            <w:tcBorders>
              <w:top w:val="single" w:color="auto" w:sz="4" w:space="0"/>
              <w:left w:val="nil"/>
              <w:bottom w:val="single" w:color="auto" w:sz="4" w:space="0"/>
              <w:right w:val="single" w:color="auto" w:sz="4" w:space="0"/>
            </w:tcBorders>
            <w:vAlign w:val="center"/>
          </w:tcPr>
          <w:p w14:paraId="0248F804">
            <w:pPr>
              <w:widowControl/>
              <w:jc w:val="center"/>
              <w:rPr>
                <w:rFonts w:hint="eastAsia" w:ascii="宋体" w:hAnsi="宋体" w:cs="宋体"/>
                <w:kern w:val="0"/>
                <w:sz w:val="24"/>
              </w:rPr>
            </w:pPr>
            <w:r>
              <w:rPr>
                <w:rFonts w:hint="eastAsia" w:ascii="宋体" w:hAnsi="宋体" w:cs="宋体"/>
                <w:kern w:val="0"/>
                <w:sz w:val="24"/>
              </w:rPr>
              <w:t>　</w:t>
            </w:r>
          </w:p>
        </w:tc>
      </w:tr>
      <w:tr w14:paraId="098E2A42">
        <w:tblPrEx>
          <w:tblCellMar>
            <w:top w:w="0" w:type="dxa"/>
            <w:left w:w="108" w:type="dxa"/>
            <w:bottom w:w="0" w:type="dxa"/>
            <w:right w:w="108" w:type="dxa"/>
          </w:tblCellMar>
        </w:tblPrEx>
        <w:trPr>
          <w:gridAfter w:val="1"/>
          <w:wAfter w:w="9" w:type="dxa"/>
          <w:trHeight w:val="780" w:hRule="atLeast"/>
          <w:jc w:val="center"/>
        </w:trPr>
        <w:tc>
          <w:tcPr>
            <w:tcW w:w="699" w:type="dxa"/>
            <w:vMerge w:val="restart"/>
            <w:tcBorders>
              <w:top w:val="single" w:color="auto" w:sz="4" w:space="0"/>
              <w:left w:val="single" w:color="auto" w:sz="4" w:space="0"/>
              <w:bottom w:val="single" w:color="auto" w:sz="4" w:space="0"/>
              <w:right w:val="single" w:color="auto" w:sz="4" w:space="0"/>
            </w:tcBorders>
            <w:vAlign w:val="center"/>
          </w:tcPr>
          <w:p w14:paraId="73A5C012">
            <w:pPr>
              <w:widowControl/>
              <w:jc w:val="center"/>
              <w:rPr>
                <w:rFonts w:hint="eastAsia" w:ascii="宋体" w:hAnsi="宋体" w:cs="宋体"/>
                <w:b/>
                <w:bCs/>
                <w:kern w:val="0"/>
                <w:sz w:val="24"/>
              </w:rPr>
            </w:pPr>
            <w:r>
              <w:rPr>
                <w:rFonts w:hint="eastAsia" w:ascii="宋体" w:hAnsi="宋体" w:cs="宋体"/>
                <w:b/>
                <w:bCs/>
                <w:kern w:val="0"/>
                <w:sz w:val="24"/>
              </w:rPr>
              <w:t>扣分项</w:t>
            </w:r>
          </w:p>
        </w:tc>
        <w:tc>
          <w:tcPr>
            <w:tcW w:w="919" w:type="dxa"/>
            <w:vMerge w:val="restart"/>
            <w:tcBorders>
              <w:top w:val="single" w:color="auto" w:sz="4" w:space="0"/>
              <w:left w:val="single" w:color="auto" w:sz="4" w:space="0"/>
              <w:bottom w:val="single" w:color="auto" w:sz="4" w:space="0"/>
              <w:right w:val="single" w:color="auto" w:sz="4" w:space="0"/>
            </w:tcBorders>
            <w:vAlign w:val="center"/>
          </w:tcPr>
          <w:p w14:paraId="420BBB6D">
            <w:pPr>
              <w:widowControl/>
              <w:jc w:val="center"/>
              <w:rPr>
                <w:rFonts w:hint="eastAsia" w:ascii="宋体" w:hAnsi="宋体" w:cs="宋体"/>
                <w:b/>
                <w:bCs/>
                <w:kern w:val="0"/>
                <w:sz w:val="24"/>
              </w:rPr>
            </w:pPr>
            <w:r>
              <w:rPr>
                <w:rFonts w:hint="eastAsia" w:ascii="宋体" w:hAnsi="宋体" w:cs="宋体"/>
                <w:b/>
                <w:bCs/>
                <w:kern w:val="0"/>
                <w:sz w:val="24"/>
              </w:rPr>
              <w:t>财务管理</w:t>
            </w:r>
          </w:p>
        </w:tc>
        <w:tc>
          <w:tcPr>
            <w:tcW w:w="1428" w:type="dxa"/>
            <w:tcBorders>
              <w:top w:val="single" w:color="auto" w:sz="4" w:space="0"/>
              <w:left w:val="nil"/>
              <w:bottom w:val="single" w:color="auto" w:sz="4" w:space="0"/>
              <w:right w:val="single" w:color="auto" w:sz="4" w:space="0"/>
            </w:tcBorders>
            <w:vAlign w:val="center"/>
          </w:tcPr>
          <w:p w14:paraId="655B548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财务管理制度</w:t>
            </w:r>
          </w:p>
        </w:tc>
        <w:tc>
          <w:tcPr>
            <w:tcW w:w="692" w:type="dxa"/>
            <w:tcBorders>
              <w:top w:val="single" w:color="auto" w:sz="4" w:space="0"/>
              <w:left w:val="nil"/>
              <w:bottom w:val="single" w:color="auto" w:sz="4" w:space="0"/>
              <w:right w:val="single" w:color="auto" w:sz="4" w:space="0"/>
            </w:tcBorders>
            <w:vAlign w:val="center"/>
          </w:tcPr>
          <w:p w14:paraId="363A2B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single" w:color="auto" w:sz="4" w:space="0"/>
              <w:left w:val="nil"/>
              <w:bottom w:val="single" w:color="auto" w:sz="4" w:space="0"/>
              <w:right w:val="single" w:color="auto" w:sz="4" w:space="0"/>
            </w:tcBorders>
            <w:vAlign w:val="center"/>
          </w:tcPr>
          <w:p w14:paraId="759278C9">
            <w:pPr>
              <w:widowControl/>
              <w:jc w:val="left"/>
              <w:rPr>
                <w:rFonts w:hint="eastAsia" w:ascii="宋体" w:hAnsi="宋体" w:cs="宋体"/>
                <w:color w:val="000000"/>
                <w:kern w:val="0"/>
                <w:sz w:val="15"/>
                <w:szCs w:val="18"/>
              </w:rPr>
            </w:pPr>
            <w:r>
              <w:rPr>
                <w:rFonts w:hint="eastAsia"/>
                <w:sz w:val="15"/>
                <w:szCs w:val="18"/>
              </w:rPr>
              <w:t>部门财务管理制度建立情况</w:t>
            </w:r>
          </w:p>
        </w:tc>
        <w:tc>
          <w:tcPr>
            <w:tcW w:w="3808" w:type="dxa"/>
            <w:tcBorders>
              <w:top w:val="single" w:color="auto" w:sz="4" w:space="0"/>
              <w:left w:val="nil"/>
              <w:bottom w:val="single" w:color="auto" w:sz="4" w:space="0"/>
              <w:right w:val="single" w:color="auto" w:sz="4" w:space="0"/>
            </w:tcBorders>
            <w:vAlign w:val="center"/>
          </w:tcPr>
          <w:p w14:paraId="6980265D">
            <w:pPr>
              <w:widowControl/>
              <w:jc w:val="left"/>
              <w:rPr>
                <w:rFonts w:hint="eastAsia" w:ascii="宋体" w:hAnsi="宋体" w:cs="宋体"/>
                <w:color w:val="000000"/>
                <w:kern w:val="0"/>
                <w:sz w:val="15"/>
                <w:szCs w:val="18"/>
              </w:rPr>
            </w:pPr>
            <w:r>
              <w:rPr>
                <w:rFonts w:hint="eastAsia"/>
                <w:sz w:val="15"/>
                <w:szCs w:val="18"/>
              </w:rPr>
              <w:t>部门未制定内部财务管理制度等制度机制的,财务管理制度未得到落实，发现一处扣1分，扣完为止。</w:t>
            </w:r>
          </w:p>
        </w:tc>
        <w:tc>
          <w:tcPr>
            <w:tcW w:w="766" w:type="dxa"/>
            <w:tcBorders>
              <w:top w:val="single" w:color="auto" w:sz="4" w:space="0"/>
              <w:left w:val="nil"/>
              <w:bottom w:val="single" w:color="auto" w:sz="4" w:space="0"/>
              <w:right w:val="single" w:color="auto" w:sz="4" w:space="0"/>
            </w:tcBorders>
            <w:vAlign w:val="center"/>
          </w:tcPr>
          <w:p w14:paraId="40CCE3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single" w:color="auto" w:sz="4" w:space="0"/>
              <w:left w:val="nil"/>
              <w:bottom w:val="single" w:color="auto" w:sz="4" w:space="0"/>
              <w:right w:val="single" w:color="auto" w:sz="4" w:space="0"/>
            </w:tcBorders>
            <w:vAlign w:val="center"/>
          </w:tcPr>
          <w:p w14:paraId="2123E192">
            <w:pPr>
              <w:widowControl/>
              <w:jc w:val="center"/>
              <w:rPr>
                <w:rFonts w:hint="eastAsia" w:ascii="宋体" w:hAnsi="宋体" w:cs="宋体"/>
                <w:kern w:val="0"/>
                <w:sz w:val="24"/>
              </w:rPr>
            </w:pPr>
            <w:r>
              <w:rPr>
                <w:rFonts w:hint="eastAsia" w:ascii="宋体" w:hAnsi="宋体" w:cs="宋体"/>
                <w:kern w:val="0"/>
                <w:sz w:val="24"/>
              </w:rPr>
              <w:t>　</w:t>
            </w:r>
          </w:p>
        </w:tc>
      </w:tr>
      <w:tr w14:paraId="5E82F238">
        <w:tblPrEx>
          <w:tblCellMar>
            <w:top w:w="0" w:type="dxa"/>
            <w:left w:w="108" w:type="dxa"/>
            <w:bottom w:w="0" w:type="dxa"/>
            <w:right w:w="108" w:type="dxa"/>
          </w:tblCellMar>
        </w:tblPrEx>
        <w:trPr>
          <w:gridAfter w:val="1"/>
          <w:wAfter w:w="9" w:type="dxa"/>
          <w:trHeight w:val="78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37EF0A26">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27A10D46">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590ABB3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财务岗位设置</w:t>
            </w:r>
          </w:p>
        </w:tc>
        <w:tc>
          <w:tcPr>
            <w:tcW w:w="692" w:type="dxa"/>
            <w:tcBorders>
              <w:top w:val="single" w:color="auto" w:sz="4" w:space="0"/>
              <w:left w:val="nil"/>
              <w:bottom w:val="single" w:color="auto" w:sz="4" w:space="0"/>
              <w:right w:val="single" w:color="auto" w:sz="4" w:space="0"/>
            </w:tcBorders>
            <w:vAlign w:val="center"/>
          </w:tcPr>
          <w:p w14:paraId="2F9ABEE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single" w:color="auto" w:sz="4" w:space="0"/>
              <w:left w:val="nil"/>
              <w:bottom w:val="single" w:color="auto" w:sz="4" w:space="0"/>
              <w:right w:val="single" w:color="auto" w:sz="4" w:space="0"/>
            </w:tcBorders>
            <w:vAlign w:val="center"/>
          </w:tcPr>
          <w:p w14:paraId="46E9C1D0">
            <w:pPr>
              <w:widowControl/>
              <w:jc w:val="left"/>
              <w:rPr>
                <w:rFonts w:hint="eastAsia" w:ascii="宋体" w:hAnsi="宋体" w:cs="宋体"/>
                <w:color w:val="000000"/>
                <w:kern w:val="0"/>
                <w:sz w:val="15"/>
                <w:szCs w:val="18"/>
              </w:rPr>
            </w:pPr>
            <w:r>
              <w:rPr>
                <w:rFonts w:hint="eastAsia"/>
                <w:sz w:val="15"/>
                <w:szCs w:val="18"/>
              </w:rPr>
              <w:t>部门财务岗位设置是否符合相关财务管理制度要求</w:t>
            </w:r>
          </w:p>
        </w:tc>
        <w:tc>
          <w:tcPr>
            <w:tcW w:w="3808" w:type="dxa"/>
            <w:tcBorders>
              <w:top w:val="single" w:color="auto" w:sz="4" w:space="0"/>
              <w:left w:val="nil"/>
              <w:bottom w:val="single" w:color="auto" w:sz="4" w:space="0"/>
              <w:right w:val="single" w:color="auto" w:sz="4" w:space="0"/>
            </w:tcBorders>
            <w:vAlign w:val="center"/>
          </w:tcPr>
          <w:p w14:paraId="6487C21F">
            <w:pPr>
              <w:widowControl/>
              <w:jc w:val="left"/>
              <w:rPr>
                <w:rFonts w:hint="eastAsia" w:ascii="宋体" w:hAnsi="宋体" w:cs="宋体"/>
                <w:color w:val="000000"/>
                <w:kern w:val="0"/>
                <w:sz w:val="15"/>
                <w:szCs w:val="18"/>
              </w:rPr>
            </w:pPr>
            <w:r>
              <w:rPr>
                <w:rFonts w:hint="eastAsia"/>
                <w:sz w:val="15"/>
                <w:szCs w:val="18"/>
              </w:rPr>
              <w:t>部门未合理设置财务工作岗位，职责权限不明确，未严格实行不相容岗位分离，发现一处扣1分，扣完为止。</w:t>
            </w:r>
          </w:p>
        </w:tc>
        <w:tc>
          <w:tcPr>
            <w:tcW w:w="766" w:type="dxa"/>
            <w:tcBorders>
              <w:top w:val="single" w:color="auto" w:sz="4" w:space="0"/>
              <w:left w:val="nil"/>
              <w:bottom w:val="single" w:color="auto" w:sz="4" w:space="0"/>
              <w:right w:val="single" w:color="auto" w:sz="4" w:space="0"/>
            </w:tcBorders>
            <w:vAlign w:val="center"/>
          </w:tcPr>
          <w:p w14:paraId="5D6FD80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single" w:color="auto" w:sz="4" w:space="0"/>
              <w:left w:val="nil"/>
              <w:bottom w:val="single" w:color="auto" w:sz="4" w:space="0"/>
              <w:right w:val="single" w:color="auto" w:sz="4" w:space="0"/>
            </w:tcBorders>
            <w:vAlign w:val="center"/>
          </w:tcPr>
          <w:p w14:paraId="71EC5204">
            <w:pPr>
              <w:widowControl/>
              <w:jc w:val="center"/>
              <w:rPr>
                <w:rFonts w:hint="eastAsia" w:ascii="宋体" w:hAnsi="宋体" w:cs="宋体"/>
                <w:kern w:val="0"/>
                <w:sz w:val="24"/>
              </w:rPr>
            </w:pPr>
            <w:r>
              <w:rPr>
                <w:rFonts w:hint="eastAsia" w:ascii="宋体" w:hAnsi="宋体" w:cs="宋体"/>
                <w:kern w:val="0"/>
                <w:sz w:val="24"/>
              </w:rPr>
              <w:t>　</w:t>
            </w:r>
          </w:p>
        </w:tc>
      </w:tr>
      <w:tr w14:paraId="33396B76">
        <w:tblPrEx>
          <w:tblCellMar>
            <w:top w:w="0" w:type="dxa"/>
            <w:left w:w="108" w:type="dxa"/>
            <w:bottom w:w="0" w:type="dxa"/>
            <w:right w:w="108" w:type="dxa"/>
          </w:tblCellMar>
        </w:tblPrEx>
        <w:trPr>
          <w:gridAfter w:val="1"/>
          <w:wAfter w:w="9" w:type="dxa"/>
          <w:trHeight w:val="78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3F8D3C9B">
            <w:pPr>
              <w:widowControl/>
              <w:jc w:val="left"/>
              <w:rPr>
                <w:rFonts w:hint="eastAsia" w:ascii="宋体" w:hAnsi="宋体" w:cs="宋体"/>
                <w:b/>
                <w:bCs/>
                <w:kern w:val="0"/>
                <w:sz w:val="24"/>
              </w:rPr>
            </w:pPr>
          </w:p>
        </w:tc>
        <w:tc>
          <w:tcPr>
            <w:tcW w:w="919" w:type="dxa"/>
            <w:vMerge w:val="continue"/>
            <w:tcBorders>
              <w:top w:val="single" w:color="auto" w:sz="4" w:space="0"/>
              <w:left w:val="single" w:color="auto" w:sz="4" w:space="0"/>
              <w:bottom w:val="single" w:color="auto" w:sz="4" w:space="0"/>
              <w:right w:val="single" w:color="auto" w:sz="4" w:space="0"/>
            </w:tcBorders>
            <w:vAlign w:val="center"/>
          </w:tcPr>
          <w:p w14:paraId="0A2D786E">
            <w:pPr>
              <w:widowControl/>
              <w:jc w:val="left"/>
              <w:rPr>
                <w:rFonts w:hint="eastAsia" w:ascii="宋体" w:hAnsi="宋体" w:cs="宋体"/>
                <w:b/>
                <w:bCs/>
                <w:kern w:val="0"/>
                <w:sz w:val="24"/>
              </w:rPr>
            </w:pPr>
          </w:p>
        </w:tc>
        <w:tc>
          <w:tcPr>
            <w:tcW w:w="1428" w:type="dxa"/>
            <w:tcBorders>
              <w:top w:val="single" w:color="auto" w:sz="4" w:space="0"/>
              <w:left w:val="nil"/>
              <w:bottom w:val="single" w:color="auto" w:sz="4" w:space="0"/>
              <w:right w:val="single" w:color="auto" w:sz="4" w:space="0"/>
            </w:tcBorders>
            <w:vAlign w:val="center"/>
          </w:tcPr>
          <w:p w14:paraId="7FB8EA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资金使用规范</w:t>
            </w:r>
          </w:p>
        </w:tc>
        <w:tc>
          <w:tcPr>
            <w:tcW w:w="692" w:type="dxa"/>
            <w:tcBorders>
              <w:top w:val="single" w:color="auto" w:sz="4" w:space="0"/>
              <w:left w:val="nil"/>
              <w:bottom w:val="single" w:color="auto" w:sz="4" w:space="0"/>
              <w:right w:val="single" w:color="auto" w:sz="4" w:space="0"/>
            </w:tcBorders>
            <w:vAlign w:val="center"/>
          </w:tcPr>
          <w:p w14:paraId="4C4751C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single" w:color="auto" w:sz="4" w:space="0"/>
              <w:left w:val="nil"/>
              <w:bottom w:val="single" w:color="auto" w:sz="4" w:space="0"/>
              <w:right w:val="single" w:color="auto" w:sz="4" w:space="0"/>
            </w:tcBorders>
            <w:vAlign w:val="center"/>
          </w:tcPr>
          <w:p w14:paraId="5CF77B18">
            <w:pPr>
              <w:widowControl/>
              <w:jc w:val="left"/>
              <w:rPr>
                <w:rFonts w:hint="eastAsia" w:ascii="宋体" w:hAnsi="宋体" w:cs="宋体"/>
                <w:color w:val="000000"/>
                <w:kern w:val="0"/>
                <w:sz w:val="15"/>
                <w:szCs w:val="18"/>
              </w:rPr>
            </w:pPr>
            <w:r>
              <w:rPr>
                <w:rFonts w:hint="eastAsia"/>
                <w:sz w:val="15"/>
                <w:szCs w:val="18"/>
              </w:rPr>
              <w:t>部门资金使用是否符合相关财务管理制度规定</w:t>
            </w:r>
          </w:p>
        </w:tc>
        <w:tc>
          <w:tcPr>
            <w:tcW w:w="3808" w:type="dxa"/>
            <w:tcBorders>
              <w:top w:val="single" w:color="auto" w:sz="4" w:space="0"/>
              <w:left w:val="nil"/>
              <w:bottom w:val="single" w:color="auto" w:sz="4" w:space="0"/>
              <w:right w:val="single" w:color="auto" w:sz="4" w:space="0"/>
            </w:tcBorders>
            <w:vAlign w:val="center"/>
          </w:tcPr>
          <w:p w14:paraId="23241701">
            <w:pPr>
              <w:widowControl/>
              <w:jc w:val="left"/>
              <w:rPr>
                <w:rFonts w:hint="eastAsia" w:ascii="宋体" w:hAnsi="宋体" w:cs="宋体"/>
                <w:color w:val="000000"/>
                <w:kern w:val="0"/>
                <w:sz w:val="15"/>
                <w:szCs w:val="18"/>
              </w:rPr>
            </w:pPr>
            <w:r>
              <w:rPr>
                <w:rFonts w:hint="eastAsia"/>
                <w:sz w:val="15"/>
                <w:szCs w:val="18"/>
              </w:rPr>
              <w:t>部门资金使用不符合相关财务管理制度规定的，发现一处扣1分，扣完为止。</w:t>
            </w:r>
          </w:p>
        </w:tc>
        <w:tc>
          <w:tcPr>
            <w:tcW w:w="766" w:type="dxa"/>
            <w:tcBorders>
              <w:top w:val="single" w:color="auto" w:sz="4" w:space="0"/>
              <w:left w:val="nil"/>
              <w:bottom w:val="single" w:color="auto" w:sz="4" w:space="0"/>
              <w:right w:val="single" w:color="auto" w:sz="4" w:space="0"/>
            </w:tcBorders>
            <w:vAlign w:val="center"/>
          </w:tcPr>
          <w:p w14:paraId="055B905F">
            <w:pPr>
              <w:widowControl/>
              <w:jc w:val="center"/>
              <w:rPr>
                <w:rFonts w:hint="eastAsia" w:ascii="宋体" w:hAnsi="宋体" w:cs="宋体"/>
                <w:kern w:val="0"/>
                <w:sz w:val="24"/>
              </w:rPr>
            </w:pPr>
            <w:r>
              <w:rPr>
                <w:rFonts w:hint="eastAsia" w:ascii="宋体" w:hAnsi="宋体" w:cs="宋体"/>
                <w:kern w:val="0"/>
                <w:sz w:val="24"/>
              </w:rPr>
              <w:t>　</w:t>
            </w:r>
          </w:p>
        </w:tc>
        <w:tc>
          <w:tcPr>
            <w:tcW w:w="700" w:type="dxa"/>
            <w:tcBorders>
              <w:top w:val="single" w:color="auto" w:sz="4" w:space="0"/>
              <w:left w:val="nil"/>
              <w:bottom w:val="single" w:color="auto" w:sz="4" w:space="0"/>
              <w:right w:val="single" w:color="auto" w:sz="4" w:space="0"/>
            </w:tcBorders>
            <w:vAlign w:val="center"/>
          </w:tcPr>
          <w:p w14:paraId="4E398E67">
            <w:pPr>
              <w:widowControl/>
              <w:jc w:val="center"/>
              <w:rPr>
                <w:rFonts w:hint="eastAsia" w:ascii="宋体" w:hAnsi="宋体" w:cs="宋体"/>
                <w:kern w:val="0"/>
                <w:sz w:val="24"/>
              </w:rPr>
            </w:pPr>
            <w:r>
              <w:rPr>
                <w:rFonts w:hint="eastAsia" w:ascii="宋体" w:hAnsi="宋体" w:cs="宋体"/>
                <w:kern w:val="0"/>
                <w:sz w:val="24"/>
              </w:rPr>
              <w:t>　</w:t>
            </w:r>
          </w:p>
        </w:tc>
      </w:tr>
      <w:tr w14:paraId="4D98EE03">
        <w:tblPrEx>
          <w:tblCellMar>
            <w:top w:w="0" w:type="dxa"/>
            <w:left w:w="108" w:type="dxa"/>
            <w:bottom w:w="0" w:type="dxa"/>
            <w:right w:w="108" w:type="dxa"/>
          </w:tblCellMar>
        </w:tblPrEx>
        <w:trPr>
          <w:gridAfter w:val="1"/>
          <w:wAfter w:w="9" w:type="dxa"/>
          <w:trHeight w:val="1161"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5C264CE1">
            <w:pPr>
              <w:widowControl/>
              <w:jc w:val="left"/>
              <w:rPr>
                <w:rFonts w:hint="eastAsia"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vAlign w:val="center"/>
          </w:tcPr>
          <w:p w14:paraId="3122DF3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预算绩效存在问题</w:t>
            </w:r>
          </w:p>
        </w:tc>
        <w:tc>
          <w:tcPr>
            <w:tcW w:w="692" w:type="dxa"/>
            <w:tcBorders>
              <w:top w:val="single" w:color="auto" w:sz="4" w:space="0"/>
              <w:left w:val="nil"/>
              <w:bottom w:val="single" w:color="auto" w:sz="4" w:space="0"/>
              <w:right w:val="single" w:color="auto" w:sz="4" w:space="0"/>
            </w:tcBorders>
            <w:vAlign w:val="center"/>
          </w:tcPr>
          <w:p w14:paraId="2CBCC08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single" w:color="auto" w:sz="4" w:space="0"/>
              <w:left w:val="nil"/>
              <w:bottom w:val="single" w:color="auto" w:sz="4" w:space="0"/>
              <w:right w:val="single" w:color="auto" w:sz="4" w:space="0"/>
            </w:tcBorders>
            <w:vAlign w:val="center"/>
          </w:tcPr>
          <w:p w14:paraId="30596606">
            <w:pPr>
              <w:widowControl/>
              <w:jc w:val="left"/>
              <w:rPr>
                <w:rFonts w:hint="eastAsia" w:ascii="宋体" w:hAnsi="宋体" w:cs="宋体"/>
                <w:color w:val="000000"/>
                <w:kern w:val="0"/>
                <w:sz w:val="15"/>
                <w:szCs w:val="18"/>
              </w:rPr>
            </w:pPr>
            <w:r>
              <w:rPr>
                <w:rFonts w:hint="eastAsia"/>
                <w:sz w:val="15"/>
                <w:szCs w:val="18"/>
              </w:rPr>
              <w:t>预算管理和绩效管理工作存在问题</w:t>
            </w:r>
          </w:p>
        </w:tc>
        <w:tc>
          <w:tcPr>
            <w:tcW w:w="3808" w:type="dxa"/>
            <w:tcBorders>
              <w:top w:val="single" w:color="auto" w:sz="4" w:space="0"/>
              <w:left w:val="nil"/>
              <w:bottom w:val="single" w:color="auto" w:sz="4" w:space="0"/>
              <w:right w:val="single" w:color="auto" w:sz="4" w:space="0"/>
            </w:tcBorders>
            <w:vAlign w:val="center"/>
          </w:tcPr>
          <w:p w14:paraId="418CD8F6">
            <w:pPr>
              <w:widowControl/>
              <w:jc w:val="left"/>
              <w:rPr>
                <w:rFonts w:hint="eastAsia" w:ascii="宋体" w:hAnsi="宋体" w:cs="宋体"/>
                <w:color w:val="000000"/>
                <w:kern w:val="0"/>
                <w:sz w:val="15"/>
                <w:szCs w:val="18"/>
              </w:rPr>
            </w:pPr>
            <w:r>
              <w:rPr>
                <w:rFonts w:hint="eastAsia"/>
                <w:sz w:val="15"/>
                <w:szCs w:val="18"/>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766" w:type="dxa"/>
            <w:tcBorders>
              <w:top w:val="single" w:color="auto" w:sz="4" w:space="0"/>
              <w:left w:val="nil"/>
              <w:bottom w:val="single" w:color="auto" w:sz="4" w:space="0"/>
              <w:right w:val="single" w:color="auto" w:sz="4" w:space="0"/>
            </w:tcBorders>
            <w:vAlign w:val="center"/>
          </w:tcPr>
          <w:p w14:paraId="4A10A5A5">
            <w:pPr>
              <w:widowControl/>
              <w:jc w:val="center"/>
              <w:rPr>
                <w:rFonts w:hint="eastAsia" w:ascii="宋体" w:hAnsi="宋体" w:cs="宋体"/>
                <w:kern w:val="0"/>
                <w:sz w:val="24"/>
              </w:rPr>
            </w:pPr>
            <w:r>
              <w:rPr>
                <w:rFonts w:hint="eastAsia" w:ascii="宋体" w:hAnsi="宋体" w:cs="宋体"/>
                <w:kern w:val="0"/>
                <w:sz w:val="24"/>
              </w:rPr>
              <w:t>　</w:t>
            </w:r>
          </w:p>
        </w:tc>
        <w:tc>
          <w:tcPr>
            <w:tcW w:w="700" w:type="dxa"/>
            <w:tcBorders>
              <w:top w:val="single" w:color="auto" w:sz="4" w:space="0"/>
              <w:left w:val="nil"/>
              <w:bottom w:val="single" w:color="auto" w:sz="4" w:space="0"/>
              <w:right w:val="single" w:color="auto" w:sz="4" w:space="0"/>
            </w:tcBorders>
            <w:vAlign w:val="center"/>
          </w:tcPr>
          <w:p w14:paraId="3F8C0CE7">
            <w:pPr>
              <w:widowControl/>
              <w:jc w:val="center"/>
              <w:rPr>
                <w:rFonts w:hint="eastAsia" w:ascii="宋体" w:hAnsi="宋体" w:cs="宋体"/>
                <w:kern w:val="0"/>
                <w:sz w:val="24"/>
              </w:rPr>
            </w:pPr>
            <w:r>
              <w:rPr>
                <w:rFonts w:hint="eastAsia" w:ascii="宋体" w:hAnsi="宋体" w:cs="宋体"/>
                <w:kern w:val="0"/>
                <w:sz w:val="24"/>
              </w:rPr>
              <w:t>　</w:t>
            </w:r>
          </w:p>
        </w:tc>
      </w:tr>
      <w:tr w14:paraId="7604C862">
        <w:tblPrEx>
          <w:tblCellMar>
            <w:top w:w="0" w:type="dxa"/>
            <w:left w:w="108" w:type="dxa"/>
            <w:bottom w:w="0" w:type="dxa"/>
            <w:right w:w="108" w:type="dxa"/>
          </w:tblCellMar>
        </w:tblPrEx>
        <w:trPr>
          <w:gridAfter w:val="1"/>
          <w:wAfter w:w="9" w:type="dxa"/>
          <w:trHeight w:val="840" w:hRule="atLeast"/>
          <w:jc w:val="center"/>
        </w:trPr>
        <w:tc>
          <w:tcPr>
            <w:tcW w:w="699" w:type="dxa"/>
            <w:vMerge w:val="continue"/>
            <w:tcBorders>
              <w:top w:val="single" w:color="auto" w:sz="4" w:space="0"/>
              <w:left w:val="single" w:color="auto" w:sz="4" w:space="0"/>
              <w:bottom w:val="single" w:color="auto" w:sz="4" w:space="0"/>
              <w:right w:val="single" w:color="auto" w:sz="4" w:space="0"/>
            </w:tcBorders>
            <w:vAlign w:val="center"/>
          </w:tcPr>
          <w:p w14:paraId="2FB52CB4">
            <w:pPr>
              <w:widowControl/>
              <w:jc w:val="left"/>
              <w:rPr>
                <w:rFonts w:hint="eastAsia" w:ascii="宋体" w:hAnsi="宋体" w:cs="宋体"/>
                <w:b/>
                <w:bCs/>
                <w:kern w:val="0"/>
                <w:sz w:val="24"/>
              </w:rPr>
            </w:pPr>
          </w:p>
        </w:tc>
        <w:tc>
          <w:tcPr>
            <w:tcW w:w="2347" w:type="dxa"/>
            <w:gridSpan w:val="2"/>
            <w:tcBorders>
              <w:top w:val="single" w:color="auto" w:sz="4" w:space="0"/>
              <w:left w:val="nil"/>
              <w:bottom w:val="single" w:color="auto" w:sz="4" w:space="0"/>
              <w:right w:val="single" w:color="auto" w:sz="4" w:space="0"/>
            </w:tcBorders>
            <w:vAlign w:val="center"/>
          </w:tcPr>
          <w:p w14:paraId="47A52F6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被评价部门配合度</w:t>
            </w:r>
          </w:p>
        </w:tc>
        <w:tc>
          <w:tcPr>
            <w:tcW w:w="692" w:type="dxa"/>
            <w:tcBorders>
              <w:top w:val="single" w:color="auto" w:sz="4" w:space="0"/>
              <w:left w:val="nil"/>
              <w:bottom w:val="single" w:color="auto" w:sz="4" w:space="0"/>
              <w:right w:val="single" w:color="auto" w:sz="4" w:space="0"/>
            </w:tcBorders>
            <w:vAlign w:val="center"/>
          </w:tcPr>
          <w:p w14:paraId="664E4FF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701" w:type="dxa"/>
            <w:tcBorders>
              <w:top w:val="single" w:color="auto" w:sz="4" w:space="0"/>
              <w:left w:val="nil"/>
              <w:bottom w:val="single" w:color="auto" w:sz="4" w:space="0"/>
              <w:right w:val="single" w:color="auto" w:sz="4" w:space="0"/>
            </w:tcBorders>
            <w:vAlign w:val="center"/>
          </w:tcPr>
          <w:p w14:paraId="3918592B">
            <w:pPr>
              <w:widowControl/>
              <w:jc w:val="left"/>
              <w:rPr>
                <w:rFonts w:hint="eastAsia" w:ascii="宋体" w:hAnsi="宋体" w:cs="宋体"/>
                <w:color w:val="000000"/>
                <w:kern w:val="0"/>
                <w:sz w:val="15"/>
                <w:szCs w:val="18"/>
              </w:rPr>
            </w:pPr>
            <w:r>
              <w:rPr>
                <w:rFonts w:hint="eastAsia"/>
                <w:sz w:val="15"/>
                <w:szCs w:val="18"/>
              </w:rPr>
              <w:t>被评价对象工作配合情况</w:t>
            </w:r>
          </w:p>
        </w:tc>
        <w:tc>
          <w:tcPr>
            <w:tcW w:w="3808" w:type="dxa"/>
            <w:tcBorders>
              <w:top w:val="single" w:color="auto" w:sz="4" w:space="0"/>
              <w:left w:val="nil"/>
              <w:bottom w:val="single" w:color="auto" w:sz="4" w:space="0"/>
              <w:right w:val="single" w:color="auto" w:sz="4" w:space="0"/>
            </w:tcBorders>
            <w:vAlign w:val="center"/>
          </w:tcPr>
          <w:p w14:paraId="62810FB3">
            <w:pPr>
              <w:widowControl/>
              <w:jc w:val="left"/>
              <w:rPr>
                <w:rFonts w:hint="eastAsia" w:ascii="宋体" w:hAnsi="宋体" w:cs="宋体"/>
                <w:color w:val="000000"/>
                <w:kern w:val="0"/>
                <w:sz w:val="15"/>
                <w:szCs w:val="18"/>
              </w:rPr>
            </w:pPr>
            <w:r>
              <w:rPr>
                <w:rFonts w:hint="eastAsia"/>
                <w:sz w:val="15"/>
                <w:szCs w:val="18"/>
              </w:rPr>
              <w:t>评价工作开展过程中，被评价对象拖延推诿、提交资料不及时等拒不配合评价工作的，每发现一次扣1分，扣完为止。</w:t>
            </w:r>
          </w:p>
        </w:tc>
        <w:tc>
          <w:tcPr>
            <w:tcW w:w="766" w:type="dxa"/>
            <w:tcBorders>
              <w:top w:val="single" w:color="auto" w:sz="4" w:space="0"/>
              <w:left w:val="nil"/>
              <w:bottom w:val="single" w:color="auto" w:sz="4" w:space="0"/>
              <w:right w:val="single" w:color="auto" w:sz="4" w:space="0"/>
            </w:tcBorders>
            <w:vAlign w:val="center"/>
          </w:tcPr>
          <w:p w14:paraId="745439A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0" w:type="dxa"/>
            <w:tcBorders>
              <w:top w:val="single" w:color="auto" w:sz="4" w:space="0"/>
              <w:left w:val="nil"/>
              <w:bottom w:val="single" w:color="auto" w:sz="4" w:space="0"/>
              <w:right w:val="single" w:color="auto" w:sz="4" w:space="0"/>
            </w:tcBorders>
            <w:vAlign w:val="center"/>
          </w:tcPr>
          <w:p w14:paraId="43C86CF9">
            <w:pPr>
              <w:widowControl/>
              <w:jc w:val="center"/>
              <w:rPr>
                <w:rFonts w:hint="eastAsia" w:ascii="宋体" w:hAnsi="宋体" w:cs="宋体"/>
                <w:kern w:val="0"/>
                <w:sz w:val="24"/>
              </w:rPr>
            </w:pPr>
            <w:r>
              <w:rPr>
                <w:rFonts w:hint="eastAsia" w:ascii="宋体" w:hAnsi="宋体" w:cs="宋体"/>
                <w:kern w:val="0"/>
                <w:sz w:val="24"/>
              </w:rPr>
              <w:t>　</w:t>
            </w:r>
          </w:p>
        </w:tc>
      </w:tr>
      <w:tr w14:paraId="4C2ED745">
        <w:tblPrEx>
          <w:tblCellMar>
            <w:top w:w="0" w:type="dxa"/>
            <w:left w:w="108" w:type="dxa"/>
            <w:bottom w:w="0" w:type="dxa"/>
            <w:right w:w="108" w:type="dxa"/>
          </w:tblCellMar>
        </w:tblPrEx>
        <w:trPr>
          <w:gridAfter w:val="1"/>
          <w:wAfter w:w="9" w:type="dxa"/>
          <w:trHeight w:val="639" w:hRule="atLeast"/>
          <w:jc w:val="center"/>
        </w:trPr>
        <w:tc>
          <w:tcPr>
            <w:tcW w:w="3046" w:type="dxa"/>
            <w:gridSpan w:val="3"/>
            <w:tcBorders>
              <w:top w:val="single" w:color="auto" w:sz="4" w:space="0"/>
              <w:left w:val="single" w:color="auto" w:sz="4" w:space="0"/>
              <w:bottom w:val="single" w:color="auto" w:sz="4" w:space="0"/>
              <w:right w:val="single" w:color="auto" w:sz="4" w:space="0"/>
            </w:tcBorders>
            <w:noWrap/>
            <w:vAlign w:val="center"/>
          </w:tcPr>
          <w:p w14:paraId="788018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分值</w:t>
            </w:r>
          </w:p>
        </w:tc>
        <w:tc>
          <w:tcPr>
            <w:tcW w:w="692" w:type="dxa"/>
            <w:tcBorders>
              <w:top w:val="single" w:color="auto" w:sz="4" w:space="0"/>
              <w:left w:val="nil"/>
              <w:bottom w:val="single" w:color="auto" w:sz="4" w:space="0"/>
              <w:right w:val="single" w:color="auto" w:sz="4" w:space="0"/>
            </w:tcBorders>
            <w:noWrap/>
            <w:vAlign w:val="center"/>
          </w:tcPr>
          <w:p w14:paraId="2AD90C3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701" w:type="dxa"/>
            <w:tcBorders>
              <w:top w:val="single" w:color="auto" w:sz="4" w:space="0"/>
              <w:left w:val="nil"/>
              <w:bottom w:val="single" w:color="auto" w:sz="4" w:space="0"/>
              <w:right w:val="single" w:color="auto" w:sz="4" w:space="0"/>
            </w:tcBorders>
            <w:noWrap/>
            <w:vAlign w:val="center"/>
          </w:tcPr>
          <w:p w14:paraId="518840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3808" w:type="dxa"/>
            <w:tcBorders>
              <w:top w:val="single" w:color="auto" w:sz="4" w:space="0"/>
              <w:left w:val="nil"/>
              <w:bottom w:val="single" w:color="auto" w:sz="4" w:space="0"/>
              <w:right w:val="single" w:color="auto" w:sz="4" w:space="0"/>
            </w:tcBorders>
            <w:noWrap/>
            <w:vAlign w:val="center"/>
          </w:tcPr>
          <w:p w14:paraId="55B1709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66" w:type="dxa"/>
            <w:tcBorders>
              <w:top w:val="single" w:color="auto" w:sz="4" w:space="0"/>
              <w:left w:val="nil"/>
              <w:bottom w:val="single" w:color="auto" w:sz="4" w:space="0"/>
              <w:right w:val="single" w:color="auto" w:sz="4" w:space="0"/>
            </w:tcBorders>
            <w:noWrap/>
            <w:vAlign w:val="center"/>
          </w:tcPr>
          <w:p w14:paraId="152438E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97</w:t>
            </w:r>
          </w:p>
        </w:tc>
        <w:tc>
          <w:tcPr>
            <w:tcW w:w="700" w:type="dxa"/>
            <w:tcBorders>
              <w:top w:val="single" w:color="auto" w:sz="4" w:space="0"/>
              <w:left w:val="nil"/>
              <w:bottom w:val="single" w:color="auto" w:sz="4" w:space="0"/>
              <w:right w:val="single" w:color="auto" w:sz="4" w:space="0"/>
            </w:tcBorders>
            <w:noWrap/>
            <w:vAlign w:val="center"/>
          </w:tcPr>
          <w:p w14:paraId="1263C3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60416D5F"/>
    <w:p w14:paraId="64B246D7">
      <w:pPr>
        <w:pStyle w:val="2"/>
        <w:rPr>
          <w:shd w:val="clear" w:color="auto" w:fill="FFFFFF"/>
        </w:rPr>
      </w:pPr>
      <w:r>
        <w:rPr>
          <w:shd w:val="clear" w:color="auto" w:fill="FFFFFF"/>
        </w:rPr>
        <w:br w:type="page"/>
      </w:r>
    </w:p>
    <w:p w14:paraId="616630FD">
      <w:pPr>
        <w:spacing w:line="590" w:lineRule="exact"/>
        <w:rPr>
          <w:color w:val="000000"/>
          <w:sz w:val="33"/>
          <w:szCs w:val="33"/>
          <w:shd w:val="clear" w:color="auto" w:fill="FFFFFF"/>
        </w:rPr>
      </w:pPr>
    </w:p>
    <w:p w14:paraId="6477BC0C">
      <w:pPr>
        <w:pStyle w:val="9"/>
        <w:spacing w:before="93"/>
        <w:rPr>
          <w:rFonts w:cs="仿宋_GB2312"/>
          <w:sz w:val="32"/>
          <w:szCs w:val="32"/>
        </w:rPr>
      </w:pPr>
      <w:r>
        <w:rPr>
          <w:rFonts w:hint="eastAsia"/>
          <w:color w:val="000000"/>
          <w:sz w:val="33"/>
          <w:szCs w:val="33"/>
          <w:shd w:val="clear" w:color="auto" w:fill="FFFFFF"/>
        </w:rPr>
        <w:t>附表</w:t>
      </w:r>
      <w:r>
        <w:rPr>
          <w:color w:val="000000"/>
          <w:sz w:val="33"/>
          <w:szCs w:val="33"/>
          <w:shd w:val="clear" w:color="auto" w:fill="FFFFFF"/>
        </w:rPr>
        <w:t>2</w:t>
      </w:r>
      <w:r>
        <w:rPr>
          <w:rFonts w:hint="eastAsia"/>
          <w:color w:val="000000"/>
          <w:sz w:val="33"/>
          <w:szCs w:val="33"/>
          <w:shd w:val="clear" w:color="auto" w:fill="FFFFFF"/>
        </w:rPr>
        <w:t>：</w:t>
      </w:r>
      <w:bookmarkStart w:id="79" w:name="_Toc15396618"/>
      <w:r>
        <w:rPr>
          <w:rFonts w:cs="仿宋_GB2312"/>
          <w:sz w:val="32"/>
          <w:szCs w:val="32"/>
        </w:rPr>
        <w:t xml:space="preserve"> </w:t>
      </w:r>
    </w:p>
    <w:tbl>
      <w:tblPr>
        <w:tblStyle w:val="1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134"/>
        <w:gridCol w:w="1134"/>
        <w:gridCol w:w="851"/>
        <w:gridCol w:w="646"/>
        <w:gridCol w:w="630"/>
        <w:gridCol w:w="709"/>
        <w:gridCol w:w="708"/>
        <w:gridCol w:w="709"/>
        <w:gridCol w:w="137"/>
        <w:gridCol w:w="855"/>
      </w:tblGrid>
      <w:tr w14:paraId="76A2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55" w:type="dxa"/>
          <w:trHeight w:val="906" w:hRule="atLeast"/>
          <w:jc w:val="center"/>
        </w:trPr>
        <w:tc>
          <w:tcPr>
            <w:tcW w:w="9068" w:type="dxa"/>
            <w:gridSpan w:val="11"/>
            <w:tcBorders>
              <w:top w:val="nil"/>
              <w:left w:val="nil"/>
              <w:bottom w:val="nil"/>
              <w:right w:val="nil"/>
            </w:tcBorders>
            <w:vAlign w:val="center"/>
          </w:tcPr>
          <w:p w14:paraId="2D56A074">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4CC05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709532C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79BAF32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51090422T000006815845-义务教育家庭经济困难学生生活补助</w:t>
            </w:r>
          </w:p>
        </w:tc>
      </w:tr>
      <w:tr w14:paraId="1381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69241C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6AE8530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四川省遂宁市西眉中学部门</w:t>
            </w:r>
          </w:p>
        </w:tc>
        <w:tc>
          <w:tcPr>
            <w:tcW w:w="709" w:type="dxa"/>
            <w:tcBorders>
              <w:top w:val="single" w:color="auto" w:sz="4" w:space="0"/>
              <w:left w:val="single" w:color="auto" w:sz="4" w:space="0"/>
              <w:bottom w:val="single" w:color="auto" w:sz="4" w:space="0"/>
              <w:right w:val="single" w:color="auto" w:sz="4" w:space="0"/>
            </w:tcBorders>
            <w:vAlign w:val="center"/>
          </w:tcPr>
          <w:p w14:paraId="0933D258">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40B843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w:t>
            </w:r>
          </w:p>
        </w:tc>
      </w:tr>
      <w:tr w14:paraId="6C30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58F671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0B7CFB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56CA6B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6BC320A6">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78EC0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A48EE6E">
            <w:pPr>
              <w:widowControl/>
              <w:jc w:val="left"/>
              <w:rPr>
                <w:rFonts w:hint="eastAsia" w:ascii="宋体" w:hAnsi="宋体" w:cs="宋体"/>
                <w:color w:val="000000"/>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227422F">
            <w:pPr>
              <w:widowControl/>
              <w:jc w:val="left"/>
              <w:rPr>
                <w:rFonts w:hint="eastAsia" w:ascii="宋体" w:hAnsi="宋体" w:cs="宋体"/>
                <w:color w:val="000000"/>
                <w:kern w:val="0"/>
                <w:sz w:val="18"/>
                <w:szCs w:val="18"/>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1223EDA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本年度精准识别家庭经济困难学生，严格按标准发放生活补助，确保符合条件学生应助尽助，减轻家庭经济压力，助力学生安心完成义务教育阶段学业。</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35C01274">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已完成困难学生信息审核，相应标准足额发放补助，应助尽助目标达成。</w:t>
            </w:r>
          </w:p>
        </w:tc>
      </w:tr>
      <w:tr w14:paraId="64563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AB9D9C1">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5820EF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6E91944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先组织学生申报，经班级、学校多轮审核公示确定名单；财政下拨资金后，通过银行转账形式直接发放到学生或监护人账户，全程接受监督，保障资金发放公正透明。</w:t>
            </w:r>
          </w:p>
        </w:tc>
      </w:tr>
      <w:tr w14:paraId="241D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757BB3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59" w:type="dxa"/>
            <w:tcBorders>
              <w:top w:val="single" w:color="auto" w:sz="4" w:space="0"/>
              <w:left w:val="single" w:color="auto" w:sz="4" w:space="0"/>
              <w:bottom w:val="single" w:color="auto" w:sz="4" w:space="0"/>
              <w:right w:val="single" w:color="auto" w:sz="4" w:space="0"/>
            </w:tcBorders>
            <w:vAlign w:val="center"/>
          </w:tcPr>
          <w:p w14:paraId="32235B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4" w:type="dxa"/>
            <w:tcBorders>
              <w:top w:val="single" w:color="auto" w:sz="4" w:space="0"/>
              <w:left w:val="single" w:color="auto" w:sz="4" w:space="0"/>
              <w:bottom w:val="single" w:color="auto" w:sz="4" w:space="0"/>
              <w:right w:val="single" w:color="auto" w:sz="4" w:space="0"/>
            </w:tcBorders>
            <w:vAlign w:val="center"/>
          </w:tcPr>
          <w:p w14:paraId="04DE5D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134" w:type="dxa"/>
            <w:tcBorders>
              <w:top w:val="single" w:color="auto" w:sz="4" w:space="0"/>
              <w:left w:val="single" w:color="auto" w:sz="4" w:space="0"/>
              <w:bottom w:val="single" w:color="auto" w:sz="4" w:space="0"/>
              <w:right w:val="single" w:color="auto" w:sz="4" w:space="0"/>
            </w:tcBorders>
            <w:vAlign w:val="center"/>
          </w:tcPr>
          <w:p w14:paraId="2F609A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40B73C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709" w:type="dxa"/>
            <w:tcBorders>
              <w:top w:val="single" w:color="auto" w:sz="4" w:space="0"/>
              <w:left w:val="single" w:color="auto" w:sz="4" w:space="0"/>
              <w:bottom w:val="single" w:color="auto" w:sz="4" w:space="0"/>
              <w:right w:val="single" w:color="auto" w:sz="4" w:space="0"/>
            </w:tcBorders>
            <w:vAlign w:val="center"/>
          </w:tcPr>
          <w:p w14:paraId="335185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08" w:type="dxa"/>
            <w:tcBorders>
              <w:top w:val="single" w:color="auto" w:sz="4" w:space="0"/>
              <w:left w:val="single" w:color="auto" w:sz="4" w:space="0"/>
              <w:bottom w:val="single" w:color="auto" w:sz="4" w:space="0"/>
              <w:right w:val="single" w:color="auto" w:sz="4" w:space="0"/>
            </w:tcBorders>
            <w:vAlign w:val="center"/>
          </w:tcPr>
          <w:p w14:paraId="740DEF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76DE67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D4E8D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32E8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F64E359">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4E529F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134" w:type="dxa"/>
            <w:tcBorders>
              <w:top w:val="single" w:color="auto" w:sz="4" w:space="0"/>
              <w:left w:val="single" w:color="auto" w:sz="4" w:space="0"/>
              <w:bottom w:val="single" w:color="auto" w:sz="4" w:space="0"/>
              <w:right w:val="single" w:color="auto" w:sz="4" w:space="0"/>
            </w:tcBorders>
            <w:vAlign w:val="center"/>
          </w:tcPr>
          <w:p w14:paraId="52C2A5A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33D371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7.58</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75626A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7.58</w:t>
            </w:r>
          </w:p>
        </w:tc>
        <w:tc>
          <w:tcPr>
            <w:tcW w:w="709" w:type="dxa"/>
            <w:tcBorders>
              <w:top w:val="single" w:color="auto" w:sz="4" w:space="0"/>
              <w:left w:val="single" w:color="auto" w:sz="4" w:space="0"/>
              <w:bottom w:val="single" w:color="auto" w:sz="4" w:space="0"/>
              <w:right w:val="single" w:color="auto" w:sz="4" w:space="0"/>
            </w:tcBorders>
            <w:vAlign w:val="center"/>
          </w:tcPr>
          <w:p w14:paraId="46918E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6238F8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14:paraId="55CACE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14:paraId="3172ED56">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无</w:t>
            </w:r>
          </w:p>
        </w:tc>
      </w:tr>
      <w:tr w14:paraId="5847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80F69B7">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00BE1D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134" w:type="dxa"/>
            <w:tcBorders>
              <w:top w:val="single" w:color="auto" w:sz="4" w:space="0"/>
              <w:left w:val="single" w:color="auto" w:sz="4" w:space="0"/>
              <w:bottom w:val="single" w:color="auto" w:sz="4" w:space="0"/>
              <w:right w:val="single" w:color="auto" w:sz="4" w:space="0"/>
            </w:tcBorders>
            <w:vAlign w:val="center"/>
          </w:tcPr>
          <w:p w14:paraId="1B0432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089773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7.58</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25D0C7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7.58</w:t>
            </w:r>
          </w:p>
        </w:tc>
        <w:tc>
          <w:tcPr>
            <w:tcW w:w="709" w:type="dxa"/>
            <w:tcBorders>
              <w:top w:val="single" w:color="auto" w:sz="4" w:space="0"/>
              <w:left w:val="single" w:color="auto" w:sz="4" w:space="0"/>
              <w:bottom w:val="single" w:color="auto" w:sz="4" w:space="0"/>
              <w:right w:val="single" w:color="auto" w:sz="4" w:space="0"/>
            </w:tcBorders>
            <w:vAlign w:val="center"/>
          </w:tcPr>
          <w:p w14:paraId="0D3512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180EEC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D76BC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45244C32">
            <w:pPr>
              <w:widowControl/>
              <w:jc w:val="left"/>
              <w:rPr>
                <w:rFonts w:hint="eastAsia" w:ascii="黑体" w:hAnsi="黑体" w:eastAsia="黑体" w:cs="宋体"/>
                <w:i/>
                <w:iCs/>
                <w:color w:val="000000"/>
                <w:kern w:val="0"/>
                <w:sz w:val="18"/>
                <w:szCs w:val="18"/>
              </w:rPr>
            </w:pPr>
          </w:p>
        </w:tc>
      </w:tr>
      <w:tr w14:paraId="588D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7D669812">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1E8987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4" w:type="dxa"/>
            <w:tcBorders>
              <w:top w:val="single" w:color="auto" w:sz="4" w:space="0"/>
              <w:left w:val="single" w:color="auto" w:sz="4" w:space="0"/>
              <w:bottom w:val="single" w:color="auto" w:sz="4" w:space="0"/>
              <w:right w:val="single" w:color="auto" w:sz="4" w:space="0"/>
            </w:tcBorders>
            <w:vAlign w:val="center"/>
          </w:tcPr>
          <w:p w14:paraId="591977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1E2F56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7B5F9C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1F5A63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7CB910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81471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66F48057">
            <w:pPr>
              <w:widowControl/>
              <w:jc w:val="left"/>
              <w:rPr>
                <w:rFonts w:hint="eastAsia" w:ascii="黑体" w:hAnsi="黑体" w:eastAsia="黑体" w:cs="宋体"/>
                <w:i/>
                <w:iCs/>
                <w:color w:val="000000"/>
                <w:kern w:val="0"/>
                <w:sz w:val="18"/>
                <w:szCs w:val="18"/>
              </w:rPr>
            </w:pPr>
          </w:p>
        </w:tc>
      </w:tr>
      <w:tr w14:paraId="5B5A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B49976D">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1E65F1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134" w:type="dxa"/>
            <w:tcBorders>
              <w:top w:val="single" w:color="auto" w:sz="4" w:space="0"/>
              <w:left w:val="single" w:color="auto" w:sz="4" w:space="0"/>
              <w:bottom w:val="single" w:color="auto" w:sz="4" w:space="0"/>
              <w:right w:val="single" w:color="auto" w:sz="4" w:space="0"/>
            </w:tcBorders>
            <w:vAlign w:val="center"/>
          </w:tcPr>
          <w:p w14:paraId="0A76B0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4E4340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05CB33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289668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1B0C95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5562A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22ECD331">
            <w:pPr>
              <w:widowControl/>
              <w:jc w:val="left"/>
              <w:rPr>
                <w:rFonts w:hint="eastAsia" w:ascii="黑体" w:hAnsi="黑体" w:eastAsia="黑体" w:cs="宋体"/>
                <w:i/>
                <w:iCs/>
                <w:color w:val="000000"/>
                <w:kern w:val="0"/>
                <w:sz w:val="18"/>
                <w:szCs w:val="18"/>
              </w:rPr>
            </w:pPr>
          </w:p>
        </w:tc>
      </w:tr>
      <w:tr w14:paraId="59D9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58EC857">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1C83D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single" w:color="auto" w:sz="4" w:space="0"/>
              <w:left w:val="single" w:color="auto" w:sz="4" w:space="0"/>
              <w:bottom w:val="single" w:color="auto" w:sz="4" w:space="0"/>
              <w:right w:val="single" w:color="auto" w:sz="4" w:space="0"/>
            </w:tcBorders>
            <w:vAlign w:val="center"/>
          </w:tcPr>
          <w:p w14:paraId="2979D96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tcBorders>
              <w:top w:val="single" w:color="auto" w:sz="4" w:space="0"/>
              <w:left w:val="single" w:color="auto" w:sz="4" w:space="0"/>
              <w:bottom w:val="single" w:color="auto" w:sz="4" w:space="0"/>
              <w:right w:val="single" w:color="auto" w:sz="4" w:space="0"/>
            </w:tcBorders>
            <w:vAlign w:val="center"/>
          </w:tcPr>
          <w:p w14:paraId="23AF7864">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396DFBD">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63E8ED01">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17A175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9589B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008AC995">
            <w:pPr>
              <w:widowControl/>
              <w:jc w:val="left"/>
              <w:rPr>
                <w:rFonts w:hint="eastAsia" w:ascii="黑体" w:hAnsi="黑体" w:eastAsia="黑体" w:cs="宋体"/>
                <w:i/>
                <w:iCs/>
                <w:color w:val="000000"/>
                <w:kern w:val="0"/>
                <w:sz w:val="18"/>
                <w:szCs w:val="18"/>
              </w:rPr>
            </w:pPr>
          </w:p>
        </w:tc>
      </w:tr>
      <w:tr w14:paraId="1EC21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12C400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559" w:type="dxa"/>
            <w:tcBorders>
              <w:top w:val="single" w:color="auto" w:sz="4" w:space="0"/>
              <w:left w:val="single" w:color="auto" w:sz="4" w:space="0"/>
              <w:bottom w:val="single" w:color="auto" w:sz="4" w:space="0"/>
              <w:right w:val="single" w:color="auto" w:sz="4" w:space="0"/>
            </w:tcBorders>
            <w:vAlign w:val="center"/>
          </w:tcPr>
          <w:p w14:paraId="66CCAF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14:paraId="406DC4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vAlign w:val="center"/>
          </w:tcPr>
          <w:p w14:paraId="4C534E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851" w:type="dxa"/>
            <w:tcBorders>
              <w:top w:val="single" w:color="auto" w:sz="4" w:space="0"/>
              <w:left w:val="single" w:color="auto" w:sz="4" w:space="0"/>
              <w:bottom w:val="single" w:color="auto" w:sz="4" w:space="0"/>
              <w:right w:val="single" w:color="auto" w:sz="4" w:space="0"/>
            </w:tcBorders>
            <w:vAlign w:val="center"/>
          </w:tcPr>
          <w:p w14:paraId="2E187C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646" w:type="dxa"/>
            <w:tcBorders>
              <w:top w:val="single" w:color="auto" w:sz="4" w:space="0"/>
              <w:left w:val="single" w:color="auto" w:sz="4" w:space="0"/>
              <w:bottom w:val="single" w:color="auto" w:sz="4" w:space="0"/>
              <w:right w:val="single" w:color="auto" w:sz="4" w:space="0"/>
            </w:tcBorders>
            <w:vAlign w:val="center"/>
          </w:tcPr>
          <w:p w14:paraId="1C60DA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630" w:type="dxa"/>
            <w:tcBorders>
              <w:top w:val="single" w:color="auto" w:sz="4" w:space="0"/>
              <w:left w:val="single" w:color="auto" w:sz="4" w:space="0"/>
              <w:bottom w:val="single" w:color="auto" w:sz="4" w:space="0"/>
              <w:right w:val="single" w:color="auto" w:sz="4" w:space="0"/>
            </w:tcBorders>
            <w:vAlign w:val="center"/>
          </w:tcPr>
          <w:p w14:paraId="5F05DF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709" w:type="dxa"/>
            <w:tcBorders>
              <w:top w:val="single" w:color="auto" w:sz="4" w:space="0"/>
              <w:left w:val="single" w:color="auto" w:sz="4" w:space="0"/>
              <w:bottom w:val="single" w:color="auto" w:sz="4" w:space="0"/>
              <w:right w:val="single" w:color="auto" w:sz="4" w:space="0"/>
            </w:tcBorders>
            <w:vAlign w:val="center"/>
          </w:tcPr>
          <w:p w14:paraId="66BE4A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08" w:type="dxa"/>
            <w:tcBorders>
              <w:top w:val="single" w:color="auto" w:sz="4" w:space="0"/>
              <w:left w:val="single" w:color="auto" w:sz="4" w:space="0"/>
              <w:bottom w:val="single" w:color="auto" w:sz="4" w:space="0"/>
              <w:right w:val="single" w:color="auto" w:sz="4" w:space="0"/>
            </w:tcBorders>
            <w:vAlign w:val="center"/>
          </w:tcPr>
          <w:p w14:paraId="5687EB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187C71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DC6CD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51A7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7355A43">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E3F6A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14:paraId="3F50B5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single" w:color="auto" w:sz="4" w:space="0"/>
              <w:left w:val="single" w:color="auto" w:sz="4" w:space="0"/>
              <w:bottom w:val="single" w:color="auto" w:sz="4" w:space="0"/>
              <w:right w:val="single" w:color="auto" w:sz="4" w:space="0"/>
            </w:tcBorders>
            <w:vAlign w:val="center"/>
          </w:tcPr>
          <w:p w14:paraId="611B63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851" w:type="dxa"/>
            <w:tcBorders>
              <w:top w:val="single" w:color="auto" w:sz="4" w:space="0"/>
              <w:left w:val="single" w:color="auto" w:sz="4" w:space="0"/>
              <w:bottom w:val="single" w:color="auto" w:sz="4" w:space="0"/>
              <w:right w:val="single" w:color="auto" w:sz="4" w:space="0"/>
            </w:tcBorders>
            <w:vAlign w:val="center"/>
          </w:tcPr>
          <w:p w14:paraId="7FE57E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5EA886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59FFAC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4DD5A8F">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2B3954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709" w:type="dxa"/>
            <w:tcBorders>
              <w:top w:val="single" w:color="auto" w:sz="4" w:space="0"/>
              <w:left w:val="single" w:color="auto" w:sz="4" w:space="0"/>
              <w:bottom w:val="single" w:color="auto" w:sz="4" w:space="0"/>
              <w:right w:val="single" w:color="auto" w:sz="4" w:space="0"/>
            </w:tcBorders>
            <w:vAlign w:val="center"/>
          </w:tcPr>
          <w:p w14:paraId="362646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1897D2B">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0A7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5D697BC">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4E96EA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546072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688CDF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851" w:type="dxa"/>
            <w:tcBorders>
              <w:top w:val="single" w:color="auto" w:sz="4" w:space="0"/>
              <w:left w:val="single" w:color="auto" w:sz="4" w:space="0"/>
              <w:bottom w:val="single" w:color="auto" w:sz="4" w:space="0"/>
              <w:right w:val="single" w:color="auto" w:sz="4" w:space="0"/>
            </w:tcBorders>
            <w:vAlign w:val="center"/>
          </w:tcPr>
          <w:p w14:paraId="6B69B0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588C9F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1D1CAC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4B833F7">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0D3E19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709" w:type="dxa"/>
            <w:tcBorders>
              <w:top w:val="single" w:color="auto" w:sz="4" w:space="0"/>
              <w:left w:val="single" w:color="auto" w:sz="4" w:space="0"/>
              <w:bottom w:val="single" w:color="auto" w:sz="4" w:space="0"/>
              <w:right w:val="single" w:color="auto" w:sz="4" w:space="0"/>
            </w:tcBorders>
            <w:vAlign w:val="center"/>
          </w:tcPr>
          <w:p w14:paraId="1E1696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6896C60">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4C25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B457B23">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CE456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178B53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578766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443870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6" w:type="dxa"/>
            <w:tcBorders>
              <w:top w:val="single" w:color="auto" w:sz="4" w:space="0"/>
              <w:left w:val="single" w:color="auto" w:sz="4" w:space="0"/>
              <w:bottom w:val="single" w:color="auto" w:sz="4" w:space="0"/>
              <w:right w:val="single" w:color="auto" w:sz="4" w:space="0"/>
            </w:tcBorders>
            <w:vAlign w:val="center"/>
          </w:tcPr>
          <w:p w14:paraId="398761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single" w:color="auto" w:sz="4" w:space="0"/>
              <w:left w:val="single" w:color="auto" w:sz="4" w:space="0"/>
              <w:bottom w:val="single" w:color="auto" w:sz="4" w:space="0"/>
              <w:right w:val="single" w:color="auto" w:sz="4" w:space="0"/>
            </w:tcBorders>
            <w:vAlign w:val="center"/>
          </w:tcPr>
          <w:p w14:paraId="07BC98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23A1F4CE">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4962AC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534939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0FD6F8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F01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4" w:type="dxa"/>
            <w:gridSpan w:val="8"/>
            <w:tcBorders>
              <w:top w:val="single" w:color="auto" w:sz="4" w:space="0"/>
              <w:left w:val="single" w:color="auto" w:sz="4" w:space="0"/>
              <w:bottom w:val="single" w:color="auto" w:sz="4" w:space="0"/>
              <w:right w:val="single" w:color="auto" w:sz="4" w:space="0"/>
            </w:tcBorders>
            <w:vAlign w:val="center"/>
          </w:tcPr>
          <w:p w14:paraId="296F26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08" w:type="dxa"/>
            <w:tcBorders>
              <w:top w:val="single" w:color="auto" w:sz="4" w:space="0"/>
              <w:left w:val="single" w:color="auto" w:sz="4" w:space="0"/>
              <w:bottom w:val="single" w:color="auto" w:sz="4" w:space="0"/>
              <w:right w:val="single" w:color="auto" w:sz="4" w:space="0"/>
            </w:tcBorders>
            <w:vAlign w:val="center"/>
          </w:tcPr>
          <w:p w14:paraId="206CA3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709" w:type="dxa"/>
            <w:tcBorders>
              <w:top w:val="single" w:color="auto" w:sz="4" w:space="0"/>
              <w:left w:val="single" w:color="auto" w:sz="4" w:space="0"/>
              <w:bottom w:val="single" w:color="auto" w:sz="4" w:space="0"/>
              <w:right w:val="single" w:color="auto" w:sz="4" w:space="0"/>
            </w:tcBorders>
            <w:vAlign w:val="center"/>
          </w:tcPr>
          <w:p w14:paraId="54A257B1">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44F6FD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4B0F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8261D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398458B9">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xml:space="preserve"> 该项目年初预算0万元，调整后预算7.58万元，预算执行数7.58万元，预算执行率100%，项目产出、效果等均符合预期，自评得100分。</w:t>
            </w:r>
          </w:p>
        </w:tc>
      </w:tr>
      <w:tr w14:paraId="69C0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DEE1B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0EBECC25">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E83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25083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33CAA7E0">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5D8D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9" w:type="dxa"/>
            <w:gridSpan w:val="5"/>
            <w:tcBorders>
              <w:top w:val="single" w:color="auto" w:sz="4" w:space="0"/>
              <w:left w:val="single" w:color="auto" w:sz="4" w:space="0"/>
              <w:bottom w:val="single" w:color="auto" w:sz="4" w:space="0"/>
              <w:right w:val="single" w:color="auto" w:sz="4" w:space="0"/>
            </w:tcBorders>
            <w:vAlign w:val="center"/>
          </w:tcPr>
          <w:p w14:paraId="69B5B7E6">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项目负责人：何彬</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7E47E800">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财务负责人：黄府成</w:t>
            </w:r>
          </w:p>
        </w:tc>
      </w:tr>
      <w:tr w14:paraId="3DF7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A3075C2">
            <w:pPr>
              <w:widowControl/>
              <w:jc w:val="left"/>
              <w:rPr>
                <w:rFonts w:hint="eastAsia" w:ascii="黑体" w:hAnsi="黑体" w:eastAsia="黑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7F966A6C">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270CBAE6">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93F977B">
            <w:pPr>
              <w:widowControl/>
              <w:jc w:val="left"/>
              <w:rPr>
                <w:rFonts w:eastAsia="Times New Roman"/>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2B019DA3">
            <w:pPr>
              <w:widowControl/>
              <w:jc w:val="left"/>
              <w:rPr>
                <w:rFonts w:eastAsia="Times New Roman"/>
                <w:kern w:val="0"/>
                <w:sz w:val="20"/>
                <w:szCs w:val="20"/>
              </w:rPr>
            </w:pPr>
          </w:p>
        </w:tc>
        <w:tc>
          <w:tcPr>
            <w:tcW w:w="646" w:type="dxa"/>
            <w:tcBorders>
              <w:top w:val="single" w:color="auto" w:sz="4" w:space="0"/>
              <w:left w:val="single" w:color="auto" w:sz="4" w:space="0"/>
              <w:bottom w:val="single" w:color="auto" w:sz="4" w:space="0"/>
              <w:right w:val="single" w:color="auto" w:sz="4" w:space="0"/>
            </w:tcBorders>
            <w:vAlign w:val="center"/>
          </w:tcPr>
          <w:p w14:paraId="616DD9A1">
            <w:pPr>
              <w:widowControl/>
              <w:jc w:val="left"/>
              <w:rPr>
                <w:rFonts w:eastAsia="Times New Roman"/>
                <w:kern w:val="0"/>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14:paraId="53DEF6AA">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54151403">
            <w:pPr>
              <w:widowControl/>
              <w:jc w:val="left"/>
              <w:rPr>
                <w:rFonts w:eastAsia="Times New Roman"/>
                <w:kern w:val="0"/>
                <w:sz w:val="2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72E7F641">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0C4D3391">
            <w:pPr>
              <w:widowControl/>
              <w:jc w:val="left"/>
              <w:rPr>
                <w:rFonts w:eastAsia="Times New Roman"/>
                <w:kern w:val="0"/>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3271760">
            <w:pPr>
              <w:widowControl/>
              <w:jc w:val="left"/>
              <w:rPr>
                <w:rFonts w:eastAsia="Times New Roman"/>
                <w:kern w:val="0"/>
                <w:sz w:val="20"/>
                <w:szCs w:val="20"/>
              </w:rPr>
            </w:pPr>
          </w:p>
        </w:tc>
      </w:tr>
      <w:tr w14:paraId="4EA9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9923" w:type="dxa"/>
            <w:gridSpan w:val="12"/>
            <w:tcBorders>
              <w:top w:val="single" w:color="auto" w:sz="4" w:space="0"/>
              <w:left w:val="single" w:color="auto" w:sz="4" w:space="0"/>
              <w:bottom w:val="single" w:color="auto" w:sz="4" w:space="0"/>
              <w:right w:val="single" w:color="auto" w:sz="4" w:space="0"/>
            </w:tcBorders>
            <w:vAlign w:val="center"/>
          </w:tcPr>
          <w:p w14:paraId="7B061D55">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40E47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1D9F6EA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01F18C2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51090422T000006817934-高中免学费</w:t>
            </w:r>
          </w:p>
        </w:tc>
      </w:tr>
      <w:tr w14:paraId="54EC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5E79888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46F0F4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四川省遂宁市西眉中学部门</w:t>
            </w:r>
          </w:p>
        </w:tc>
        <w:tc>
          <w:tcPr>
            <w:tcW w:w="709" w:type="dxa"/>
            <w:tcBorders>
              <w:top w:val="single" w:color="auto" w:sz="4" w:space="0"/>
              <w:left w:val="single" w:color="auto" w:sz="4" w:space="0"/>
              <w:bottom w:val="single" w:color="auto" w:sz="4" w:space="0"/>
              <w:right w:val="single" w:color="auto" w:sz="4" w:space="0"/>
            </w:tcBorders>
            <w:vAlign w:val="center"/>
          </w:tcPr>
          <w:p w14:paraId="7CCA89FD">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5FFD15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w:t>
            </w:r>
          </w:p>
        </w:tc>
      </w:tr>
      <w:tr w14:paraId="0F9B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5A4ED4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2FCD5E1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4E2DC0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0AFA779F">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2E66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7B4EF5C">
            <w:pPr>
              <w:widowControl/>
              <w:jc w:val="left"/>
              <w:rPr>
                <w:rFonts w:hint="eastAsia" w:ascii="宋体" w:hAnsi="宋体" w:cs="宋体"/>
                <w:color w:val="000000"/>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03897A6">
            <w:pPr>
              <w:widowControl/>
              <w:jc w:val="left"/>
              <w:rPr>
                <w:rFonts w:hint="eastAsia" w:ascii="宋体" w:hAnsi="宋体" w:cs="宋体"/>
                <w:color w:val="000000"/>
                <w:kern w:val="0"/>
                <w:sz w:val="18"/>
                <w:szCs w:val="18"/>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042E960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本年度精准筛选符合条件的高中家庭经济困难学生，严格依政策标准落实免学费举措，确保应免尽免，缓解家庭经济压力，助力学生顺利完成高中学业。</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07F60F1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按政策标准免除学费，应免尽免目标达成，所有受助学生学费均已减免到位。</w:t>
            </w:r>
          </w:p>
        </w:tc>
      </w:tr>
      <w:tr w14:paraId="3FC7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F931B0D">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BC90EC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1C5E53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先组织学生提交申请，经班级初审、学校复核、多轮公示确定名单；财政资金下达后，直接减免学生学费，全程公开透明，接受各方监督。</w:t>
            </w:r>
          </w:p>
        </w:tc>
      </w:tr>
      <w:tr w14:paraId="504A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36549B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59" w:type="dxa"/>
            <w:tcBorders>
              <w:top w:val="single" w:color="auto" w:sz="4" w:space="0"/>
              <w:left w:val="single" w:color="auto" w:sz="4" w:space="0"/>
              <w:bottom w:val="single" w:color="auto" w:sz="4" w:space="0"/>
              <w:right w:val="single" w:color="auto" w:sz="4" w:space="0"/>
            </w:tcBorders>
            <w:vAlign w:val="center"/>
          </w:tcPr>
          <w:p w14:paraId="227A12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4" w:type="dxa"/>
            <w:tcBorders>
              <w:top w:val="single" w:color="auto" w:sz="4" w:space="0"/>
              <w:left w:val="single" w:color="auto" w:sz="4" w:space="0"/>
              <w:bottom w:val="single" w:color="auto" w:sz="4" w:space="0"/>
              <w:right w:val="single" w:color="auto" w:sz="4" w:space="0"/>
            </w:tcBorders>
            <w:vAlign w:val="center"/>
          </w:tcPr>
          <w:p w14:paraId="19B14D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134" w:type="dxa"/>
            <w:tcBorders>
              <w:top w:val="single" w:color="auto" w:sz="4" w:space="0"/>
              <w:left w:val="single" w:color="auto" w:sz="4" w:space="0"/>
              <w:bottom w:val="single" w:color="auto" w:sz="4" w:space="0"/>
              <w:right w:val="single" w:color="auto" w:sz="4" w:space="0"/>
            </w:tcBorders>
            <w:vAlign w:val="center"/>
          </w:tcPr>
          <w:p w14:paraId="66AA46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69C896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709" w:type="dxa"/>
            <w:tcBorders>
              <w:top w:val="single" w:color="auto" w:sz="4" w:space="0"/>
              <w:left w:val="single" w:color="auto" w:sz="4" w:space="0"/>
              <w:bottom w:val="single" w:color="auto" w:sz="4" w:space="0"/>
              <w:right w:val="single" w:color="auto" w:sz="4" w:space="0"/>
            </w:tcBorders>
            <w:vAlign w:val="center"/>
          </w:tcPr>
          <w:p w14:paraId="383B85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08" w:type="dxa"/>
            <w:tcBorders>
              <w:top w:val="single" w:color="auto" w:sz="4" w:space="0"/>
              <w:left w:val="single" w:color="auto" w:sz="4" w:space="0"/>
              <w:bottom w:val="single" w:color="auto" w:sz="4" w:space="0"/>
              <w:right w:val="single" w:color="auto" w:sz="4" w:space="0"/>
            </w:tcBorders>
            <w:vAlign w:val="center"/>
          </w:tcPr>
          <w:p w14:paraId="5CFAE1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581896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893B8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4B3F1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3814E64">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560078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134" w:type="dxa"/>
            <w:tcBorders>
              <w:top w:val="single" w:color="auto" w:sz="4" w:space="0"/>
              <w:left w:val="single" w:color="auto" w:sz="4" w:space="0"/>
              <w:bottom w:val="single" w:color="auto" w:sz="4" w:space="0"/>
              <w:right w:val="single" w:color="auto" w:sz="4" w:space="0"/>
            </w:tcBorders>
            <w:vAlign w:val="center"/>
          </w:tcPr>
          <w:p w14:paraId="21089A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66B7E0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32.20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53125E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32.20</w:t>
            </w:r>
          </w:p>
        </w:tc>
        <w:tc>
          <w:tcPr>
            <w:tcW w:w="709" w:type="dxa"/>
            <w:tcBorders>
              <w:top w:val="single" w:color="auto" w:sz="4" w:space="0"/>
              <w:left w:val="single" w:color="auto" w:sz="4" w:space="0"/>
              <w:bottom w:val="single" w:color="auto" w:sz="4" w:space="0"/>
              <w:right w:val="single" w:color="auto" w:sz="4" w:space="0"/>
            </w:tcBorders>
            <w:vAlign w:val="center"/>
          </w:tcPr>
          <w:p w14:paraId="3A8E7E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4D3602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14:paraId="3CFC6F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14:paraId="01E0701E">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无</w:t>
            </w:r>
          </w:p>
        </w:tc>
      </w:tr>
      <w:tr w14:paraId="103B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12AAC07">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5A68B2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134" w:type="dxa"/>
            <w:tcBorders>
              <w:top w:val="single" w:color="auto" w:sz="4" w:space="0"/>
              <w:left w:val="single" w:color="auto" w:sz="4" w:space="0"/>
              <w:bottom w:val="single" w:color="auto" w:sz="4" w:space="0"/>
              <w:right w:val="single" w:color="auto" w:sz="4" w:space="0"/>
            </w:tcBorders>
            <w:vAlign w:val="center"/>
          </w:tcPr>
          <w:p w14:paraId="29AD18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19FB6C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32.20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0A44B8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32.20</w:t>
            </w:r>
          </w:p>
        </w:tc>
        <w:tc>
          <w:tcPr>
            <w:tcW w:w="709" w:type="dxa"/>
            <w:tcBorders>
              <w:top w:val="single" w:color="auto" w:sz="4" w:space="0"/>
              <w:left w:val="single" w:color="auto" w:sz="4" w:space="0"/>
              <w:bottom w:val="single" w:color="auto" w:sz="4" w:space="0"/>
              <w:right w:val="single" w:color="auto" w:sz="4" w:space="0"/>
            </w:tcBorders>
            <w:vAlign w:val="center"/>
          </w:tcPr>
          <w:p w14:paraId="052FD9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7AC72E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4AF0E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5808D73F">
            <w:pPr>
              <w:widowControl/>
              <w:jc w:val="left"/>
              <w:rPr>
                <w:rFonts w:hint="eastAsia" w:ascii="黑体" w:hAnsi="黑体" w:eastAsia="黑体" w:cs="宋体"/>
                <w:i/>
                <w:iCs/>
                <w:color w:val="000000"/>
                <w:kern w:val="0"/>
                <w:sz w:val="18"/>
                <w:szCs w:val="18"/>
              </w:rPr>
            </w:pPr>
          </w:p>
        </w:tc>
      </w:tr>
      <w:tr w14:paraId="1E4FD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EFF8628">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84B55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4" w:type="dxa"/>
            <w:tcBorders>
              <w:top w:val="single" w:color="auto" w:sz="4" w:space="0"/>
              <w:left w:val="single" w:color="auto" w:sz="4" w:space="0"/>
              <w:bottom w:val="single" w:color="auto" w:sz="4" w:space="0"/>
              <w:right w:val="single" w:color="auto" w:sz="4" w:space="0"/>
            </w:tcBorders>
            <w:vAlign w:val="center"/>
          </w:tcPr>
          <w:p w14:paraId="591023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7B7005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6AC923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650043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678CEA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3A480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0B0B7506">
            <w:pPr>
              <w:widowControl/>
              <w:jc w:val="left"/>
              <w:rPr>
                <w:rFonts w:hint="eastAsia" w:ascii="黑体" w:hAnsi="黑体" w:eastAsia="黑体" w:cs="宋体"/>
                <w:i/>
                <w:iCs/>
                <w:color w:val="000000"/>
                <w:kern w:val="0"/>
                <w:sz w:val="18"/>
                <w:szCs w:val="18"/>
              </w:rPr>
            </w:pPr>
          </w:p>
        </w:tc>
      </w:tr>
      <w:tr w14:paraId="601C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5D0EB1F5">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916AB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134" w:type="dxa"/>
            <w:tcBorders>
              <w:top w:val="single" w:color="auto" w:sz="4" w:space="0"/>
              <w:left w:val="single" w:color="auto" w:sz="4" w:space="0"/>
              <w:bottom w:val="single" w:color="auto" w:sz="4" w:space="0"/>
              <w:right w:val="single" w:color="auto" w:sz="4" w:space="0"/>
            </w:tcBorders>
            <w:vAlign w:val="center"/>
          </w:tcPr>
          <w:p w14:paraId="012B89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5279A4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784A1F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150730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54F9D9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69389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18026129">
            <w:pPr>
              <w:widowControl/>
              <w:jc w:val="left"/>
              <w:rPr>
                <w:rFonts w:hint="eastAsia" w:ascii="黑体" w:hAnsi="黑体" w:eastAsia="黑体" w:cs="宋体"/>
                <w:i/>
                <w:iCs/>
                <w:color w:val="000000"/>
                <w:kern w:val="0"/>
                <w:sz w:val="18"/>
                <w:szCs w:val="18"/>
              </w:rPr>
            </w:pPr>
          </w:p>
        </w:tc>
      </w:tr>
      <w:tr w14:paraId="10980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73158083">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1E3970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single" w:color="auto" w:sz="4" w:space="0"/>
              <w:left w:val="single" w:color="auto" w:sz="4" w:space="0"/>
              <w:bottom w:val="single" w:color="auto" w:sz="4" w:space="0"/>
              <w:right w:val="single" w:color="auto" w:sz="4" w:space="0"/>
            </w:tcBorders>
            <w:vAlign w:val="center"/>
          </w:tcPr>
          <w:p w14:paraId="5FEE73AA">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tcBorders>
              <w:top w:val="single" w:color="auto" w:sz="4" w:space="0"/>
              <w:left w:val="single" w:color="auto" w:sz="4" w:space="0"/>
              <w:bottom w:val="single" w:color="auto" w:sz="4" w:space="0"/>
              <w:right w:val="single" w:color="auto" w:sz="4" w:space="0"/>
            </w:tcBorders>
            <w:vAlign w:val="center"/>
          </w:tcPr>
          <w:p w14:paraId="7C6E5EDB">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3E23FF33">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64F82B6A">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247B49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C8AAC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684606CB">
            <w:pPr>
              <w:widowControl/>
              <w:jc w:val="left"/>
              <w:rPr>
                <w:rFonts w:hint="eastAsia" w:ascii="黑体" w:hAnsi="黑体" w:eastAsia="黑体" w:cs="宋体"/>
                <w:i/>
                <w:iCs/>
                <w:color w:val="000000"/>
                <w:kern w:val="0"/>
                <w:sz w:val="18"/>
                <w:szCs w:val="18"/>
              </w:rPr>
            </w:pPr>
          </w:p>
        </w:tc>
      </w:tr>
      <w:tr w14:paraId="06A7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4E35A2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559" w:type="dxa"/>
            <w:tcBorders>
              <w:top w:val="single" w:color="auto" w:sz="4" w:space="0"/>
              <w:left w:val="single" w:color="auto" w:sz="4" w:space="0"/>
              <w:bottom w:val="single" w:color="auto" w:sz="4" w:space="0"/>
              <w:right w:val="single" w:color="auto" w:sz="4" w:space="0"/>
            </w:tcBorders>
            <w:vAlign w:val="center"/>
          </w:tcPr>
          <w:p w14:paraId="034555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14:paraId="37BB2F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vAlign w:val="center"/>
          </w:tcPr>
          <w:p w14:paraId="611049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851" w:type="dxa"/>
            <w:tcBorders>
              <w:top w:val="single" w:color="auto" w:sz="4" w:space="0"/>
              <w:left w:val="single" w:color="auto" w:sz="4" w:space="0"/>
              <w:bottom w:val="single" w:color="auto" w:sz="4" w:space="0"/>
              <w:right w:val="single" w:color="auto" w:sz="4" w:space="0"/>
            </w:tcBorders>
            <w:vAlign w:val="center"/>
          </w:tcPr>
          <w:p w14:paraId="3F5ECB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646" w:type="dxa"/>
            <w:tcBorders>
              <w:top w:val="single" w:color="auto" w:sz="4" w:space="0"/>
              <w:left w:val="single" w:color="auto" w:sz="4" w:space="0"/>
              <w:bottom w:val="single" w:color="auto" w:sz="4" w:space="0"/>
              <w:right w:val="single" w:color="auto" w:sz="4" w:space="0"/>
            </w:tcBorders>
            <w:vAlign w:val="center"/>
          </w:tcPr>
          <w:p w14:paraId="3A68B0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630" w:type="dxa"/>
            <w:tcBorders>
              <w:top w:val="single" w:color="auto" w:sz="4" w:space="0"/>
              <w:left w:val="single" w:color="auto" w:sz="4" w:space="0"/>
              <w:bottom w:val="single" w:color="auto" w:sz="4" w:space="0"/>
              <w:right w:val="single" w:color="auto" w:sz="4" w:space="0"/>
            </w:tcBorders>
            <w:vAlign w:val="center"/>
          </w:tcPr>
          <w:p w14:paraId="605BEA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709" w:type="dxa"/>
            <w:tcBorders>
              <w:top w:val="single" w:color="auto" w:sz="4" w:space="0"/>
              <w:left w:val="single" w:color="auto" w:sz="4" w:space="0"/>
              <w:bottom w:val="single" w:color="auto" w:sz="4" w:space="0"/>
              <w:right w:val="single" w:color="auto" w:sz="4" w:space="0"/>
            </w:tcBorders>
            <w:vAlign w:val="center"/>
          </w:tcPr>
          <w:p w14:paraId="611178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08" w:type="dxa"/>
            <w:tcBorders>
              <w:top w:val="single" w:color="auto" w:sz="4" w:space="0"/>
              <w:left w:val="single" w:color="auto" w:sz="4" w:space="0"/>
              <w:bottom w:val="single" w:color="auto" w:sz="4" w:space="0"/>
              <w:right w:val="single" w:color="auto" w:sz="4" w:space="0"/>
            </w:tcBorders>
            <w:vAlign w:val="center"/>
          </w:tcPr>
          <w:p w14:paraId="77EB61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6B7258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A65E4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791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65721DC">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09B490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14:paraId="5DC33C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single" w:color="auto" w:sz="4" w:space="0"/>
              <w:left w:val="single" w:color="auto" w:sz="4" w:space="0"/>
              <w:bottom w:val="single" w:color="auto" w:sz="4" w:space="0"/>
              <w:right w:val="single" w:color="auto" w:sz="4" w:space="0"/>
            </w:tcBorders>
            <w:vAlign w:val="center"/>
          </w:tcPr>
          <w:p w14:paraId="0EA191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851" w:type="dxa"/>
            <w:tcBorders>
              <w:top w:val="single" w:color="auto" w:sz="4" w:space="0"/>
              <w:left w:val="single" w:color="auto" w:sz="4" w:space="0"/>
              <w:bottom w:val="single" w:color="auto" w:sz="4" w:space="0"/>
              <w:right w:val="single" w:color="auto" w:sz="4" w:space="0"/>
            </w:tcBorders>
            <w:vAlign w:val="center"/>
          </w:tcPr>
          <w:p w14:paraId="3FEA47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325032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1ABCA5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BE0F02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3B7A1A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709" w:type="dxa"/>
            <w:tcBorders>
              <w:top w:val="single" w:color="auto" w:sz="4" w:space="0"/>
              <w:left w:val="single" w:color="auto" w:sz="4" w:space="0"/>
              <w:bottom w:val="single" w:color="auto" w:sz="4" w:space="0"/>
              <w:right w:val="single" w:color="auto" w:sz="4" w:space="0"/>
            </w:tcBorders>
            <w:vAlign w:val="center"/>
          </w:tcPr>
          <w:p w14:paraId="08A81A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647CE6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2C6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5B2D6DD">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026ADC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0D0FDF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17342F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851" w:type="dxa"/>
            <w:tcBorders>
              <w:top w:val="single" w:color="auto" w:sz="4" w:space="0"/>
              <w:left w:val="single" w:color="auto" w:sz="4" w:space="0"/>
              <w:bottom w:val="single" w:color="auto" w:sz="4" w:space="0"/>
              <w:right w:val="single" w:color="auto" w:sz="4" w:space="0"/>
            </w:tcBorders>
            <w:vAlign w:val="center"/>
          </w:tcPr>
          <w:p w14:paraId="17A9E4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1BD159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2D1AF1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5D16E61">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3E979C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709" w:type="dxa"/>
            <w:tcBorders>
              <w:top w:val="single" w:color="auto" w:sz="4" w:space="0"/>
              <w:left w:val="single" w:color="auto" w:sz="4" w:space="0"/>
              <w:bottom w:val="single" w:color="auto" w:sz="4" w:space="0"/>
              <w:right w:val="single" w:color="auto" w:sz="4" w:space="0"/>
            </w:tcBorders>
            <w:vAlign w:val="center"/>
          </w:tcPr>
          <w:p w14:paraId="23B7EB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48EEAE5">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5B6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5EBBBD26">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705B2F0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6B3CAC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6C9374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4DE643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6" w:type="dxa"/>
            <w:tcBorders>
              <w:top w:val="single" w:color="auto" w:sz="4" w:space="0"/>
              <w:left w:val="single" w:color="auto" w:sz="4" w:space="0"/>
              <w:bottom w:val="single" w:color="auto" w:sz="4" w:space="0"/>
              <w:right w:val="single" w:color="auto" w:sz="4" w:space="0"/>
            </w:tcBorders>
            <w:vAlign w:val="center"/>
          </w:tcPr>
          <w:p w14:paraId="1903C3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single" w:color="auto" w:sz="4" w:space="0"/>
              <w:left w:val="single" w:color="auto" w:sz="4" w:space="0"/>
              <w:bottom w:val="single" w:color="auto" w:sz="4" w:space="0"/>
              <w:right w:val="single" w:color="auto" w:sz="4" w:space="0"/>
            </w:tcBorders>
            <w:vAlign w:val="center"/>
          </w:tcPr>
          <w:p w14:paraId="065665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786D2613">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4EE6BD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356B8D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4884C07">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C393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4" w:type="dxa"/>
            <w:gridSpan w:val="8"/>
            <w:tcBorders>
              <w:top w:val="single" w:color="auto" w:sz="4" w:space="0"/>
              <w:left w:val="single" w:color="auto" w:sz="4" w:space="0"/>
              <w:bottom w:val="single" w:color="auto" w:sz="4" w:space="0"/>
              <w:right w:val="single" w:color="auto" w:sz="4" w:space="0"/>
            </w:tcBorders>
            <w:vAlign w:val="center"/>
          </w:tcPr>
          <w:p w14:paraId="7178E4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08" w:type="dxa"/>
            <w:tcBorders>
              <w:top w:val="single" w:color="auto" w:sz="4" w:space="0"/>
              <w:left w:val="single" w:color="auto" w:sz="4" w:space="0"/>
              <w:bottom w:val="single" w:color="auto" w:sz="4" w:space="0"/>
              <w:right w:val="single" w:color="auto" w:sz="4" w:space="0"/>
            </w:tcBorders>
            <w:vAlign w:val="center"/>
          </w:tcPr>
          <w:p w14:paraId="1EB689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709" w:type="dxa"/>
            <w:tcBorders>
              <w:top w:val="single" w:color="auto" w:sz="4" w:space="0"/>
              <w:left w:val="single" w:color="auto" w:sz="4" w:space="0"/>
              <w:bottom w:val="single" w:color="auto" w:sz="4" w:space="0"/>
              <w:right w:val="single" w:color="auto" w:sz="4" w:space="0"/>
            </w:tcBorders>
            <w:vAlign w:val="center"/>
          </w:tcPr>
          <w:p w14:paraId="3A8A7D58">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01E5E6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9098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A5DAC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15BD5DDD">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xml:space="preserve"> 该项目年初预算0万元，调整后预算32.20万元，预算执行数32.20万元，预算执行率100%，项目产出、效果等均符合预期，自评得100分。</w:t>
            </w:r>
          </w:p>
        </w:tc>
      </w:tr>
      <w:tr w14:paraId="46C38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E6DAC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464764D4">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1240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E25C4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7DAFDBAA">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40F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9" w:type="dxa"/>
            <w:gridSpan w:val="5"/>
            <w:tcBorders>
              <w:top w:val="single" w:color="auto" w:sz="4" w:space="0"/>
              <w:left w:val="single" w:color="auto" w:sz="4" w:space="0"/>
              <w:bottom w:val="single" w:color="auto" w:sz="4" w:space="0"/>
              <w:right w:val="single" w:color="auto" w:sz="4" w:space="0"/>
            </w:tcBorders>
            <w:vAlign w:val="center"/>
          </w:tcPr>
          <w:p w14:paraId="35C09983">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项目负责人：何彬</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6FB39F0C">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财务负责人：黄府成</w:t>
            </w:r>
          </w:p>
        </w:tc>
      </w:tr>
      <w:tr w14:paraId="7A18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FD5DF10">
            <w:pPr>
              <w:widowControl/>
              <w:jc w:val="left"/>
              <w:rPr>
                <w:rFonts w:hint="eastAsia" w:ascii="黑体" w:hAnsi="黑体" w:eastAsia="黑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84D188C">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04B440C0">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7CB89E9A">
            <w:pPr>
              <w:widowControl/>
              <w:jc w:val="left"/>
              <w:rPr>
                <w:rFonts w:eastAsia="Times New Roman"/>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BAF2D29">
            <w:pPr>
              <w:widowControl/>
              <w:jc w:val="left"/>
              <w:rPr>
                <w:rFonts w:eastAsia="Times New Roman"/>
                <w:kern w:val="0"/>
                <w:sz w:val="20"/>
                <w:szCs w:val="20"/>
              </w:rPr>
            </w:pPr>
          </w:p>
        </w:tc>
        <w:tc>
          <w:tcPr>
            <w:tcW w:w="646" w:type="dxa"/>
            <w:tcBorders>
              <w:top w:val="single" w:color="auto" w:sz="4" w:space="0"/>
              <w:left w:val="single" w:color="auto" w:sz="4" w:space="0"/>
              <w:bottom w:val="single" w:color="auto" w:sz="4" w:space="0"/>
              <w:right w:val="single" w:color="auto" w:sz="4" w:space="0"/>
            </w:tcBorders>
            <w:vAlign w:val="center"/>
          </w:tcPr>
          <w:p w14:paraId="0A957ADF">
            <w:pPr>
              <w:widowControl/>
              <w:jc w:val="left"/>
              <w:rPr>
                <w:rFonts w:eastAsia="Times New Roman"/>
                <w:kern w:val="0"/>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14:paraId="21ECE169">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5BE16934">
            <w:pPr>
              <w:widowControl/>
              <w:jc w:val="left"/>
              <w:rPr>
                <w:rFonts w:eastAsia="Times New Roman"/>
                <w:kern w:val="0"/>
                <w:sz w:val="2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04A5A98A">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32BC3D92">
            <w:pPr>
              <w:widowControl/>
              <w:jc w:val="left"/>
              <w:rPr>
                <w:rFonts w:eastAsia="Times New Roman"/>
                <w:kern w:val="0"/>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9917110">
            <w:pPr>
              <w:widowControl/>
              <w:jc w:val="left"/>
              <w:rPr>
                <w:rFonts w:eastAsia="Times New Roman"/>
                <w:kern w:val="0"/>
                <w:sz w:val="20"/>
                <w:szCs w:val="20"/>
              </w:rPr>
            </w:pPr>
          </w:p>
        </w:tc>
      </w:tr>
      <w:tr w14:paraId="190FA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9923" w:type="dxa"/>
            <w:gridSpan w:val="12"/>
            <w:tcBorders>
              <w:top w:val="single" w:color="auto" w:sz="4" w:space="0"/>
              <w:left w:val="single" w:color="auto" w:sz="4" w:space="0"/>
              <w:bottom w:val="single" w:color="auto" w:sz="4" w:space="0"/>
              <w:right w:val="single" w:color="auto" w:sz="4" w:space="0"/>
            </w:tcBorders>
            <w:vAlign w:val="center"/>
          </w:tcPr>
          <w:p w14:paraId="684763C1">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9D5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58A063E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12B3EF4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51090422T000006818006-普通高中免教科书费</w:t>
            </w:r>
          </w:p>
        </w:tc>
      </w:tr>
      <w:tr w14:paraId="47B8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7328A47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02F006A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四川省遂宁市西眉中学部门</w:t>
            </w:r>
          </w:p>
        </w:tc>
        <w:tc>
          <w:tcPr>
            <w:tcW w:w="709" w:type="dxa"/>
            <w:tcBorders>
              <w:top w:val="single" w:color="auto" w:sz="4" w:space="0"/>
              <w:left w:val="single" w:color="auto" w:sz="4" w:space="0"/>
              <w:bottom w:val="single" w:color="auto" w:sz="4" w:space="0"/>
              <w:right w:val="single" w:color="auto" w:sz="4" w:space="0"/>
            </w:tcBorders>
            <w:vAlign w:val="center"/>
          </w:tcPr>
          <w:p w14:paraId="39D8F17F">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10037F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w:t>
            </w:r>
          </w:p>
        </w:tc>
      </w:tr>
      <w:tr w14:paraId="1025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36265E6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2C699E4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33F328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774AA494">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7F48E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5AC8944C">
            <w:pPr>
              <w:widowControl/>
              <w:jc w:val="left"/>
              <w:rPr>
                <w:rFonts w:hint="eastAsia" w:ascii="宋体" w:hAnsi="宋体" w:cs="宋体"/>
                <w:color w:val="000000"/>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C791D06">
            <w:pPr>
              <w:widowControl/>
              <w:jc w:val="left"/>
              <w:rPr>
                <w:rFonts w:hint="eastAsia" w:ascii="宋体" w:hAnsi="宋体" w:cs="宋体"/>
                <w:color w:val="000000"/>
                <w:kern w:val="0"/>
                <w:sz w:val="18"/>
                <w:szCs w:val="18"/>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160FAC9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本年度精准识别普通高中家庭经济困难学生，按政策标准落实免教科书费政策，确保应免尽免，减轻家庭教育支出负担，保障学生正常使用教科书完成学业。</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0AB706BA">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按规定免除全部教科书费用，教材已发放到位，应免尽免目标圆满达成，无遗漏符合条件学生。</w:t>
            </w:r>
          </w:p>
        </w:tc>
      </w:tr>
      <w:tr w14:paraId="2A16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3C1A438">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43E546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0F36F4B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组织学生提交申请，经班级初审、学校复核、公示无异议后确定名单；对接教材供应商，按名单统一采购发放教材，资金由财政统筹，全程公开可追溯。</w:t>
            </w:r>
          </w:p>
        </w:tc>
      </w:tr>
      <w:tr w14:paraId="5541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5C41C4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59" w:type="dxa"/>
            <w:tcBorders>
              <w:top w:val="single" w:color="auto" w:sz="4" w:space="0"/>
              <w:left w:val="single" w:color="auto" w:sz="4" w:space="0"/>
              <w:bottom w:val="single" w:color="auto" w:sz="4" w:space="0"/>
              <w:right w:val="single" w:color="auto" w:sz="4" w:space="0"/>
            </w:tcBorders>
            <w:vAlign w:val="center"/>
          </w:tcPr>
          <w:p w14:paraId="274C49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4" w:type="dxa"/>
            <w:tcBorders>
              <w:top w:val="single" w:color="auto" w:sz="4" w:space="0"/>
              <w:left w:val="single" w:color="auto" w:sz="4" w:space="0"/>
              <w:bottom w:val="single" w:color="auto" w:sz="4" w:space="0"/>
              <w:right w:val="single" w:color="auto" w:sz="4" w:space="0"/>
            </w:tcBorders>
            <w:vAlign w:val="center"/>
          </w:tcPr>
          <w:p w14:paraId="67936E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134" w:type="dxa"/>
            <w:tcBorders>
              <w:top w:val="single" w:color="auto" w:sz="4" w:space="0"/>
              <w:left w:val="single" w:color="auto" w:sz="4" w:space="0"/>
              <w:bottom w:val="single" w:color="auto" w:sz="4" w:space="0"/>
              <w:right w:val="single" w:color="auto" w:sz="4" w:space="0"/>
            </w:tcBorders>
            <w:vAlign w:val="center"/>
          </w:tcPr>
          <w:p w14:paraId="0A580B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5E0A34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709" w:type="dxa"/>
            <w:tcBorders>
              <w:top w:val="single" w:color="auto" w:sz="4" w:space="0"/>
              <w:left w:val="single" w:color="auto" w:sz="4" w:space="0"/>
              <w:bottom w:val="single" w:color="auto" w:sz="4" w:space="0"/>
              <w:right w:val="single" w:color="auto" w:sz="4" w:space="0"/>
            </w:tcBorders>
            <w:vAlign w:val="center"/>
          </w:tcPr>
          <w:p w14:paraId="04D436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08" w:type="dxa"/>
            <w:tcBorders>
              <w:top w:val="single" w:color="auto" w:sz="4" w:space="0"/>
              <w:left w:val="single" w:color="auto" w:sz="4" w:space="0"/>
              <w:bottom w:val="single" w:color="auto" w:sz="4" w:space="0"/>
              <w:right w:val="single" w:color="auto" w:sz="4" w:space="0"/>
            </w:tcBorders>
            <w:vAlign w:val="center"/>
          </w:tcPr>
          <w:p w14:paraId="676058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5DE679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AB41F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7048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E7B4FFE">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5A6190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134" w:type="dxa"/>
            <w:tcBorders>
              <w:top w:val="single" w:color="auto" w:sz="4" w:space="0"/>
              <w:left w:val="single" w:color="auto" w:sz="4" w:space="0"/>
              <w:bottom w:val="single" w:color="auto" w:sz="4" w:space="0"/>
              <w:right w:val="single" w:color="auto" w:sz="4" w:space="0"/>
            </w:tcBorders>
            <w:vAlign w:val="center"/>
          </w:tcPr>
          <w:p w14:paraId="034CA6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0096C2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2.46</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2449E7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2.46</w:t>
            </w:r>
          </w:p>
        </w:tc>
        <w:tc>
          <w:tcPr>
            <w:tcW w:w="709" w:type="dxa"/>
            <w:tcBorders>
              <w:top w:val="single" w:color="auto" w:sz="4" w:space="0"/>
              <w:left w:val="single" w:color="auto" w:sz="4" w:space="0"/>
              <w:bottom w:val="single" w:color="auto" w:sz="4" w:space="0"/>
              <w:right w:val="single" w:color="auto" w:sz="4" w:space="0"/>
            </w:tcBorders>
            <w:vAlign w:val="center"/>
          </w:tcPr>
          <w:p w14:paraId="33BE16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2A1C21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14:paraId="1F23C7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14:paraId="64B268B0">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无</w:t>
            </w:r>
          </w:p>
        </w:tc>
      </w:tr>
      <w:tr w14:paraId="14A6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24A7FA5">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5D699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134" w:type="dxa"/>
            <w:tcBorders>
              <w:top w:val="single" w:color="auto" w:sz="4" w:space="0"/>
              <w:left w:val="single" w:color="auto" w:sz="4" w:space="0"/>
              <w:bottom w:val="single" w:color="auto" w:sz="4" w:space="0"/>
              <w:right w:val="single" w:color="auto" w:sz="4" w:space="0"/>
            </w:tcBorders>
            <w:vAlign w:val="center"/>
          </w:tcPr>
          <w:p w14:paraId="65E888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6E1FB9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2.46</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3AB0F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2.46</w:t>
            </w:r>
          </w:p>
        </w:tc>
        <w:tc>
          <w:tcPr>
            <w:tcW w:w="709" w:type="dxa"/>
            <w:tcBorders>
              <w:top w:val="single" w:color="auto" w:sz="4" w:space="0"/>
              <w:left w:val="single" w:color="auto" w:sz="4" w:space="0"/>
              <w:bottom w:val="single" w:color="auto" w:sz="4" w:space="0"/>
              <w:right w:val="single" w:color="auto" w:sz="4" w:space="0"/>
            </w:tcBorders>
            <w:vAlign w:val="center"/>
          </w:tcPr>
          <w:p w14:paraId="0C129C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1EE0FA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15216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289CDC2E">
            <w:pPr>
              <w:widowControl/>
              <w:jc w:val="left"/>
              <w:rPr>
                <w:rFonts w:hint="eastAsia" w:ascii="黑体" w:hAnsi="黑体" w:eastAsia="黑体" w:cs="宋体"/>
                <w:i/>
                <w:iCs/>
                <w:color w:val="000000"/>
                <w:kern w:val="0"/>
                <w:sz w:val="18"/>
                <w:szCs w:val="18"/>
              </w:rPr>
            </w:pPr>
          </w:p>
        </w:tc>
      </w:tr>
      <w:tr w14:paraId="5D6D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565A4B4">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47F1DF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4" w:type="dxa"/>
            <w:tcBorders>
              <w:top w:val="single" w:color="auto" w:sz="4" w:space="0"/>
              <w:left w:val="single" w:color="auto" w:sz="4" w:space="0"/>
              <w:bottom w:val="single" w:color="auto" w:sz="4" w:space="0"/>
              <w:right w:val="single" w:color="auto" w:sz="4" w:space="0"/>
            </w:tcBorders>
            <w:vAlign w:val="center"/>
          </w:tcPr>
          <w:p w14:paraId="7558B9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350F47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7C2E05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214A73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7CA9E7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EB4B9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3F1D4036">
            <w:pPr>
              <w:widowControl/>
              <w:jc w:val="left"/>
              <w:rPr>
                <w:rFonts w:hint="eastAsia" w:ascii="黑体" w:hAnsi="黑体" w:eastAsia="黑体" w:cs="宋体"/>
                <w:i/>
                <w:iCs/>
                <w:color w:val="000000"/>
                <w:kern w:val="0"/>
                <w:sz w:val="18"/>
                <w:szCs w:val="18"/>
              </w:rPr>
            </w:pPr>
          </w:p>
        </w:tc>
      </w:tr>
      <w:tr w14:paraId="669BE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2ABA4FE">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586F6A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134" w:type="dxa"/>
            <w:tcBorders>
              <w:top w:val="single" w:color="auto" w:sz="4" w:space="0"/>
              <w:left w:val="single" w:color="auto" w:sz="4" w:space="0"/>
              <w:bottom w:val="single" w:color="auto" w:sz="4" w:space="0"/>
              <w:right w:val="single" w:color="auto" w:sz="4" w:space="0"/>
            </w:tcBorders>
            <w:vAlign w:val="center"/>
          </w:tcPr>
          <w:p w14:paraId="0B337F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467D7E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003E75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28FC78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76B473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6E665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589DA07B">
            <w:pPr>
              <w:widowControl/>
              <w:jc w:val="left"/>
              <w:rPr>
                <w:rFonts w:hint="eastAsia" w:ascii="黑体" w:hAnsi="黑体" w:eastAsia="黑体" w:cs="宋体"/>
                <w:i/>
                <w:iCs/>
                <w:color w:val="000000"/>
                <w:kern w:val="0"/>
                <w:sz w:val="18"/>
                <w:szCs w:val="18"/>
              </w:rPr>
            </w:pPr>
          </w:p>
        </w:tc>
      </w:tr>
      <w:tr w14:paraId="6594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814F5D2">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AC286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single" w:color="auto" w:sz="4" w:space="0"/>
              <w:left w:val="single" w:color="auto" w:sz="4" w:space="0"/>
              <w:bottom w:val="single" w:color="auto" w:sz="4" w:space="0"/>
              <w:right w:val="single" w:color="auto" w:sz="4" w:space="0"/>
            </w:tcBorders>
            <w:vAlign w:val="center"/>
          </w:tcPr>
          <w:p w14:paraId="37E4CB2D">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tcBorders>
              <w:top w:val="single" w:color="auto" w:sz="4" w:space="0"/>
              <w:left w:val="single" w:color="auto" w:sz="4" w:space="0"/>
              <w:bottom w:val="single" w:color="auto" w:sz="4" w:space="0"/>
              <w:right w:val="single" w:color="auto" w:sz="4" w:space="0"/>
            </w:tcBorders>
            <w:vAlign w:val="center"/>
          </w:tcPr>
          <w:p w14:paraId="7D89EF7F">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5023A23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1075B30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4E39F0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1EF49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345A936F">
            <w:pPr>
              <w:widowControl/>
              <w:jc w:val="left"/>
              <w:rPr>
                <w:rFonts w:hint="eastAsia" w:ascii="黑体" w:hAnsi="黑体" w:eastAsia="黑体" w:cs="宋体"/>
                <w:i/>
                <w:iCs/>
                <w:color w:val="000000"/>
                <w:kern w:val="0"/>
                <w:sz w:val="18"/>
                <w:szCs w:val="18"/>
              </w:rPr>
            </w:pPr>
          </w:p>
        </w:tc>
      </w:tr>
      <w:tr w14:paraId="088B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0D6630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559" w:type="dxa"/>
            <w:tcBorders>
              <w:top w:val="single" w:color="auto" w:sz="4" w:space="0"/>
              <w:left w:val="single" w:color="auto" w:sz="4" w:space="0"/>
              <w:bottom w:val="single" w:color="auto" w:sz="4" w:space="0"/>
              <w:right w:val="single" w:color="auto" w:sz="4" w:space="0"/>
            </w:tcBorders>
            <w:vAlign w:val="center"/>
          </w:tcPr>
          <w:p w14:paraId="27CA3B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14:paraId="5CAB06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vAlign w:val="center"/>
          </w:tcPr>
          <w:p w14:paraId="6755FE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851" w:type="dxa"/>
            <w:tcBorders>
              <w:top w:val="single" w:color="auto" w:sz="4" w:space="0"/>
              <w:left w:val="single" w:color="auto" w:sz="4" w:space="0"/>
              <w:bottom w:val="single" w:color="auto" w:sz="4" w:space="0"/>
              <w:right w:val="single" w:color="auto" w:sz="4" w:space="0"/>
            </w:tcBorders>
            <w:vAlign w:val="center"/>
          </w:tcPr>
          <w:p w14:paraId="4D2D2C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646" w:type="dxa"/>
            <w:tcBorders>
              <w:top w:val="single" w:color="auto" w:sz="4" w:space="0"/>
              <w:left w:val="single" w:color="auto" w:sz="4" w:space="0"/>
              <w:bottom w:val="single" w:color="auto" w:sz="4" w:space="0"/>
              <w:right w:val="single" w:color="auto" w:sz="4" w:space="0"/>
            </w:tcBorders>
            <w:vAlign w:val="center"/>
          </w:tcPr>
          <w:p w14:paraId="44F540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630" w:type="dxa"/>
            <w:tcBorders>
              <w:top w:val="single" w:color="auto" w:sz="4" w:space="0"/>
              <w:left w:val="single" w:color="auto" w:sz="4" w:space="0"/>
              <w:bottom w:val="single" w:color="auto" w:sz="4" w:space="0"/>
              <w:right w:val="single" w:color="auto" w:sz="4" w:space="0"/>
            </w:tcBorders>
            <w:vAlign w:val="center"/>
          </w:tcPr>
          <w:p w14:paraId="12B1A0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709" w:type="dxa"/>
            <w:tcBorders>
              <w:top w:val="single" w:color="auto" w:sz="4" w:space="0"/>
              <w:left w:val="single" w:color="auto" w:sz="4" w:space="0"/>
              <w:bottom w:val="single" w:color="auto" w:sz="4" w:space="0"/>
              <w:right w:val="single" w:color="auto" w:sz="4" w:space="0"/>
            </w:tcBorders>
            <w:vAlign w:val="center"/>
          </w:tcPr>
          <w:p w14:paraId="50420A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08" w:type="dxa"/>
            <w:tcBorders>
              <w:top w:val="single" w:color="auto" w:sz="4" w:space="0"/>
              <w:left w:val="single" w:color="auto" w:sz="4" w:space="0"/>
              <w:bottom w:val="single" w:color="auto" w:sz="4" w:space="0"/>
              <w:right w:val="single" w:color="auto" w:sz="4" w:space="0"/>
            </w:tcBorders>
            <w:vAlign w:val="center"/>
          </w:tcPr>
          <w:p w14:paraId="59A568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75C32D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3DC11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101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BF24F85">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FF384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14:paraId="5279BB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single" w:color="auto" w:sz="4" w:space="0"/>
              <w:left w:val="single" w:color="auto" w:sz="4" w:space="0"/>
              <w:bottom w:val="single" w:color="auto" w:sz="4" w:space="0"/>
              <w:right w:val="single" w:color="auto" w:sz="4" w:space="0"/>
            </w:tcBorders>
            <w:vAlign w:val="center"/>
          </w:tcPr>
          <w:p w14:paraId="7E2FF3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851" w:type="dxa"/>
            <w:tcBorders>
              <w:top w:val="single" w:color="auto" w:sz="4" w:space="0"/>
              <w:left w:val="single" w:color="auto" w:sz="4" w:space="0"/>
              <w:bottom w:val="single" w:color="auto" w:sz="4" w:space="0"/>
              <w:right w:val="single" w:color="auto" w:sz="4" w:space="0"/>
            </w:tcBorders>
            <w:vAlign w:val="center"/>
          </w:tcPr>
          <w:p w14:paraId="7E43F2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41D5F4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6ACC1F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9702AF6">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798186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709" w:type="dxa"/>
            <w:tcBorders>
              <w:top w:val="single" w:color="auto" w:sz="4" w:space="0"/>
              <w:left w:val="single" w:color="auto" w:sz="4" w:space="0"/>
              <w:bottom w:val="single" w:color="auto" w:sz="4" w:space="0"/>
              <w:right w:val="single" w:color="auto" w:sz="4" w:space="0"/>
            </w:tcBorders>
            <w:vAlign w:val="center"/>
          </w:tcPr>
          <w:p w14:paraId="3723F5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71E0B75">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408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CED9200">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DCAEF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1C5ACF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33ED82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851" w:type="dxa"/>
            <w:tcBorders>
              <w:top w:val="single" w:color="auto" w:sz="4" w:space="0"/>
              <w:left w:val="single" w:color="auto" w:sz="4" w:space="0"/>
              <w:bottom w:val="single" w:color="auto" w:sz="4" w:space="0"/>
              <w:right w:val="single" w:color="auto" w:sz="4" w:space="0"/>
            </w:tcBorders>
            <w:vAlign w:val="center"/>
          </w:tcPr>
          <w:p w14:paraId="1D19BD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205DD4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7C18B4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7901AF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761B74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709" w:type="dxa"/>
            <w:tcBorders>
              <w:top w:val="single" w:color="auto" w:sz="4" w:space="0"/>
              <w:left w:val="single" w:color="auto" w:sz="4" w:space="0"/>
              <w:bottom w:val="single" w:color="auto" w:sz="4" w:space="0"/>
              <w:right w:val="single" w:color="auto" w:sz="4" w:space="0"/>
            </w:tcBorders>
            <w:vAlign w:val="center"/>
          </w:tcPr>
          <w:p w14:paraId="11BD67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7A33B96">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7B5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75D01FA">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0611D6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5CD4C5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267813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2DAE62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6" w:type="dxa"/>
            <w:tcBorders>
              <w:top w:val="single" w:color="auto" w:sz="4" w:space="0"/>
              <w:left w:val="single" w:color="auto" w:sz="4" w:space="0"/>
              <w:bottom w:val="single" w:color="auto" w:sz="4" w:space="0"/>
              <w:right w:val="single" w:color="auto" w:sz="4" w:space="0"/>
            </w:tcBorders>
            <w:vAlign w:val="center"/>
          </w:tcPr>
          <w:p w14:paraId="46F563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single" w:color="auto" w:sz="4" w:space="0"/>
              <w:left w:val="single" w:color="auto" w:sz="4" w:space="0"/>
              <w:bottom w:val="single" w:color="auto" w:sz="4" w:space="0"/>
              <w:right w:val="single" w:color="auto" w:sz="4" w:space="0"/>
            </w:tcBorders>
            <w:vAlign w:val="center"/>
          </w:tcPr>
          <w:p w14:paraId="74B79F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2F6F1B66">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60408B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1CBB20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629D60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2C7E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4" w:type="dxa"/>
            <w:gridSpan w:val="8"/>
            <w:tcBorders>
              <w:top w:val="single" w:color="auto" w:sz="4" w:space="0"/>
              <w:left w:val="single" w:color="auto" w:sz="4" w:space="0"/>
              <w:bottom w:val="single" w:color="auto" w:sz="4" w:space="0"/>
              <w:right w:val="single" w:color="auto" w:sz="4" w:space="0"/>
            </w:tcBorders>
            <w:vAlign w:val="center"/>
          </w:tcPr>
          <w:p w14:paraId="2AA92E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08" w:type="dxa"/>
            <w:tcBorders>
              <w:top w:val="single" w:color="auto" w:sz="4" w:space="0"/>
              <w:left w:val="single" w:color="auto" w:sz="4" w:space="0"/>
              <w:bottom w:val="single" w:color="auto" w:sz="4" w:space="0"/>
              <w:right w:val="single" w:color="auto" w:sz="4" w:space="0"/>
            </w:tcBorders>
            <w:vAlign w:val="center"/>
          </w:tcPr>
          <w:p w14:paraId="7420D3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709" w:type="dxa"/>
            <w:tcBorders>
              <w:top w:val="single" w:color="auto" w:sz="4" w:space="0"/>
              <w:left w:val="single" w:color="auto" w:sz="4" w:space="0"/>
              <w:bottom w:val="single" w:color="auto" w:sz="4" w:space="0"/>
              <w:right w:val="single" w:color="auto" w:sz="4" w:space="0"/>
            </w:tcBorders>
            <w:vAlign w:val="center"/>
          </w:tcPr>
          <w:p w14:paraId="05F54B61">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99F554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7594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F397C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01747F89">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xml:space="preserve"> 该项目年初预算0万元，调整后预算2.46万元，预算执行数2.46万元，预算执行率100%，项目产出、效果等均符合预期，自评得100分。</w:t>
            </w:r>
          </w:p>
        </w:tc>
      </w:tr>
      <w:tr w14:paraId="5975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0F506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0E79298A">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A55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139D0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680E1D3D">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FFE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9" w:type="dxa"/>
            <w:gridSpan w:val="5"/>
            <w:tcBorders>
              <w:top w:val="single" w:color="auto" w:sz="4" w:space="0"/>
              <w:left w:val="single" w:color="auto" w:sz="4" w:space="0"/>
              <w:bottom w:val="single" w:color="auto" w:sz="4" w:space="0"/>
              <w:right w:val="single" w:color="auto" w:sz="4" w:space="0"/>
            </w:tcBorders>
            <w:vAlign w:val="center"/>
          </w:tcPr>
          <w:p w14:paraId="43EEFA28">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项目负责人：何彬</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3C00FC4A">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财务负责人：黄府成</w:t>
            </w:r>
          </w:p>
        </w:tc>
      </w:tr>
      <w:tr w14:paraId="15670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E78559A">
            <w:pPr>
              <w:widowControl/>
              <w:jc w:val="left"/>
              <w:rPr>
                <w:rFonts w:hint="eastAsia" w:ascii="黑体" w:hAnsi="黑体" w:eastAsia="黑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091E3ED">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6A9161C">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21160F71">
            <w:pPr>
              <w:widowControl/>
              <w:jc w:val="left"/>
              <w:rPr>
                <w:rFonts w:eastAsia="Times New Roman"/>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4E27FA04">
            <w:pPr>
              <w:widowControl/>
              <w:jc w:val="left"/>
              <w:rPr>
                <w:rFonts w:eastAsia="Times New Roman"/>
                <w:kern w:val="0"/>
                <w:sz w:val="20"/>
                <w:szCs w:val="20"/>
              </w:rPr>
            </w:pPr>
          </w:p>
        </w:tc>
        <w:tc>
          <w:tcPr>
            <w:tcW w:w="646" w:type="dxa"/>
            <w:tcBorders>
              <w:top w:val="single" w:color="auto" w:sz="4" w:space="0"/>
              <w:left w:val="single" w:color="auto" w:sz="4" w:space="0"/>
              <w:bottom w:val="single" w:color="auto" w:sz="4" w:space="0"/>
              <w:right w:val="single" w:color="auto" w:sz="4" w:space="0"/>
            </w:tcBorders>
            <w:vAlign w:val="center"/>
          </w:tcPr>
          <w:p w14:paraId="193F45EA">
            <w:pPr>
              <w:widowControl/>
              <w:jc w:val="left"/>
              <w:rPr>
                <w:rFonts w:eastAsia="Times New Roman"/>
                <w:kern w:val="0"/>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14:paraId="610DAAC7">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5666431B">
            <w:pPr>
              <w:widowControl/>
              <w:jc w:val="left"/>
              <w:rPr>
                <w:rFonts w:eastAsia="Times New Roman"/>
                <w:kern w:val="0"/>
                <w:sz w:val="2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5F743F76">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0E919C67">
            <w:pPr>
              <w:widowControl/>
              <w:jc w:val="left"/>
              <w:rPr>
                <w:rFonts w:eastAsia="Times New Roman"/>
                <w:kern w:val="0"/>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DEF2527">
            <w:pPr>
              <w:widowControl/>
              <w:jc w:val="left"/>
              <w:rPr>
                <w:rFonts w:eastAsia="Times New Roman"/>
                <w:kern w:val="0"/>
                <w:sz w:val="20"/>
                <w:szCs w:val="20"/>
              </w:rPr>
            </w:pPr>
          </w:p>
        </w:tc>
      </w:tr>
      <w:tr w14:paraId="69A0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9923" w:type="dxa"/>
            <w:gridSpan w:val="12"/>
            <w:tcBorders>
              <w:top w:val="single" w:color="auto" w:sz="4" w:space="0"/>
              <w:left w:val="single" w:color="auto" w:sz="4" w:space="0"/>
              <w:bottom w:val="single" w:color="auto" w:sz="4" w:space="0"/>
              <w:right w:val="single" w:color="auto" w:sz="4" w:space="0"/>
            </w:tcBorders>
            <w:vAlign w:val="center"/>
          </w:tcPr>
          <w:p w14:paraId="2832B95C">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6C686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5D3B395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1B1EF02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51090422T000007203223-校舍维修</w:t>
            </w:r>
          </w:p>
        </w:tc>
      </w:tr>
      <w:tr w14:paraId="161E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4475E38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77DE1BF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四川省遂宁市西眉中学部门</w:t>
            </w:r>
          </w:p>
        </w:tc>
        <w:tc>
          <w:tcPr>
            <w:tcW w:w="709" w:type="dxa"/>
            <w:tcBorders>
              <w:top w:val="single" w:color="auto" w:sz="4" w:space="0"/>
              <w:left w:val="single" w:color="auto" w:sz="4" w:space="0"/>
              <w:bottom w:val="single" w:color="auto" w:sz="4" w:space="0"/>
              <w:right w:val="single" w:color="auto" w:sz="4" w:space="0"/>
            </w:tcBorders>
            <w:vAlign w:val="center"/>
          </w:tcPr>
          <w:p w14:paraId="07A3CDD0">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076A31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w:t>
            </w:r>
          </w:p>
        </w:tc>
      </w:tr>
      <w:tr w14:paraId="75A3A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72877C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3A93D5E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09B565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085C7E5A">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641B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52E20579">
            <w:pPr>
              <w:widowControl/>
              <w:jc w:val="left"/>
              <w:rPr>
                <w:rFonts w:hint="eastAsia" w:ascii="宋体" w:hAnsi="宋体" w:cs="宋体"/>
                <w:color w:val="000000"/>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2E6526E">
            <w:pPr>
              <w:widowControl/>
              <w:jc w:val="left"/>
              <w:rPr>
                <w:rFonts w:hint="eastAsia" w:ascii="宋体" w:hAnsi="宋体" w:cs="宋体"/>
                <w:color w:val="000000"/>
                <w:kern w:val="0"/>
                <w:sz w:val="18"/>
                <w:szCs w:val="18"/>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778429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年内完成校舍屋顶防水、墙面翻新、门窗维修，消除安全隐患，保障师生使用安全，提升校舍整体外观与功能，满足正常教学及活动需求。</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0F8B3AF9">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已完成屋顶防水 200㎡、墙面翻新 800㎡、门窗维修 50 套，安全隐患全部排除，校舍外观整洁，功能完善，可正常保障教学与师生活动开展。</w:t>
            </w:r>
          </w:p>
        </w:tc>
      </w:tr>
      <w:tr w14:paraId="7BD0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70AEA0E0">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77BDB89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2E57510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先排查校舍问题，制定维修方案；再采购材料，委托专业团队施工；过程中监督质量与安全，完工后组织验收，确保维修符合标准。</w:t>
            </w:r>
          </w:p>
        </w:tc>
      </w:tr>
      <w:tr w14:paraId="6DBE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677BCC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59" w:type="dxa"/>
            <w:tcBorders>
              <w:top w:val="single" w:color="auto" w:sz="4" w:space="0"/>
              <w:left w:val="single" w:color="auto" w:sz="4" w:space="0"/>
              <w:bottom w:val="single" w:color="auto" w:sz="4" w:space="0"/>
              <w:right w:val="single" w:color="auto" w:sz="4" w:space="0"/>
            </w:tcBorders>
            <w:vAlign w:val="center"/>
          </w:tcPr>
          <w:p w14:paraId="37D629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4" w:type="dxa"/>
            <w:tcBorders>
              <w:top w:val="single" w:color="auto" w:sz="4" w:space="0"/>
              <w:left w:val="single" w:color="auto" w:sz="4" w:space="0"/>
              <w:bottom w:val="single" w:color="auto" w:sz="4" w:space="0"/>
              <w:right w:val="single" w:color="auto" w:sz="4" w:space="0"/>
            </w:tcBorders>
            <w:vAlign w:val="center"/>
          </w:tcPr>
          <w:p w14:paraId="65CBFB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134" w:type="dxa"/>
            <w:tcBorders>
              <w:top w:val="single" w:color="auto" w:sz="4" w:space="0"/>
              <w:left w:val="single" w:color="auto" w:sz="4" w:space="0"/>
              <w:bottom w:val="single" w:color="auto" w:sz="4" w:space="0"/>
              <w:right w:val="single" w:color="auto" w:sz="4" w:space="0"/>
            </w:tcBorders>
            <w:vAlign w:val="center"/>
          </w:tcPr>
          <w:p w14:paraId="38683C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09EE2A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709" w:type="dxa"/>
            <w:tcBorders>
              <w:top w:val="single" w:color="auto" w:sz="4" w:space="0"/>
              <w:left w:val="single" w:color="auto" w:sz="4" w:space="0"/>
              <w:bottom w:val="single" w:color="auto" w:sz="4" w:space="0"/>
              <w:right w:val="single" w:color="auto" w:sz="4" w:space="0"/>
            </w:tcBorders>
            <w:vAlign w:val="center"/>
          </w:tcPr>
          <w:p w14:paraId="4FC4A6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08" w:type="dxa"/>
            <w:tcBorders>
              <w:top w:val="single" w:color="auto" w:sz="4" w:space="0"/>
              <w:left w:val="single" w:color="auto" w:sz="4" w:space="0"/>
              <w:bottom w:val="single" w:color="auto" w:sz="4" w:space="0"/>
              <w:right w:val="single" w:color="auto" w:sz="4" w:space="0"/>
            </w:tcBorders>
            <w:vAlign w:val="center"/>
          </w:tcPr>
          <w:p w14:paraId="011BB4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1A9F3A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3A0A9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0F09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3C735F5">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CAF76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134" w:type="dxa"/>
            <w:tcBorders>
              <w:top w:val="single" w:color="auto" w:sz="4" w:space="0"/>
              <w:left w:val="single" w:color="auto" w:sz="4" w:space="0"/>
              <w:bottom w:val="single" w:color="auto" w:sz="4" w:space="0"/>
              <w:right w:val="single" w:color="auto" w:sz="4" w:space="0"/>
            </w:tcBorders>
            <w:vAlign w:val="center"/>
          </w:tcPr>
          <w:p w14:paraId="23B62B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1F285B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326B1C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29.50</w:t>
            </w:r>
          </w:p>
        </w:tc>
        <w:tc>
          <w:tcPr>
            <w:tcW w:w="709" w:type="dxa"/>
            <w:tcBorders>
              <w:top w:val="single" w:color="auto" w:sz="4" w:space="0"/>
              <w:left w:val="single" w:color="auto" w:sz="4" w:space="0"/>
              <w:bottom w:val="single" w:color="auto" w:sz="4" w:space="0"/>
              <w:right w:val="single" w:color="auto" w:sz="4" w:space="0"/>
            </w:tcBorders>
            <w:vAlign w:val="center"/>
          </w:tcPr>
          <w:p w14:paraId="454E95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84.29%</w:t>
            </w:r>
          </w:p>
        </w:tc>
        <w:tc>
          <w:tcPr>
            <w:tcW w:w="708" w:type="dxa"/>
            <w:tcBorders>
              <w:top w:val="single" w:color="auto" w:sz="4" w:space="0"/>
              <w:left w:val="single" w:color="auto" w:sz="4" w:space="0"/>
              <w:bottom w:val="single" w:color="auto" w:sz="4" w:space="0"/>
              <w:right w:val="single" w:color="auto" w:sz="4" w:space="0"/>
            </w:tcBorders>
            <w:vAlign w:val="center"/>
          </w:tcPr>
          <w:p w14:paraId="2A77C1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14:paraId="7AC15C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14:paraId="6FD278C6">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未完成验收资料，支付进度低</w:t>
            </w:r>
          </w:p>
        </w:tc>
      </w:tr>
      <w:tr w14:paraId="22DE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FDDC9CB">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A3D23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134" w:type="dxa"/>
            <w:tcBorders>
              <w:top w:val="single" w:color="auto" w:sz="4" w:space="0"/>
              <w:left w:val="single" w:color="auto" w:sz="4" w:space="0"/>
              <w:bottom w:val="single" w:color="auto" w:sz="4" w:space="0"/>
              <w:right w:val="single" w:color="auto" w:sz="4" w:space="0"/>
            </w:tcBorders>
            <w:vAlign w:val="center"/>
          </w:tcPr>
          <w:p w14:paraId="585086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467B2D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35.00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767BB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29.50</w:t>
            </w:r>
          </w:p>
        </w:tc>
        <w:tc>
          <w:tcPr>
            <w:tcW w:w="709" w:type="dxa"/>
            <w:tcBorders>
              <w:top w:val="single" w:color="auto" w:sz="4" w:space="0"/>
              <w:left w:val="single" w:color="auto" w:sz="4" w:space="0"/>
              <w:bottom w:val="single" w:color="auto" w:sz="4" w:space="0"/>
              <w:right w:val="single" w:color="auto" w:sz="4" w:space="0"/>
            </w:tcBorders>
            <w:vAlign w:val="center"/>
          </w:tcPr>
          <w:p w14:paraId="1C48EB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84.29%</w:t>
            </w:r>
          </w:p>
        </w:tc>
        <w:tc>
          <w:tcPr>
            <w:tcW w:w="708" w:type="dxa"/>
            <w:tcBorders>
              <w:top w:val="single" w:color="auto" w:sz="4" w:space="0"/>
              <w:left w:val="single" w:color="auto" w:sz="4" w:space="0"/>
              <w:bottom w:val="single" w:color="auto" w:sz="4" w:space="0"/>
              <w:right w:val="single" w:color="auto" w:sz="4" w:space="0"/>
            </w:tcBorders>
            <w:vAlign w:val="center"/>
          </w:tcPr>
          <w:p w14:paraId="2709C1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E462C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3884C5A4">
            <w:pPr>
              <w:widowControl/>
              <w:jc w:val="left"/>
              <w:rPr>
                <w:rFonts w:hint="eastAsia" w:ascii="黑体" w:hAnsi="黑体" w:eastAsia="黑体" w:cs="宋体"/>
                <w:i/>
                <w:iCs/>
                <w:color w:val="000000"/>
                <w:kern w:val="0"/>
                <w:sz w:val="18"/>
                <w:szCs w:val="18"/>
              </w:rPr>
            </w:pPr>
          </w:p>
        </w:tc>
      </w:tr>
      <w:tr w14:paraId="2289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0422A9F">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EFD9D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4" w:type="dxa"/>
            <w:tcBorders>
              <w:top w:val="single" w:color="auto" w:sz="4" w:space="0"/>
              <w:left w:val="single" w:color="auto" w:sz="4" w:space="0"/>
              <w:bottom w:val="single" w:color="auto" w:sz="4" w:space="0"/>
              <w:right w:val="single" w:color="auto" w:sz="4" w:space="0"/>
            </w:tcBorders>
            <w:vAlign w:val="center"/>
          </w:tcPr>
          <w:p w14:paraId="2F7342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2D6FC3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90D46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24C0E0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48F9E7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7FAE8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0D819C2E">
            <w:pPr>
              <w:widowControl/>
              <w:jc w:val="left"/>
              <w:rPr>
                <w:rFonts w:hint="eastAsia" w:ascii="黑体" w:hAnsi="黑体" w:eastAsia="黑体" w:cs="宋体"/>
                <w:i/>
                <w:iCs/>
                <w:color w:val="000000"/>
                <w:kern w:val="0"/>
                <w:sz w:val="18"/>
                <w:szCs w:val="18"/>
              </w:rPr>
            </w:pPr>
          </w:p>
        </w:tc>
      </w:tr>
      <w:tr w14:paraId="1B4E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7C1924A">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1B649A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134" w:type="dxa"/>
            <w:tcBorders>
              <w:top w:val="single" w:color="auto" w:sz="4" w:space="0"/>
              <w:left w:val="single" w:color="auto" w:sz="4" w:space="0"/>
              <w:bottom w:val="single" w:color="auto" w:sz="4" w:space="0"/>
              <w:right w:val="single" w:color="auto" w:sz="4" w:space="0"/>
            </w:tcBorders>
            <w:vAlign w:val="center"/>
          </w:tcPr>
          <w:p w14:paraId="77699C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287B56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736460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4340EFC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3249F2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827BC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6C3E13EF">
            <w:pPr>
              <w:widowControl/>
              <w:jc w:val="left"/>
              <w:rPr>
                <w:rFonts w:hint="eastAsia" w:ascii="黑体" w:hAnsi="黑体" w:eastAsia="黑体" w:cs="宋体"/>
                <w:i/>
                <w:iCs/>
                <w:color w:val="000000"/>
                <w:kern w:val="0"/>
                <w:sz w:val="18"/>
                <w:szCs w:val="18"/>
              </w:rPr>
            </w:pPr>
          </w:p>
        </w:tc>
      </w:tr>
      <w:tr w14:paraId="19FD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E3F81D4">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1C1A71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single" w:color="auto" w:sz="4" w:space="0"/>
              <w:left w:val="single" w:color="auto" w:sz="4" w:space="0"/>
              <w:bottom w:val="single" w:color="auto" w:sz="4" w:space="0"/>
              <w:right w:val="single" w:color="auto" w:sz="4" w:space="0"/>
            </w:tcBorders>
            <w:vAlign w:val="center"/>
          </w:tcPr>
          <w:p w14:paraId="788A1620">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tcBorders>
              <w:top w:val="single" w:color="auto" w:sz="4" w:space="0"/>
              <w:left w:val="single" w:color="auto" w:sz="4" w:space="0"/>
              <w:bottom w:val="single" w:color="auto" w:sz="4" w:space="0"/>
              <w:right w:val="single" w:color="auto" w:sz="4" w:space="0"/>
            </w:tcBorders>
            <w:vAlign w:val="center"/>
          </w:tcPr>
          <w:p w14:paraId="146E8F94">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642E14A1">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7348DF0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4C2631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0E860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6C6B1091">
            <w:pPr>
              <w:widowControl/>
              <w:jc w:val="left"/>
              <w:rPr>
                <w:rFonts w:hint="eastAsia" w:ascii="黑体" w:hAnsi="黑体" w:eastAsia="黑体" w:cs="宋体"/>
                <w:i/>
                <w:iCs/>
                <w:color w:val="000000"/>
                <w:kern w:val="0"/>
                <w:sz w:val="18"/>
                <w:szCs w:val="18"/>
              </w:rPr>
            </w:pPr>
          </w:p>
        </w:tc>
      </w:tr>
      <w:tr w14:paraId="3B0B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5908A2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559" w:type="dxa"/>
            <w:tcBorders>
              <w:top w:val="single" w:color="auto" w:sz="4" w:space="0"/>
              <w:left w:val="single" w:color="auto" w:sz="4" w:space="0"/>
              <w:bottom w:val="single" w:color="auto" w:sz="4" w:space="0"/>
              <w:right w:val="single" w:color="auto" w:sz="4" w:space="0"/>
            </w:tcBorders>
            <w:vAlign w:val="center"/>
          </w:tcPr>
          <w:p w14:paraId="68C5BD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14:paraId="15677C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vAlign w:val="center"/>
          </w:tcPr>
          <w:p w14:paraId="624716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851" w:type="dxa"/>
            <w:tcBorders>
              <w:top w:val="single" w:color="auto" w:sz="4" w:space="0"/>
              <w:left w:val="single" w:color="auto" w:sz="4" w:space="0"/>
              <w:bottom w:val="single" w:color="auto" w:sz="4" w:space="0"/>
              <w:right w:val="single" w:color="auto" w:sz="4" w:space="0"/>
            </w:tcBorders>
            <w:vAlign w:val="center"/>
          </w:tcPr>
          <w:p w14:paraId="34A95A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646" w:type="dxa"/>
            <w:tcBorders>
              <w:top w:val="single" w:color="auto" w:sz="4" w:space="0"/>
              <w:left w:val="single" w:color="auto" w:sz="4" w:space="0"/>
              <w:bottom w:val="single" w:color="auto" w:sz="4" w:space="0"/>
              <w:right w:val="single" w:color="auto" w:sz="4" w:space="0"/>
            </w:tcBorders>
            <w:vAlign w:val="center"/>
          </w:tcPr>
          <w:p w14:paraId="247DB3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630" w:type="dxa"/>
            <w:tcBorders>
              <w:top w:val="single" w:color="auto" w:sz="4" w:space="0"/>
              <w:left w:val="single" w:color="auto" w:sz="4" w:space="0"/>
              <w:bottom w:val="single" w:color="auto" w:sz="4" w:space="0"/>
              <w:right w:val="single" w:color="auto" w:sz="4" w:space="0"/>
            </w:tcBorders>
            <w:vAlign w:val="center"/>
          </w:tcPr>
          <w:p w14:paraId="69F9E3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709" w:type="dxa"/>
            <w:tcBorders>
              <w:top w:val="single" w:color="auto" w:sz="4" w:space="0"/>
              <w:left w:val="single" w:color="auto" w:sz="4" w:space="0"/>
              <w:bottom w:val="single" w:color="auto" w:sz="4" w:space="0"/>
              <w:right w:val="single" w:color="auto" w:sz="4" w:space="0"/>
            </w:tcBorders>
            <w:vAlign w:val="center"/>
          </w:tcPr>
          <w:p w14:paraId="34AFC6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08" w:type="dxa"/>
            <w:tcBorders>
              <w:top w:val="single" w:color="auto" w:sz="4" w:space="0"/>
              <w:left w:val="single" w:color="auto" w:sz="4" w:space="0"/>
              <w:bottom w:val="single" w:color="auto" w:sz="4" w:space="0"/>
              <w:right w:val="single" w:color="auto" w:sz="4" w:space="0"/>
            </w:tcBorders>
            <w:vAlign w:val="center"/>
          </w:tcPr>
          <w:p w14:paraId="612B69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4632FC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15A50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1002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570EF5D0">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472565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14:paraId="3D8B73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single" w:color="auto" w:sz="4" w:space="0"/>
              <w:left w:val="single" w:color="auto" w:sz="4" w:space="0"/>
              <w:bottom w:val="single" w:color="auto" w:sz="4" w:space="0"/>
              <w:right w:val="single" w:color="auto" w:sz="4" w:space="0"/>
            </w:tcBorders>
            <w:vAlign w:val="center"/>
          </w:tcPr>
          <w:p w14:paraId="266C44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851" w:type="dxa"/>
            <w:tcBorders>
              <w:top w:val="single" w:color="auto" w:sz="4" w:space="0"/>
              <w:left w:val="single" w:color="auto" w:sz="4" w:space="0"/>
              <w:bottom w:val="single" w:color="auto" w:sz="4" w:space="0"/>
              <w:right w:val="single" w:color="auto" w:sz="4" w:space="0"/>
            </w:tcBorders>
            <w:vAlign w:val="center"/>
          </w:tcPr>
          <w:p w14:paraId="4CF7AC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197D72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35B2C6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02E089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7C8EE2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709" w:type="dxa"/>
            <w:tcBorders>
              <w:top w:val="single" w:color="auto" w:sz="4" w:space="0"/>
              <w:left w:val="single" w:color="auto" w:sz="4" w:space="0"/>
              <w:bottom w:val="single" w:color="auto" w:sz="4" w:space="0"/>
              <w:right w:val="single" w:color="auto" w:sz="4" w:space="0"/>
            </w:tcBorders>
            <w:vAlign w:val="center"/>
          </w:tcPr>
          <w:p w14:paraId="2B373B5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185059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502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5B30E0A">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72D474E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52ED2F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5EEDB9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851" w:type="dxa"/>
            <w:tcBorders>
              <w:top w:val="single" w:color="auto" w:sz="4" w:space="0"/>
              <w:left w:val="single" w:color="auto" w:sz="4" w:space="0"/>
              <w:bottom w:val="single" w:color="auto" w:sz="4" w:space="0"/>
              <w:right w:val="single" w:color="auto" w:sz="4" w:space="0"/>
            </w:tcBorders>
            <w:vAlign w:val="center"/>
          </w:tcPr>
          <w:p w14:paraId="7779C1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414A4B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5EEDF9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AC0AC6B">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16DE8C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709" w:type="dxa"/>
            <w:tcBorders>
              <w:top w:val="single" w:color="auto" w:sz="4" w:space="0"/>
              <w:left w:val="single" w:color="auto" w:sz="4" w:space="0"/>
              <w:bottom w:val="single" w:color="auto" w:sz="4" w:space="0"/>
              <w:right w:val="single" w:color="auto" w:sz="4" w:space="0"/>
            </w:tcBorders>
            <w:vAlign w:val="center"/>
          </w:tcPr>
          <w:p w14:paraId="58FA14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0346FE3">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160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9E8C46A">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0C856C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54D934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252768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5AE753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6" w:type="dxa"/>
            <w:tcBorders>
              <w:top w:val="single" w:color="auto" w:sz="4" w:space="0"/>
              <w:left w:val="single" w:color="auto" w:sz="4" w:space="0"/>
              <w:bottom w:val="single" w:color="auto" w:sz="4" w:space="0"/>
              <w:right w:val="single" w:color="auto" w:sz="4" w:space="0"/>
            </w:tcBorders>
            <w:vAlign w:val="center"/>
          </w:tcPr>
          <w:p w14:paraId="568ADE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single" w:color="auto" w:sz="4" w:space="0"/>
              <w:left w:val="single" w:color="auto" w:sz="4" w:space="0"/>
              <w:bottom w:val="single" w:color="auto" w:sz="4" w:space="0"/>
              <w:right w:val="single" w:color="auto" w:sz="4" w:space="0"/>
            </w:tcBorders>
            <w:vAlign w:val="center"/>
          </w:tcPr>
          <w:p w14:paraId="3985BA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7F08FAFD">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04613F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3E5E86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E4C7FED">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A05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4" w:type="dxa"/>
            <w:gridSpan w:val="8"/>
            <w:tcBorders>
              <w:top w:val="single" w:color="auto" w:sz="4" w:space="0"/>
              <w:left w:val="single" w:color="auto" w:sz="4" w:space="0"/>
              <w:bottom w:val="single" w:color="auto" w:sz="4" w:space="0"/>
              <w:right w:val="single" w:color="auto" w:sz="4" w:space="0"/>
            </w:tcBorders>
            <w:vAlign w:val="center"/>
          </w:tcPr>
          <w:p w14:paraId="0E1FD2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08" w:type="dxa"/>
            <w:tcBorders>
              <w:top w:val="single" w:color="auto" w:sz="4" w:space="0"/>
              <w:left w:val="single" w:color="auto" w:sz="4" w:space="0"/>
              <w:bottom w:val="single" w:color="auto" w:sz="4" w:space="0"/>
              <w:right w:val="single" w:color="auto" w:sz="4" w:space="0"/>
            </w:tcBorders>
            <w:vAlign w:val="center"/>
          </w:tcPr>
          <w:p w14:paraId="367C25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709" w:type="dxa"/>
            <w:tcBorders>
              <w:top w:val="single" w:color="auto" w:sz="4" w:space="0"/>
              <w:left w:val="single" w:color="auto" w:sz="4" w:space="0"/>
              <w:bottom w:val="single" w:color="auto" w:sz="4" w:space="0"/>
              <w:right w:val="single" w:color="auto" w:sz="4" w:space="0"/>
            </w:tcBorders>
            <w:vAlign w:val="center"/>
          </w:tcPr>
          <w:p w14:paraId="17B66572">
            <w:pPr>
              <w:widowControl/>
              <w:jc w:val="right"/>
              <w:rPr>
                <w:rFonts w:hint="eastAsia" w:ascii="宋体" w:hAnsi="宋体" w:cs="宋体"/>
                <w:color w:val="000000"/>
                <w:kern w:val="0"/>
                <w:sz w:val="18"/>
                <w:szCs w:val="18"/>
              </w:rPr>
            </w:pPr>
            <w:r>
              <w:rPr>
                <w:rFonts w:hint="eastAsia" w:ascii="宋体" w:hAnsi="宋体" w:cs="宋体"/>
                <w:color w:val="000000"/>
                <w:kern w:val="0"/>
                <w:sz w:val="18"/>
                <w:szCs w:val="18"/>
              </w:rPr>
              <w:t>98</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9A8729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4C22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6B763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045A7C0B">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xml:space="preserve"> 该项目年初预算0万元，调整后预算35万元，预算执行数29.50万元，预算执行率84.29%，项目产出、效果等均符合预期，自评得98分。</w:t>
            </w:r>
          </w:p>
        </w:tc>
      </w:tr>
      <w:tr w14:paraId="1C937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30CE2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0A76C014">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未完成验收资料，支付进度低</w:t>
            </w:r>
          </w:p>
        </w:tc>
      </w:tr>
      <w:tr w14:paraId="0ECE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C2A27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4BE4B43B">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尽快完成资料，提高支付进度</w:t>
            </w:r>
          </w:p>
        </w:tc>
      </w:tr>
      <w:tr w14:paraId="7CB03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9" w:type="dxa"/>
            <w:gridSpan w:val="5"/>
            <w:tcBorders>
              <w:top w:val="single" w:color="auto" w:sz="4" w:space="0"/>
              <w:left w:val="single" w:color="auto" w:sz="4" w:space="0"/>
              <w:bottom w:val="single" w:color="auto" w:sz="4" w:space="0"/>
              <w:right w:val="single" w:color="auto" w:sz="4" w:space="0"/>
            </w:tcBorders>
            <w:vAlign w:val="center"/>
          </w:tcPr>
          <w:p w14:paraId="0B7CFFF2">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项目负责人：何彬</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5DB6A077">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财务负责人：黄府成</w:t>
            </w:r>
          </w:p>
        </w:tc>
      </w:tr>
      <w:tr w14:paraId="3C41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E4E0BC6">
            <w:pPr>
              <w:widowControl/>
              <w:jc w:val="left"/>
              <w:rPr>
                <w:rFonts w:hint="eastAsia" w:ascii="黑体" w:hAnsi="黑体" w:eastAsia="黑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9BE47AA">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011C0A37">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3DA9532D">
            <w:pPr>
              <w:widowControl/>
              <w:jc w:val="left"/>
              <w:rPr>
                <w:rFonts w:eastAsia="Times New Roman"/>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0CD87B3E">
            <w:pPr>
              <w:widowControl/>
              <w:jc w:val="left"/>
              <w:rPr>
                <w:rFonts w:eastAsia="Times New Roman"/>
                <w:kern w:val="0"/>
                <w:sz w:val="20"/>
                <w:szCs w:val="20"/>
              </w:rPr>
            </w:pPr>
          </w:p>
        </w:tc>
        <w:tc>
          <w:tcPr>
            <w:tcW w:w="646" w:type="dxa"/>
            <w:tcBorders>
              <w:top w:val="single" w:color="auto" w:sz="4" w:space="0"/>
              <w:left w:val="single" w:color="auto" w:sz="4" w:space="0"/>
              <w:bottom w:val="single" w:color="auto" w:sz="4" w:space="0"/>
              <w:right w:val="single" w:color="auto" w:sz="4" w:space="0"/>
            </w:tcBorders>
            <w:vAlign w:val="center"/>
          </w:tcPr>
          <w:p w14:paraId="5147D06A">
            <w:pPr>
              <w:widowControl/>
              <w:jc w:val="left"/>
              <w:rPr>
                <w:rFonts w:eastAsia="Times New Roman"/>
                <w:kern w:val="0"/>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14:paraId="0B7337E3">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03D9D5DD">
            <w:pPr>
              <w:widowControl/>
              <w:jc w:val="left"/>
              <w:rPr>
                <w:rFonts w:eastAsia="Times New Roman"/>
                <w:kern w:val="0"/>
                <w:sz w:val="2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31C219D2">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49D9FF10">
            <w:pPr>
              <w:widowControl/>
              <w:jc w:val="left"/>
              <w:rPr>
                <w:rFonts w:eastAsia="Times New Roman"/>
                <w:kern w:val="0"/>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DE47325">
            <w:pPr>
              <w:widowControl/>
              <w:jc w:val="left"/>
              <w:rPr>
                <w:rFonts w:eastAsia="Times New Roman"/>
                <w:kern w:val="0"/>
                <w:sz w:val="20"/>
                <w:szCs w:val="20"/>
              </w:rPr>
            </w:pPr>
          </w:p>
        </w:tc>
      </w:tr>
      <w:tr w14:paraId="5908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9923" w:type="dxa"/>
            <w:gridSpan w:val="12"/>
            <w:tcBorders>
              <w:top w:val="single" w:color="auto" w:sz="4" w:space="0"/>
              <w:left w:val="single" w:color="auto" w:sz="4" w:space="0"/>
              <w:bottom w:val="single" w:color="auto" w:sz="4" w:space="0"/>
              <w:right w:val="single" w:color="auto" w:sz="4" w:space="0"/>
            </w:tcBorders>
            <w:vAlign w:val="center"/>
          </w:tcPr>
          <w:p w14:paraId="761994BC">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B5E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2A3D7BF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2E9F2D3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51090423T000009602399-普通高中助学金</w:t>
            </w:r>
          </w:p>
        </w:tc>
      </w:tr>
      <w:tr w14:paraId="733E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3DA94D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24F00E7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四川省遂宁市西眉中学部门</w:t>
            </w:r>
          </w:p>
        </w:tc>
        <w:tc>
          <w:tcPr>
            <w:tcW w:w="709" w:type="dxa"/>
            <w:tcBorders>
              <w:top w:val="single" w:color="auto" w:sz="4" w:space="0"/>
              <w:left w:val="single" w:color="auto" w:sz="4" w:space="0"/>
              <w:bottom w:val="single" w:color="auto" w:sz="4" w:space="0"/>
              <w:right w:val="single" w:color="auto" w:sz="4" w:space="0"/>
            </w:tcBorders>
            <w:vAlign w:val="center"/>
          </w:tcPr>
          <w:p w14:paraId="4CE23095">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6AC3A0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w:t>
            </w:r>
          </w:p>
        </w:tc>
      </w:tr>
      <w:tr w14:paraId="6B8C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1EA392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50B3EAE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266941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4408C648">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50D9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1C1A71B">
            <w:pPr>
              <w:widowControl/>
              <w:jc w:val="left"/>
              <w:rPr>
                <w:rFonts w:hint="eastAsia" w:ascii="宋体" w:hAnsi="宋体" w:cs="宋体"/>
                <w:color w:val="000000"/>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D477F17">
            <w:pPr>
              <w:widowControl/>
              <w:jc w:val="left"/>
              <w:rPr>
                <w:rFonts w:hint="eastAsia" w:ascii="宋体" w:hAnsi="宋体" w:cs="宋体"/>
                <w:color w:val="000000"/>
                <w:kern w:val="0"/>
                <w:sz w:val="18"/>
                <w:szCs w:val="18"/>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403F434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本年度精准认定普通高中家庭经济困难学生，按政策标准发放助学金，确保应助尽助，缓解学生生活压力，助力其安心学习，顺利完成高中学业。</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4B637E1E">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足额发放助学金，资金全部到账，应助尽助目标顺利达成。</w:t>
            </w:r>
          </w:p>
        </w:tc>
      </w:tr>
      <w:tr w14:paraId="00FA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3FDD497">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8DEFA1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6155B3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组织学生提交申请及证明材料，经班级初审、学校复核公示后确定名单，通过银行转账将助学金发放至学生账户，全程留痕可查。</w:t>
            </w:r>
          </w:p>
        </w:tc>
      </w:tr>
      <w:tr w14:paraId="30362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48F323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59" w:type="dxa"/>
            <w:tcBorders>
              <w:top w:val="single" w:color="auto" w:sz="4" w:space="0"/>
              <w:left w:val="single" w:color="auto" w:sz="4" w:space="0"/>
              <w:bottom w:val="single" w:color="auto" w:sz="4" w:space="0"/>
              <w:right w:val="single" w:color="auto" w:sz="4" w:space="0"/>
            </w:tcBorders>
            <w:vAlign w:val="center"/>
          </w:tcPr>
          <w:p w14:paraId="5D68A9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4" w:type="dxa"/>
            <w:tcBorders>
              <w:top w:val="single" w:color="auto" w:sz="4" w:space="0"/>
              <w:left w:val="single" w:color="auto" w:sz="4" w:space="0"/>
              <w:bottom w:val="single" w:color="auto" w:sz="4" w:space="0"/>
              <w:right w:val="single" w:color="auto" w:sz="4" w:space="0"/>
            </w:tcBorders>
            <w:vAlign w:val="center"/>
          </w:tcPr>
          <w:p w14:paraId="16A1E5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134" w:type="dxa"/>
            <w:tcBorders>
              <w:top w:val="single" w:color="auto" w:sz="4" w:space="0"/>
              <w:left w:val="single" w:color="auto" w:sz="4" w:space="0"/>
              <w:bottom w:val="single" w:color="auto" w:sz="4" w:space="0"/>
              <w:right w:val="single" w:color="auto" w:sz="4" w:space="0"/>
            </w:tcBorders>
            <w:vAlign w:val="center"/>
          </w:tcPr>
          <w:p w14:paraId="79C55A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7E0F69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709" w:type="dxa"/>
            <w:tcBorders>
              <w:top w:val="single" w:color="auto" w:sz="4" w:space="0"/>
              <w:left w:val="single" w:color="auto" w:sz="4" w:space="0"/>
              <w:bottom w:val="single" w:color="auto" w:sz="4" w:space="0"/>
              <w:right w:val="single" w:color="auto" w:sz="4" w:space="0"/>
            </w:tcBorders>
            <w:vAlign w:val="center"/>
          </w:tcPr>
          <w:p w14:paraId="31A515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08" w:type="dxa"/>
            <w:tcBorders>
              <w:top w:val="single" w:color="auto" w:sz="4" w:space="0"/>
              <w:left w:val="single" w:color="auto" w:sz="4" w:space="0"/>
              <w:bottom w:val="single" w:color="auto" w:sz="4" w:space="0"/>
              <w:right w:val="single" w:color="auto" w:sz="4" w:space="0"/>
            </w:tcBorders>
            <w:vAlign w:val="center"/>
          </w:tcPr>
          <w:p w14:paraId="64DCDB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1FD71E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C523C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6652C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1F66815">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5B71C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134" w:type="dxa"/>
            <w:tcBorders>
              <w:top w:val="single" w:color="auto" w:sz="4" w:space="0"/>
              <w:left w:val="single" w:color="auto" w:sz="4" w:space="0"/>
              <w:bottom w:val="single" w:color="auto" w:sz="4" w:space="0"/>
              <w:right w:val="single" w:color="auto" w:sz="4" w:space="0"/>
            </w:tcBorders>
            <w:vAlign w:val="center"/>
          </w:tcPr>
          <w:p w14:paraId="16CA8C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63BBF0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101.55</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6152D3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101.55</w:t>
            </w:r>
          </w:p>
        </w:tc>
        <w:tc>
          <w:tcPr>
            <w:tcW w:w="709" w:type="dxa"/>
            <w:tcBorders>
              <w:top w:val="single" w:color="auto" w:sz="4" w:space="0"/>
              <w:left w:val="single" w:color="auto" w:sz="4" w:space="0"/>
              <w:bottom w:val="single" w:color="auto" w:sz="4" w:space="0"/>
              <w:right w:val="single" w:color="auto" w:sz="4" w:space="0"/>
            </w:tcBorders>
            <w:vAlign w:val="center"/>
          </w:tcPr>
          <w:p w14:paraId="334BD7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0E1ECB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14:paraId="70A712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14:paraId="5333923F">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无</w:t>
            </w:r>
          </w:p>
        </w:tc>
      </w:tr>
      <w:tr w14:paraId="1CC21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1D40299">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9E79C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134" w:type="dxa"/>
            <w:tcBorders>
              <w:top w:val="single" w:color="auto" w:sz="4" w:space="0"/>
              <w:left w:val="single" w:color="auto" w:sz="4" w:space="0"/>
              <w:bottom w:val="single" w:color="auto" w:sz="4" w:space="0"/>
              <w:right w:val="single" w:color="auto" w:sz="4" w:space="0"/>
            </w:tcBorders>
            <w:vAlign w:val="center"/>
          </w:tcPr>
          <w:p w14:paraId="3F8DAE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6049B1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101.55</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09FA10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101.55</w:t>
            </w:r>
          </w:p>
        </w:tc>
        <w:tc>
          <w:tcPr>
            <w:tcW w:w="709" w:type="dxa"/>
            <w:tcBorders>
              <w:top w:val="single" w:color="auto" w:sz="4" w:space="0"/>
              <w:left w:val="single" w:color="auto" w:sz="4" w:space="0"/>
              <w:bottom w:val="single" w:color="auto" w:sz="4" w:space="0"/>
              <w:right w:val="single" w:color="auto" w:sz="4" w:space="0"/>
            </w:tcBorders>
            <w:vAlign w:val="center"/>
          </w:tcPr>
          <w:p w14:paraId="43114A1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16121A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6D67BC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0F8F6D4B">
            <w:pPr>
              <w:widowControl/>
              <w:jc w:val="left"/>
              <w:rPr>
                <w:rFonts w:hint="eastAsia" w:ascii="黑体" w:hAnsi="黑体" w:eastAsia="黑体" w:cs="宋体"/>
                <w:i/>
                <w:iCs/>
                <w:color w:val="000000"/>
                <w:kern w:val="0"/>
                <w:sz w:val="18"/>
                <w:szCs w:val="18"/>
              </w:rPr>
            </w:pPr>
          </w:p>
        </w:tc>
      </w:tr>
      <w:tr w14:paraId="18C2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1F9A79C">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44959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4" w:type="dxa"/>
            <w:tcBorders>
              <w:top w:val="single" w:color="auto" w:sz="4" w:space="0"/>
              <w:left w:val="single" w:color="auto" w:sz="4" w:space="0"/>
              <w:bottom w:val="single" w:color="auto" w:sz="4" w:space="0"/>
              <w:right w:val="single" w:color="auto" w:sz="4" w:space="0"/>
            </w:tcBorders>
            <w:vAlign w:val="center"/>
          </w:tcPr>
          <w:p w14:paraId="505163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2DE18F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5F003B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090B4F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79B9DA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3676C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243E7998">
            <w:pPr>
              <w:widowControl/>
              <w:jc w:val="left"/>
              <w:rPr>
                <w:rFonts w:hint="eastAsia" w:ascii="黑体" w:hAnsi="黑体" w:eastAsia="黑体" w:cs="宋体"/>
                <w:i/>
                <w:iCs/>
                <w:color w:val="000000"/>
                <w:kern w:val="0"/>
                <w:sz w:val="18"/>
                <w:szCs w:val="18"/>
              </w:rPr>
            </w:pPr>
          </w:p>
        </w:tc>
      </w:tr>
      <w:tr w14:paraId="4508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6499C01">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466489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134" w:type="dxa"/>
            <w:tcBorders>
              <w:top w:val="single" w:color="auto" w:sz="4" w:space="0"/>
              <w:left w:val="single" w:color="auto" w:sz="4" w:space="0"/>
              <w:bottom w:val="single" w:color="auto" w:sz="4" w:space="0"/>
              <w:right w:val="single" w:color="auto" w:sz="4" w:space="0"/>
            </w:tcBorders>
            <w:vAlign w:val="center"/>
          </w:tcPr>
          <w:p w14:paraId="1F463C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5B2F65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07DDB7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5BB592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3E7279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DE056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1C1DB354">
            <w:pPr>
              <w:widowControl/>
              <w:jc w:val="left"/>
              <w:rPr>
                <w:rFonts w:hint="eastAsia" w:ascii="黑体" w:hAnsi="黑体" w:eastAsia="黑体" w:cs="宋体"/>
                <w:i/>
                <w:iCs/>
                <w:color w:val="000000"/>
                <w:kern w:val="0"/>
                <w:sz w:val="18"/>
                <w:szCs w:val="18"/>
              </w:rPr>
            </w:pPr>
          </w:p>
        </w:tc>
      </w:tr>
      <w:tr w14:paraId="6A3C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D50FF78">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BF882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single" w:color="auto" w:sz="4" w:space="0"/>
              <w:left w:val="single" w:color="auto" w:sz="4" w:space="0"/>
              <w:bottom w:val="single" w:color="auto" w:sz="4" w:space="0"/>
              <w:right w:val="single" w:color="auto" w:sz="4" w:space="0"/>
            </w:tcBorders>
            <w:vAlign w:val="center"/>
          </w:tcPr>
          <w:p w14:paraId="20050E6E">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tcBorders>
              <w:top w:val="single" w:color="auto" w:sz="4" w:space="0"/>
              <w:left w:val="single" w:color="auto" w:sz="4" w:space="0"/>
              <w:bottom w:val="single" w:color="auto" w:sz="4" w:space="0"/>
              <w:right w:val="single" w:color="auto" w:sz="4" w:space="0"/>
            </w:tcBorders>
            <w:vAlign w:val="center"/>
          </w:tcPr>
          <w:p w14:paraId="7E23C91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4C778524">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06C8FCD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07A285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343B9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23C0209F">
            <w:pPr>
              <w:widowControl/>
              <w:jc w:val="left"/>
              <w:rPr>
                <w:rFonts w:hint="eastAsia" w:ascii="黑体" w:hAnsi="黑体" w:eastAsia="黑体" w:cs="宋体"/>
                <w:i/>
                <w:iCs/>
                <w:color w:val="000000"/>
                <w:kern w:val="0"/>
                <w:sz w:val="18"/>
                <w:szCs w:val="18"/>
              </w:rPr>
            </w:pPr>
          </w:p>
        </w:tc>
      </w:tr>
      <w:tr w14:paraId="4C1B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4FAFEE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559" w:type="dxa"/>
            <w:tcBorders>
              <w:top w:val="single" w:color="auto" w:sz="4" w:space="0"/>
              <w:left w:val="single" w:color="auto" w:sz="4" w:space="0"/>
              <w:bottom w:val="single" w:color="auto" w:sz="4" w:space="0"/>
              <w:right w:val="single" w:color="auto" w:sz="4" w:space="0"/>
            </w:tcBorders>
            <w:vAlign w:val="center"/>
          </w:tcPr>
          <w:p w14:paraId="58CF55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14:paraId="3F09C3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vAlign w:val="center"/>
          </w:tcPr>
          <w:p w14:paraId="265087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851" w:type="dxa"/>
            <w:tcBorders>
              <w:top w:val="single" w:color="auto" w:sz="4" w:space="0"/>
              <w:left w:val="single" w:color="auto" w:sz="4" w:space="0"/>
              <w:bottom w:val="single" w:color="auto" w:sz="4" w:space="0"/>
              <w:right w:val="single" w:color="auto" w:sz="4" w:space="0"/>
            </w:tcBorders>
            <w:vAlign w:val="center"/>
          </w:tcPr>
          <w:p w14:paraId="2F77FA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646" w:type="dxa"/>
            <w:tcBorders>
              <w:top w:val="single" w:color="auto" w:sz="4" w:space="0"/>
              <w:left w:val="single" w:color="auto" w:sz="4" w:space="0"/>
              <w:bottom w:val="single" w:color="auto" w:sz="4" w:space="0"/>
              <w:right w:val="single" w:color="auto" w:sz="4" w:space="0"/>
            </w:tcBorders>
            <w:vAlign w:val="center"/>
          </w:tcPr>
          <w:p w14:paraId="1B1AB2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630" w:type="dxa"/>
            <w:tcBorders>
              <w:top w:val="single" w:color="auto" w:sz="4" w:space="0"/>
              <w:left w:val="single" w:color="auto" w:sz="4" w:space="0"/>
              <w:bottom w:val="single" w:color="auto" w:sz="4" w:space="0"/>
              <w:right w:val="single" w:color="auto" w:sz="4" w:space="0"/>
            </w:tcBorders>
            <w:vAlign w:val="center"/>
          </w:tcPr>
          <w:p w14:paraId="7CE55B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709" w:type="dxa"/>
            <w:tcBorders>
              <w:top w:val="single" w:color="auto" w:sz="4" w:space="0"/>
              <w:left w:val="single" w:color="auto" w:sz="4" w:space="0"/>
              <w:bottom w:val="single" w:color="auto" w:sz="4" w:space="0"/>
              <w:right w:val="single" w:color="auto" w:sz="4" w:space="0"/>
            </w:tcBorders>
            <w:vAlign w:val="center"/>
          </w:tcPr>
          <w:p w14:paraId="6F3E8C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08" w:type="dxa"/>
            <w:tcBorders>
              <w:top w:val="single" w:color="auto" w:sz="4" w:space="0"/>
              <w:left w:val="single" w:color="auto" w:sz="4" w:space="0"/>
              <w:bottom w:val="single" w:color="auto" w:sz="4" w:space="0"/>
              <w:right w:val="single" w:color="auto" w:sz="4" w:space="0"/>
            </w:tcBorders>
            <w:vAlign w:val="center"/>
          </w:tcPr>
          <w:p w14:paraId="0242EF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4B0CB2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A127D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4D53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A3D9DDA">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27229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14:paraId="395A49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single" w:color="auto" w:sz="4" w:space="0"/>
              <w:left w:val="single" w:color="auto" w:sz="4" w:space="0"/>
              <w:bottom w:val="single" w:color="auto" w:sz="4" w:space="0"/>
              <w:right w:val="single" w:color="auto" w:sz="4" w:space="0"/>
            </w:tcBorders>
            <w:vAlign w:val="center"/>
          </w:tcPr>
          <w:p w14:paraId="2F7E58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851" w:type="dxa"/>
            <w:tcBorders>
              <w:top w:val="single" w:color="auto" w:sz="4" w:space="0"/>
              <w:left w:val="single" w:color="auto" w:sz="4" w:space="0"/>
              <w:bottom w:val="single" w:color="auto" w:sz="4" w:space="0"/>
              <w:right w:val="single" w:color="auto" w:sz="4" w:space="0"/>
            </w:tcBorders>
            <w:vAlign w:val="center"/>
          </w:tcPr>
          <w:p w14:paraId="153B6E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5AE48C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3F3088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7E6BE9EA">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6DFFE5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709" w:type="dxa"/>
            <w:tcBorders>
              <w:top w:val="single" w:color="auto" w:sz="4" w:space="0"/>
              <w:left w:val="single" w:color="auto" w:sz="4" w:space="0"/>
              <w:bottom w:val="single" w:color="auto" w:sz="4" w:space="0"/>
              <w:right w:val="single" w:color="auto" w:sz="4" w:space="0"/>
            </w:tcBorders>
            <w:vAlign w:val="center"/>
          </w:tcPr>
          <w:p w14:paraId="1557B9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A8EDF2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3C95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790762F3">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098A53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694849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1D09EE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851" w:type="dxa"/>
            <w:tcBorders>
              <w:top w:val="single" w:color="auto" w:sz="4" w:space="0"/>
              <w:left w:val="single" w:color="auto" w:sz="4" w:space="0"/>
              <w:bottom w:val="single" w:color="auto" w:sz="4" w:space="0"/>
              <w:right w:val="single" w:color="auto" w:sz="4" w:space="0"/>
            </w:tcBorders>
            <w:vAlign w:val="center"/>
          </w:tcPr>
          <w:p w14:paraId="61F88A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25634A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4F78AC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4F326F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32FC66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709" w:type="dxa"/>
            <w:tcBorders>
              <w:top w:val="single" w:color="auto" w:sz="4" w:space="0"/>
              <w:left w:val="single" w:color="auto" w:sz="4" w:space="0"/>
              <w:bottom w:val="single" w:color="auto" w:sz="4" w:space="0"/>
              <w:right w:val="single" w:color="auto" w:sz="4" w:space="0"/>
            </w:tcBorders>
            <w:vAlign w:val="center"/>
          </w:tcPr>
          <w:p w14:paraId="294B79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2459F07">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4FE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B465482">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7CF71E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74F93E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48F6CC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7D240F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6" w:type="dxa"/>
            <w:tcBorders>
              <w:top w:val="single" w:color="auto" w:sz="4" w:space="0"/>
              <w:left w:val="single" w:color="auto" w:sz="4" w:space="0"/>
              <w:bottom w:val="single" w:color="auto" w:sz="4" w:space="0"/>
              <w:right w:val="single" w:color="auto" w:sz="4" w:space="0"/>
            </w:tcBorders>
            <w:vAlign w:val="center"/>
          </w:tcPr>
          <w:p w14:paraId="4879E3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single" w:color="auto" w:sz="4" w:space="0"/>
              <w:left w:val="single" w:color="auto" w:sz="4" w:space="0"/>
              <w:bottom w:val="single" w:color="auto" w:sz="4" w:space="0"/>
              <w:right w:val="single" w:color="auto" w:sz="4" w:space="0"/>
            </w:tcBorders>
            <w:vAlign w:val="center"/>
          </w:tcPr>
          <w:p w14:paraId="098EC4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5BAE03F3">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13FF52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53AD8D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8D275F2">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7BE2A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4" w:type="dxa"/>
            <w:gridSpan w:val="8"/>
            <w:tcBorders>
              <w:top w:val="single" w:color="auto" w:sz="4" w:space="0"/>
              <w:left w:val="single" w:color="auto" w:sz="4" w:space="0"/>
              <w:bottom w:val="single" w:color="auto" w:sz="4" w:space="0"/>
              <w:right w:val="single" w:color="auto" w:sz="4" w:space="0"/>
            </w:tcBorders>
            <w:vAlign w:val="center"/>
          </w:tcPr>
          <w:p w14:paraId="0C7B88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08" w:type="dxa"/>
            <w:tcBorders>
              <w:top w:val="single" w:color="auto" w:sz="4" w:space="0"/>
              <w:left w:val="single" w:color="auto" w:sz="4" w:space="0"/>
              <w:bottom w:val="single" w:color="auto" w:sz="4" w:space="0"/>
              <w:right w:val="single" w:color="auto" w:sz="4" w:space="0"/>
            </w:tcBorders>
            <w:vAlign w:val="center"/>
          </w:tcPr>
          <w:p w14:paraId="4AC275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709" w:type="dxa"/>
            <w:tcBorders>
              <w:top w:val="single" w:color="auto" w:sz="4" w:space="0"/>
              <w:left w:val="single" w:color="auto" w:sz="4" w:space="0"/>
              <w:bottom w:val="single" w:color="auto" w:sz="4" w:space="0"/>
              <w:right w:val="single" w:color="auto" w:sz="4" w:space="0"/>
            </w:tcBorders>
            <w:vAlign w:val="center"/>
          </w:tcPr>
          <w:p w14:paraId="3A4A3446">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262587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72A5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377EC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60AB9317">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xml:space="preserve"> 该项目年初预算0万元，调整后预算101.55万元，预算执行数101.55万元，预算执行率100%，项目产出、效果等均符合预期，自评得100分。</w:t>
            </w:r>
          </w:p>
        </w:tc>
      </w:tr>
      <w:tr w14:paraId="093FA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7017F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433E87C9">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3C63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3CFF5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39F7BA87">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84B4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9" w:type="dxa"/>
            <w:gridSpan w:val="5"/>
            <w:tcBorders>
              <w:top w:val="single" w:color="auto" w:sz="4" w:space="0"/>
              <w:left w:val="single" w:color="auto" w:sz="4" w:space="0"/>
              <w:bottom w:val="single" w:color="auto" w:sz="4" w:space="0"/>
              <w:right w:val="single" w:color="auto" w:sz="4" w:space="0"/>
            </w:tcBorders>
            <w:vAlign w:val="center"/>
          </w:tcPr>
          <w:p w14:paraId="33FDA7FA">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项目负责人：何彬</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7F7A7AB1">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财务负责人：黄府成</w:t>
            </w:r>
          </w:p>
        </w:tc>
      </w:tr>
      <w:tr w14:paraId="069D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B16823A">
            <w:pPr>
              <w:widowControl/>
              <w:jc w:val="left"/>
              <w:rPr>
                <w:rFonts w:hint="eastAsia" w:ascii="黑体" w:hAnsi="黑体" w:eastAsia="黑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9105CA2">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520BB048">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29A65B2F">
            <w:pPr>
              <w:widowControl/>
              <w:jc w:val="left"/>
              <w:rPr>
                <w:rFonts w:eastAsia="Times New Roman"/>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76C73FCA">
            <w:pPr>
              <w:widowControl/>
              <w:jc w:val="left"/>
              <w:rPr>
                <w:rFonts w:eastAsia="Times New Roman"/>
                <w:kern w:val="0"/>
                <w:sz w:val="20"/>
                <w:szCs w:val="20"/>
              </w:rPr>
            </w:pPr>
          </w:p>
        </w:tc>
        <w:tc>
          <w:tcPr>
            <w:tcW w:w="646" w:type="dxa"/>
            <w:tcBorders>
              <w:top w:val="single" w:color="auto" w:sz="4" w:space="0"/>
              <w:left w:val="single" w:color="auto" w:sz="4" w:space="0"/>
              <w:bottom w:val="single" w:color="auto" w:sz="4" w:space="0"/>
              <w:right w:val="single" w:color="auto" w:sz="4" w:space="0"/>
            </w:tcBorders>
            <w:vAlign w:val="center"/>
          </w:tcPr>
          <w:p w14:paraId="316CF36A">
            <w:pPr>
              <w:widowControl/>
              <w:jc w:val="left"/>
              <w:rPr>
                <w:rFonts w:eastAsia="Times New Roman"/>
                <w:kern w:val="0"/>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14:paraId="0E980A88">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03AB6341">
            <w:pPr>
              <w:widowControl/>
              <w:jc w:val="left"/>
              <w:rPr>
                <w:rFonts w:eastAsia="Times New Roman"/>
                <w:kern w:val="0"/>
                <w:sz w:val="2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574953F4">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604E0E77">
            <w:pPr>
              <w:widowControl/>
              <w:jc w:val="left"/>
              <w:rPr>
                <w:rFonts w:eastAsia="Times New Roman"/>
                <w:kern w:val="0"/>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6783C0B">
            <w:pPr>
              <w:widowControl/>
              <w:jc w:val="left"/>
              <w:rPr>
                <w:rFonts w:eastAsia="Times New Roman"/>
                <w:kern w:val="0"/>
                <w:sz w:val="20"/>
                <w:szCs w:val="20"/>
              </w:rPr>
            </w:pPr>
          </w:p>
        </w:tc>
      </w:tr>
      <w:tr w14:paraId="00E2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9923" w:type="dxa"/>
            <w:gridSpan w:val="12"/>
            <w:tcBorders>
              <w:top w:val="single" w:color="auto" w:sz="4" w:space="0"/>
              <w:left w:val="single" w:color="auto" w:sz="4" w:space="0"/>
              <w:bottom w:val="single" w:color="auto" w:sz="4" w:space="0"/>
              <w:right w:val="single" w:color="auto" w:sz="4" w:space="0"/>
            </w:tcBorders>
            <w:vAlign w:val="center"/>
          </w:tcPr>
          <w:p w14:paraId="0451704E">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01EE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4F28DBF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2BA8F8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51090423T000009639720-义务教育薄弱环节改善与能力提升建设项目资金</w:t>
            </w:r>
          </w:p>
        </w:tc>
      </w:tr>
      <w:tr w14:paraId="32D48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28818F2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372A978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四川省遂宁市西眉中学部门</w:t>
            </w:r>
          </w:p>
        </w:tc>
        <w:tc>
          <w:tcPr>
            <w:tcW w:w="709" w:type="dxa"/>
            <w:tcBorders>
              <w:top w:val="single" w:color="auto" w:sz="4" w:space="0"/>
              <w:left w:val="single" w:color="auto" w:sz="4" w:space="0"/>
              <w:bottom w:val="single" w:color="auto" w:sz="4" w:space="0"/>
              <w:right w:val="single" w:color="auto" w:sz="4" w:space="0"/>
            </w:tcBorders>
            <w:vAlign w:val="center"/>
          </w:tcPr>
          <w:p w14:paraId="36011FC6">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5251CA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w:t>
            </w:r>
          </w:p>
        </w:tc>
      </w:tr>
      <w:tr w14:paraId="0777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2F33105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426B938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3E6FFF1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26F40F41">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077EE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118E241">
            <w:pPr>
              <w:widowControl/>
              <w:jc w:val="left"/>
              <w:rPr>
                <w:rFonts w:hint="eastAsia" w:ascii="宋体" w:hAnsi="宋体" w:cs="宋体"/>
                <w:color w:val="000000"/>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7267828">
            <w:pPr>
              <w:widowControl/>
              <w:jc w:val="left"/>
              <w:rPr>
                <w:rFonts w:hint="eastAsia" w:ascii="宋体" w:hAnsi="宋体" w:cs="宋体"/>
                <w:color w:val="000000"/>
                <w:kern w:val="0"/>
                <w:sz w:val="18"/>
                <w:szCs w:val="18"/>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29C5D5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本年度合理使用项目资金，改善义务教育薄弱学校校舍、设施设备，提升师资与办学能力，缩小校际差距，保障适龄儿童享有优质均衡的义务教育资源。</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4717461E">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办学条件与师资能力显著提升，目标达成。</w:t>
            </w:r>
          </w:p>
        </w:tc>
      </w:tr>
      <w:tr w14:paraId="6E3A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76B87824">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79FDFA8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5308FAE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先调研确定薄弱学校需求，制定资金使用方案；按方案采购设备、推进修缮，专款专用；过程中监督资金流向与项目质量，完工后验收，资料归档。</w:t>
            </w:r>
          </w:p>
        </w:tc>
      </w:tr>
      <w:tr w14:paraId="091D4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6EA64F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59" w:type="dxa"/>
            <w:tcBorders>
              <w:top w:val="single" w:color="auto" w:sz="4" w:space="0"/>
              <w:left w:val="single" w:color="auto" w:sz="4" w:space="0"/>
              <w:bottom w:val="single" w:color="auto" w:sz="4" w:space="0"/>
              <w:right w:val="single" w:color="auto" w:sz="4" w:space="0"/>
            </w:tcBorders>
            <w:vAlign w:val="center"/>
          </w:tcPr>
          <w:p w14:paraId="73C112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4" w:type="dxa"/>
            <w:tcBorders>
              <w:top w:val="single" w:color="auto" w:sz="4" w:space="0"/>
              <w:left w:val="single" w:color="auto" w:sz="4" w:space="0"/>
              <w:bottom w:val="single" w:color="auto" w:sz="4" w:space="0"/>
              <w:right w:val="single" w:color="auto" w:sz="4" w:space="0"/>
            </w:tcBorders>
            <w:vAlign w:val="center"/>
          </w:tcPr>
          <w:p w14:paraId="308039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134" w:type="dxa"/>
            <w:tcBorders>
              <w:top w:val="single" w:color="auto" w:sz="4" w:space="0"/>
              <w:left w:val="single" w:color="auto" w:sz="4" w:space="0"/>
              <w:bottom w:val="single" w:color="auto" w:sz="4" w:space="0"/>
              <w:right w:val="single" w:color="auto" w:sz="4" w:space="0"/>
            </w:tcBorders>
            <w:vAlign w:val="center"/>
          </w:tcPr>
          <w:p w14:paraId="01C2BE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4863F1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709" w:type="dxa"/>
            <w:tcBorders>
              <w:top w:val="single" w:color="auto" w:sz="4" w:space="0"/>
              <w:left w:val="single" w:color="auto" w:sz="4" w:space="0"/>
              <w:bottom w:val="single" w:color="auto" w:sz="4" w:space="0"/>
              <w:right w:val="single" w:color="auto" w:sz="4" w:space="0"/>
            </w:tcBorders>
            <w:vAlign w:val="center"/>
          </w:tcPr>
          <w:p w14:paraId="055113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08" w:type="dxa"/>
            <w:tcBorders>
              <w:top w:val="single" w:color="auto" w:sz="4" w:space="0"/>
              <w:left w:val="single" w:color="auto" w:sz="4" w:space="0"/>
              <w:bottom w:val="single" w:color="auto" w:sz="4" w:space="0"/>
              <w:right w:val="single" w:color="auto" w:sz="4" w:space="0"/>
            </w:tcBorders>
            <w:vAlign w:val="center"/>
          </w:tcPr>
          <w:p w14:paraId="5BF0113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12D37F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81E0D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763C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52139630">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5CE785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134" w:type="dxa"/>
            <w:tcBorders>
              <w:top w:val="single" w:color="auto" w:sz="4" w:space="0"/>
              <w:left w:val="single" w:color="auto" w:sz="4" w:space="0"/>
              <w:bottom w:val="single" w:color="auto" w:sz="4" w:space="0"/>
              <w:right w:val="single" w:color="auto" w:sz="4" w:space="0"/>
            </w:tcBorders>
            <w:vAlign w:val="center"/>
          </w:tcPr>
          <w:p w14:paraId="4CF901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938.82</w:t>
            </w:r>
          </w:p>
        </w:tc>
        <w:tc>
          <w:tcPr>
            <w:tcW w:w="1134" w:type="dxa"/>
            <w:tcBorders>
              <w:top w:val="single" w:color="auto" w:sz="4" w:space="0"/>
              <w:left w:val="single" w:color="auto" w:sz="4" w:space="0"/>
              <w:bottom w:val="single" w:color="auto" w:sz="4" w:space="0"/>
              <w:right w:val="single" w:color="auto" w:sz="4" w:space="0"/>
            </w:tcBorders>
            <w:vAlign w:val="center"/>
          </w:tcPr>
          <w:p w14:paraId="719FF9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252.24</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099953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252.24</w:t>
            </w:r>
          </w:p>
        </w:tc>
        <w:tc>
          <w:tcPr>
            <w:tcW w:w="709" w:type="dxa"/>
            <w:tcBorders>
              <w:top w:val="single" w:color="auto" w:sz="4" w:space="0"/>
              <w:left w:val="single" w:color="auto" w:sz="4" w:space="0"/>
              <w:bottom w:val="single" w:color="auto" w:sz="4" w:space="0"/>
              <w:right w:val="single" w:color="auto" w:sz="4" w:space="0"/>
            </w:tcBorders>
            <w:vAlign w:val="center"/>
          </w:tcPr>
          <w:p w14:paraId="7F60D1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79488F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14:paraId="1995CE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14:paraId="3B07ADDD">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无</w:t>
            </w:r>
          </w:p>
        </w:tc>
      </w:tr>
      <w:tr w14:paraId="46808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ED7F9D9">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33EC8A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134" w:type="dxa"/>
            <w:tcBorders>
              <w:top w:val="single" w:color="auto" w:sz="4" w:space="0"/>
              <w:left w:val="single" w:color="auto" w:sz="4" w:space="0"/>
              <w:bottom w:val="single" w:color="auto" w:sz="4" w:space="0"/>
              <w:right w:val="single" w:color="auto" w:sz="4" w:space="0"/>
            </w:tcBorders>
            <w:vAlign w:val="center"/>
          </w:tcPr>
          <w:p w14:paraId="6ABBA9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938.82</w:t>
            </w:r>
          </w:p>
        </w:tc>
        <w:tc>
          <w:tcPr>
            <w:tcW w:w="1134" w:type="dxa"/>
            <w:tcBorders>
              <w:top w:val="single" w:color="auto" w:sz="4" w:space="0"/>
              <w:left w:val="single" w:color="auto" w:sz="4" w:space="0"/>
              <w:bottom w:val="single" w:color="auto" w:sz="4" w:space="0"/>
              <w:right w:val="single" w:color="auto" w:sz="4" w:space="0"/>
            </w:tcBorders>
            <w:vAlign w:val="center"/>
          </w:tcPr>
          <w:p w14:paraId="623CDF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252.24</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48969D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252.24</w:t>
            </w:r>
          </w:p>
        </w:tc>
        <w:tc>
          <w:tcPr>
            <w:tcW w:w="709" w:type="dxa"/>
            <w:tcBorders>
              <w:top w:val="single" w:color="auto" w:sz="4" w:space="0"/>
              <w:left w:val="single" w:color="auto" w:sz="4" w:space="0"/>
              <w:bottom w:val="single" w:color="auto" w:sz="4" w:space="0"/>
              <w:right w:val="single" w:color="auto" w:sz="4" w:space="0"/>
            </w:tcBorders>
            <w:vAlign w:val="center"/>
          </w:tcPr>
          <w:p w14:paraId="7CCEBE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1542DD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0A700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24B24E42">
            <w:pPr>
              <w:widowControl/>
              <w:jc w:val="left"/>
              <w:rPr>
                <w:rFonts w:hint="eastAsia" w:ascii="黑体" w:hAnsi="黑体" w:eastAsia="黑体" w:cs="宋体"/>
                <w:i/>
                <w:iCs/>
                <w:color w:val="000000"/>
                <w:kern w:val="0"/>
                <w:sz w:val="18"/>
                <w:szCs w:val="18"/>
              </w:rPr>
            </w:pPr>
          </w:p>
        </w:tc>
      </w:tr>
      <w:tr w14:paraId="30EF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71CDCE8">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4E54C5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4" w:type="dxa"/>
            <w:tcBorders>
              <w:top w:val="single" w:color="auto" w:sz="4" w:space="0"/>
              <w:left w:val="single" w:color="auto" w:sz="4" w:space="0"/>
              <w:bottom w:val="single" w:color="auto" w:sz="4" w:space="0"/>
              <w:right w:val="single" w:color="auto" w:sz="4" w:space="0"/>
            </w:tcBorders>
            <w:vAlign w:val="center"/>
          </w:tcPr>
          <w:p w14:paraId="230AA5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2C890A2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2E36DD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18EAC0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7EDBD2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407C0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1274FD29">
            <w:pPr>
              <w:widowControl/>
              <w:jc w:val="left"/>
              <w:rPr>
                <w:rFonts w:hint="eastAsia" w:ascii="黑体" w:hAnsi="黑体" w:eastAsia="黑体" w:cs="宋体"/>
                <w:i/>
                <w:iCs/>
                <w:color w:val="000000"/>
                <w:kern w:val="0"/>
                <w:sz w:val="18"/>
                <w:szCs w:val="18"/>
              </w:rPr>
            </w:pPr>
          </w:p>
        </w:tc>
      </w:tr>
      <w:tr w14:paraId="631F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A195FDB">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108888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134" w:type="dxa"/>
            <w:tcBorders>
              <w:top w:val="single" w:color="auto" w:sz="4" w:space="0"/>
              <w:left w:val="single" w:color="auto" w:sz="4" w:space="0"/>
              <w:bottom w:val="single" w:color="auto" w:sz="4" w:space="0"/>
              <w:right w:val="single" w:color="auto" w:sz="4" w:space="0"/>
            </w:tcBorders>
            <w:vAlign w:val="center"/>
          </w:tcPr>
          <w:p w14:paraId="38FB37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48D154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55A1FC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4694DE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219482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0078F0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5E89D79C">
            <w:pPr>
              <w:widowControl/>
              <w:jc w:val="left"/>
              <w:rPr>
                <w:rFonts w:hint="eastAsia" w:ascii="黑体" w:hAnsi="黑体" w:eastAsia="黑体" w:cs="宋体"/>
                <w:i/>
                <w:iCs/>
                <w:color w:val="000000"/>
                <w:kern w:val="0"/>
                <w:sz w:val="18"/>
                <w:szCs w:val="18"/>
              </w:rPr>
            </w:pPr>
          </w:p>
        </w:tc>
      </w:tr>
      <w:tr w14:paraId="2B5F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4F32519">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4516BF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single" w:color="auto" w:sz="4" w:space="0"/>
              <w:left w:val="single" w:color="auto" w:sz="4" w:space="0"/>
              <w:bottom w:val="single" w:color="auto" w:sz="4" w:space="0"/>
              <w:right w:val="single" w:color="auto" w:sz="4" w:space="0"/>
            </w:tcBorders>
            <w:vAlign w:val="center"/>
          </w:tcPr>
          <w:p w14:paraId="2F44C814">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tcBorders>
              <w:top w:val="single" w:color="auto" w:sz="4" w:space="0"/>
              <w:left w:val="single" w:color="auto" w:sz="4" w:space="0"/>
              <w:bottom w:val="single" w:color="auto" w:sz="4" w:space="0"/>
              <w:right w:val="single" w:color="auto" w:sz="4" w:space="0"/>
            </w:tcBorders>
            <w:vAlign w:val="center"/>
          </w:tcPr>
          <w:p w14:paraId="4D2E9506">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13462934">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4B3D3D9D">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6197BF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FB429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2D898A5B">
            <w:pPr>
              <w:widowControl/>
              <w:jc w:val="left"/>
              <w:rPr>
                <w:rFonts w:hint="eastAsia" w:ascii="黑体" w:hAnsi="黑体" w:eastAsia="黑体" w:cs="宋体"/>
                <w:i/>
                <w:iCs/>
                <w:color w:val="000000"/>
                <w:kern w:val="0"/>
                <w:sz w:val="18"/>
                <w:szCs w:val="18"/>
              </w:rPr>
            </w:pPr>
          </w:p>
        </w:tc>
      </w:tr>
      <w:tr w14:paraId="53BE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36CFA6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559" w:type="dxa"/>
            <w:tcBorders>
              <w:top w:val="single" w:color="auto" w:sz="4" w:space="0"/>
              <w:left w:val="single" w:color="auto" w:sz="4" w:space="0"/>
              <w:bottom w:val="single" w:color="auto" w:sz="4" w:space="0"/>
              <w:right w:val="single" w:color="auto" w:sz="4" w:space="0"/>
            </w:tcBorders>
            <w:vAlign w:val="center"/>
          </w:tcPr>
          <w:p w14:paraId="71A1DC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14:paraId="612E2C7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vAlign w:val="center"/>
          </w:tcPr>
          <w:p w14:paraId="322BC5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851" w:type="dxa"/>
            <w:tcBorders>
              <w:top w:val="single" w:color="auto" w:sz="4" w:space="0"/>
              <w:left w:val="single" w:color="auto" w:sz="4" w:space="0"/>
              <w:bottom w:val="single" w:color="auto" w:sz="4" w:space="0"/>
              <w:right w:val="single" w:color="auto" w:sz="4" w:space="0"/>
            </w:tcBorders>
            <w:vAlign w:val="center"/>
          </w:tcPr>
          <w:p w14:paraId="3B4665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646" w:type="dxa"/>
            <w:tcBorders>
              <w:top w:val="single" w:color="auto" w:sz="4" w:space="0"/>
              <w:left w:val="single" w:color="auto" w:sz="4" w:space="0"/>
              <w:bottom w:val="single" w:color="auto" w:sz="4" w:space="0"/>
              <w:right w:val="single" w:color="auto" w:sz="4" w:space="0"/>
            </w:tcBorders>
            <w:vAlign w:val="center"/>
          </w:tcPr>
          <w:p w14:paraId="075617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630" w:type="dxa"/>
            <w:tcBorders>
              <w:top w:val="single" w:color="auto" w:sz="4" w:space="0"/>
              <w:left w:val="single" w:color="auto" w:sz="4" w:space="0"/>
              <w:bottom w:val="single" w:color="auto" w:sz="4" w:space="0"/>
              <w:right w:val="single" w:color="auto" w:sz="4" w:space="0"/>
            </w:tcBorders>
            <w:vAlign w:val="center"/>
          </w:tcPr>
          <w:p w14:paraId="489719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709" w:type="dxa"/>
            <w:tcBorders>
              <w:top w:val="single" w:color="auto" w:sz="4" w:space="0"/>
              <w:left w:val="single" w:color="auto" w:sz="4" w:space="0"/>
              <w:bottom w:val="single" w:color="auto" w:sz="4" w:space="0"/>
              <w:right w:val="single" w:color="auto" w:sz="4" w:space="0"/>
            </w:tcBorders>
            <w:vAlign w:val="center"/>
          </w:tcPr>
          <w:p w14:paraId="046E8C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08" w:type="dxa"/>
            <w:tcBorders>
              <w:top w:val="single" w:color="auto" w:sz="4" w:space="0"/>
              <w:left w:val="single" w:color="auto" w:sz="4" w:space="0"/>
              <w:bottom w:val="single" w:color="auto" w:sz="4" w:space="0"/>
              <w:right w:val="single" w:color="auto" w:sz="4" w:space="0"/>
            </w:tcBorders>
            <w:vAlign w:val="center"/>
          </w:tcPr>
          <w:p w14:paraId="30002A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2584C9B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9AAA6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0B51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F24D1C9">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54D70B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14:paraId="786A42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single" w:color="auto" w:sz="4" w:space="0"/>
              <w:left w:val="single" w:color="auto" w:sz="4" w:space="0"/>
              <w:bottom w:val="single" w:color="auto" w:sz="4" w:space="0"/>
              <w:right w:val="single" w:color="auto" w:sz="4" w:space="0"/>
            </w:tcBorders>
            <w:vAlign w:val="center"/>
          </w:tcPr>
          <w:p w14:paraId="30B68D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851" w:type="dxa"/>
            <w:tcBorders>
              <w:top w:val="single" w:color="auto" w:sz="4" w:space="0"/>
              <w:left w:val="single" w:color="auto" w:sz="4" w:space="0"/>
              <w:bottom w:val="single" w:color="auto" w:sz="4" w:space="0"/>
              <w:right w:val="single" w:color="auto" w:sz="4" w:space="0"/>
            </w:tcBorders>
            <w:vAlign w:val="center"/>
          </w:tcPr>
          <w:p w14:paraId="4CC9E5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576AF0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3A9B49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3D4160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173A9C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709" w:type="dxa"/>
            <w:tcBorders>
              <w:top w:val="single" w:color="auto" w:sz="4" w:space="0"/>
              <w:left w:val="single" w:color="auto" w:sz="4" w:space="0"/>
              <w:bottom w:val="single" w:color="auto" w:sz="4" w:space="0"/>
              <w:right w:val="single" w:color="auto" w:sz="4" w:space="0"/>
            </w:tcBorders>
            <w:vAlign w:val="center"/>
          </w:tcPr>
          <w:p w14:paraId="260E5E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1911A65">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1289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18B8F7C">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078C32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278855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4391E4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851" w:type="dxa"/>
            <w:tcBorders>
              <w:top w:val="single" w:color="auto" w:sz="4" w:space="0"/>
              <w:left w:val="single" w:color="auto" w:sz="4" w:space="0"/>
              <w:bottom w:val="single" w:color="auto" w:sz="4" w:space="0"/>
              <w:right w:val="single" w:color="auto" w:sz="4" w:space="0"/>
            </w:tcBorders>
            <w:vAlign w:val="center"/>
          </w:tcPr>
          <w:p w14:paraId="12BF38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73BB49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73F6C6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200820E">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3D6A85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709" w:type="dxa"/>
            <w:tcBorders>
              <w:top w:val="single" w:color="auto" w:sz="4" w:space="0"/>
              <w:left w:val="single" w:color="auto" w:sz="4" w:space="0"/>
              <w:bottom w:val="single" w:color="auto" w:sz="4" w:space="0"/>
              <w:right w:val="single" w:color="auto" w:sz="4" w:space="0"/>
            </w:tcBorders>
            <w:vAlign w:val="center"/>
          </w:tcPr>
          <w:p w14:paraId="67BCED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D932042">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57A1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37402437">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6CE6A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385ED2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1134" w:type="dxa"/>
            <w:tcBorders>
              <w:top w:val="single" w:color="auto" w:sz="4" w:space="0"/>
              <w:left w:val="single" w:color="auto" w:sz="4" w:space="0"/>
              <w:bottom w:val="single" w:color="auto" w:sz="4" w:space="0"/>
              <w:right w:val="single" w:color="auto" w:sz="4" w:space="0"/>
            </w:tcBorders>
            <w:vAlign w:val="center"/>
          </w:tcPr>
          <w:p w14:paraId="05ED4D7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851" w:type="dxa"/>
            <w:tcBorders>
              <w:top w:val="single" w:color="auto" w:sz="4" w:space="0"/>
              <w:left w:val="single" w:color="auto" w:sz="4" w:space="0"/>
              <w:bottom w:val="single" w:color="auto" w:sz="4" w:space="0"/>
              <w:right w:val="single" w:color="auto" w:sz="4" w:space="0"/>
            </w:tcBorders>
            <w:vAlign w:val="center"/>
          </w:tcPr>
          <w:p w14:paraId="4E52D0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46" w:type="dxa"/>
            <w:tcBorders>
              <w:top w:val="single" w:color="auto" w:sz="4" w:space="0"/>
              <w:left w:val="single" w:color="auto" w:sz="4" w:space="0"/>
              <w:bottom w:val="single" w:color="auto" w:sz="4" w:space="0"/>
              <w:right w:val="single" w:color="auto" w:sz="4" w:space="0"/>
            </w:tcBorders>
            <w:vAlign w:val="center"/>
          </w:tcPr>
          <w:p w14:paraId="75130B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630" w:type="dxa"/>
            <w:tcBorders>
              <w:top w:val="single" w:color="auto" w:sz="4" w:space="0"/>
              <w:left w:val="single" w:color="auto" w:sz="4" w:space="0"/>
              <w:bottom w:val="single" w:color="auto" w:sz="4" w:space="0"/>
              <w:right w:val="single" w:color="auto" w:sz="4" w:space="0"/>
            </w:tcBorders>
            <w:vAlign w:val="center"/>
          </w:tcPr>
          <w:p w14:paraId="09FCBF7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6203DB3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410F73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709" w:type="dxa"/>
            <w:tcBorders>
              <w:top w:val="single" w:color="auto" w:sz="4" w:space="0"/>
              <w:left w:val="single" w:color="auto" w:sz="4" w:space="0"/>
              <w:bottom w:val="single" w:color="auto" w:sz="4" w:space="0"/>
              <w:right w:val="single" w:color="auto" w:sz="4" w:space="0"/>
            </w:tcBorders>
            <w:vAlign w:val="center"/>
          </w:tcPr>
          <w:p w14:paraId="2256DC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E8ECB8B">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2C40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4" w:type="dxa"/>
            <w:gridSpan w:val="8"/>
            <w:tcBorders>
              <w:top w:val="single" w:color="auto" w:sz="4" w:space="0"/>
              <w:left w:val="single" w:color="auto" w:sz="4" w:space="0"/>
              <w:bottom w:val="single" w:color="auto" w:sz="4" w:space="0"/>
              <w:right w:val="single" w:color="auto" w:sz="4" w:space="0"/>
            </w:tcBorders>
            <w:vAlign w:val="center"/>
          </w:tcPr>
          <w:p w14:paraId="616D1F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08" w:type="dxa"/>
            <w:tcBorders>
              <w:top w:val="single" w:color="auto" w:sz="4" w:space="0"/>
              <w:left w:val="single" w:color="auto" w:sz="4" w:space="0"/>
              <w:bottom w:val="single" w:color="auto" w:sz="4" w:space="0"/>
              <w:right w:val="single" w:color="auto" w:sz="4" w:space="0"/>
            </w:tcBorders>
            <w:vAlign w:val="center"/>
          </w:tcPr>
          <w:p w14:paraId="740D3D8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709" w:type="dxa"/>
            <w:tcBorders>
              <w:top w:val="single" w:color="auto" w:sz="4" w:space="0"/>
              <w:left w:val="single" w:color="auto" w:sz="4" w:space="0"/>
              <w:bottom w:val="single" w:color="auto" w:sz="4" w:space="0"/>
              <w:right w:val="single" w:color="auto" w:sz="4" w:space="0"/>
            </w:tcBorders>
            <w:vAlign w:val="center"/>
          </w:tcPr>
          <w:p w14:paraId="195B0EC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307D37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67C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D7ECA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57F5066A">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xml:space="preserve"> 该项目年初预算938.82万元，调整后预算252.24万元，预算执行数252.24万元，预算执行率100%，项目产出、效果等均符合预期，自评得100分。</w:t>
            </w:r>
          </w:p>
        </w:tc>
      </w:tr>
      <w:tr w14:paraId="54A61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4A595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729BDE15">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0A8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651D9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3B535C96">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408E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9" w:type="dxa"/>
            <w:gridSpan w:val="5"/>
            <w:tcBorders>
              <w:top w:val="single" w:color="auto" w:sz="4" w:space="0"/>
              <w:left w:val="single" w:color="auto" w:sz="4" w:space="0"/>
              <w:bottom w:val="single" w:color="auto" w:sz="4" w:space="0"/>
              <w:right w:val="single" w:color="auto" w:sz="4" w:space="0"/>
            </w:tcBorders>
            <w:vAlign w:val="center"/>
          </w:tcPr>
          <w:p w14:paraId="3B195095">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项目负责人：何彬</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0D0CA3FD">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财务负责人：黄府成</w:t>
            </w:r>
          </w:p>
        </w:tc>
      </w:tr>
      <w:tr w14:paraId="01A5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EF08E7C">
            <w:pPr>
              <w:widowControl/>
              <w:jc w:val="left"/>
              <w:rPr>
                <w:rFonts w:hint="eastAsia" w:ascii="黑体" w:hAnsi="黑体" w:eastAsia="黑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0E5B98EF">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49EE2640">
            <w:pPr>
              <w:widowControl/>
              <w:jc w:val="left"/>
              <w:rPr>
                <w:rFonts w:eastAsia="Times New Roman"/>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3DDB183A">
            <w:pPr>
              <w:widowControl/>
              <w:jc w:val="left"/>
              <w:rPr>
                <w:rFonts w:eastAsia="Times New Roman"/>
                <w:kern w:val="0"/>
                <w:sz w:val="20"/>
                <w:szCs w:val="20"/>
              </w:rPr>
            </w:pPr>
          </w:p>
        </w:tc>
        <w:tc>
          <w:tcPr>
            <w:tcW w:w="851" w:type="dxa"/>
            <w:tcBorders>
              <w:top w:val="single" w:color="auto" w:sz="4" w:space="0"/>
              <w:left w:val="single" w:color="auto" w:sz="4" w:space="0"/>
              <w:bottom w:val="single" w:color="auto" w:sz="4" w:space="0"/>
              <w:right w:val="single" w:color="auto" w:sz="4" w:space="0"/>
            </w:tcBorders>
            <w:vAlign w:val="center"/>
          </w:tcPr>
          <w:p w14:paraId="6D749FD2">
            <w:pPr>
              <w:widowControl/>
              <w:jc w:val="left"/>
              <w:rPr>
                <w:rFonts w:eastAsia="Times New Roman"/>
                <w:kern w:val="0"/>
                <w:sz w:val="20"/>
                <w:szCs w:val="20"/>
              </w:rPr>
            </w:pPr>
          </w:p>
        </w:tc>
        <w:tc>
          <w:tcPr>
            <w:tcW w:w="646" w:type="dxa"/>
            <w:tcBorders>
              <w:top w:val="single" w:color="auto" w:sz="4" w:space="0"/>
              <w:left w:val="single" w:color="auto" w:sz="4" w:space="0"/>
              <w:bottom w:val="single" w:color="auto" w:sz="4" w:space="0"/>
              <w:right w:val="single" w:color="auto" w:sz="4" w:space="0"/>
            </w:tcBorders>
            <w:vAlign w:val="center"/>
          </w:tcPr>
          <w:p w14:paraId="2F4C84F4">
            <w:pPr>
              <w:widowControl/>
              <w:jc w:val="left"/>
              <w:rPr>
                <w:rFonts w:eastAsia="Times New Roman"/>
                <w:kern w:val="0"/>
                <w:sz w:val="20"/>
                <w:szCs w:val="20"/>
              </w:rPr>
            </w:pPr>
          </w:p>
        </w:tc>
        <w:tc>
          <w:tcPr>
            <w:tcW w:w="630" w:type="dxa"/>
            <w:tcBorders>
              <w:top w:val="single" w:color="auto" w:sz="4" w:space="0"/>
              <w:left w:val="single" w:color="auto" w:sz="4" w:space="0"/>
              <w:bottom w:val="single" w:color="auto" w:sz="4" w:space="0"/>
              <w:right w:val="single" w:color="auto" w:sz="4" w:space="0"/>
            </w:tcBorders>
            <w:vAlign w:val="center"/>
          </w:tcPr>
          <w:p w14:paraId="7F1A36CB">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6A29D2C8">
            <w:pPr>
              <w:widowControl/>
              <w:jc w:val="left"/>
              <w:rPr>
                <w:rFonts w:eastAsia="Times New Roman"/>
                <w:kern w:val="0"/>
                <w:sz w:val="20"/>
                <w:szCs w:val="20"/>
              </w:rPr>
            </w:pPr>
          </w:p>
        </w:tc>
        <w:tc>
          <w:tcPr>
            <w:tcW w:w="708" w:type="dxa"/>
            <w:tcBorders>
              <w:top w:val="single" w:color="auto" w:sz="4" w:space="0"/>
              <w:left w:val="single" w:color="auto" w:sz="4" w:space="0"/>
              <w:bottom w:val="single" w:color="auto" w:sz="4" w:space="0"/>
              <w:right w:val="single" w:color="auto" w:sz="4" w:space="0"/>
            </w:tcBorders>
            <w:vAlign w:val="center"/>
          </w:tcPr>
          <w:p w14:paraId="05A6919A">
            <w:pPr>
              <w:widowControl/>
              <w:jc w:val="left"/>
              <w:rPr>
                <w:rFonts w:eastAsia="Times New Roman"/>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05D21FA0">
            <w:pPr>
              <w:widowControl/>
              <w:jc w:val="left"/>
              <w:rPr>
                <w:rFonts w:eastAsia="Times New Roman"/>
                <w:kern w:val="0"/>
                <w:sz w:val="20"/>
                <w:szCs w:val="2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AAB5C09">
            <w:pPr>
              <w:widowControl/>
              <w:jc w:val="left"/>
              <w:rPr>
                <w:rFonts w:eastAsia="Times New Roman"/>
                <w:kern w:val="0"/>
                <w:sz w:val="20"/>
                <w:szCs w:val="20"/>
              </w:rPr>
            </w:pPr>
          </w:p>
        </w:tc>
      </w:tr>
      <w:tr w14:paraId="4049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9923" w:type="dxa"/>
            <w:gridSpan w:val="12"/>
            <w:tcBorders>
              <w:top w:val="single" w:color="auto" w:sz="4" w:space="0"/>
              <w:left w:val="single" w:color="auto" w:sz="4" w:space="0"/>
              <w:bottom w:val="single" w:color="auto" w:sz="4" w:space="0"/>
              <w:right w:val="single" w:color="auto" w:sz="4" w:space="0"/>
            </w:tcBorders>
            <w:vAlign w:val="center"/>
          </w:tcPr>
          <w:p w14:paraId="5F7D4B56">
            <w:pPr>
              <w:widowControl/>
              <w:jc w:val="center"/>
              <w:rPr>
                <w:rFonts w:hint="eastAsia"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部门预算项目支出绩效自评表（2024年度）</w:t>
            </w:r>
          </w:p>
        </w:tc>
      </w:tr>
      <w:tr w14:paraId="606B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160D67F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09D5B6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51090425T000013020849-秋季市级义务教育家庭经济困难学生生活补助</w:t>
            </w:r>
          </w:p>
        </w:tc>
      </w:tr>
      <w:tr w14:paraId="2A97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2410" w:type="dxa"/>
            <w:gridSpan w:val="2"/>
            <w:tcBorders>
              <w:top w:val="single" w:color="auto" w:sz="4" w:space="0"/>
              <w:left w:val="single" w:color="auto" w:sz="4" w:space="0"/>
              <w:bottom w:val="single" w:color="auto" w:sz="4" w:space="0"/>
              <w:right w:val="single" w:color="auto" w:sz="4" w:space="0"/>
            </w:tcBorders>
            <w:vAlign w:val="center"/>
          </w:tcPr>
          <w:p w14:paraId="360982F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3D58BA7A">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四川省遂宁市西眉中学部门</w:t>
            </w:r>
          </w:p>
        </w:tc>
        <w:tc>
          <w:tcPr>
            <w:tcW w:w="709" w:type="dxa"/>
            <w:tcBorders>
              <w:top w:val="single" w:color="auto" w:sz="4" w:space="0"/>
              <w:left w:val="single" w:color="auto" w:sz="4" w:space="0"/>
              <w:bottom w:val="single" w:color="auto" w:sz="4" w:space="0"/>
              <w:right w:val="single" w:color="auto" w:sz="4" w:space="0"/>
            </w:tcBorders>
            <w:vAlign w:val="center"/>
          </w:tcPr>
          <w:p w14:paraId="532A4546">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实施单位 （盖章）</w:t>
            </w:r>
          </w:p>
        </w:tc>
        <w:tc>
          <w:tcPr>
            <w:tcW w:w="2409" w:type="dxa"/>
            <w:gridSpan w:val="4"/>
            <w:tcBorders>
              <w:top w:val="single" w:color="auto" w:sz="4" w:space="0"/>
              <w:left w:val="single" w:color="auto" w:sz="4" w:space="0"/>
              <w:bottom w:val="single" w:color="auto" w:sz="4" w:space="0"/>
              <w:right w:val="single" w:color="auto" w:sz="4" w:space="0"/>
            </w:tcBorders>
            <w:vAlign w:val="center"/>
          </w:tcPr>
          <w:p w14:paraId="216575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四川省遂宁市西眉中学</w:t>
            </w:r>
          </w:p>
        </w:tc>
      </w:tr>
      <w:tr w14:paraId="36676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731A88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2B8CD25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65382A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4485470A">
            <w:pPr>
              <w:widowControl/>
              <w:jc w:val="center"/>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年度目标完成情况</w:t>
            </w:r>
          </w:p>
        </w:tc>
      </w:tr>
      <w:tr w14:paraId="0003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CD9567F">
            <w:pPr>
              <w:widowControl/>
              <w:jc w:val="left"/>
              <w:rPr>
                <w:rFonts w:hint="eastAsia" w:ascii="宋体" w:hAnsi="宋体" w:cs="宋体"/>
                <w:color w:val="000000"/>
                <w:kern w:val="0"/>
                <w:sz w:val="18"/>
                <w:szCs w:val="1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E39FD71">
            <w:pPr>
              <w:widowControl/>
              <w:jc w:val="left"/>
              <w:rPr>
                <w:rFonts w:hint="eastAsia" w:ascii="宋体" w:hAnsi="宋体" w:cs="宋体"/>
                <w:color w:val="000000"/>
                <w:kern w:val="0"/>
                <w:sz w:val="18"/>
                <w:szCs w:val="18"/>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14:paraId="65D1223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秋季学期按市级标准，精准识别义务教育家庭经济困难学生，足额发放生活补助，实现应助尽助，减轻家庭负担，保障学生秋季学期正常学习生活。</w:t>
            </w:r>
          </w:p>
        </w:tc>
        <w:tc>
          <w:tcPr>
            <w:tcW w:w="3118" w:type="dxa"/>
            <w:gridSpan w:val="5"/>
            <w:tcBorders>
              <w:top w:val="single" w:color="auto" w:sz="4" w:space="0"/>
              <w:left w:val="single" w:color="auto" w:sz="4" w:space="0"/>
              <w:bottom w:val="single" w:color="auto" w:sz="4" w:space="0"/>
              <w:right w:val="single" w:color="auto" w:sz="4" w:space="0"/>
            </w:tcBorders>
            <w:vAlign w:val="center"/>
          </w:tcPr>
          <w:p w14:paraId="0515E0E8">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足额发放补助，资金全部到账，无遗漏符合条件学生。</w:t>
            </w:r>
          </w:p>
        </w:tc>
      </w:tr>
      <w:tr w14:paraId="1ACD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79D17FF">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14138C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513" w:type="dxa"/>
            <w:gridSpan w:val="10"/>
            <w:tcBorders>
              <w:top w:val="single" w:color="auto" w:sz="4" w:space="0"/>
              <w:left w:val="single" w:color="auto" w:sz="4" w:space="0"/>
              <w:bottom w:val="single" w:color="auto" w:sz="4" w:space="0"/>
              <w:right w:val="single" w:color="auto" w:sz="4" w:space="0"/>
            </w:tcBorders>
            <w:vAlign w:val="center"/>
          </w:tcPr>
          <w:p w14:paraId="197E8F3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秋季开学后组织申请，经班级初审、学校复核、市级抽查公示；财政资金下达后，通过银行转账至监护人账户，全程留痕，接受市级部门监督。</w:t>
            </w:r>
          </w:p>
        </w:tc>
      </w:tr>
      <w:tr w14:paraId="3C253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521951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559" w:type="dxa"/>
            <w:tcBorders>
              <w:top w:val="single" w:color="auto" w:sz="4" w:space="0"/>
              <w:left w:val="single" w:color="auto" w:sz="4" w:space="0"/>
              <w:bottom w:val="single" w:color="auto" w:sz="4" w:space="0"/>
              <w:right w:val="single" w:color="auto" w:sz="4" w:space="0"/>
            </w:tcBorders>
            <w:vAlign w:val="center"/>
          </w:tcPr>
          <w:p w14:paraId="20E35D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1134" w:type="dxa"/>
            <w:tcBorders>
              <w:top w:val="single" w:color="auto" w:sz="4" w:space="0"/>
              <w:left w:val="single" w:color="auto" w:sz="4" w:space="0"/>
              <w:bottom w:val="single" w:color="auto" w:sz="4" w:space="0"/>
              <w:right w:val="single" w:color="auto" w:sz="4" w:space="0"/>
            </w:tcBorders>
            <w:vAlign w:val="center"/>
          </w:tcPr>
          <w:p w14:paraId="113E73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1134" w:type="dxa"/>
            <w:tcBorders>
              <w:top w:val="single" w:color="auto" w:sz="4" w:space="0"/>
              <w:left w:val="single" w:color="auto" w:sz="4" w:space="0"/>
              <w:bottom w:val="single" w:color="auto" w:sz="4" w:space="0"/>
              <w:right w:val="single" w:color="auto" w:sz="4" w:space="0"/>
            </w:tcBorders>
            <w:vAlign w:val="center"/>
          </w:tcPr>
          <w:p w14:paraId="687B84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251AAD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709" w:type="dxa"/>
            <w:tcBorders>
              <w:top w:val="single" w:color="auto" w:sz="4" w:space="0"/>
              <w:left w:val="single" w:color="auto" w:sz="4" w:space="0"/>
              <w:bottom w:val="single" w:color="auto" w:sz="4" w:space="0"/>
              <w:right w:val="single" w:color="auto" w:sz="4" w:space="0"/>
            </w:tcBorders>
            <w:vAlign w:val="center"/>
          </w:tcPr>
          <w:p w14:paraId="10A1D4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08" w:type="dxa"/>
            <w:tcBorders>
              <w:top w:val="single" w:color="auto" w:sz="4" w:space="0"/>
              <w:left w:val="single" w:color="auto" w:sz="4" w:space="0"/>
              <w:bottom w:val="single" w:color="auto" w:sz="4" w:space="0"/>
              <w:right w:val="single" w:color="auto" w:sz="4" w:space="0"/>
            </w:tcBorders>
            <w:vAlign w:val="center"/>
          </w:tcPr>
          <w:p w14:paraId="2A29B9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6A8BFC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261F1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2640B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1467621C">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120CD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1134" w:type="dxa"/>
            <w:tcBorders>
              <w:top w:val="single" w:color="auto" w:sz="4" w:space="0"/>
              <w:left w:val="single" w:color="auto" w:sz="4" w:space="0"/>
              <w:bottom w:val="single" w:color="auto" w:sz="4" w:space="0"/>
              <w:right w:val="single" w:color="auto" w:sz="4" w:space="0"/>
            </w:tcBorders>
            <w:vAlign w:val="center"/>
          </w:tcPr>
          <w:p w14:paraId="46CFAE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549F84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13.31</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4E2DCD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13.31</w:t>
            </w:r>
          </w:p>
        </w:tc>
        <w:tc>
          <w:tcPr>
            <w:tcW w:w="709" w:type="dxa"/>
            <w:tcBorders>
              <w:top w:val="single" w:color="auto" w:sz="4" w:space="0"/>
              <w:left w:val="single" w:color="auto" w:sz="4" w:space="0"/>
              <w:bottom w:val="single" w:color="auto" w:sz="4" w:space="0"/>
              <w:right w:val="single" w:color="auto" w:sz="4" w:space="0"/>
            </w:tcBorders>
            <w:vAlign w:val="center"/>
          </w:tcPr>
          <w:p w14:paraId="7F294A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38905C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709" w:type="dxa"/>
            <w:tcBorders>
              <w:top w:val="single" w:color="auto" w:sz="4" w:space="0"/>
              <w:left w:val="single" w:color="auto" w:sz="4" w:space="0"/>
              <w:bottom w:val="single" w:color="auto" w:sz="4" w:space="0"/>
              <w:right w:val="single" w:color="auto" w:sz="4" w:space="0"/>
            </w:tcBorders>
            <w:vAlign w:val="center"/>
          </w:tcPr>
          <w:p w14:paraId="26AA26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vMerge w:val="restart"/>
            <w:tcBorders>
              <w:top w:val="single" w:color="auto" w:sz="4" w:space="0"/>
              <w:left w:val="single" w:color="auto" w:sz="4" w:space="0"/>
              <w:bottom w:val="single" w:color="auto" w:sz="4" w:space="0"/>
              <w:right w:val="single" w:color="auto" w:sz="4" w:space="0"/>
            </w:tcBorders>
            <w:vAlign w:val="center"/>
          </w:tcPr>
          <w:p w14:paraId="239DAFEE">
            <w:pPr>
              <w:widowControl/>
              <w:jc w:val="left"/>
              <w:rPr>
                <w:rFonts w:hint="eastAsia" w:ascii="黑体" w:hAnsi="黑体" w:eastAsia="黑体" w:cs="宋体"/>
                <w:i/>
                <w:iCs/>
                <w:color w:val="000000"/>
                <w:kern w:val="0"/>
                <w:sz w:val="18"/>
                <w:szCs w:val="18"/>
              </w:rPr>
            </w:pPr>
            <w:r>
              <w:rPr>
                <w:rFonts w:hint="eastAsia" w:ascii="黑体" w:hAnsi="黑体" w:eastAsia="黑体" w:cs="宋体"/>
                <w:i/>
                <w:iCs/>
                <w:color w:val="000000"/>
                <w:kern w:val="0"/>
                <w:sz w:val="18"/>
                <w:szCs w:val="18"/>
              </w:rPr>
              <w:t>无</w:t>
            </w:r>
          </w:p>
        </w:tc>
      </w:tr>
      <w:tr w14:paraId="5DAB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599C1A91">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6FD6C3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其中：财政资金</w:t>
            </w:r>
          </w:p>
        </w:tc>
        <w:tc>
          <w:tcPr>
            <w:tcW w:w="1134" w:type="dxa"/>
            <w:tcBorders>
              <w:top w:val="single" w:color="auto" w:sz="4" w:space="0"/>
              <w:left w:val="single" w:color="auto" w:sz="4" w:space="0"/>
              <w:bottom w:val="single" w:color="auto" w:sz="4" w:space="0"/>
              <w:right w:val="single" w:color="auto" w:sz="4" w:space="0"/>
            </w:tcBorders>
            <w:vAlign w:val="center"/>
          </w:tcPr>
          <w:p w14:paraId="7E09B2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214E64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13.31</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7785A6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13.31</w:t>
            </w:r>
          </w:p>
        </w:tc>
        <w:tc>
          <w:tcPr>
            <w:tcW w:w="709" w:type="dxa"/>
            <w:tcBorders>
              <w:top w:val="single" w:color="auto" w:sz="4" w:space="0"/>
              <w:left w:val="single" w:color="auto" w:sz="4" w:space="0"/>
              <w:bottom w:val="single" w:color="auto" w:sz="4" w:space="0"/>
              <w:right w:val="single" w:color="auto" w:sz="4" w:space="0"/>
            </w:tcBorders>
            <w:vAlign w:val="center"/>
          </w:tcPr>
          <w:p w14:paraId="5FCA609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08" w:type="dxa"/>
            <w:tcBorders>
              <w:top w:val="single" w:color="auto" w:sz="4" w:space="0"/>
              <w:left w:val="single" w:color="auto" w:sz="4" w:space="0"/>
              <w:bottom w:val="single" w:color="auto" w:sz="4" w:space="0"/>
              <w:right w:val="single" w:color="auto" w:sz="4" w:space="0"/>
            </w:tcBorders>
            <w:vAlign w:val="center"/>
          </w:tcPr>
          <w:p w14:paraId="17B380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3F65E9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4986C1EB">
            <w:pPr>
              <w:widowControl/>
              <w:jc w:val="left"/>
              <w:rPr>
                <w:rFonts w:hint="eastAsia" w:ascii="黑体" w:hAnsi="黑体" w:eastAsia="黑体" w:cs="宋体"/>
                <w:i/>
                <w:iCs/>
                <w:color w:val="000000"/>
                <w:kern w:val="0"/>
                <w:sz w:val="18"/>
                <w:szCs w:val="18"/>
              </w:rPr>
            </w:pPr>
          </w:p>
        </w:tc>
      </w:tr>
      <w:tr w14:paraId="0C26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91EA265">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4B4537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1134" w:type="dxa"/>
            <w:tcBorders>
              <w:top w:val="single" w:color="auto" w:sz="4" w:space="0"/>
              <w:left w:val="single" w:color="auto" w:sz="4" w:space="0"/>
              <w:bottom w:val="single" w:color="auto" w:sz="4" w:space="0"/>
              <w:right w:val="single" w:color="auto" w:sz="4" w:space="0"/>
            </w:tcBorders>
            <w:vAlign w:val="center"/>
          </w:tcPr>
          <w:p w14:paraId="0C6775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45D212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555380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253B2D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324302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266C7E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7A012C1E">
            <w:pPr>
              <w:widowControl/>
              <w:jc w:val="left"/>
              <w:rPr>
                <w:rFonts w:hint="eastAsia" w:ascii="黑体" w:hAnsi="黑体" w:eastAsia="黑体" w:cs="宋体"/>
                <w:i/>
                <w:iCs/>
                <w:color w:val="000000"/>
                <w:kern w:val="0"/>
                <w:sz w:val="18"/>
                <w:szCs w:val="18"/>
              </w:rPr>
            </w:pPr>
          </w:p>
        </w:tc>
      </w:tr>
      <w:tr w14:paraId="5E2E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6FF7662E">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1A4458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1134" w:type="dxa"/>
            <w:tcBorders>
              <w:top w:val="single" w:color="auto" w:sz="4" w:space="0"/>
              <w:left w:val="single" w:color="auto" w:sz="4" w:space="0"/>
              <w:bottom w:val="single" w:color="auto" w:sz="4" w:space="0"/>
              <w:right w:val="single" w:color="auto" w:sz="4" w:space="0"/>
            </w:tcBorders>
            <w:vAlign w:val="center"/>
          </w:tcPr>
          <w:p w14:paraId="2159AF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134" w:type="dxa"/>
            <w:tcBorders>
              <w:top w:val="single" w:color="auto" w:sz="4" w:space="0"/>
              <w:left w:val="single" w:color="auto" w:sz="4" w:space="0"/>
              <w:bottom w:val="single" w:color="auto" w:sz="4" w:space="0"/>
              <w:right w:val="single" w:color="auto" w:sz="4" w:space="0"/>
            </w:tcBorders>
            <w:vAlign w:val="center"/>
          </w:tcPr>
          <w:p w14:paraId="0373415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2B664B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9" w:type="dxa"/>
            <w:tcBorders>
              <w:top w:val="single" w:color="auto" w:sz="4" w:space="0"/>
              <w:left w:val="single" w:color="auto" w:sz="4" w:space="0"/>
              <w:bottom w:val="single" w:color="auto" w:sz="4" w:space="0"/>
              <w:right w:val="single" w:color="auto" w:sz="4" w:space="0"/>
            </w:tcBorders>
            <w:vAlign w:val="center"/>
          </w:tcPr>
          <w:p w14:paraId="40C7E7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08" w:type="dxa"/>
            <w:tcBorders>
              <w:top w:val="single" w:color="auto" w:sz="4" w:space="0"/>
              <w:left w:val="single" w:color="auto" w:sz="4" w:space="0"/>
              <w:bottom w:val="single" w:color="auto" w:sz="4" w:space="0"/>
              <w:right w:val="single" w:color="auto" w:sz="4" w:space="0"/>
            </w:tcBorders>
            <w:vAlign w:val="center"/>
          </w:tcPr>
          <w:p w14:paraId="56A03F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CC259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02B99DF8">
            <w:pPr>
              <w:widowControl/>
              <w:jc w:val="left"/>
              <w:rPr>
                <w:rFonts w:hint="eastAsia" w:ascii="黑体" w:hAnsi="黑体" w:eastAsia="黑体" w:cs="宋体"/>
                <w:i/>
                <w:iCs/>
                <w:color w:val="000000"/>
                <w:kern w:val="0"/>
                <w:sz w:val="18"/>
                <w:szCs w:val="18"/>
              </w:rPr>
            </w:pPr>
          </w:p>
        </w:tc>
      </w:tr>
      <w:tr w14:paraId="70659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025EB10A">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75AD6B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1134" w:type="dxa"/>
            <w:tcBorders>
              <w:top w:val="single" w:color="auto" w:sz="4" w:space="0"/>
              <w:left w:val="single" w:color="auto" w:sz="4" w:space="0"/>
              <w:bottom w:val="single" w:color="auto" w:sz="4" w:space="0"/>
              <w:right w:val="single" w:color="auto" w:sz="4" w:space="0"/>
            </w:tcBorders>
            <w:vAlign w:val="center"/>
          </w:tcPr>
          <w:p w14:paraId="7E26F19E">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134" w:type="dxa"/>
            <w:tcBorders>
              <w:top w:val="single" w:color="auto" w:sz="4" w:space="0"/>
              <w:left w:val="single" w:color="auto" w:sz="4" w:space="0"/>
              <w:bottom w:val="single" w:color="auto" w:sz="4" w:space="0"/>
              <w:right w:val="single" w:color="auto" w:sz="4" w:space="0"/>
            </w:tcBorders>
            <w:vAlign w:val="center"/>
          </w:tcPr>
          <w:p w14:paraId="21CF8A27">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2127" w:type="dxa"/>
            <w:gridSpan w:val="3"/>
            <w:tcBorders>
              <w:top w:val="single" w:color="auto" w:sz="4" w:space="0"/>
              <w:left w:val="single" w:color="auto" w:sz="4" w:space="0"/>
              <w:bottom w:val="single" w:color="auto" w:sz="4" w:space="0"/>
              <w:right w:val="single" w:color="auto" w:sz="4" w:space="0"/>
            </w:tcBorders>
            <w:vAlign w:val="center"/>
          </w:tcPr>
          <w:p w14:paraId="7A47CA81">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9" w:type="dxa"/>
            <w:tcBorders>
              <w:top w:val="single" w:color="auto" w:sz="4" w:space="0"/>
              <w:left w:val="single" w:color="auto" w:sz="4" w:space="0"/>
              <w:bottom w:val="single" w:color="auto" w:sz="4" w:space="0"/>
              <w:right w:val="single" w:color="auto" w:sz="4" w:space="0"/>
            </w:tcBorders>
            <w:vAlign w:val="center"/>
          </w:tcPr>
          <w:p w14:paraId="12C621BA">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08" w:type="dxa"/>
            <w:tcBorders>
              <w:top w:val="single" w:color="auto" w:sz="4" w:space="0"/>
              <w:left w:val="single" w:color="auto" w:sz="4" w:space="0"/>
              <w:bottom w:val="single" w:color="auto" w:sz="4" w:space="0"/>
              <w:right w:val="single" w:color="auto" w:sz="4" w:space="0"/>
            </w:tcBorders>
            <w:vAlign w:val="center"/>
          </w:tcPr>
          <w:p w14:paraId="3907D0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60F581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992" w:type="dxa"/>
            <w:gridSpan w:val="2"/>
            <w:vMerge w:val="continue"/>
            <w:tcBorders>
              <w:top w:val="single" w:color="auto" w:sz="4" w:space="0"/>
              <w:left w:val="single" w:color="auto" w:sz="4" w:space="0"/>
              <w:bottom w:val="single" w:color="auto" w:sz="4" w:space="0"/>
              <w:right w:val="single" w:color="auto" w:sz="4" w:space="0"/>
            </w:tcBorders>
            <w:vAlign w:val="center"/>
          </w:tcPr>
          <w:p w14:paraId="5908043B">
            <w:pPr>
              <w:widowControl/>
              <w:jc w:val="left"/>
              <w:rPr>
                <w:rFonts w:hint="eastAsia" w:ascii="黑体" w:hAnsi="黑体" w:eastAsia="黑体" w:cs="宋体"/>
                <w:i/>
                <w:iCs/>
                <w:color w:val="000000"/>
                <w:kern w:val="0"/>
                <w:sz w:val="18"/>
                <w:szCs w:val="18"/>
              </w:rPr>
            </w:pPr>
          </w:p>
        </w:tc>
      </w:tr>
      <w:tr w14:paraId="17D3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851" w:type="dxa"/>
            <w:vMerge w:val="restart"/>
            <w:tcBorders>
              <w:top w:val="single" w:color="auto" w:sz="4" w:space="0"/>
              <w:left w:val="single" w:color="auto" w:sz="4" w:space="0"/>
              <w:bottom w:val="single" w:color="auto" w:sz="4" w:space="0"/>
              <w:right w:val="single" w:color="auto" w:sz="4" w:space="0"/>
            </w:tcBorders>
            <w:vAlign w:val="center"/>
          </w:tcPr>
          <w:p w14:paraId="0DED43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559" w:type="dxa"/>
            <w:tcBorders>
              <w:top w:val="single" w:color="auto" w:sz="4" w:space="0"/>
              <w:left w:val="single" w:color="auto" w:sz="4" w:space="0"/>
              <w:bottom w:val="single" w:color="auto" w:sz="4" w:space="0"/>
              <w:right w:val="single" w:color="auto" w:sz="4" w:space="0"/>
            </w:tcBorders>
            <w:vAlign w:val="center"/>
          </w:tcPr>
          <w:p w14:paraId="1932A47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1134" w:type="dxa"/>
            <w:tcBorders>
              <w:top w:val="single" w:color="auto" w:sz="4" w:space="0"/>
              <w:left w:val="single" w:color="auto" w:sz="4" w:space="0"/>
              <w:bottom w:val="single" w:color="auto" w:sz="4" w:space="0"/>
              <w:right w:val="single" w:color="auto" w:sz="4" w:space="0"/>
            </w:tcBorders>
            <w:vAlign w:val="center"/>
          </w:tcPr>
          <w:p w14:paraId="5248D4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1134" w:type="dxa"/>
            <w:tcBorders>
              <w:top w:val="single" w:color="auto" w:sz="4" w:space="0"/>
              <w:left w:val="single" w:color="auto" w:sz="4" w:space="0"/>
              <w:bottom w:val="single" w:color="auto" w:sz="4" w:space="0"/>
              <w:right w:val="single" w:color="auto" w:sz="4" w:space="0"/>
            </w:tcBorders>
            <w:vAlign w:val="center"/>
          </w:tcPr>
          <w:p w14:paraId="449439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851" w:type="dxa"/>
            <w:tcBorders>
              <w:top w:val="single" w:color="auto" w:sz="4" w:space="0"/>
              <w:left w:val="single" w:color="auto" w:sz="4" w:space="0"/>
              <w:bottom w:val="single" w:color="auto" w:sz="4" w:space="0"/>
              <w:right w:val="single" w:color="auto" w:sz="4" w:space="0"/>
            </w:tcBorders>
            <w:vAlign w:val="center"/>
          </w:tcPr>
          <w:p w14:paraId="258EE7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646" w:type="dxa"/>
            <w:tcBorders>
              <w:top w:val="single" w:color="auto" w:sz="4" w:space="0"/>
              <w:left w:val="single" w:color="auto" w:sz="4" w:space="0"/>
              <w:bottom w:val="single" w:color="auto" w:sz="4" w:space="0"/>
              <w:right w:val="single" w:color="auto" w:sz="4" w:space="0"/>
            </w:tcBorders>
            <w:vAlign w:val="center"/>
          </w:tcPr>
          <w:p w14:paraId="3157AC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630" w:type="dxa"/>
            <w:tcBorders>
              <w:top w:val="single" w:color="auto" w:sz="4" w:space="0"/>
              <w:left w:val="single" w:color="auto" w:sz="4" w:space="0"/>
              <w:bottom w:val="single" w:color="auto" w:sz="4" w:space="0"/>
              <w:right w:val="single" w:color="auto" w:sz="4" w:space="0"/>
            </w:tcBorders>
            <w:vAlign w:val="center"/>
          </w:tcPr>
          <w:p w14:paraId="10521D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709" w:type="dxa"/>
            <w:tcBorders>
              <w:top w:val="single" w:color="auto" w:sz="4" w:space="0"/>
              <w:left w:val="single" w:color="auto" w:sz="4" w:space="0"/>
              <w:bottom w:val="single" w:color="auto" w:sz="4" w:space="0"/>
              <w:right w:val="single" w:color="auto" w:sz="4" w:space="0"/>
            </w:tcBorders>
            <w:vAlign w:val="center"/>
          </w:tcPr>
          <w:p w14:paraId="56521B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08" w:type="dxa"/>
            <w:tcBorders>
              <w:top w:val="single" w:color="auto" w:sz="4" w:space="0"/>
              <w:left w:val="single" w:color="auto" w:sz="4" w:space="0"/>
              <w:bottom w:val="single" w:color="auto" w:sz="4" w:space="0"/>
              <w:right w:val="single" w:color="auto" w:sz="4" w:space="0"/>
            </w:tcBorders>
            <w:vAlign w:val="center"/>
          </w:tcPr>
          <w:p w14:paraId="6B7687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709" w:type="dxa"/>
            <w:tcBorders>
              <w:top w:val="single" w:color="auto" w:sz="4" w:space="0"/>
              <w:left w:val="single" w:color="auto" w:sz="4" w:space="0"/>
              <w:bottom w:val="single" w:color="auto" w:sz="4" w:space="0"/>
              <w:right w:val="single" w:color="auto" w:sz="4" w:space="0"/>
            </w:tcBorders>
            <w:vAlign w:val="center"/>
          </w:tcPr>
          <w:p w14:paraId="19EB67D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6BE6D4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未完成原因分析</w:t>
            </w:r>
          </w:p>
        </w:tc>
      </w:tr>
      <w:tr w14:paraId="6B04A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2490F720">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7CDD7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产出指标</w:t>
            </w:r>
          </w:p>
        </w:tc>
        <w:tc>
          <w:tcPr>
            <w:tcW w:w="1134" w:type="dxa"/>
            <w:tcBorders>
              <w:top w:val="single" w:color="auto" w:sz="4" w:space="0"/>
              <w:left w:val="single" w:color="auto" w:sz="4" w:space="0"/>
              <w:bottom w:val="single" w:color="auto" w:sz="4" w:space="0"/>
              <w:right w:val="single" w:color="auto" w:sz="4" w:space="0"/>
            </w:tcBorders>
            <w:vAlign w:val="center"/>
          </w:tcPr>
          <w:p w14:paraId="2C32F7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数量指标</w:t>
            </w:r>
          </w:p>
        </w:tc>
        <w:tc>
          <w:tcPr>
            <w:tcW w:w="1134" w:type="dxa"/>
            <w:tcBorders>
              <w:top w:val="single" w:color="auto" w:sz="4" w:space="0"/>
              <w:left w:val="single" w:color="auto" w:sz="4" w:space="0"/>
              <w:bottom w:val="single" w:color="auto" w:sz="4" w:space="0"/>
              <w:right w:val="single" w:color="auto" w:sz="4" w:space="0"/>
            </w:tcBorders>
            <w:vAlign w:val="center"/>
          </w:tcPr>
          <w:p w14:paraId="111F82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发放（缴纳）覆盖率</w:t>
            </w:r>
          </w:p>
        </w:tc>
        <w:tc>
          <w:tcPr>
            <w:tcW w:w="851" w:type="dxa"/>
            <w:tcBorders>
              <w:top w:val="single" w:color="auto" w:sz="4" w:space="0"/>
              <w:left w:val="single" w:color="auto" w:sz="4" w:space="0"/>
              <w:bottom w:val="single" w:color="auto" w:sz="4" w:space="0"/>
              <w:right w:val="single" w:color="auto" w:sz="4" w:space="0"/>
            </w:tcBorders>
            <w:vAlign w:val="center"/>
          </w:tcPr>
          <w:p w14:paraId="01B7DC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2126BB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6BBEDE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4F539E5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03E48B3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709" w:type="dxa"/>
            <w:tcBorders>
              <w:top w:val="single" w:color="auto" w:sz="4" w:space="0"/>
              <w:left w:val="single" w:color="auto" w:sz="4" w:space="0"/>
              <w:bottom w:val="single" w:color="auto" w:sz="4" w:space="0"/>
              <w:right w:val="single" w:color="auto" w:sz="4" w:space="0"/>
            </w:tcBorders>
            <w:vAlign w:val="center"/>
          </w:tcPr>
          <w:p w14:paraId="05E1EB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D53321F">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B3D8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14:paraId="4E543C67">
            <w:pPr>
              <w:widowControl/>
              <w:jc w:val="left"/>
              <w:rPr>
                <w:rFonts w:hint="eastAsia" w:ascii="宋体" w:hAnsi="宋体" w:cs="宋体"/>
                <w:color w:val="000000"/>
                <w:kern w:val="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14:paraId="2EEC5C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2F0D12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社会效益指标</w:t>
            </w:r>
          </w:p>
        </w:tc>
        <w:tc>
          <w:tcPr>
            <w:tcW w:w="1134" w:type="dxa"/>
            <w:tcBorders>
              <w:top w:val="single" w:color="auto" w:sz="4" w:space="0"/>
              <w:left w:val="single" w:color="auto" w:sz="4" w:space="0"/>
              <w:bottom w:val="single" w:color="auto" w:sz="4" w:space="0"/>
              <w:right w:val="single" w:color="auto" w:sz="4" w:space="0"/>
            </w:tcBorders>
            <w:vAlign w:val="center"/>
          </w:tcPr>
          <w:p w14:paraId="64769B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足额保障率（参保率）</w:t>
            </w:r>
          </w:p>
        </w:tc>
        <w:tc>
          <w:tcPr>
            <w:tcW w:w="851" w:type="dxa"/>
            <w:tcBorders>
              <w:top w:val="single" w:color="auto" w:sz="4" w:space="0"/>
              <w:left w:val="single" w:color="auto" w:sz="4" w:space="0"/>
              <w:bottom w:val="single" w:color="auto" w:sz="4" w:space="0"/>
              <w:right w:val="single" w:color="auto" w:sz="4" w:space="0"/>
            </w:tcBorders>
            <w:vAlign w:val="center"/>
          </w:tcPr>
          <w:p w14:paraId="4719DB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6" w:type="dxa"/>
            <w:tcBorders>
              <w:top w:val="single" w:color="auto" w:sz="4" w:space="0"/>
              <w:left w:val="single" w:color="auto" w:sz="4" w:space="0"/>
              <w:bottom w:val="single" w:color="auto" w:sz="4" w:space="0"/>
              <w:right w:val="single" w:color="auto" w:sz="4" w:space="0"/>
            </w:tcBorders>
            <w:vAlign w:val="center"/>
          </w:tcPr>
          <w:p w14:paraId="6E549E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30" w:type="dxa"/>
            <w:tcBorders>
              <w:top w:val="single" w:color="auto" w:sz="4" w:space="0"/>
              <w:left w:val="single" w:color="auto" w:sz="4" w:space="0"/>
              <w:bottom w:val="single" w:color="auto" w:sz="4" w:space="0"/>
              <w:right w:val="single" w:color="auto" w:sz="4" w:space="0"/>
            </w:tcBorders>
            <w:vAlign w:val="center"/>
          </w:tcPr>
          <w:p w14:paraId="68E392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1F538FF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100</w:t>
            </w:r>
          </w:p>
        </w:tc>
        <w:tc>
          <w:tcPr>
            <w:tcW w:w="708" w:type="dxa"/>
            <w:tcBorders>
              <w:top w:val="single" w:color="auto" w:sz="4" w:space="0"/>
              <w:left w:val="single" w:color="auto" w:sz="4" w:space="0"/>
              <w:bottom w:val="single" w:color="auto" w:sz="4" w:space="0"/>
              <w:right w:val="single" w:color="auto" w:sz="4" w:space="0"/>
            </w:tcBorders>
            <w:vAlign w:val="center"/>
          </w:tcPr>
          <w:p w14:paraId="543B50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709" w:type="dxa"/>
            <w:tcBorders>
              <w:top w:val="single" w:color="auto" w:sz="4" w:space="0"/>
              <w:left w:val="single" w:color="auto" w:sz="4" w:space="0"/>
              <w:bottom w:val="single" w:color="auto" w:sz="4" w:space="0"/>
              <w:right w:val="single" w:color="auto" w:sz="4" w:space="0"/>
            </w:tcBorders>
            <w:vAlign w:val="center"/>
          </w:tcPr>
          <w:p w14:paraId="21ACFB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DBE098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01E1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4" w:type="dxa"/>
            <w:gridSpan w:val="8"/>
            <w:tcBorders>
              <w:top w:val="single" w:color="auto" w:sz="4" w:space="0"/>
              <w:left w:val="single" w:color="auto" w:sz="4" w:space="0"/>
              <w:bottom w:val="single" w:color="auto" w:sz="4" w:space="0"/>
              <w:right w:val="single" w:color="auto" w:sz="4" w:space="0"/>
            </w:tcBorders>
            <w:vAlign w:val="center"/>
          </w:tcPr>
          <w:p w14:paraId="510974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08" w:type="dxa"/>
            <w:tcBorders>
              <w:top w:val="single" w:color="auto" w:sz="4" w:space="0"/>
              <w:left w:val="single" w:color="auto" w:sz="4" w:space="0"/>
              <w:bottom w:val="single" w:color="auto" w:sz="4" w:space="0"/>
              <w:right w:val="single" w:color="auto" w:sz="4" w:space="0"/>
            </w:tcBorders>
            <w:vAlign w:val="center"/>
          </w:tcPr>
          <w:p w14:paraId="6E1AF5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709" w:type="dxa"/>
            <w:tcBorders>
              <w:top w:val="single" w:color="auto" w:sz="4" w:space="0"/>
              <w:left w:val="single" w:color="auto" w:sz="4" w:space="0"/>
              <w:bottom w:val="single" w:color="auto" w:sz="4" w:space="0"/>
              <w:right w:val="single" w:color="auto" w:sz="4" w:space="0"/>
            </w:tcBorders>
            <w:vAlign w:val="center"/>
          </w:tcPr>
          <w:p w14:paraId="0D71E42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3029182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34D8B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57A7D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033B4103">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xml:space="preserve"> 该项目年初预算0万元，调整后预算13.31万元，预算执行数13.31万元，预算执行率100%，项目产出、效果等均符合预期，自评得100分。</w:t>
            </w:r>
          </w:p>
        </w:tc>
      </w:tr>
      <w:tr w14:paraId="7E54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570E8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738394E9">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69090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F88978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9072" w:type="dxa"/>
            <w:gridSpan w:val="11"/>
            <w:tcBorders>
              <w:top w:val="single" w:color="auto" w:sz="4" w:space="0"/>
              <w:left w:val="single" w:color="auto" w:sz="4" w:space="0"/>
              <w:bottom w:val="single" w:color="auto" w:sz="4" w:space="0"/>
              <w:right w:val="single" w:color="auto" w:sz="4" w:space="0"/>
            </w:tcBorders>
            <w:vAlign w:val="center"/>
          </w:tcPr>
          <w:p w14:paraId="60F30869">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无</w:t>
            </w:r>
          </w:p>
        </w:tc>
      </w:tr>
      <w:tr w14:paraId="0E310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529" w:type="dxa"/>
            <w:gridSpan w:val="5"/>
            <w:tcBorders>
              <w:top w:val="single" w:color="auto" w:sz="4" w:space="0"/>
              <w:left w:val="single" w:color="auto" w:sz="4" w:space="0"/>
              <w:bottom w:val="single" w:color="auto" w:sz="4" w:space="0"/>
              <w:right w:val="single" w:color="auto" w:sz="4" w:space="0"/>
            </w:tcBorders>
            <w:vAlign w:val="center"/>
          </w:tcPr>
          <w:p w14:paraId="77988567">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项目负责人：何彬</w:t>
            </w:r>
          </w:p>
        </w:tc>
        <w:tc>
          <w:tcPr>
            <w:tcW w:w="4394" w:type="dxa"/>
            <w:gridSpan w:val="7"/>
            <w:tcBorders>
              <w:top w:val="single" w:color="auto" w:sz="4" w:space="0"/>
              <w:left w:val="single" w:color="auto" w:sz="4" w:space="0"/>
              <w:bottom w:val="single" w:color="auto" w:sz="4" w:space="0"/>
              <w:right w:val="single" w:color="auto" w:sz="4" w:space="0"/>
            </w:tcBorders>
            <w:vAlign w:val="center"/>
          </w:tcPr>
          <w:p w14:paraId="23DED836">
            <w:pPr>
              <w:widowControl/>
              <w:jc w:val="left"/>
              <w:rPr>
                <w:rFonts w:hint="eastAsia" w:ascii="黑体" w:hAnsi="黑体" w:eastAsia="黑体" w:cs="宋体"/>
                <w:color w:val="000000"/>
                <w:kern w:val="0"/>
                <w:sz w:val="18"/>
                <w:szCs w:val="18"/>
              </w:rPr>
            </w:pPr>
            <w:r>
              <w:rPr>
                <w:rFonts w:hint="eastAsia" w:ascii="黑体" w:hAnsi="黑体" w:eastAsia="黑体" w:cs="宋体"/>
                <w:color w:val="000000"/>
                <w:kern w:val="0"/>
                <w:sz w:val="18"/>
                <w:szCs w:val="18"/>
              </w:rPr>
              <w:t>财务负责人：黄府成</w:t>
            </w:r>
          </w:p>
        </w:tc>
      </w:tr>
      <w:tr w14:paraId="777E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51" w:type="dxa"/>
            <w:tcBorders>
              <w:top w:val="single" w:color="auto" w:sz="4" w:space="0"/>
              <w:left w:val="nil"/>
              <w:bottom w:val="nil"/>
              <w:right w:val="nil"/>
            </w:tcBorders>
            <w:vAlign w:val="center"/>
          </w:tcPr>
          <w:p w14:paraId="40DB67C7">
            <w:pPr>
              <w:widowControl/>
              <w:jc w:val="left"/>
              <w:rPr>
                <w:rFonts w:hint="eastAsia" w:ascii="黑体" w:hAnsi="黑体" w:eastAsia="黑体" w:cs="宋体"/>
                <w:color w:val="000000"/>
                <w:kern w:val="0"/>
                <w:sz w:val="18"/>
                <w:szCs w:val="18"/>
              </w:rPr>
            </w:pPr>
          </w:p>
        </w:tc>
        <w:tc>
          <w:tcPr>
            <w:tcW w:w="1559" w:type="dxa"/>
            <w:tcBorders>
              <w:top w:val="single" w:color="auto" w:sz="4" w:space="0"/>
              <w:left w:val="nil"/>
              <w:bottom w:val="nil"/>
              <w:right w:val="nil"/>
            </w:tcBorders>
            <w:vAlign w:val="center"/>
          </w:tcPr>
          <w:p w14:paraId="2EB598AB">
            <w:pPr>
              <w:widowControl/>
              <w:jc w:val="left"/>
              <w:rPr>
                <w:rFonts w:eastAsia="Times New Roman"/>
                <w:kern w:val="0"/>
                <w:sz w:val="20"/>
                <w:szCs w:val="20"/>
              </w:rPr>
            </w:pPr>
          </w:p>
        </w:tc>
        <w:tc>
          <w:tcPr>
            <w:tcW w:w="1134" w:type="dxa"/>
            <w:tcBorders>
              <w:top w:val="single" w:color="auto" w:sz="4" w:space="0"/>
              <w:left w:val="nil"/>
              <w:bottom w:val="nil"/>
              <w:right w:val="nil"/>
            </w:tcBorders>
            <w:vAlign w:val="center"/>
          </w:tcPr>
          <w:p w14:paraId="1B31134C">
            <w:pPr>
              <w:widowControl/>
              <w:jc w:val="left"/>
              <w:rPr>
                <w:rFonts w:eastAsia="Times New Roman"/>
                <w:kern w:val="0"/>
                <w:sz w:val="20"/>
                <w:szCs w:val="20"/>
              </w:rPr>
            </w:pPr>
          </w:p>
        </w:tc>
        <w:tc>
          <w:tcPr>
            <w:tcW w:w="1134" w:type="dxa"/>
            <w:tcBorders>
              <w:top w:val="single" w:color="auto" w:sz="4" w:space="0"/>
              <w:left w:val="nil"/>
              <w:bottom w:val="nil"/>
              <w:right w:val="nil"/>
            </w:tcBorders>
            <w:vAlign w:val="center"/>
          </w:tcPr>
          <w:p w14:paraId="4532CDC7">
            <w:pPr>
              <w:widowControl/>
              <w:jc w:val="left"/>
              <w:rPr>
                <w:rFonts w:eastAsia="Times New Roman"/>
                <w:kern w:val="0"/>
                <w:sz w:val="20"/>
                <w:szCs w:val="20"/>
              </w:rPr>
            </w:pPr>
          </w:p>
        </w:tc>
        <w:tc>
          <w:tcPr>
            <w:tcW w:w="851" w:type="dxa"/>
            <w:tcBorders>
              <w:top w:val="single" w:color="auto" w:sz="4" w:space="0"/>
              <w:left w:val="nil"/>
              <w:bottom w:val="nil"/>
              <w:right w:val="nil"/>
            </w:tcBorders>
            <w:vAlign w:val="center"/>
          </w:tcPr>
          <w:p w14:paraId="25FAD8AD">
            <w:pPr>
              <w:widowControl/>
              <w:jc w:val="left"/>
              <w:rPr>
                <w:rFonts w:eastAsia="Times New Roman"/>
                <w:kern w:val="0"/>
                <w:sz w:val="20"/>
                <w:szCs w:val="20"/>
              </w:rPr>
            </w:pPr>
          </w:p>
        </w:tc>
        <w:tc>
          <w:tcPr>
            <w:tcW w:w="646" w:type="dxa"/>
            <w:tcBorders>
              <w:top w:val="single" w:color="auto" w:sz="4" w:space="0"/>
              <w:left w:val="nil"/>
              <w:bottom w:val="nil"/>
              <w:right w:val="nil"/>
            </w:tcBorders>
            <w:vAlign w:val="center"/>
          </w:tcPr>
          <w:p w14:paraId="199A0605">
            <w:pPr>
              <w:widowControl/>
              <w:jc w:val="left"/>
              <w:rPr>
                <w:rFonts w:eastAsia="Times New Roman"/>
                <w:kern w:val="0"/>
                <w:sz w:val="20"/>
                <w:szCs w:val="20"/>
              </w:rPr>
            </w:pPr>
          </w:p>
        </w:tc>
        <w:tc>
          <w:tcPr>
            <w:tcW w:w="630" w:type="dxa"/>
            <w:tcBorders>
              <w:top w:val="single" w:color="auto" w:sz="4" w:space="0"/>
              <w:left w:val="nil"/>
              <w:bottom w:val="nil"/>
              <w:right w:val="nil"/>
            </w:tcBorders>
            <w:vAlign w:val="center"/>
          </w:tcPr>
          <w:p w14:paraId="6DE9B236">
            <w:pPr>
              <w:widowControl/>
              <w:jc w:val="left"/>
              <w:rPr>
                <w:rFonts w:eastAsia="Times New Roman"/>
                <w:kern w:val="0"/>
                <w:sz w:val="20"/>
                <w:szCs w:val="20"/>
              </w:rPr>
            </w:pPr>
          </w:p>
        </w:tc>
        <w:tc>
          <w:tcPr>
            <w:tcW w:w="709" w:type="dxa"/>
            <w:tcBorders>
              <w:top w:val="single" w:color="auto" w:sz="4" w:space="0"/>
              <w:left w:val="nil"/>
              <w:bottom w:val="nil"/>
              <w:right w:val="nil"/>
            </w:tcBorders>
            <w:vAlign w:val="center"/>
          </w:tcPr>
          <w:p w14:paraId="0C8E1FCF">
            <w:pPr>
              <w:widowControl/>
              <w:jc w:val="left"/>
              <w:rPr>
                <w:rFonts w:eastAsia="Times New Roman"/>
                <w:kern w:val="0"/>
                <w:sz w:val="20"/>
                <w:szCs w:val="20"/>
              </w:rPr>
            </w:pPr>
          </w:p>
        </w:tc>
        <w:tc>
          <w:tcPr>
            <w:tcW w:w="708" w:type="dxa"/>
            <w:tcBorders>
              <w:top w:val="single" w:color="auto" w:sz="4" w:space="0"/>
              <w:left w:val="nil"/>
              <w:bottom w:val="nil"/>
              <w:right w:val="nil"/>
            </w:tcBorders>
            <w:vAlign w:val="center"/>
          </w:tcPr>
          <w:p w14:paraId="0DF5ED43">
            <w:pPr>
              <w:widowControl/>
              <w:jc w:val="left"/>
              <w:rPr>
                <w:rFonts w:eastAsia="Times New Roman"/>
                <w:kern w:val="0"/>
                <w:sz w:val="20"/>
                <w:szCs w:val="20"/>
              </w:rPr>
            </w:pPr>
          </w:p>
        </w:tc>
        <w:tc>
          <w:tcPr>
            <w:tcW w:w="709" w:type="dxa"/>
            <w:tcBorders>
              <w:top w:val="single" w:color="auto" w:sz="4" w:space="0"/>
              <w:left w:val="nil"/>
              <w:bottom w:val="nil"/>
              <w:right w:val="nil"/>
            </w:tcBorders>
            <w:vAlign w:val="center"/>
          </w:tcPr>
          <w:p w14:paraId="02E0B491">
            <w:pPr>
              <w:widowControl/>
              <w:jc w:val="left"/>
              <w:rPr>
                <w:rFonts w:eastAsia="Times New Roman"/>
                <w:kern w:val="0"/>
                <w:sz w:val="20"/>
                <w:szCs w:val="20"/>
              </w:rPr>
            </w:pPr>
          </w:p>
        </w:tc>
        <w:tc>
          <w:tcPr>
            <w:tcW w:w="992" w:type="dxa"/>
            <w:gridSpan w:val="2"/>
            <w:tcBorders>
              <w:top w:val="single" w:color="auto" w:sz="4" w:space="0"/>
              <w:left w:val="nil"/>
              <w:bottom w:val="nil"/>
              <w:right w:val="nil"/>
            </w:tcBorders>
            <w:vAlign w:val="center"/>
          </w:tcPr>
          <w:p w14:paraId="7E90F354">
            <w:pPr>
              <w:widowControl/>
              <w:jc w:val="left"/>
              <w:rPr>
                <w:rFonts w:eastAsia="Times New Roman"/>
                <w:kern w:val="0"/>
                <w:sz w:val="20"/>
                <w:szCs w:val="20"/>
              </w:rPr>
            </w:pPr>
          </w:p>
        </w:tc>
      </w:tr>
    </w:tbl>
    <w:p w14:paraId="7DA1D6B7">
      <w:pPr>
        <w:spacing w:line="600" w:lineRule="exact"/>
        <w:jc w:val="center"/>
        <w:outlineLvl w:val="0"/>
        <w:rPr>
          <w:rFonts w:eastAsia="黑体"/>
          <w:sz w:val="44"/>
          <w:szCs w:val="44"/>
        </w:rPr>
      </w:pPr>
      <w:r>
        <w:rPr>
          <w:rFonts w:hint="eastAsia" w:cs="仿宋_GB2312"/>
          <w:sz w:val="32"/>
          <w:szCs w:val="32"/>
        </w:rPr>
        <w:br w:type="page"/>
      </w:r>
      <w:bookmarkStart w:id="80" w:name="_Toc206509456"/>
      <w:r>
        <w:rPr>
          <w:rFonts w:hint="eastAsia" w:eastAsia="黑体"/>
          <w:sz w:val="44"/>
          <w:szCs w:val="44"/>
        </w:rPr>
        <w:t>第五部分附表</w:t>
      </w:r>
      <w:bookmarkEnd w:id="76"/>
      <w:bookmarkEnd w:id="79"/>
      <w:bookmarkEnd w:id="80"/>
      <w:bookmarkStart w:id="81" w:name="_Toc15396619"/>
    </w:p>
    <w:p w14:paraId="6E4E6032">
      <w:pPr>
        <w:pStyle w:val="15"/>
        <w:adjustRightInd w:val="0"/>
        <w:snapToGrid w:val="0"/>
        <w:spacing w:line="560" w:lineRule="exact"/>
        <w:jc w:val="left"/>
        <w:rPr>
          <w:rFonts w:eastAsia="仿宋_GB2312" w:cs="仿宋_GB2312"/>
          <w:sz w:val="32"/>
          <w:szCs w:val="32"/>
        </w:rPr>
      </w:pPr>
    </w:p>
    <w:p w14:paraId="34D2B2E0">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82" w:name="_Toc206509457"/>
      <w:r>
        <w:rPr>
          <w:rFonts w:hint="eastAsia" w:ascii="宋体" w:hAnsi="宋体" w:eastAsia="仿宋_GB2312" w:cs="Times New Roman"/>
          <w:color w:val="000000"/>
          <w:sz w:val="32"/>
          <w:szCs w:val="32"/>
          <w:shd w:val="clear" w:color="auto" w:fill="FFFFFF"/>
          <w:lang w:val="zh-CN"/>
        </w:rPr>
        <w:t>一、收入支出决算总表</w:t>
      </w:r>
      <w:bookmarkEnd w:id="81"/>
      <w:bookmarkEnd w:id="82"/>
    </w:p>
    <w:p w14:paraId="37CE72BE">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83" w:name="_Toc15396620"/>
      <w:bookmarkStart w:id="84" w:name="_Toc206509458"/>
      <w:r>
        <w:rPr>
          <w:rFonts w:hint="eastAsia" w:ascii="宋体" w:hAnsi="宋体" w:eastAsia="仿宋_GB2312" w:cs="Times New Roman"/>
          <w:color w:val="000000"/>
          <w:sz w:val="32"/>
          <w:szCs w:val="32"/>
          <w:shd w:val="clear" w:color="auto" w:fill="FFFFFF"/>
          <w:lang w:val="zh-CN"/>
        </w:rPr>
        <w:t>二、收入决算表</w:t>
      </w:r>
      <w:bookmarkEnd w:id="83"/>
      <w:bookmarkEnd w:id="84"/>
    </w:p>
    <w:p w14:paraId="222ECCB6">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85" w:name="_Toc206509459"/>
      <w:bookmarkStart w:id="86" w:name="_Toc15396621"/>
      <w:r>
        <w:rPr>
          <w:rFonts w:hint="eastAsia" w:ascii="宋体" w:hAnsi="宋体" w:eastAsia="仿宋_GB2312" w:cs="Times New Roman"/>
          <w:color w:val="000000"/>
          <w:sz w:val="32"/>
          <w:szCs w:val="32"/>
          <w:shd w:val="clear" w:color="auto" w:fill="FFFFFF"/>
          <w:lang w:val="zh-CN"/>
        </w:rPr>
        <w:t>三、支出决算表</w:t>
      </w:r>
      <w:bookmarkEnd w:id="85"/>
      <w:bookmarkEnd w:id="86"/>
    </w:p>
    <w:p w14:paraId="5320AF8A">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87" w:name="_Toc15396622"/>
      <w:bookmarkStart w:id="88" w:name="_Toc206509460"/>
      <w:r>
        <w:rPr>
          <w:rFonts w:hint="eastAsia" w:ascii="宋体" w:hAnsi="宋体" w:eastAsia="仿宋_GB2312" w:cs="Times New Roman"/>
          <w:color w:val="000000"/>
          <w:sz w:val="32"/>
          <w:szCs w:val="32"/>
          <w:shd w:val="clear" w:color="auto" w:fill="FFFFFF"/>
          <w:lang w:val="zh-CN"/>
        </w:rPr>
        <w:t>四、财政拨款收入支出决算总表</w:t>
      </w:r>
      <w:bookmarkEnd w:id="87"/>
      <w:bookmarkEnd w:id="88"/>
    </w:p>
    <w:p w14:paraId="47755301">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89" w:name="_Toc15396623"/>
      <w:bookmarkStart w:id="90" w:name="_Toc206509461"/>
      <w:r>
        <w:rPr>
          <w:rFonts w:hint="eastAsia" w:ascii="宋体" w:hAnsi="宋体" w:eastAsia="仿宋_GB2312" w:cs="Times New Roman"/>
          <w:color w:val="000000"/>
          <w:sz w:val="32"/>
          <w:szCs w:val="32"/>
          <w:shd w:val="clear" w:color="auto" w:fill="FFFFFF"/>
          <w:lang w:val="zh-CN"/>
        </w:rPr>
        <w:t>五、财政拨款支出决算明细表</w:t>
      </w:r>
      <w:bookmarkEnd w:id="89"/>
      <w:bookmarkEnd w:id="90"/>
      <w:bookmarkStart w:id="91" w:name="_Toc15396624"/>
    </w:p>
    <w:p w14:paraId="5D4932B8">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92" w:name="_Toc206509462"/>
      <w:r>
        <w:rPr>
          <w:rFonts w:hint="eastAsia" w:ascii="宋体" w:hAnsi="宋体" w:eastAsia="仿宋_GB2312" w:cs="Times New Roman"/>
          <w:color w:val="000000"/>
          <w:sz w:val="32"/>
          <w:szCs w:val="32"/>
          <w:shd w:val="clear" w:color="auto" w:fill="FFFFFF"/>
          <w:lang w:val="zh-CN"/>
        </w:rPr>
        <w:t>六、一般公共预算财政拨款支出决算表</w:t>
      </w:r>
      <w:bookmarkEnd w:id="91"/>
      <w:bookmarkEnd w:id="92"/>
    </w:p>
    <w:p w14:paraId="16479C6B">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93" w:name="_Toc206509463"/>
      <w:bookmarkStart w:id="94" w:name="_Toc15396625"/>
      <w:r>
        <w:rPr>
          <w:rFonts w:hint="eastAsia" w:ascii="宋体" w:hAnsi="宋体" w:eastAsia="仿宋_GB2312" w:cs="Times New Roman"/>
          <w:color w:val="000000"/>
          <w:sz w:val="32"/>
          <w:szCs w:val="32"/>
          <w:shd w:val="clear" w:color="auto" w:fill="FFFFFF"/>
          <w:lang w:val="zh-CN"/>
        </w:rPr>
        <w:t>七、一般公共预算财政拨款支出决算明细表</w:t>
      </w:r>
      <w:bookmarkEnd w:id="93"/>
      <w:bookmarkEnd w:id="94"/>
    </w:p>
    <w:p w14:paraId="1C8AA138">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95" w:name="_Toc15396626"/>
      <w:bookmarkStart w:id="96" w:name="_Toc206509464"/>
      <w:r>
        <w:rPr>
          <w:rFonts w:hint="eastAsia" w:ascii="宋体" w:hAnsi="宋体" w:eastAsia="仿宋_GB2312" w:cs="Times New Roman"/>
          <w:color w:val="000000"/>
          <w:sz w:val="32"/>
          <w:szCs w:val="32"/>
          <w:shd w:val="clear" w:color="auto" w:fill="FFFFFF"/>
          <w:lang w:val="zh-CN"/>
        </w:rPr>
        <w:t>八、一般公共预算财政拨款基本支出决算表</w:t>
      </w:r>
      <w:bookmarkEnd w:id="95"/>
      <w:bookmarkEnd w:id="96"/>
    </w:p>
    <w:p w14:paraId="07DD9A26">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97" w:name="_Toc15396627"/>
      <w:bookmarkStart w:id="98" w:name="_Toc206509465"/>
      <w:r>
        <w:rPr>
          <w:rFonts w:hint="eastAsia" w:ascii="宋体" w:hAnsi="宋体" w:eastAsia="仿宋_GB2312" w:cs="Times New Roman"/>
          <w:color w:val="000000"/>
          <w:sz w:val="32"/>
          <w:szCs w:val="32"/>
          <w:shd w:val="clear" w:color="auto" w:fill="FFFFFF"/>
          <w:lang w:val="zh-CN"/>
        </w:rPr>
        <w:t>九、一般公共预算财政拨款项目支出决算表</w:t>
      </w:r>
      <w:bookmarkEnd w:id="97"/>
      <w:bookmarkEnd w:id="98"/>
    </w:p>
    <w:p w14:paraId="4FCFAD1E">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99" w:name="_Toc15396628"/>
      <w:bookmarkStart w:id="100" w:name="_Toc206509466"/>
      <w:r>
        <w:rPr>
          <w:rFonts w:hint="eastAsia" w:ascii="宋体" w:hAnsi="宋体" w:eastAsia="仿宋_GB2312" w:cs="Times New Roman"/>
          <w:color w:val="000000"/>
          <w:sz w:val="32"/>
          <w:szCs w:val="32"/>
          <w:shd w:val="clear" w:color="auto" w:fill="FFFFFF"/>
          <w:lang w:val="zh-CN"/>
        </w:rPr>
        <w:t>十、</w:t>
      </w:r>
      <w:bookmarkEnd w:id="99"/>
      <w:r>
        <w:rPr>
          <w:rFonts w:hint="eastAsia" w:ascii="宋体" w:hAnsi="宋体" w:eastAsia="仿宋_GB2312" w:cs="Times New Roman"/>
          <w:color w:val="000000"/>
          <w:sz w:val="32"/>
          <w:szCs w:val="32"/>
          <w:shd w:val="clear" w:color="auto" w:fill="FFFFFF"/>
          <w:lang w:val="zh-CN"/>
        </w:rPr>
        <w:t>政府性基金预算财政拨款收入支出决算表</w:t>
      </w:r>
      <w:bookmarkEnd w:id="100"/>
    </w:p>
    <w:p w14:paraId="5780CD4A">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101" w:name="_Toc15396629"/>
      <w:bookmarkStart w:id="102" w:name="_Toc206509467"/>
      <w:r>
        <w:rPr>
          <w:rFonts w:hint="eastAsia" w:ascii="宋体" w:hAnsi="宋体" w:eastAsia="仿宋_GB2312" w:cs="Times New Roman"/>
          <w:color w:val="000000"/>
          <w:sz w:val="32"/>
          <w:szCs w:val="32"/>
          <w:shd w:val="clear" w:color="auto" w:fill="FFFFFF"/>
          <w:lang w:val="zh-CN"/>
        </w:rPr>
        <w:t>十一、</w:t>
      </w:r>
      <w:bookmarkEnd w:id="101"/>
      <w:r>
        <w:rPr>
          <w:rFonts w:hint="eastAsia" w:ascii="宋体" w:hAnsi="宋体" w:eastAsia="仿宋_GB2312" w:cs="Times New Roman"/>
          <w:color w:val="000000"/>
          <w:sz w:val="32"/>
          <w:szCs w:val="32"/>
          <w:shd w:val="clear" w:color="auto" w:fill="FFFFFF"/>
          <w:lang w:val="zh-CN"/>
        </w:rPr>
        <w:t>国有资本经营预算财政拨款收入支出决算表</w:t>
      </w:r>
      <w:bookmarkEnd w:id="102"/>
    </w:p>
    <w:p w14:paraId="2F12F214">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103" w:name="_Toc15396630"/>
      <w:bookmarkStart w:id="104" w:name="_Toc206509468"/>
      <w:r>
        <w:rPr>
          <w:rFonts w:hint="eastAsia" w:ascii="宋体" w:hAnsi="宋体" w:eastAsia="仿宋_GB2312" w:cs="Times New Roman"/>
          <w:color w:val="000000"/>
          <w:sz w:val="32"/>
          <w:szCs w:val="32"/>
          <w:shd w:val="clear" w:color="auto" w:fill="FFFFFF"/>
          <w:lang w:val="zh-CN"/>
        </w:rPr>
        <w:t>十二、</w:t>
      </w:r>
      <w:bookmarkEnd w:id="103"/>
      <w:r>
        <w:rPr>
          <w:rFonts w:hint="eastAsia" w:ascii="宋体" w:hAnsi="宋体" w:eastAsia="仿宋_GB2312" w:cs="Times New Roman"/>
          <w:color w:val="000000"/>
          <w:sz w:val="32"/>
          <w:szCs w:val="32"/>
          <w:shd w:val="clear" w:color="auto" w:fill="FFFFFF"/>
          <w:lang w:val="zh-CN"/>
        </w:rPr>
        <w:t>国有资本经营预算财政拨款支出决算表</w:t>
      </w:r>
      <w:bookmarkEnd w:id="104"/>
    </w:p>
    <w:p w14:paraId="00CE0CE7">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bookmarkStart w:id="105" w:name="_Toc15396631"/>
      <w:bookmarkStart w:id="106" w:name="_Toc206509469"/>
      <w:r>
        <w:rPr>
          <w:rFonts w:hint="eastAsia" w:ascii="宋体" w:hAnsi="宋体" w:eastAsia="仿宋_GB2312" w:cs="Times New Roman"/>
          <w:color w:val="000000"/>
          <w:sz w:val="32"/>
          <w:szCs w:val="32"/>
          <w:shd w:val="clear" w:color="auto" w:fill="FFFFFF"/>
          <w:lang w:val="zh-CN"/>
        </w:rPr>
        <w:t>十三、</w:t>
      </w:r>
      <w:bookmarkEnd w:id="105"/>
      <w:r>
        <w:rPr>
          <w:rFonts w:hint="eastAsia" w:ascii="宋体" w:hAnsi="宋体" w:eastAsia="仿宋_GB2312" w:cs="Times New Roman"/>
          <w:color w:val="000000"/>
          <w:sz w:val="32"/>
          <w:szCs w:val="32"/>
          <w:shd w:val="clear" w:color="auto" w:fill="FFFFFF"/>
          <w:lang w:val="zh-CN"/>
        </w:rPr>
        <w:t>财政拨款“三公”经费支出决算表</w:t>
      </w:r>
      <w:bookmarkEnd w:id="106"/>
    </w:p>
    <w:p w14:paraId="17D63F5F">
      <w:pPr>
        <w:spacing w:line="578" w:lineRule="exact"/>
        <w:ind w:firstLine="640" w:firstLineChars="200"/>
        <w:contextualSpacing/>
        <w:rPr>
          <w:rFonts w:hint="eastAsia" w:ascii="宋体" w:hAnsi="宋体" w:eastAsia="仿宋_GB2312" w:cs="Times New Roman"/>
          <w:color w:val="000000"/>
          <w:sz w:val="32"/>
          <w:szCs w:val="32"/>
          <w:shd w:val="clear" w:color="auto" w:fill="FFFFFF"/>
          <w:lang w:val="zh-CN"/>
        </w:rPr>
      </w:pPr>
    </w:p>
    <w:sectPr>
      <w:footerReference r:id="rId5" w:type="firs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BC78">
    <w:pPr>
      <w:pStyle w:val="12"/>
      <w:jc w:val="center"/>
    </w:pPr>
  </w:p>
  <w:p w14:paraId="20F158D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4C90C">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7EC1C">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987EC1C">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45FD497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BD58">
    <w:pPr>
      <w:pStyle w:val="12"/>
      <w:tabs>
        <w:tab w:val="left" w:pos="5690"/>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EAEE7">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E7EAEE7">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1E9F08"/>
    <w:multiLevelType w:val="singleLevel"/>
    <w:tmpl w:val="9D1E9F08"/>
    <w:lvl w:ilvl="0" w:tentative="0">
      <w:start w:val="3"/>
      <w:numFmt w:val="chineseCounting"/>
      <w:suff w:val="nothing"/>
      <w:lvlText w:val="（%1）"/>
      <w:lvlJc w:val="left"/>
      <w:rPr>
        <w:rFonts w:hint="eastAsia"/>
      </w:rPr>
    </w:lvl>
  </w:abstractNum>
  <w:abstractNum w:abstractNumId="1">
    <w:nsid w:val="49D40017"/>
    <w:multiLevelType w:val="multilevel"/>
    <w:tmpl w:val="49D40017"/>
    <w:lvl w:ilvl="0" w:tentative="0">
      <w:start w:val="1"/>
      <w:numFmt w:val="japaneseCounting"/>
      <w:lvlText w:val="%1、"/>
      <w:lvlJc w:val="left"/>
      <w:pPr>
        <w:ind w:left="640" w:hanging="6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11850"/>
    <w:rsid w:val="000222C6"/>
    <w:rsid w:val="0002549F"/>
    <w:rsid w:val="00042EF9"/>
    <w:rsid w:val="000468DB"/>
    <w:rsid w:val="00062A04"/>
    <w:rsid w:val="0006487A"/>
    <w:rsid w:val="00065F8F"/>
    <w:rsid w:val="00070A43"/>
    <w:rsid w:val="000768F2"/>
    <w:rsid w:val="00090D2D"/>
    <w:rsid w:val="00091737"/>
    <w:rsid w:val="0009184B"/>
    <w:rsid w:val="00094236"/>
    <w:rsid w:val="0009593C"/>
    <w:rsid w:val="00097322"/>
    <w:rsid w:val="000A6A92"/>
    <w:rsid w:val="000A6EDC"/>
    <w:rsid w:val="000B047F"/>
    <w:rsid w:val="000B5923"/>
    <w:rsid w:val="000B5A48"/>
    <w:rsid w:val="000B6FF3"/>
    <w:rsid w:val="000C3467"/>
    <w:rsid w:val="000C3CA6"/>
    <w:rsid w:val="000D1267"/>
    <w:rsid w:val="000D1D50"/>
    <w:rsid w:val="000D5782"/>
    <w:rsid w:val="000E6613"/>
    <w:rsid w:val="000E7119"/>
    <w:rsid w:val="00102613"/>
    <w:rsid w:val="00114E9B"/>
    <w:rsid w:val="00142216"/>
    <w:rsid w:val="00144D6A"/>
    <w:rsid w:val="0014729F"/>
    <w:rsid w:val="00157BAB"/>
    <w:rsid w:val="00165421"/>
    <w:rsid w:val="001654D1"/>
    <w:rsid w:val="00174518"/>
    <w:rsid w:val="0018106D"/>
    <w:rsid w:val="00181550"/>
    <w:rsid w:val="001877A7"/>
    <w:rsid w:val="00191536"/>
    <w:rsid w:val="00196687"/>
    <w:rsid w:val="001A70DC"/>
    <w:rsid w:val="001C0962"/>
    <w:rsid w:val="001D7531"/>
    <w:rsid w:val="001E737D"/>
    <w:rsid w:val="001F0592"/>
    <w:rsid w:val="001F7506"/>
    <w:rsid w:val="002006CD"/>
    <w:rsid w:val="002011EB"/>
    <w:rsid w:val="00202B36"/>
    <w:rsid w:val="00204B7A"/>
    <w:rsid w:val="00204CDE"/>
    <w:rsid w:val="0021101A"/>
    <w:rsid w:val="00220536"/>
    <w:rsid w:val="00225D86"/>
    <w:rsid w:val="00235629"/>
    <w:rsid w:val="00260C38"/>
    <w:rsid w:val="002616C0"/>
    <w:rsid w:val="00265372"/>
    <w:rsid w:val="002662AA"/>
    <w:rsid w:val="00276C48"/>
    <w:rsid w:val="00280496"/>
    <w:rsid w:val="00294DC9"/>
    <w:rsid w:val="00295495"/>
    <w:rsid w:val="002A31DE"/>
    <w:rsid w:val="002A3CA6"/>
    <w:rsid w:val="002B16E5"/>
    <w:rsid w:val="002B2613"/>
    <w:rsid w:val="002C3BE2"/>
    <w:rsid w:val="002D1C2D"/>
    <w:rsid w:val="002D2EC7"/>
    <w:rsid w:val="002D6D05"/>
    <w:rsid w:val="002F1818"/>
    <w:rsid w:val="002F567B"/>
    <w:rsid w:val="00300BBA"/>
    <w:rsid w:val="00316A22"/>
    <w:rsid w:val="003216A9"/>
    <w:rsid w:val="00335A74"/>
    <w:rsid w:val="0036561B"/>
    <w:rsid w:val="0037013F"/>
    <w:rsid w:val="00380C92"/>
    <w:rsid w:val="003963B6"/>
    <w:rsid w:val="003A2016"/>
    <w:rsid w:val="003A484F"/>
    <w:rsid w:val="003A4883"/>
    <w:rsid w:val="003A5FD2"/>
    <w:rsid w:val="003B0BE0"/>
    <w:rsid w:val="003B0C1B"/>
    <w:rsid w:val="003B688C"/>
    <w:rsid w:val="003C0291"/>
    <w:rsid w:val="003C39AE"/>
    <w:rsid w:val="003C7B60"/>
    <w:rsid w:val="003D0C0F"/>
    <w:rsid w:val="003D1FB2"/>
    <w:rsid w:val="003D2DDD"/>
    <w:rsid w:val="003D66DA"/>
    <w:rsid w:val="003E1310"/>
    <w:rsid w:val="003E6F55"/>
    <w:rsid w:val="003F6E53"/>
    <w:rsid w:val="00406254"/>
    <w:rsid w:val="004223DE"/>
    <w:rsid w:val="00434489"/>
    <w:rsid w:val="00437085"/>
    <w:rsid w:val="004377B3"/>
    <w:rsid w:val="00443880"/>
    <w:rsid w:val="004464F4"/>
    <w:rsid w:val="00450B9B"/>
    <w:rsid w:val="00471401"/>
    <w:rsid w:val="00473F31"/>
    <w:rsid w:val="0048263A"/>
    <w:rsid w:val="00487E5D"/>
    <w:rsid w:val="00491290"/>
    <w:rsid w:val="004913FE"/>
    <w:rsid w:val="004A711F"/>
    <w:rsid w:val="004B199D"/>
    <w:rsid w:val="004B4690"/>
    <w:rsid w:val="004E0A2D"/>
    <w:rsid w:val="004E206B"/>
    <w:rsid w:val="004E3D98"/>
    <w:rsid w:val="004E541E"/>
    <w:rsid w:val="004E6DF7"/>
    <w:rsid w:val="004F0FBD"/>
    <w:rsid w:val="00505A47"/>
    <w:rsid w:val="00512FDA"/>
    <w:rsid w:val="00520DA0"/>
    <w:rsid w:val="005664BB"/>
    <w:rsid w:val="00566FFA"/>
    <w:rsid w:val="0057481D"/>
    <w:rsid w:val="0058486E"/>
    <w:rsid w:val="00585B33"/>
    <w:rsid w:val="0059014D"/>
    <w:rsid w:val="005A7248"/>
    <w:rsid w:val="005B31FC"/>
    <w:rsid w:val="005B5C64"/>
    <w:rsid w:val="005C5337"/>
    <w:rsid w:val="005C6BD0"/>
    <w:rsid w:val="005D1C8B"/>
    <w:rsid w:val="005D468D"/>
    <w:rsid w:val="005D5CED"/>
    <w:rsid w:val="005E6585"/>
    <w:rsid w:val="005F1A4C"/>
    <w:rsid w:val="00605688"/>
    <w:rsid w:val="006070AF"/>
    <w:rsid w:val="00607E6C"/>
    <w:rsid w:val="006101B1"/>
    <w:rsid w:val="00612F34"/>
    <w:rsid w:val="00614E44"/>
    <w:rsid w:val="0062270A"/>
    <w:rsid w:val="00622830"/>
    <w:rsid w:val="00623DA0"/>
    <w:rsid w:val="00630AEF"/>
    <w:rsid w:val="006325F8"/>
    <w:rsid w:val="00633463"/>
    <w:rsid w:val="00634C9A"/>
    <w:rsid w:val="006440E4"/>
    <w:rsid w:val="006566DC"/>
    <w:rsid w:val="00661E33"/>
    <w:rsid w:val="0066343B"/>
    <w:rsid w:val="00664777"/>
    <w:rsid w:val="006748A4"/>
    <w:rsid w:val="00681A31"/>
    <w:rsid w:val="00683E73"/>
    <w:rsid w:val="00684FE8"/>
    <w:rsid w:val="006906A8"/>
    <w:rsid w:val="006A3141"/>
    <w:rsid w:val="006A5E34"/>
    <w:rsid w:val="006A63DE"/>
    <w:rsid w:val="006B0C85"/>
    <w:rsid w:val="006B2422"/>
    <w:rsid w:val="006B2B9A"/>
    <w:rsid w:val="006B39F0"/>
    <w:rsid w:val="006C1937"/>
    <w:rsid w:val="006C6153"/>
    <w:rsid w:val="006D6ADE"/>
    <w:rsid w:val="006E7C49"/>
    <w:rsid w:val="006F020C"/>
    <w:rsid w:val="007127B7"/>
    <w:rsid w:val="0071798E"/>
    <w:rsid w:val="0072367F"/>
    <w:rsid w:val="00732631"/>
    <w:rsid w:val="007416B6"/>
    <w:rsid w:val="0074402B"/>
    <w:rsid w:val="00746F48"/>
    <w:rsid w:val="0075404D"/>
    <w:rsid w:val="0076182A"/>
    <w:rsid w:val="00767B7E"/>
    <w:rsid w:val="007770C3"/>
    <w:rsid w:val="00784D24"/>
    <w:rsid w:val="00785FBA"/>
    <w:rsid w:val="00786E4A"/>
    <w:rsid w:val="007875EB"/>
    <w:rsid w:val="007919EC"/>
    <w:rsid w:val="00792E48"/>
    <w:rsid w:val="0079426B"/>
    <w:rsid w:val="007D1682"/>
    <w:rsid w:val="007D312A"/>
    <w:rsid w:val="007D3F19"/>
    <w:rsid w:val="007E23B0"/>
    <w:rsid w:val="007E23E5"/>
    <w:rsid w:val="007F1991"/>
    <w:rsid w:val="007F2C2F"/>
    <w:rsid w:val="007F55FC"/>
    <w:rsid w:val="007F5665"/>
    <w:rsid w:val="00800112"/>
    <w:rsid w:val="00813348"/>
    <w:rsid w:val="008253BB"/>
    <w:rsid w:val="00833786"/>
    <w:rsid w:val="0083706E"/>
    <w:rsid w:val="008408F6"/>
    <w:rsid w:val="008423A5"/>
    <w:rsid w:val="00844270"/>
    <w:rsid w:val="00850625"/>
    <w:rsid w:val="00853718"/>
    <w:rsid w:val="00855221"/>
    <w:rsid w:val="00860645"/>
    <w:rsid w:val="00871F71"/>
    <w:rsid w:val="00872FD8"/>
    <w:rsid w:val="00885AF4"/>
    <w:rsid w:val="008939CD"/>
    <w:rsid w:val="008B3FB3"/>
    <w:rsid w:val="008B768C"/>
    <w:rsid w:val="008C4DB1"/>
    <w:rsid w:val="008C4EAF"/>
    <w:rsid w:val="008C5176"/>
    <w:rsid w:val="008C7FD0"/>
    <w:rsid w:val="008E1DE7"/>
    <w:rsid w:val="008E707C"/>
    <w:rsid w:val="00900B08"/>
    <w:rsid w:val="00902155"/>
    <w:rsid w:val="00902FA3"/>
    <w:rsid w:val="00915D4A"/>
    <w:rsid w:val="00916139"/>
    <w:rsid w:val="00920AD2"/>
    <w:rsid w:val="00923564"/>
    <w:rsid w:val="0092392E"/>
    <w:rsid w:val="009315F9"/>
    <w:rsid w:val="00933499"/>
    <w:rsid w:val="00935C98"/>
    <w:rsid w:val="00946945"/>
    <w:rsid w:val="00951248"/>
    <w:rsid w:val="0095152F"/>
    <w:rsid w:val="00954C49"/>
    <w:rsid w:val="00955E37"/>
    <w:rsid w:val="0097086E"/>
    <w:rsid w:val="0097099F"/>
    <w:rsid w:val="00971997"/>
    <w:rsid w:val="00971FFC"/>
    <w:rsid w:val="00976E9A"/>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0F4E"/>
    <w:rsid w:val="00A04EB0"/>
    <w:rsid w:val="00A13CC1"/>
    <w:rsid w:val="00A16847"/>
    <w:rsid w:val="00A237D8"/>
    <w:rsid w:val="00A268C4"/>
    <w:rsid w:val="00A307CD"/>
    <w:rsid w:val="00A331C8"/>
    <w:rsid w:val="00A34E28"/>
    <w:rsid w:val="00A40A00"/>
    <w:rsid w:val="00A4142F"/>
    <w:rsid w:val="00A422EB"/>
    <w:rsid w:val="00A45BB7"/>
    <w:rsid w:val="00A47A1A"/>
    <w:rsid w:val="00A56DF2"/>
    <w:rsid w:val="00A56E6E"/>
    <w:rsid w:val="00A605AD"/>
    <w:rsid w:val="00A60E3B"/>
    <w:rsid w:val="00A64A3D"/>
    <w:rsid w:val="00A65A50"/>
    <w:rsid w:val="00A67AB5"/>
    <w:rsid w:val="00A733B2"/>
    <w:rsid w:val="00A739C4"/>
    <w:rsid w:val="00A741C2"/>
    <w:rsid w:val="00A83F86"/>
    <w:rsid w:val="00A91760"/>
    <w:rsid w:val="00A93B00"/>
    <w:rsid w:val="00A93C21"/>
    <w:rsid w:val="00AB64C9"/>
    <w:rsid w:val="00AC3C6A"/>
    <w:rsid w:val="00AC712A"/>
    <w:rsid w:val="00AD5134"/>
    <w:rsid w:val="00AD5620"/>
    <w:rsid w:val="00AD656B"/>
    <w:rsid w:val="00AD7C1B"/>
    <w:rsid w:val="00AE16BA"/>
    <w:rsid w:val="00AE1EBE"/>
    <w:rsid w:val="00AE7C0D"/>
    <w:rsid w:val="00AF4F5E"/>
    <w:rsid w:val="00B02A42"/>
    <w:rsid w:val="00B03C9D"/>
    <w:rsid w:val="00B060AE"/>
    <w:rsid w:val="00B10517"/>
    <w:rsid w:val="00B118D4"/>
    <w:rsid w:val="00B14E76"/>
    <w:rsid w:val="00B161B8"/>
    <w:rsid w:val="00B2048C"/>
    <w:rsid w:val="00B310B9"/>
    <w:rsid w:val="00B35F3F"/>
    <w:rsid w:val="00B36CBB"/>
    <w:rsid w:val="00B40181"/>
    <w:rsid w:val="00B425E0"/>
    <w:rsid w:val="00B440AA"/>
    <w:rsid w:val="00B44B70"/>
    <w:rsid w:val="00B53C56"/>
    <w:rsid w:val="00B57DAF"/>
    <w:rsid w:val="00B77EA6"/>
    <w:rsid w:val="00B81598"/>
    <w:rsid w:val="00B81D67"/>
    <w:rsid w:val="00B841F1"/>
    <w:rsid w:val="00B944D6"/>
    <w:rsid w:val="00BB4DF0"/>
    <w:rsid w:val="00BC0D13"/>
    <w:rsid w:val="00BC289F"/>
    <w:rsid w:val="00BC2D50"/>
    <w:rsid w:val="00BC5361"/>
    <w:rsid w:val="00BC5460"/>
    <w:rsid w:val="00BC6B50"/>
    <w:rsid w:val="00BD0E25"/>
    <w:rsid w:val="00BE2BCC"/>
    <w:rsid w:val="00BE4E3A"/>
    <w:rsid w:val="00BF5BD6"/>
    <w:rsid w:val="00C00A5A"/>
    <w:rsid w:val="00C03E31"/>
    <w:rsid w:val="00C23A4B"/>
    <w:rsid w:val="00C33E72"/>
    <w:rsid w:val="00C354B2"/>
    <w:rsid w:val="00C35554"/>
    <w:rsid w:val="00C41B07"/>
    <w:rsid w:val="00C42709"/>
    <w:rsid w:val="00C533CC"/>
    <w:rsid w:val="00C5751C"/>
    <w:rsid w:val="00C57530"/>
    <w:rsid w:val="00C61BFC"/>
    <w:rsid w:val="00C62B85"/>
    <w:rsid w:val="00C65438"/>
    <w:rsid w:val="00C87FD8"/>
    <w:rsid w:val="00C91381"/>
    <w:rsid w:val="00C91CBB"/>
    <w:rsid w:val="00CB4E70"/>
    <w:rsid w:val="00CC09B6"/>
    <w:rsid w:val="00CC666F"/>
    <w:rsid w:val="00CD1E3F"/>
    <w:rsid w:val="00CE44F6"/>
    <w:rsid w:val="00CE49DA"/>
    <w:rsid w:val="00CE713C"/>
    <w:rsid w:val="00CE7B61"/>
    <w:rsid w:val="00D00095"/>
    <w:rsid w:val="00D114F0"/>
    <w:rsid w:val="00D20620"/>
    <w:rsid w:val="00D223CE"/>
    <w:rsid w:val="00D254F7"/>
    <w:rsid w:val="00D26091"/>
    <w:rsid w:val="00D2685C"/>
    <w:rsid w:val="00D34E7C"/>
    <w:rsid w:val="00D35489"/>
    <w:rsid w:val="00D36AFE"/>
    <w:rsid w:val="00D51276"/>
    <w:rsid w:val="00D7035F"/>
    <w:rsid w:val="00D70720"/>
    <w:rsid w:val="00D75641"/>
    <w:rsid w:val="00DA634F"/>
    <w:rsid w:val="00DA65AC"/>
    <w:rsid w:val="00DB1913"/>
    <w:rsid w:val="00DB59C0"/>
    <w:rsid w:val="00DC410D"/>
    <w:rsid w:val="00DC5A81"/>
    <w:rsid w:val="00DC68CA"/>
    <w:rsid w:val="00DC7CBA"/>
    <w:rsid w:val="00DD73B7"/>
    <w:rsid w:val="00DF28BC"/>
    <w:rsid w:val="00DF34B9"/>
    <w:rsid w:val="00E01053"/>
    <w:rsid w:val="00E07ACF"/>
    <w:rsid w:val="00E2101C"/>
    <w:rsid w:val="00E331A1"/>
    <w:rsid w:val="00E33202"/>
    <w:rsid w:val="00E336A9"/>
    <w:rsid w:val="00E4194E"/>
    <w:rsid w:val="00E472B1"/>
    <w:rsid w:val="00E50624"/>
    <w:rsid w:val="00E54633"/>
    <w:rsid w:val="00E54D00"/>
    <w:rsid w:val="00E568DF"/>
    <w:rsid w:val="00E64269"/>
    <w:rsid w:val="00E6553C"/>
    <w:rsid w:val="00E82267"/>
    <w:rsid w:val="00E853CE"/>
    <w:rsid w:val="00E867B6"/>
    <w:rsid w:val="00EA010F"/>
    <w:rsid w:val="00ED1B63"/>
    <w:rsid w:val="00ED3C1F"/>
    <w:rsid w:val="00ED4085"/>
    <w:rsid w:val="00ED420E"/>
    <w:rsid w:val="00ED6FBE"/>
    <w:rsid w:val="00EE2F57"/>
    <w:rsid w:val="00EE6358"/>
    <w:rsid w:val="00EF4C34"/>
    <w:rsid w:val="00EF77C6"/>
    <w:rsid w:val="00F05438"/>
    <w:rsid w:val="00F1361C"/>
    <w:rsid w:val="00F156F0"/>
    <w:rsid w:val="00F160C7"/>
    <w:rsid w:val="00F2408F"/>
    <w:rsid w:val="00F240E9"/>
    <w:rsid w:val="00F36D8F"/>
    <w:rsid w:val="00F417B1"/>
    <w:rsid w:val="00F45853"/>
    <w:rsid w:val="00F45975"/>
    <w:rsid w:val="00F45B2F"/>
    <w:rsid w:val="00F602DF"/>
    <w:rsid w:val="00F754A1"/>
    <w:rsid w:val="00F81FD9"/>
    <w:rsid w:val="00F841AA"/>
    <w:rsid w:val="00F84A94"/>
    <w:rsid w:val="00F87E96"/>
    <w:rsid w:val="00FA23E8"/>
    <w:rsid w:val="00FD3CC1"/>
    <w:rsid w:val="00FF1E02"/>
    <w:rsid w:val="00FF1EC6"/>
    <w:rsid w:val="00FF30B4"/>
    <w:rsid w:val="015975B8"/>
    <w:rsid w:val="02FEBE30"/>
    <w:rsid w:val="061E35DE"/>
    <w:rsid w:val="066E0107"/>
    <w:rsid w:val="07996F6E"/>
    <w:rsid w:val="07DFD8BA"/>
    <w:rsid w:val="09867E8F"/>
    <w:rsid w:val="0A2032A3"/>
    <w:rsid w:val="0CA8290A"/>
    <w:rsid w:val="0D35B1ED"/>
    <w:rsid w:val="0F98263C"/>
    <w:rsid w:val="101860EC"/>
    <w:rsid w:val="10C055FF"/>
    <w:rsid w:val="10DD4842"/>
    <w:rsid w:val="11772AA4"/>
    <w:rsid w:val="118107EC"/>
    <w:rsid w:val="13D50BC4"/>
    <w:rsid w:val="165E0673"/>
    <w:rsid w:val="16BB723D"/>
    <w:rsid w:val="186504BB"/>
    <w:rsid w:val="19A445FC"/>
    <w:rsid w:val="1BE8440E"/>
    <w:rsid w:val="1D155CEE"/>
    <w:rsid w:val="1E740ACF"/>
    <w:rsid w:val="1FF35744"/>
    <w:rsid w:val="1FF6BC77"/>
    <w:rsid w:val="23860B96"/>
    <w:rsid w:val="240371BF"/>
    <w:rsid w:val="260F557C"/>
    <w:rsid w:val="281408E2"/>
    <w:rsid w:val="29FD04D3"/>
    <w:rsid w:val="2BFF7BC6"/>
    <w:rsid w:val="2C8A61B5"/>
    <w:rsid w:val="2DF04E50"/>
    <w:rsid w:val="2F040D46"/>
    <w:rsid w:val="2FAE5751"/>
    <w:rsid w:val="2FB1A395"/>
    <w:rsid w:val="2FD9A7D8"/>
    <w:rsid w:val="3131732D"/>
    <w:rsid w:val="319F7F4E"/>
    <w:rsid w:val="3304709D"/>
    <w:rsid w:val="33121195"/>
    <w:rsid w:val="33F84EA7"/>
    <w:rsid w:val="349D6851"/>
    <w:rsid w:val="35424A37"/>
    <w:rsid w:val="36AA5135"/>
    <w:rsid w:val="36BE0DA7"/>
    <w:rsid w:val="376B6AA6"/>
    <w:rsid w:val="376D39B2"/>
    <w:rsid w:val="37E16F03"/>
    <w:rsid w:val="37F53A3B"/>
    <w:rsid w:val="389B6C89"/>
    <w:rsid w:val="38D469F0"/>
    <w:rsid w:val="39627CCD"/>
    <w:rsid w:val="397BAF1F"/>
    <w:rsid w:val="3AB79AF3"/>
    <w:rsid w:val="3B7EF35A"/>
    <w:rsid w:val="3B9FDB6C"/>
    <w:rsid w:val="3BF5BC2F"/>
    <w:rsid w:val="3CEBA265"/>
    <w:rsid w:val="3D98207C"/>
    <w:rsid w:val="3DEE7CF3"/>
    <w:rsid w:val="3E78745D"/>
    <w:rsid w:val="3FF4CAE0"/>
    <w:rsid w:val="3FF7B227"/>
    <w:rsid w:val="44E268DA"/>
    <w:rsid w:val="45A241F4"/>
    <w:rsid w:val="486A6C7A"/>
    <w:rsid w:val="4A627F82"/>
    <w:rsid w:val="4B042049"/>
    <w:rsid w:val="4B0E749A"/>
    <w:rsid w:val="4B4F25DA"/>
    <w:rsid w:val="4BE068DB"/>
    <w:rsid w:val="4D577224"/>
    <w:rsid w:val="4D7D65D1"/>
    <w:rsid w:val="4DBF1CEB"/>
    <w:rsid w:val="4EAB630A"/>
    <w:rsid w:val="4ECE2238"/>
    <w:rsid w:val="4F833267"/>
    <w:rsid w:val="4FE9BD67"/>
    <w:rsid w:val="4FFB052F"/>
    <w:rsid w:val="50E626DC"/>
    <w:rsid w:val="52424EB2"/>
    <w:rsid w:val="537E6D0A"/>
    <w:rsid w:val="53F74C96"/>
    <w:rsid w:val="56E47B74"/>
    <w:rsid w:val="57BD3DD4"/>
    <w:rsid w:val="5AF92295"/>
    <w:rsid w:val="5BDD79E6"/>
    <w:rsid w:val="5BF561CA"/>
    <w:rsid w:val="5BFF5DFC"/>
    <w:rsid w:val="5CD71FC4"/>
    <w:rsid w:val="5D1F11B5"/>
    <w:rsid w:val="5DAE1B18"/>
    <w:rsid w:val="5DD546F0"/>
    <w:rsid w:val="5DE7D9E5"/>
    <w:rsid w:val="5ECEC941"/>
    <w:rsid w:val="5FBF9FF3"/>
    <w:rsid w:val="5FCD4E2C"/>
    <w:rsid w:val="5FEF394A"/>
    <w:rsid w:val="5FF67715"/>
    <w:rsid w:val="62BF3928"/>
    <w:rsid w:val="647F5392"/>
    <w:rsid w:val="664B1D71"/>
    <w:rsid w:val="67AA3209"/>
    <w:rsid w:val="698D0931"/>
    <w:rsid w:val="6B053271"/>
    <w:rsid w:val="6C4A05C8"/>
    <w:rsid w:val="6C8742B8"/>
    <w:rsid w:val="6DBF5E93"/>
    <w:rsid w:val="6DFF077E"/>
    <w:rsid w:val="6E7E3605"/>
    <w:rsid w:val="6E7FDCC7"/>
    <w:rsid w:val="6ED6A62E"/>
    <w:rsid w:val="6EE00B15"/>
    <w:rsid w:val="6F6FB3EB"/>
    <w:rsid w:val="6F8731EA"/>
    <w:rsid w:val="6FCE6052"/>
    <w:rsid w:val="6FD57C00"/>
    <w:rsid w:val="6FEFFFD8"/>
    <w:rsid w:val="6FF5CC65"/>
    <w:rsid w:val="6FF611A2"/>
    <w:rsid w:val="6FFB47EC"/>
    <w:rsid w:val="6FFF034A"/>
    <w:rsid w:val="712A28F1"/>
    <w:rsid w:val="715C0E4B"/>
    <w:rsid w:val="72233669"/>
    <w:rsid w:val="72734D90"/>
    <w:rsid w:val="7332FE48"/>
    <w:rsid w:val="73AB61DA"/>
    <w:rsid w:val="73AD73D5"/>
    <w:rsid w:val="73B6EB34"/>
    <w:rsid w:val="73FA497D"/>
    <w:rsid w:val="744731E5"/>
    <w:rsid w:val="74BBD01D"/>
    <w:rsid w:val="74ED5379"/>
    <w:rsid w:val="75DEEEC2"/>
    <w:rsid w:val="76E3355F"/>
    <w:rsid w:val="76FF5125"/>
    <w:rsid w:val="77180DF9"/>
    <w:rsid w:val="776F6FFA"/>
    <w:rsid w:val="778769C8"/>
    <w:rsid w:val="77DC22F5"/>
    <w:rsid w:val="79086DAD"/>
    <w:rsid w:val="79D7FD79"/>
    <w:rsid w:val="79EE5BA4"/>
    <w:rsid w:val="7A894339"/>
    <w:rsid w:val="7AFF7572"/>
    <w:rsid w:val="7B6C7DFB"/>
    <w:rsid w:val="7BBFBED0"/>
    <w:rsid w:val="7BC3E394"/>
    <w:rsid w:val="7C1F3737"/>
    <w:rsid w:val="7CBFC87B"/>
    <w:rsid w:val="7CFE0F48"/>
    <w:rsid w:val="7D396271"/>
    <w:rsid w:val="7D7EC23E"/>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BBF2DB"/>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44"/>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9"/>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HTML Preformatted"/>
    <w:basedOn w:val="1"/>
    <w:link w:val="4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9">
    <w:name w:val="Strong"/>
    <w:basedOn w:val="18"/>
    <w:qFormat/>
    <w:uiPriority w:val="99"/>
    <w:rPr>
      <w:b/>
    </w:rPr>
  </w:style>
  <w:style w:type="character" w:styleId="20">
    <w:name w:val="FollowedHyperlink"/>
    <w:basedOn w:val="18"/>
    <w:semiHidden/>
    <w:unhideWhenUsed/>
    <w:qFormat/>
    <w:uiPriority w:val="99"/>
    <w:rPr>
      <w:color w:val="800080"/>
      <w:u w:val="single"/>
    </w:rPr>
  </w:style>
  <w:style w:type="character" w:styleId="21">
    <w:name w:val="Hyperlink"/>
    <w:basedOn w:val="18"/>
    <w:unhideWhenUsed/>
    <w:qFormat/>
    <w:uiPriority w:val="99"/>
    <w:rPr>
      <w:color w:val="0000FF"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8"/>
    <w:semiHidden/>
    <w:qFormat/>
    <w:uiPriority w:val="99"/>
    <w:rPr>
      <w:rFonts w:ascii="Times New Roman" w:hAnsi="Times New Roman"/>
      <w:sz w:val="18"/>
      <w:szCs w:val="18"/>
    </w:rPr>
  </w:style>
  <w:style w:type="character" w:customStyle="1" w:styleId="25">
    <w:name w:val="页眉 字符"/>
    <w:link w:val="13"/>
    <w:semiHidden/>
    <w:qFormat/>
    <w:locked/>
    <w:uiPriority w:val="99"/>
    <w:rPr>
      <w:sz w:val="18"/>
    </w:rPr>
  </w:style>
  <w:style w:type="character" w:customStyle="1" w:styleId="26">
    <w:name w:val="Footer Char"/>
    <w:basedOn w:val="18"/>
    <w:semiHidden/>
    <w:qFormat/>
    <w:uiPriority w:val="99"/>
    <w:rPr>
      <w:rFonts w:ascii="Times New Roman" w:hAnsi="Times New Roman"/>
      <w:sz w:val="18"/>
      <w:szCs w:val="18"/>
    </w:rPr>
  </w:style>
  <w:style w:type="character" w:customStyle="1" w:styleId="27">
    <w:name w:val="页脚 字符"/>
    <w:link w:val="12"/>
    <w:qFormat/>
    <w:locked/>
    <w:uiPriority w:val="99"/>
    <w:rPr>
      <w:sz w:val="18"/>
    </w:rPr>
  </w:style>
  <w:style w:type="character" w:customStyle="1" w:styleId="28">
    <w:name w:val="Body Text Char"/>
    <w:basedOn w:val="18"/>
    <w:semiHidden/>
    <w:qFormat/>
    <w:uiPriority w:val="99"/>
    <w:rPr>
      <w:rFonts w:ascii="Times New Roman" w:hAnsi="Times New Roman"/>
      <w:szCs w:val="24"/>
    </w:rPr>
  </w:style>
  <w:style w:type="character" w:customStyle="1" w:styleId="29">
    <w:name w:val="正文文本 字符"/>
    <w:link w:val="9"/>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8"/>
    <w:link w:val="5"/>
    <w:qFormat/>
    <w:uiPriority w:val="9"/>
    <w:rPr>
      <w:rFonts w:ascii="Times New Roman" w:hAnsi="Times New Roman"/>
      <w:b/>
      <w:bCs/>
      <w:kern w:val="44"/>
      <w:sz w:val="44"/>
      <w:szCs w:val="44"/>
    </w:rPr>
  </w:style>
  <w:style w:type="character" w:customStyle="1" w:styleId="33">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8"/>
    <w:link w:val="11"/>
    <w:semiHidden/>
    <w:qFormat/>
    <w:uiPriority w:val="99"/>
    <w:rPr>
      <w:rFonts w:ascii="Times New Roman" w:hAnsi="Times New Roman"/>
      <w:kern w:val="2"/>
      <w:sz w:val="18"/>
      <w:szCs w:val="18"/>
    </w:rPr>
  </w:style>
  <w:style w:type="character" w:customStyle="1" w:styleId="36">
    <w:name w:val="标题 3 字符"/>
    <w:basedOn w:val="18"/>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40">
    <w:name w:val="TOC 标题3"/>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1">
    <w:name w:val="??????2"/>
    <w:qFormat/>
    <w:uiPriority w:val="0"/>
    <w:rPr>
      <w:sz w:val="22"/>
    </w:rPr>
  </w:style>
  <w:style w:type="character" w:customStyle="1" w:styleId="42">
    <w:name w:val="默认段落字体2"/>
    <w:qFormat/>
    <w:uiPriority w:val="0"/>
    <w:rPr>
      <w:sz w:val="22"/>
    </w:rPr>
  </w:style>
  <w:style w:type="character" w:customStyle="1" w:styleId="43">
    <w:name w:val="HTML 预设格式 字符"/>
    <w:basedOn w:val="18"/>
    <w:link w:val="16"/>
    <w:qFormat/>
    <w:uiPriority w:val="0"/>
    <w:rPr>
      <w:rFonts w:ascii="宋体" w:hAnsi="宋体" w:eastAsia="宋体" w:cs="Times New Roman"/>
      <w:sz w:val="24"/>
      <w:szCs w:val="24"/>
    </w:rPr>
  </w:style>
  <w:style w:type="character" w:customStyle="1" w:styleId="44">
    <w:name w:val="脚注文本 字符"/>
    <w:basedOn w:val="18"/>
    <w:link w:val="2"/>
    <w:semiHidden/>
    <w:qFormat/>
    <w:uiPriority w:val="99"/>
    <w:rPr>
      <w:rFonts w:ascii="Times New Roman" w:hAnsi="Times New Roman" w:eastAsia="宋体" w:cs="Times New Roman"/>
      <w:kern w:val="2"/>
      <w:sz w:val="18"/>
      <w:szCs w:val="18"/>
    </w:rPr>
  </w:style>
  <w:style w:type="paragraph" w:customStyle="1" w:styleId="4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48">
    <w:name w:val="xl66"/>
    <w:basedOn w:val="1"/>
    <w:qFormat/>
    <w:uiPriority w:val="0"/>
    <w:pPr>
      <w:widowControl/>
      <w:spacing w:before="100" w:beforeAutospacing="1" w:after="100" w:afterAutospacing="1"/>
      <w:jc w:val="left"/>
    </w:pPr>
    <w:rPr>
      <w:rFonts w:ascii="黑体" w:hAnsi="黑体" w:eastAsia="黑体" w:cs="宋体"/>
      <w:kern w:val="0"/>
      <w:sz w:val="18"/>
      <w:szCs w:val="18"/>
    </w:rPr>
  </w:style>
  <w:style w:type="paragraph" w:customStyle="1" w:styleId="49">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0">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1">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5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kern w:val="0"/>
      <w:sz w:val="16"/>
      <w:szCs w:val="16"/>
    </w:rPr>
  </w:style>
  <w:style w:type="paragraph" w:customStyle="1" w:styleId="53">
    <w:name w:val="xl7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7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黑体" w:hAnsi="黑体" w:eastAsia="黑体" w:cs="宋体"/>
      <w:kern w:val="0"/>
      <w:sz w:val="18"/>
      <w:szCs w:val="18"/>
    </w:rPr>
  </w:style>
  <w:style w:type="paragraph" w:customStyle="1" w:styleId="55">
    <w:name w:val="xl73"/>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黑体" w:eastAsia="黑体" w:cs="宋体"/>
      <w:kern w:val="0"/>
      <w:sz w:val="18"/>
      <w:szCs w:val="18"/>
    </w:rPr>
  </w:style>
  <w:style w:type="paragraph" w:customStyle="1" w:styleId="56">
    <w:name w:val="xl7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kern w:val="0"/>
      <w:sz w:val="18"/>
      <w:szCs w:val="18"/>
    </w:rPr>
  </w:style>
  <w:style w:type="paragraph" w:customStyle="1" w:styleId="57">
    <w:name w:val="xl7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8">
    <w:name w:val="xl7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59">
    <w:name w:val="xl77"/>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60">
    <w:name w:val="xl7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6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kern w:val="0"/>
      <w:sz w:val="18"/>
      <w:szCs w:val="18"/>
    </w:rPr>
  </w:style>
  <w:style w:type="paragraph" w:customStyle="1" w:styleId="62">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i/>
      <w:iCs/>
      <w:kern w:val="0"/>
      <w:sz w:val="18"/>
      <w:szCs w:val="18"/>
    </w:rPr>
  </w:style>
  <w:style w:type="paragraph" w:customStyle="1" w:styleId="63">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64">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kern w:val="0"/>
      <w:sz w:val="30"/>
      <w:szCs w:val="30"/>
    </w:rPr>
  </w:style>
  <w:style w:type="paragraph" w:customStyle="1" w:styleId="65">
    <w:name w:val="xl8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66">
    <w:name w:val="xl84"/>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67">
    <w:name w:val="xl8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68">
    <w:name w:val="xl8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69">
    <w:name w:val="xl87"/>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70">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71">
    <w:name w:val="xl8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72">
    <w:name w:val="xl90"/>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cs="宋体"/>
      <w:kern w:val="0"/>
      <w:sz w:val="18"/>
      <w:szCs w:val="18"/>
    </w:rPr>
  </w:style>
  <w:style w:type="paragraph" w:customStyle="1" w:styleId="73">
    <w:name w:val="xl9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74">
    <w:name w:val="xl9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微软雅黑" w:hAnsi="微软雅黑" w:eastAsia="微软雅黑" w:cs="宋体"/>
      <w:i/>
      <w:iCs/>
      <w:kern w:val="0"/>
      <w:sz w:val="16"/>
      <w:szCs w:val="16"/>
    </w:rPr>
  </w:style>
  <w:style w:type="paragraph" w:customStyle="1" w:styleId="75">
    <w:name w:val="xl93"/>
    <w:basedOn w:val="1"/>
    <w:qFormat/>
    <w:uiPriority w:val="0"/>
    <w:pPr>
      <w:widowControl/>
      <w:pBdr>
        <w:top w:val="single" w:color="000000" w:sz="4" w:space="0"/>
        <w:bottom w:val="single" w:color="000000" w:sz="4" w:space="0"/>
      </w:pBdr>
      <w:spacing w:before="100" w:beforeAutospacing="1" w:after="100" w:afterAutospacing="1"/>
      <w:jc w:val="center"/>
    </w:pPr>
    <w:rPr>
      <w:rFonts w:ascii="微软雅黑" w:hAnsi="微软雅黑" w:eastAsia="微软雅黑" w:cs="宋体"/>
      <w:i/>
      <w:iCs/>
      <w:kern w:val="0"/>
      <w:sz w:val="16"/>
      <w:szCs w:val="16"/>
    </w:rPr>
  </w:style>
  <w:style w:type="paragraph" w:customStyle="1" w:styleId="76">
    <w:name w:val="xl94"/>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kern w:val="0"/>
      <w:sz w:val="16"/>
      <w:szCs w:val="16"/>
    </w:rPr>
  </w:style>
  <w:style w:type="paragraph" w:customStyle="1" w:styleId="77">
    <w:name w:val="xl9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78">
    <w:name w:val="xl96"/>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79">
    <w:name w:val="xl9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80">
    <w:name w:val="xl9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81">
    <w:name w:val="xl99"/>
    <w:basedOn w:val="1"/>
    <w:qFormat/>
    <w:uiPriority w:val="0"/>
    <w:pPr>
      <w:widowControl/>
      <w:pBdr>
        <w:top w:val="single" w:color="000000" w:sz="4" w:space="0"/>
        <w:bottom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82">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kern w:val="0"/>
      <w:sz w:val="18"/>
      <w:szCs w:val="18"/>
    </w:rPr>
  </w:style>
  <w:style w:type="paragraph" w:customStyle="1" w:styleId="83">
    <w:name w:val="xl10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黑体" w:hAnsi="黑体" w:eastAsia="黑体" w:cs="宋体"/>
      <w:b/>
      <w:bCs/>
      <w:kern w:val="0"/>
      <w:sz w:val="30"/>
      <w:szCs w:val="30"/>
    </w:rPr>
  </w:style>
  <w:style w:type="paragraph" w:customStyle="1" w:styleId="84">
    <w:name w:val="xl102"/>
    <w:basedOn w:val="1"/>
    <w:qFormat/>
    <w:uiPriority w:val="0"/>
    <w:pPr>
      <w:widowControl/>
      <w:pBdr>
        <w:top w:val="single" w:color="000000" w:sz="4" w:space="0"/>
        <w:bottom w:val="single" w:color="000000" w:sz="4" w:space="0"/>
      </w:pBdr>
      <w:spacing w:before="100" w:beforeAutospacing="1" w:after="100" w:afterAutospacing="1"/>
      <w:jc w:val="center"/>
    </w:pPr>
    <w:rPr>
      <w:rFonts w:ascii="黑体" w:hAnsi="黑体" w:eastAsia="黑体" w:cs="宋体"/>
      <w:b/>
      <w:bCs/>
      <w:kern w:val="0"/>
      <w:sz w:val="30"/>
      <w:szCs w:val="30"/>
    </w:rPr>
  </w:style>
  <w:style w:type="paragraph" w:customStyle="1" w:styleId="85">
    <w:name w:val="xl10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kern w:val="0"/>
      <w:sz w:val="30"/>
      <w:szCs w:val="3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收支决算总计变动图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4809.69</c:v>
                </c:pt>
                <c:pt idx="1">
                  <c:v>4809.69</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5880.91</c:v>
                </c:pt>
                <c:pt idx="1">
                  <c:v>5880.91</c:v>
                </c:pt>
              </c:numCache>
            </c:numRef>
          </c:val>
        </c:ser>
        <c:dLbls>
          <c:showLegendKey val="0"/>
          <c:showVal val="0"/>
          <c:showCatName val="0"/>
          <c:showSerName val="0"/>
          <c:showPercent val="0"/>
          <c:showBubbleSize val="0"/>
        </c:dLbls>
        <c:gapWidth val="219"/>
        <c:overlap val="-27"/>
        <c:axId val="112941696"/>
        <c:axId val="112972160"/>
      </c:barChart>
      <c:dateAx>
        <c:axId val="11294169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crossAx val="112972160"/>
        <c:crosses val="autoZero"/>
        <c:auto val="0"/>
        <c:lblAlgn val="ctr"/>
        <c:lblOffset val="100"/>
        <c:baseTimeUnit val="days"/>
      </c:dateAx>
      <c:valAx>
        <c:axId val="112972160"/>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2941696"/>
        <c:crosses val="autoZero"/>
        <c:crossBetween val="between"/>
        <c:majorUnit val="1000"/>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3c6ac9-6d4b-498a-b883-1e93f48c7a8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4773.18</c:v>
                </c:pt>
                <c:pt idx="1" c:formatCode="0.00_ ">
                  <c:v>145.68</c:v>
                </c:pt>
                <c:pt idx="2" c:formatCode="0.00_ ">
                  <c:v>962.05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440abb9-2a3e-4ab4-85cf-c3bc07d0c45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4105.72</c:v>
                </c:pt>
                <c:pt idx="1">
                  <c:v>1775.19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c904fe0e-392c-4322-8ae6-8c3b4b916d5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a:t>
            </a:r>
            <a:r>
              <a:rPr lang="en-US" altLang="zh-CN"/>
              <a:t>2024</a:t>
            </a:r>
            <a:r>
              <a:rPr lang="zh-CN" altLang="en-US"/>
              <a:t>年财政拨款收支总计变动图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4655.59</c:v>
                </c:pt>
                <c:pt idx="1">
                  <c:v>4655.59</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4773.18</c:v>
                </c:pt>
                <c:pt idx="1">
                  <c:v>4773.18</c:v>
                </c:pt>
              </c:numCache>
            </c:numRef>
          </c:val>
        </c:ser>
        <c:dLbls>
          <c:showLegendKey val="0"/>
          <c:showVal val="0"/>
          <c:showCatName val="0"/>
          <c:showSerName val="0"/>
          <c:showPercent val="0"/>
          <c:showBubbleSize val="0"/>
        </c:dLbls>
        <c:gapWidth val="219"/>
        <c:overlap val="-27"/>
        <c:axId val="123401728"/>
        <c:axId val="123403264"/>
      </c:barChart>
      <c:catAx>
        <c:axId val="123401728"/>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2517352980769"/>
              <c:y val="0.88493243298148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3264"/>
        <c:crosses val="autoZero"/>
        <c:auto val="1"/>
        <c:lblAlgn val="ctr"/>
        <c:lblOffset val="100"/>
        <c:noMultiLvlLbl val="0"/>
      </c:catAx>
      <c:valAx>
        <c:axId val="12340326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401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1c3029a-2365-49e3-994d-9975ddaf347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400"/>
              <a:t>2023</a:t>
            </a:r>
            <a:r>
              <a:rPr lang="zh-CN" altLang="en-US" sz="1400"/>
              <a:t>、</a:t>
            </a:r>
            <a:r>
              <a:rPr lang="en-US" altLang="zh-CN" sz="1400"/>
              <a:t>2024</a:t>
            </a:r>
            <a:r>
              <a:rPr lang="zh-CN" altLang="en-US" sz="1400"/>
              <a:t>年一般公共预算财政拨款支出决算变动图</a:t>
            </a:r>
            <a:endParaRPr lang="zh-CN" altLang="en-US" sz="1400"/>
          </a:p>
        </c:rich>
      </c:tx>
      <c:layout/>
      <c:overlay val="0"/>
      <c:spPr>
        <a:noFill/>
        <a:ln>
          <a:noFill/>
        </a:ln>
        <a:effectLst/>
      </c:spPr>
    </c:title>
    <c:autoTitleDeleted val="0"/>
    <c:plotArea>
      <c:layout>
        <c:manualLayout>
          <c:layoutTarget val="inner"/>
          <c:xMode val="edge"/>
          <c:yMode val="edge"/>
          <c:x val="0.0772673581947212"/>
          <c:y val="0.186584107327141"/>
          <c:w val="0.893837866943733"/>
          <c:h val="0.649170912459473"/>
        </c:manualLayout>
      </c:layout>
      <c:barChart>
        <c:barDir val="col"/>
        <c:grouping val="clustered"/>
        <c:varyColors val="0"/>
        <c:ser>
          <c:idx val="0"/>
          <c:order val="0"/>
          <c:tx>
            <c:strRef>
              <c:f>Sheet1!$B$1</c:f>
              <c:strCache>
                <c:ptCount val="1"/>
                <c:pt idx="0">
                  <c:v>支出</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#,##0.00</c:formatCode>
                <c:ptCount val="2"/>
                <c:pt idx="0">
                  <c:v>4655.59</c:v>
                </c:pt>
                <c:pt idx="1">
                  <c:v>4773.18</c:v>
                </c:pt>
              </c:numCache>
            </c:numRef>
          </c:val>
        </c:ser>
        <c:dLbls>
          <c:showLegendKey val="0"/>
          <c:showVal val="0"/>
          <c:showCatName val="0"/>
          <c:showSerName val="0"/>
          <c:showPercent val="0"/>
          <c:showBubbleSize val="0"/>
        </c:dLbls>
        <c:gapWidth val="219"/>
        <c:overlap val="-27"/>
        <c:axId val="123571584"/>
        <c:axId val="123573376"/>
      </c:barChart>
      <c:catAx>
        <c:axId val="123571584"/>
        <c:scaling>
          <c:orientation val="minMax"/>
        </c:scaling>
        <c:delete val="0"/>
        <c:axPos val="b"/>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a:t>单位：万元</a:t>
                </a:r>
                <a:endParaRPr lang="zh-CN" altLang="en-US"/>
              </a:p>
            </c:rich>
          </c:tx>
          <c:layout>
            <c:manualLayout>
              <c:xMode val="edge"/>
              <c:yMode val="edge"/>
              <c:x val="0.803502448661531"/>
              <c:y val="0.9179561687915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3376"/>
        <c:crosses val="autoZero"/>
        <c:auto val="1"/>
        <c:lblAlgn val="ctr"/>
        <c:lblOffset val="100"/>
        <c:noMultiLvlLbl val="0"/>
      </c:catAx>
      <c:valAx>
        <c:axId val="12357337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3571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9095e7-c57b-4564-88be-156ded6bbcd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#,##0.00</c:formatCode>
                <c:ptCount val="4"/>
                <c:pt idx="0">
                  <c:v>3762.78</c:v>
                </c:pt>
                <c:pt idx="1" c:formatCode="General">
                  <c:v>484.08</c:v>
                </c:pt>
                <c:pt idx="2" c:formatCode="General">
                  <c:v>193.43</c:v>
                </c:pt>
                <c:pt idx="3" c:formatCode="General">
                  <c:v>332.9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6638fe7-4610-4fdd-a063-3a9ec94125c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Hei"/>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SimSun"/>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4F774-FF4F-48D7-93FD-2D36EEF439D8}">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10839</Words>
  <Characters>11757</Characters>
  <Lines>1636</Lines>
  <Paragraphs>1280</Paragraphs>
  <TotalTime>29</TotalTime>
  <ScaleCrop>false</ScaleCrop>
  <LinksUpToDate>false</LinksUpToDate>
  <CharactersWithSpaces>11865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2025-08-27T05:15:00Z</dcterms:created>
  <dc:creator>曹颖</dc:creator>
  <cp:lastModifiedBy>梅子</cp:lastModifiedBy>
  <cp:lastPrinted>2025-07-30T06:54:00Z</cp:lastPrinted>
  <dcterms:modified xsi:type="dcterms:W3CDTF">2025-12-01T02:20:42Z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47AEF69A10934EBDB22D8CA13DE1FCC6_13</vt:lpwstr>
  </property>
  <property fmtid="{D5CDD505-2E9C-101B-9397-08002B2CF9AE}" pid="4" name="KSOTemplateDocerSaveRecord">
    <vt:lpwstr>eyJoZGlkIjoiZGM4NjUzNDA1NDkyY2MxZmJmZThlN2U3ZTFkMjcwOGYiLCJ1c2VySWQiOiIxMzAzMDQ2NzEzIn0=</vt:lpwstr>
  </property>
</Properties>
</file>