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34DA11">
      <w:pPr>
        <w:pStyle w:val="207"/>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 xml:space="preserve">                                                                                                                                      </w:t>
      </w:r>
    </w:p>
    <w:p w14:paraId="62E57C22">
      <w:pPr>
        <w:pStyle w:val="207"/>
        <w:jc w:val="center"/>
        <w:rPr>
          <w:rFonts w:ascii="Times New Roman" w:hAnsi="Times New Roman" w:eastAsia="方正小标宋简体" w:cs="Times New Roman"/>
          <w:color w:val="000000"/>
          <w:sz w:val="44"/>
          <w:szCs w:val="44"/>
        </w:rPr>
      </w:pPr>
    </w:p>
    <w:p w14:paraId="6C7C03B9">
      <w:pPr>
        <w:pStyle w:val="207"/>
        <w:jc w:val="center"/>
        <w:rPr>
          <w:rFonts w:ascii="Times New Roman" w:hAnsi="Times New Roman" w:eastAsia="方正小标宋简体" w:cs="Times New Roman"/>
          <w:color w:val="000000"/>
          <w:sz w:val="44"/>
          <w:szCs w:val="44"/>
        </w:rPr>
      </w:pPr>
      <w:bookmarkStart w:id="162" w:name="_GoBack"/>
      <w:bookmarkEnd w:id="162"/>
    </w:p>
    <w:p w14:paraId="3F6F6D46">
      <w:pPr>
        <w:pStyle w:val="15"/>
        <w:spacing w:beforeLines="30" w:after="0"/>
        <w:jc w:val="center"/>
        <w:rPr>
          <w:rFonts w:hint="eastAsia" w:ascii="Times New Roman" w:hAnsi="Times New Roman" w:eastAsia="方正小标宋简体" w:cs="Times New Roman"/>
          <w:color w:val="auto"/>
          <w:kern w:val="2"/>
          <w:sz w:val="44"/>
          <w:szCs w:val="44"/>
          <w:highlight w:val="none"/>
          <w:lang w:val="en-US" w:eastAsia="zh-CN" w:bidi="ar-SA"/>
        </w:rPr>
      </w:pPr>
    </w:p>
    <w:p w14:paraId="0A95E5C7">
      <w:pPr>
        <w:pStyle w:val="15"/>
        <w:spacing w:beforeLines="30" w:after="0"/>
        <w:jc w:val="center"/>
        <w:rPr>
          <w:rFonts w:hint="eastAsia" w:ascii="Times New Roman" w:hAnsi="Times New Roman" w:eastAsia="方正小标宋简体" w:cs="Times New Roman"/>
          <w:color w:val="auto"/>
          <w:kern w:val="2"/>
          <w:sz w:val="48"/>
          <w:szCs w:val="48"/>
          <w:highlight w:val="none"/>
          <w:lang w:val="en-US" w:eastAsia="zh-CN" w:bidi="ar-SA"/>
        </w:rPr>
      </w:pPr>
      <w:r>
        <w:rPr>
          <w:rFonts w:hint="eastAsia" w:ascii="Times New Roman" w:hAnsi="Times New Roman" w:eastAsia="方正小标宋简体" w:cs="Times New Roman"/>
          <w:color w:val="auto"/>
          <w:kern w:val="2"/>
          <w:sz w:val="48"/>
          <w:szCs w:val="48"/>
          <w:highlight w:val="none"/>
          <w:lang w:val="en-US" w:eastAsia="zh-CN" w:bidi="ar-SA"/>
        </w:rPr>
        <w:t>2024年度</w:t>
      </w:r>
      <w:bookmarkStart w:id="0" w:name="_Toc15377426"/>
      <w:bookmarkStart w:id="1" w:name="_Toc15377194"/>
      <w:bookmarkStart w:id="2" w:name="_Toc15396598"/>
      <w:bookmarkStart w:id="3" w:name="_Toc15378442"/>
      <w:bookmarkStart w:id="4" w:name="_Toc15396476"/>
    </w:p>
    <w:p w14:paraId="2DE3063E">
      <w:pPr>
        <w:pStyle w:val="15"/>
        <w:spacing w:beforeLines="30" w:after="0"/>
        <w:jc w:val="center"/>
        <w:rPr>
          <w:rFonts w:hint="eastAsia" w:ascii="Times New Roman" w:hAnsi="Times New Roman" w:eastAsia="方正小标宋简体" w:cs="Times New Roman"/>
          <w:color w:val="auto"/>
          <w:kern w:val="2"/>
          <w:sz w:val="48"/>
          <w:szCs w:val="48"/>
          <w:highlight w:val="none"/>
          <w:lang w:val="en-US" w:eastAsia="zh-CN" w:bidi="ar-SA"/>
        </w:rPr>
      </w:pPr>
      <w:r>
        <w:rPr>
          <w:rFonts w:hint="eastAsia" w:ascii="Times New Roman" w:hAnsi="Times New Roman" w:eastAsia="方正小标宋简体" w:cs="Times New Roman"/>
          <w:color w:val="auto"/>
          <w:kern w:val="2"/>
          <w:sz w:val="48"/>
          <w:szCs w:val="48"/>
          <w:highlight w:val="none"/>
          <w:lang w:val="en-US" w:eastAsia="zh-CN" w:bidi="ar-SA"/>
        </w:rPr>
        <w:t>四川省</w:t>
      </w:r>
      <w:bookmarkStart w:id="5" w:name="_Toc15306268"/>
      <w:r>
        <w:rPr>
          <w:rFonts w:hint="eastAsia" w:ascii="Times New Roman" w:hAnsi="Times New Roman" w:eastAsia="方正小标宋简体" w:cs="Times New Roman"/>
          <w:color w:val="auto"/>
          <w:kern w:val="2"/>
          <w:sz w:val="48"/>
          <w:szCs w:val="48"/>
          <w:highlight w:val="none"/>
          <w:lang w:val="en-US" w:eastAsia="zh-CN" w:bidi="ar-SA"/>
        </w:rPr>
        <w:t>遂宁市安居区行政审批和数据局</w:t>
      </w:r>
    </w:p>
    <w:p w14:paraId="74599C45">
      <w:pPr>
        <w:pStyle w:val="15"/>
        <w:spacing w:beforeLines="30" w:after="0"/>
        <w:jc w:val="center"/>
        <w:rPr>
          <w:rFonts w:hint="eastAsia" w:ascii="Times New Roman" w:hAnsi="Times New Roman" w:eastAsia="方正小标宋简体" w:cs="Times New Roman"/>
          <w:color w:val="auto"/>
          <w:kern w:val="2"/>
          <w:sz w:val="48"/>
          <w:szCs w:val="48"/>
          <w:highlight w:val="none"/>
          <w:lang w:val="en-US" w:eastAsia="zh-CN" w:bidi="ar-SA"/>
        </w:rPr>
      </w:pPr>
      <w:r>
        <w:rPr>
          <w:rFonts w:hint="eastAsia" w:ascii="Times New Roman" w:hAnsi="Times New Roman" w:eastAsia="方正小标宋简体" w:cs="Times New Roman"/>
          <w:color w:val="auto"/>
          <w:kern w:val="2"/>
          <w:sz w:val="48"/>
          <w:szCs w:val="48"/>
          <w:highlight w:val="none"/>
          <w:lang w:val="en-US" w:eastAsia="zh-CN" w:bidi="ar-SA"/>
        </w:rPr>
        <w:t>部门决算</w:t>
      </w:r>
      <w:bookmarkEnd w:id="0"/>
      <w:bookmarkEnd w:id="1"/>
      <w:bookmarkEnd w:id="2"/>
      <w:bookmarkEnd w:id="3"/>
      <w:bookmarkEnd w:id="4"/>
      <w:bookmarkEnd w:id="5"/>
    </w:p>
    <w:p w14:paraId="62EC1535">
      <w:pPr>
        <w:pStyle w:val="207"/>
        <w:spacing w:before="173"/>
        <w:rPr>
          <w:rFonts w:ascii="Times New Roman" w:eastAsia="方正小标宋简体" w:cs="Times New Roman"/>
          <w:sz w:val="44"/>
          <w:szCs w:val="44"/>
        </w:rPr>
      </w:pPr>
    </w:p>
    <w:p w14:paraId="2296B2DF">
      <w:pPr>
        <w:widowControl/>
        <w:jc w:val="center"/>
        <w:rPr>
          <w:rFonts w:eastAsia="方正小标宋简体" w:cs="Times New Roman"/>
          <w:sz w:val="36"/>
          <w:szCs w:val="36"/>
        </w:rPr>
      </w:pPr>
    </w:p>
    <w:p w14:paraId="15D43C4A">
      <w:pPr>
        <w:widowControl/>
        <w:jc w:val="center"/>
        <w:rPr>
          <w:rFonts w:eastAsia="方正小标宋简体" w:cs="Times New Roman"/>
          <w:sz w:val="36"/>
          <w:szCs w:val="36"/>
        </w:rPr>
      </w:pPr>
    </w:p>
    <w:p w14:paraId="2A221015">
      <w:pPr>
        <w:widowControl/>
        <w:jc w:val="center"/>
        <w:rPr>
          <w:rFonts w:eastAsia="方正小标宋简体" w:cs="Times New Roman"/>
          <w:sz w:val="36"/>
          <w:szCs w:val="36"/>
        </w:rPr>
      </w:pPr>
    </w:p>
    <w:p w14:paraId="243700EF">
      <w:pPr>
        <w:widowControl/>
        <w:jc w:val="center"/>
        <w:rPr>
          <w:rFonts w:eastAsia="方正小标宋简体"/>
          <w:sz w:val="36"/>
          <w:szCs w:val="36"/>
        </w:rPr>
      </w:pPr>
      <w:r>
        <w:rPr>
          <w:rFonts w:eastAsia="方正小标宋简体"/>
          <w:sz w:val="36"/>
          <w:szCs w:val="36"/>
        </w:rPr>
        <w:t xml:space="preserve"> </w:t>
      </w:r>
    </w:p>
    <w:p w14:paraId="1C60ED02">
      <w:pPr>
        <w:widowControl/>
        <w:jc w:val="center"/>
        <w:rPr>
          <w:rFonts w:eastAsia="方正小标宋简体"/>
          <w:sz w:val="36"/>
          <w:szCs w:val="36"/>
        </w:rPr>
      </w:pPr>
    </w:p>
    <w:p w14:paraId="171FD5B5">
      <w:pPr>
        <w:widowControl/>
        <w:jc w:val="center"/>
        <w:rPr>
          <w:rFonts w:eastAsia="方正小标宋简体"/>
          <w:sz w:val="36"/>
          <w:szCs w:val="36"/>
        </w:rPr>
      </w:pPr>
    </w:p>
    <w:p w14:paraId="779CBA37">
      <w:pPr>
        <w:widowControl/>
        <w:jc w:val="center"/>
        <w:rPr>
          <w:rFonts w:eastAsia="方正小标宋简体"/>
          <w:sz w:val="36"/>
          <w:szCs w:val="36"/>
        </w:rPr>
      </w:pPr>
    </w:p>
    <w:p w14:paraId="68C5B386">
      <w:pPr>
        <w:widowControl/>
        <w:jc w:val="center"/>
        <w:rPr>
          <w:rFonts w:eastAsia="方正小标宋简体"/>
          <w:sz w:val="36"/>
          <w:szCs w:val="36"/>
        </w:rPr>
      </w:pPr>
    </w:p>
    <w:p w14:paraId="41457E2B">
      <w:pPr>
        <w:widowControl/>
        <w:jc w:val="center"/>
        <w:rPr>
          <w:rFonts w:eastAsia="方正小标宋简体"/>
          <w:sz w:val="36"/>
          <w:szCs w:val="36"/>
        </w:rPr>
      </w:pPr>
    </w:p>
    <w:p w14:paraId="12EFCCC7">
      <w:pPr>
        <w:widowControl/>
        <w:rPr>
          <w:rFonts w:eastAsia="方正小标宋简体" w:cs="Times New Roman"/>
          <w:sz w:val="36"/>
          <w:szCs w:val="36"/>
        </w:rPr>
        <w:sectPr>
          <w:headerReference r:id="rId3" w:type="default"/>
          <w:footerReference r:id="rId4" w:type="default"/>
          <w:pgSz w:w="11906" w:h="16838" w:orient="landscape"/>
          <w:pgMar w:top="1440" w:right="1803" w:bottom="1440" w:left="1803" w:header="851" w:footer="1701" w:gutter="0"/>
          <w:pgNumType w:fmt="decimal"/>
          <w:cols w:space="1701" w:num="1"/>
        </w:sectPr>
      </w:pPr>
    </w:p>
    <w:p w14:paraId="56B2D75A">
      <w:pPr>
        <w:jc w:val="center"/>
        <w:rPr>
          <w:rFonts w:hint="eastAsia" w:ascii="仿宋_GB2312" w:hAnsi="仿宋_GB2312" w:eastAsia="仿宋_GB2312" w:cs="仿宋_GB2312"/>
          <w:b/>
          <w:bCs/>
          <w:sz w:val="48"/>
          <w:szCs w:val="48"/>
        </w:rPr>
      </w:pPr>
      <w:bookmarkStart w:id="6" w:name="_Toc15396599"/>
      <w:bookmarkStart w:id="7" w:name="_Toc15377196"/>
      <w:r>
        <w:rPr>
          <w:rFonts w:hint="eastAsia" w:ascii="黑体" w:hAnsi="黑体" w:eastAsia="黑体" w:cs="黑体"/>
          <w:b/>
          <w:bCs/>
          <w:sz w:val="48"/>
          <w:szCs w:val="48"/>
        </w:rPr>
        <w:t>目</w:t>
      </w:r>
      <w:r>
        <w:rPr>
          <w:rFonts w:hint="eastAsia" w:ascii="黑体" w:hAnsi="黑体" w:eastAsia="黑体" w:cs="黑体"/>
          <w:b/>
          <w:bCs/>
          <w:sz w:val="48"/>
          <w:szCs w:val="48"/>
          <w:lang w:val="en-US" w:eastAsia="zh-CN"/>
        </w:rPr>
        <w:t xml:space="preserve">  </w:t>
      </w:r>
      <w:r>
        <w:rPr>
          <w:rFonts w:hint="eastAsia" w:ascii="黑体" w:hAnsi="黑体" w:eastAsia="黑体" w:cs="黑体"/>
          <w:b/>
          <w:bCs/>
          <w:sz w:val="48"/>
          <w:szCs w:val="48"/>
        </w:rPr>
        <w:t>录</w:t>
      </w:r>
    </w:p>
    <w:p w14:paraId="1B173E81">
      <w:pPr>
        <w:pStyle w:val="29"/>
        <w:jc w:val="both"/>
        <w:rPr>
          <w:rFonts w:hint="eastAsia" w:ascii="仿宋_GB2312" w:hAnsi="仿宋_GB2312" w:eastAsia="仿宋_GB2312" w:cs="仿宋_GB2312"/>
          <w:sz w:val="22"/>
          <w:szCs w:val="22"/>
        </w:rPr>
      </w:pPr>
    </w:p>
    <w:p w14:paraId="4826D8D5">
      <w:pPr>
        <w:pStyle w:val="26"/>
        <w:tabs>
          <w:tab w:val="right" w:leader="dot" w:pos="8296"/>
        </w:tabs>
        <w:ind w:firstLine="2520" w:firstLineChars="700"/>
        <w:jc w:val="both"/>
        <w:rPr>
          <w:rFonts w:hint="eastAsia" w:ascii="仿宋_GB2312" w:hAnsi="仿宋_GB2312" w:eastAsia="仿宋_GB2312" w:cs="仿宋_GB2312"/>
          <w:sz w:val="20"/>
          <w:szCs w:val="20"/>
        </w:rPr>
      </w:pPr>
      <w:r>
        <w:rPr>
          <w:rFonts w:hint="default" w:ascii="Times New Roman" w:hAnsi="Times New Roman" w:eastAsia="仿宋_GB2312" w:cs="Times New Roman"/>
          <w:sz w:val="36"/>
          <w:szCs w:val="36"/>
        </w:rPr>
        <w:t>公开时间：2024年08月29日</w:t>
      </w:r>
    </w:p>
    <w:p w14:paraId="640D723D">
      <w:pPr>
        <w:pStyle w:val="29"/>
        <w:rPr>
          <w:rFonts w:hint="eastAsia" w:ascii="仿宋_GB2312" w:hAnsi="仿宋_GB2312" w:eastAsia="仿宋_GB2312" w:cs="仿宋_GB2312"/>
          <w:sz w:val="24"/>
          <w:szCs w:val="24"/>
        </w:rPr>
      </w:pPr>
    </w:p>
    <w:p w14:paraId="42DAB910">
      <w:pPr>
        <w:pStyle w:val="229"/>
        <w:tabs>
          <w:tab w:val="right" w:leader="dot" w:pos="9026"/>
        </w:tabs>
        <w:rPr>
          <w:rFonts w:hint="eastAsia" w:ascii="仿宋_GB2312" w:hAnsi="仿宋_GB2312" w:eastAsia="仿宋_GB2312" w:cs="仿宋_GB2312"/>
          <w:sz w:val="18"/>
          <w:szCs w:val="1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"1-3" \h \u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b/>
          <w:bCs/>
          <w:sz w:val="21"/>
          <w:szCs w:val="21"/>
        </w:rPr>
        <w:fldChar w:fldCharType="begin"/>
      </w:r>
      <w:r>
        <w:rPr>
          <w:rFonts w:hint="eastAsia" w:ascii="仿宋_GB2312" w:hAnsi="仿宋_GB2312" w:eastAsia="仿宋_GB2312" w:cs="仿宋_GB2312"/>
          <w:b/>
          <w:bCs/>
          <w:sz w:val="21"/>
          <w:szCs w:val="21"/>
        </w:rPr>
        <w:instrText xml:space="preserve"> HYPERLINK \l "_Toc9876"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36"/>
          <w:szCs w:val="36"/>
        </w:rPr>
        <w:t>第一部分 部门概况</w:t>
      </w:r>
      <w:r>
        <w:rPr>
          <w:rFonts w:hint="eastAsia" w:ascii="仿宋_GB2312" w:hAnsi="仿宋_GB2312" w:eastAsia="仿宋_GB2312" w:cs="仿宋_GB2312"/>
          <w:b/>
          <w:bCs/>
          <w:sz w:val="36"/>
          <w:szCs w:val="36"/>
        </w:rPr>
        <w:tab/>
      </w:r>
      <w:r>
        <w:rPr>
          <w:rFonts w:hint="eastAsia" w:ascii="仿宋_GB2312" w:hAnsi="仿宋_GB2312" w:eastAsia="仿宋_GB2312" w:cs="仿宋_GB2312"/>
          <w:b w:val="0"/>
          <w:bCs w:val="0"/>
          <w:sz w:val="36"/>
          <w:szCs w:val="36"/>
        </w:rPr>
        <w:fldChar w:fldCharType="begin"/>
      </w:r>
      <w:r>
        <w:rPr>
          <w:rFonts w:hint="eastAsia" w:ascii="仿宋_GB2312" w:hAnsi="仿宋_GB2312" w:eastAsia="仿宋_GB2312" w:cs="仿宋_GB2312"/>
          <w:b w:val="0"/>
          <w:bCs w:val="0"/>
          <w:sz w:val="36"/>
          <w:szCs w:val="36"/>
        </w:rPr>
        <w:instrText xml:space="preserve"> PAGEREF _Toc9876 </w:instrText>
      </w:r>
      <w:r>
        <w:rPr>
          <w:rFonts w:hint="eastAsia" w:ascii="仿宋_GB2312" w:hAnsi="仿宋_GB2312" w:eastAsia="仿宋_GB2312" w:cs="仿宋_GB2312"/>
          <w:b w:val="0"/>
          <w:bCs w:val="0"/>
          <w:sz w:val="36"/>
          <w:szCs w:val="36"/>
        </w:rPr>
        <w:fldChar w:fldCharType="separate"/>
      </w:r>
      <w:r>
        <w:rPr>
          <w:rFonts w:hint="eastAsia" w:ascii="仿宋_GB2312" w:hAnsi="仿宋_GB2312" w:eastAsia="仿宋_GB2312" w:cs="仿宋_GB2312"/>
          <w:b w:val="0"/>
          <w:bCs w:val="0"/>
          <w:sz w:val="36"/>
          <w:szCs w:val="36"/>
        </w:rPr>
        <w:t>1</w:t>
      </w:r>
      <w:r>
        <w:rPr>
          <w:rFonts w:hint="eastAsia" w:ascii="仿宋_GB2312" w:hAnsi="仿宋_GB2312" w:eastAsia="仿宋_GB2312" w:cs="仿宋_GB2312"/>
          <w:b w:val="0"/>
          <w:bCs w:val="0"/>
          <w:sz w:val="36"/>
          <w:szCs w:val="36"/>
        </w:rPr>
        <w:fldChar w:fldCharType="end"/>
      </w:r>
      <w:r>
        <w:rPr>
          <w:rFonts w:hint="eastAsia" w:ascii="仿宋_GB2312" w:hAnsi="仿宋_GB2312" w:eastAsia="仿宋_GB2312" w:cs="仿宋_GB2312"/>
          <w:b/>
          <w:bCs/>
          <w:sz w:val="36"/>
          <w:szCs w:val="36"/>
        </w:rPr>
        <w:fldChar w:fldCharType="end"/>
      </w:r>
    </w:p>
    <w:p w14:paraId="4BC27C0D">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"_Toc1145"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一、 部门职责</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_Toc1145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346ED6BB">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"_Toc3471"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二、机构设置</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fldChar w:fldCharType="end"/>
      </w:r>
    </w:p>
    <w:p w14:paraId="31CF6DB0">
      <w:pPr>
        <w:pStyle w:val="229"/>
        <w:tabs>
          <w:tab w:val="right" w:leader="dot" w:pos="9026"/>
        </w:tabs>
        <w:spacing w:line="360" w:lineRule="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fldChar w:fldCharType="begin"/>
      </w:r>
      <w:r>
        <w:rPr>
          <w:rFonts w:hint="eastAsia" w:ascii="仿宋_GB2312" w:hAnsi="仿宋_GB2312" w:eastAsia="仿宋_GB2312" w:cs="仿宋_GB2312"/>
          <w:b/>
          <w:bCs/>
          <w:kern w:val="0"/>
          <w:sz w:val="32"/>
          <w:szCs w:val="32"/>
          <w:lang w:val="en-US" w:eastAsia="zh-CN" w:bidi="ar-SA"/>
        </w:rPr>
        <w:instrText xml:space="preserve"> HYPERLINK \l "_Toc8685" </w:instrText>
      </w:r>
      <w:r>
        <w:rPr>
          <w:rFonts w:hint="eastAsia" w:ascii="仿宋_GB2312" w:hAnsi="仿宋_GB2312" w:eastAsia="仿宋_GB2312" w:cs="仿宋_GB2312"/>
          <w:b/>
          <w:bCs/>
          <w:kern w:val="0"/>
          <w:sz w:val="32"/>
          <w:szCs w:val="32"/>
          <w:lang w:val="en-US" w:eastAsia="zh-CN" w:bidi="ar-SA"/>
        </w:rPr>
        <w:fldChar w:fldCharType="separate"/>
      </w:r>
      <w:r>
        <w:rPr>
          <w:rFonts w:hint="eastAsia" w:ascii="仿宋_GB2312" w:hAnsi="仿宋_GB2312" w:eastAsia="仿宋_GB2312" w:cs="仿宋_GB2312"/>
          <w:b/>
          <w:bCs/>
          <w:kern w:val="0"/>
          <w:sz w:val="32"/>
          <w:szCs w:val="32"/>
          <w:lang w:val="en-US" w:eastAsia="zh-CN" w:bidi="ar-SA"/>
        </w:rPr>
        <w:t>第二部分 2024年度部门决算情况说明</w:t>
      </w:r>
      <w:r>
        <w:rPr>
          <w:rFonts w:hint="eastAsia" w:ascii="仿宋_GB2312" w:hAnsi="仿宋_GB2312" w:eastAsia="仿宋_GB2312" w:cs="仿宋_GB2312"/>
          <w:b/>
          <w:bCs/>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3</w:t>
      </w:r>
    </w:p>
    <w:p w14:paraId="0E08BEB6">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"_Toc20001"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一、 收入支出决算总体情况说明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_Toc20001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1F8BD9E7">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"_Toc25864"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二、 收入决算情况说明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_Toc25864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6DFAA2A0">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"_Toc32156"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三、 支出决算情况说明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_Toc32156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1C1F8CBA">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"_Toc17137"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四、财政拨款收入支出决算总体情况说明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_Toc17137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23EAA742">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"_Toc16000"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五、一般公共预算财政拨款支出决算情况说明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_Toc16000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7C4D9EDE">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"_Toc8519"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六、一般公共预算财政拨款基本支出决算情况说明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8</w:t>
      </w:r>
      <w:r>
        <w:rPr>
          <w:rFonts w:hint="eastAsia" w:ascii="仿宋_GB2312" w:hAnsi="仿宋_GB2312" w:eastAsia="仿宋_GB2312" w:cs="仿宋_GB2312"/>
          <w:kern w:val="0"/>
          <w:sz w:val="32"/>
          <w:szCs w:val="32"/>
          <w:lang w:val="en-US" w:eastAsia="zh-CN" w:bidi="ar-SA"/>
        </w:rPr>
        <w:fldChar w:fldCharType="end"/>
      </w:r>
    </w:p>
    <w:p w14:paraId="2DF69099">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"_Toc30667"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七、财政拨款“三公”经费支出决算情况说明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_Toc30667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8</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0AADAF2E">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"_Toc21605"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八、政府性基金预算支出决算情况说明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_Toc21605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2BCC9732">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"_Toc32114"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九、 国有资本经营预算支出决算情况说明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_Toc32114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45106932">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"_Toc13293"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十、 其他重要事项的情况说明</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_Toc13293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2CB15F1C">
      <w:pPr>
        <w:pStyle w:val="229"/>
        <w:tabs>
          <w:tab w:val="right" w:leader="dot" w:pos="9026"/>
        </w:tabs>
        <w:spacing w:line="360" w:lineRule="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"_Toc3245"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b/>
          <w:bCs/>
          <w:kern w:val="0"/>
          <w:sz w:val="32"/>
          <w:szCs w:val="32"/>
          <w:lang w:val="en-US" w:eastAsia="zh-CN" w:bidi="ar-SA"/>
        </w:rPr>
        <w:t>第三部分 名词解释</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_Toc3245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15</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3308236B">
      <w:pPr>
        <w:pStyle w:val="229"/>
        <w:tabs>
          <w:tab w:val="right" w:leader="dot" w:pos="9026"/>
        </w:tabs>
        <w:spacing w:line="360" w:lineRule="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"_Toc766"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b/>
          <w:bCs/>
          <w:kern w:val="0"/>
          <w:sz w:val="32"/>
          <w:szCs w:val="32"/>
          <w:lang w:val="en-US" w:eastAsia="zh-CN" w:bidi="ar-SA"/>
        </w:rPr>
        <w:t>第四部分 附件</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_Toc766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19</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6B03F7A4">
      <w:pPr>
        <w:pStyle w:val="229"/>
        <w:tabs>
          <w:tab w:val="right" w:leader="dot" w:pos="9026"/>
        </w:tabs>
        <w:spacing w:line="360" w:lineRule="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"_Toc14542"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b/>
          <w:bCs/>
          <w:kern w:val="0"/>
          <w:sz w:val="32"/>
          <w:szCs w:val="32"/>
          <w:lang w:val="en-US" w:eastAsia="zh-CN" w:bidi="ar-SA"/>
        </w:rPr>
        <w:t>第五部分 附表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1</w:t>
      </w:r>
    </w:p>
    <w:p w14:paraId="3D02FB26">
      <w:pPr>
        <w:pStyle w:val="230"/>
        <w:tabs>
          <w:tab w:val="right" w:leader="dot" w:pos="9026"/>
        </w:tabs>
        <w:spacing w:line="360" w:lineRule="auto"/>
        <w:ind w:left="3168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"_Toc12137"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一、收入支出决算总表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1</w:t>
      </w:r>
    </w:p>
    <w:p w14:paraId="5C771C29">
      <w:pPr>
        <w:pStyle w:val="230"/>
        <w:tabs>
          <w:tab w:val="right" w:leader="dot" w:pos="9026"/>
        </w:tabs>
        <w:spacing w:line="360" w:lineRule="auto"/>
        <w:ind w:left="3168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"_Toc1841"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二、收入决算表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1</w:t>
      </w:r>
    </w:p>
    <w:p w14:paraId="72BDDB2B">
      <w:pPr>
        <w:pStyle w:val="230"/>
        <w:tabs>
          <w:tab w:val="right" w:leader="dot" w:pos="9026"/>
        </w:tabs>
        <w:spacing w:line="360" w:lineRule="auto"/>
        <w:ind w:left="3168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"_Toc10180"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三、支出决算表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61</w:t>
      </w:r>
    </w:p>
    <w:p w14:paraId="717D3316">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"_Toc32314"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四、财政拨款收入支出决算总表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_Toc32314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622BE80C">
      <w:pPr>
        <w:pStyle w:val="230"/>
        <w:tabs>
          <w:tab w:val="right" w:leader="dot" w:pos="9026"/>
        </w:tabs>
        <w:spacing w:line="360" w:lineRule="auto"/>
        <w:ind w:left="31680"/>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"_Toc637"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五、财政拨款支出决算明细表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t>61</w:t>
      </w:r>
    </w:p>
    <w:p w14:paraId="6949435B">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"_Toc3636"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六、一般公共预算财政拨款支出决算表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_Toc3636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26EB08A6">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"_Toc21307"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七、一般公共预算财政拨款支出决算明细表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_Toc21307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70BD5E42">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"_Toc30350"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八、一般公共预算财政拨款基本支出决算表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_Toc30350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3338B824">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"_Toc29843"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九、一般公共预算财政拨款项目支出决算表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_Toc29843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015237E7">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"_Toc17657"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十、政府性基金预算财政拨款收入支出决算表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_Toc17657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5AA668FA">
      <w:pPr>
        <w:pStyle w:val="230"/>
        <w:tabs>
          <w:tab w:val="right" w:leader="dot" w:pos="9026"/>
        </w:tabs>
        <w:spacing w:line="360" w:lineRule="auto"/>
        <w:ind w:left="3168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"_Toc11540"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十一、国有资本经营预算财政拨款收入支出决算表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_Toc11540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6C48F861">
      <w:pPr>
        <w:pStyle w:val="230"/>
        <w:tabs>
          <w:tab w:val="right" w:leader="dot" w:pos="9026"/>
        </w:tabs>
        <w:spacing w:line="360" w:lineRule="auto"/>
        <w:ind w:left="31680"/>
        <w:rPr>
          <w:rFonts w:hint="eastAsia" w:ascii="仿宋_GB2312" w:hAnsi="仿宋_GB2312" w:eastAsia="仿宋_GB2312" w:cs="仿宋_GB2312"/>
          <w:sz w:val="28"/>
          <w:szCs w:val="28"/>
        </w:rPr>
      </w:pP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HYPERLINK \l "_Toc32462"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十二、国有资本经营预算财政拨款支出决算表</w:t>
      </w:r>
      <w:r>
        <w:rPr>
          <w:rFonts w:hint="eastAsia" w:ascii="仿宋_GB2312" w:hAnsi="仿宋_GB2312" w:eastAsia="仿宋_GB2312" w:cs="仿宋_GB2312"/>
          <w:kern w:val="0"/>
          <w:sz w:val="32"/>
          <w:szCs w:val="32"/>
          <w:lang w:val="en-US" w:eastAsia="zh-CN" w:bidi="ar-SA"/>
        </w:rPr>
        <w:tab/>
      </w:r>
      <w:r>
        <w:rPr>
          <w:rFonts w:hint="eastAsia" w:ascii="仿宋_GB2312" w:hAnsi="仿宋_GB2312" w:eastAsia="仿宋_GB2312" w:cs="仿宋_GB2312"/>
          <w:kern w:val="0"/>
          <w:sz w:val="32"/>
          <w:szCs w:val="32"/>
          <w:lang w:val="en-US" w:eastAsia="zh-CN" w:bidi="ar-SA"/>
        </w:rPr>
        <w:fldChar w:fldCharType="begin"/>
      </w:r>
      <w:r>
        <w:rPr>
          <w:rFonts w:hint="eastAsia" w:ascii="仿宋_GB2312" w:hAnsi="仿宋_GB2312" w:eastAsia="仿宋_GB2312" w:cs="仿宋_GB2312"/>
          <w:kern w:val="0"/>
          <w:sz w:val="32"/>
          <w:szCs w:val="32"/>
          <w:lang w:val="en-US" w:eastAsia="zh-CN" w:bidi="ar-SA"/>
        </w:rPr>
        <w:instrText xml:space="preserve"> PAGEREF _Toc32462 </w:instrText>
      </w:r>
      <w:r>
        <w:rPr>
          <w:rFonts w:hint="eastAsia" w:ascii="仿宋_GB2312" w:hAnsi="仿宋_GB2312" w:eastAsia="仿宋_GB2312" w:cs="仿宋_GB2312"/>
          <w:kern w:val="0"/>
          <w:sz w:val="32"/>
          <w:szCs w:val="32"/>
          <w:lang w:val="en-US" w:eastAsia="zh-CN" w:bidi="ar-SA"/>
        </w:rPr>
        <w:fldChar w:fldCharType="separate"/>
      </w:r>
      <w:r>
        <w:rPr>
          <w:rFonts w:hint="eastAsia" w:ascii="仿宋_GB2312" w:hAnsi="仿宋_GB2312" w:eastAsia="仿宋_GB2312" w:cs="仿宋_GB2312"/>
          <w:kern w:val="0"/>
          <w:sz w:val="32"/>
          <w:szCs w:val="32"/>
          <w:lang w:val="en-US" w:eastAsia="zh-CN" w:bidi="ar-SA"/>
        </w:rPr>
        <w:t>61</w:t>
      </w:r>
      <w:r>
        <w:rPr>
          <w:rFonts w:hint="eastAsia" w:ascii="仿宋_GB2312" w:hAnsi="仿宋_GB2312" w:eastAsia="仿宋_GB2312" w:cs="仿宋_GB2312"/>
          <w:kern w:val="0"/>
          <w:sz w:val="32"/>
          <w:szCs w:val="32"/>
          <w:lang w:val="en-US" w:eastAsia="zh-CN" w:bidi="ar-SA"/>
        </w:rPr>
        <w:fldChar w:fldCharType="end"/>
      </w:r>
      <w:r>
        <w:rPr>
          <w:rFonts w:hint="eastAsia" w:ascii="仿宋_GB2312" w:hAnsi="仿宋_GB2312" w:eastAsia="仿宋_GB2312" w:cs="仿宋_GB2312"/>
          <w:kern w:val="0"/>
          <w:sz w:val="32"/>
          <w:szCs w:val="32"/>
          <w:lang w:val="en-US" w:eastAsia="zh-CN" w:bidi="ar-SA"/>
        </w:rPr>
        <w:fldChar w:fldCharType="end"/>
      </w:r>
    </w:p>
    <w:p w14:paraId="47438FD3">
      <w:pPr>
        <w:pStyle w:val="230"/>
        <w:tabs>
          <w:tab w:val="right" w:leader="dot" w:pos="9026"/>
        </w:tabs>
        <w:ind w:left="31680"/>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fldChar w:fldCharType="begin"/>
      </w:r>
      <w:r>
        <w:rPr>
          <w:rFonts w:hint="eastAsia" w:ascii="仿宋_GB2312" w:hAnsi="仿宋_GB2312" w:eastAsia="仿宋_GB2312" w:cs="仿宋_GB2312"/>
          <w:sz w:val="18"/>
          <w:szCs w:val="18"/>
        </w:rPr>
        <w:instrText xml:space="preserve"> HYPERLINK \l "_Toc27058" </w:instrText>
      </w:r>
      <w:r>
        <w:rPr>
          <w:rFonts w:hint="eastAsia" w:ascii="仿宋_GB2312" w:hAnsi="仿宋_GB2312" w:eastAsia="仿宋_GB2312" w:cs="仿宋_GB2312"/>
          <w:sz w:val="18"/>
          <w:szCs w:val="18"/>
        </w:rPr>
        <w:fldChar w:fldCharType="separate"/>
      </w:r>
      <w:r>
        <w:rPr>
          <w:rFonts w:hint="eastAsia" w:ascii="仿宋_GB2312" w:hAnsi="仿宋_GB2312" w:eastAsia="仿宋_GB2312" w:cs="仿宋_GB2312"/>
          <w:kern w:val="0"/>
          <w:sz w:val="32"/>
          <w:szCs w:val="32"/>
          <w:lang w:val="en-US" w:eastAsia="zh-CN" w:bidi="ar-SA"/>
        </w:rPr>
        <w:t>十三、财政拨款“三公”经费支出决算表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28"/>
          <w:szCs w:val="28"/>
        </w:rPr>
        <w:fldChar w:fldCharType="end"/>
      </w:r>
    </w:p>
    <w:p w14:paraId="3FCEF7E6">
      <w:pPr>
        <w:widowControl/>
        <w:spacing w:line="440" w:lineRule="exact"/>
        <w:jc w:val="center"/>
        <w:rPr>
          <w:rFonts w:hint="eastAsia" w:ascii="仿宋_GB2312" w:hAnsi="仿宋_GB2312" w:eastAsia="仿宋_GB2312" w:cs="仿宋_GB2312"/>
          <w:sz w:val="28"/>
          <w:szCs w:val="28"/>
        </w:rPr>
        <w:sectPr>
          <w:footerReference r:id="rId5" w:type="default"/>
          <w:pgSz w:w="11906" w:h="16838" w:orient="landscape"/>
          <w:pgMar w:top="2098" w:right="1474" w:bottom="1984" w:left="1587" w:header="851" w:footer="1701" w:gutter="0"/>
          <w:pgNumType w:fmt="decimal" w:start="1"/>
          <w:cols w:space="1701" w:num="1"/>
        </w:sectPr>
      </w:pPr>
      <w:r>
        <w:rPr>
          <w:rFonts w:hint="eastAsia" w:ascii="仿宋_GB2312" w:hAnsi="仿宋_GB2312" w:eastAsia="仿宋_GB2312" w:cs="仿宋_GB2312"/>
          <w:sz w:val="28"/>
          <w:szCs w:val="28"/>
        </w:rPr>
        <w:fldChar w:fldCharType="end"/>
      </w:r>
      <w:bookmarkStart w:id="8" w:name="_Toc9876"/>
    </w:p>
    <w:p w14:paraId="580BBFC3">
      <w:pPr>
        <w:widowControl/>
        <w:spacing w:line="440" w:lineRule="exact"/>
        <w:jc w:val="center"/>
        <w:rPr>
          <w:rFonts w:eastAsia="黑体" w:cs="Times New Roman"/>
        </w:rPr>
      </w:pPr>
      <w:r>
        <w:rPr>
          <w:rFonts w:hint="eastAsia" w:ascii="方正小标宋简体" w:hAnsi="方正小标宋简体" w:eastAsia="方正小标宋简体" w:cs="方正小标宋简体"/>
          <w:sz w:val="44"/>
          <w:szCs w:val="44"/>
        </w:rPr>
        <w:t xml:space="preserve">第一部分 </w:t>
      </w:r>
      <w:r>
        <w:rPr>
          <w:rStyle w:val="202"/>
          <w:rFonts w:hint="eastAsia" w:ascii="方正小标宋简体" w:hAnsi="方正小标宋简体" w:eastAsia="方正小标宋简体" w:cs="方正小标宋简体"/>
          <w:b w:val="0"/>
          <w:bCs w:val="0"/>
        </w:rPr>
        <w:t>部门概况</w:t>
      </w:r>
      <w:bookmarkEnd w:id="6"/>
      <w:bookmarkEnd w:id="7"/>
      <w:bookmarkEnd w:id="8"/>
    </w:p>
    <w:p w14:paraId="460184F9">
      <w:pPr>
        <w:pStyle w:val="196"/>
        <w:keepLines w:val="0"/>
        <w:pageBreakBefore w:val="0"/>
        <w:numPr>
          <w:ilvl w:val="0"/>
          <w:numId w:val="3"/>
        </w:numPr>
        <w:kinsoku/>
        <w:wordWrap/>
        <w:overflowPunct/>
        <w:topLinePunct w:val="0"/>
        <w:autoSpaceDN/>
        <w:bidi w:val="0"/>
        <w:spacing w:line="560" w:lineRule="exact"/>
        <w:textAlignment w:val="auto"/>
        <w:rPr>
          <w:rFonts w:hint="eastAsia" w:ascii="方正黑体简体" w:hAnsi="方正黑体简体" w:eastAsia="方正黑体简体" w:cs="方正黑体简体"/>
          <w:b w:val="0"/>
          <w:bCs w:val="0"/>
          <w:i w:val="0"/>
          <w:iCs w:val="0"/>
          <w:sz w:val="32"/>
          <w:szCs w:val="32"/>
        </w:rPr>
      </w:pPr>
      <w:bookmarkStart w:id="9" w:name="_Toc1145"/>
      <w:r>
        <w:rPr>
          <w:rFonts w:hint="eastAsia" w:ascii="方正黑体简体" w:hAnsi="方正黑体简体" w:eastAsia="方正黑体简体" w:cs="方正黑体简体"/>
          <w:b w:val="0"/>
          <w:bCs w:val="0"/>
          <w:i w:val="0"/>
          <w:iCs w:val="0"/>
          <w:sz w:val="32"/>
          <w:szCs w:val="32"/>
        </w:rPr>
        <w:t>部门职责</w:t>
      </w:r>
      <w:bookmarkEnd w:id="9"/>
    </w:p>
    <w:p w14:paraId="350C3888">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bookmarkStart w:id="10" w:name="_Toc15396601"/>
      <w:bookmarkStart w:id="11" w:name="_Toc3471"/>
      <w:bookmarkStart w:id="12" w:name="_Toc15377200"/>
      <w:r>
        <w:rPr>
          <w:rFonts w:hint="default" w:ascii="Times New Roman" w:hAnsi="Times New Roman" w:eastAsia="仿宋_GB2312" w:cs="Times New Roman"/>
          <w:color w:val="auto"/>
          <w:sz w:val="32"/>
          <w:szCs w:val="32"/>
          <w:highlight w:val="none"/>
          <w:lang w:val="en-US" w:eastAsia="zh-CN"/>
        </w:rPr>
        <w:t>1.负责拟订并指导实施政务服务的政策、制度、办法和标准，统筹推进政务服务管理等工作。</w:t>
      </w:r>
    </w:p>
    <w:p w14:paraId="39ACA27B">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2.负责全区政务服务体系建设，推进政务服务标准化、规范化、便利化建设，推进政务服务事项集中办理，指导规范全区政务服务场所设立、服务窗口设置、窗口业务办理。统筹协调、监督推进区本级政务服务事项进驻区政务服务大厅集中受理、办理。负责区级部门进驻区政务服务大厅窗口工作人员考核。</w:t>
      </w:r>
    </w:p>
    <w:p w14:paraId="4ACE34FB">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3.指导全区优化政务服务提升行政效能、基层审批服务便民化工作。组织、协调、指导多部门(单位)政务服务事项联合办理工作。协调推进线上线下融合办理。</w:t>
      </w:r>
    </w:p>
    <w:p w14:paraId="138470CD">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负责推进全区行政审批制度改革和“放管服”改革，深入推进审批服务标准化。拟订全区“放管服”改革和行政审批标准化规范化建设的制度、办法并组织实施。负责区级公共服务事项动态调整，会同相关部门指导全区相对集中行政许可权等政务服务改革。负责行使划转部门和上级部门下放的行政许可事项的审批工作，并对审批行为及结果承担法律责任。</w:t>
      </w:r>
    </w:p>
    <w:p w14:paraId="029B16FF">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5.协调推进全区数据基础制度建设，拟订全区数据发展战略、发展规划及数据要素产权、流通、分配、治理等政策措施、标准规范并组织实施。会同有关部门做好数据人才队伍建设。统筹数据资源整合共享和开发利用，拟订数据资源分类分级管理制度，负责全区数据统筹管理和监督检查，推动信息资源跨行业、跨部门互联互通。指导全区开展数据资源共享利用等工作。</w:t>
      </w:r>
    </w:p>
    <w:p w14:paraId="305C1547">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6.统筹推进数字安居建设，拟订数字安居建设发展规划，负责数据基础设施规划、协调和管理。统筹协调政府信息化建设项目，组织论证评估和实施监督管理。统筹推进数字社会规划和建设，牵头推进智慧城市建设工作，参与协调推动公共服务和社会治理信息化。</w:t>
      </w:r>
    </w:p>
    <w:p w14:paraId="13B93624">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7.统筹推进全区数字经济发展，拟订全区数字经济发展战略、计划措施、考核办法等并组织实施。</w:t>
      </w:r>
    </w:p>
    <w:p w14:paraId="6395926E">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8.负责全区电子政务工作。负责政务云、政务外网、区政府网站集约化平台管理等工作，指导区直部门电子政务和政府门户网站建设工作。</w:t>
      </w:r>
    </w:p>
    <w:p w14:paraId="5419F128">
      <w:pPr>
        <w:keepNext w:val="0"/>
        <w:keepLines w:val="0"/>
        <w:pageBreakBefore w:val="0"/>
        <w:widowControl/>
        <w:numPr>
          <w:ilvl w:val="0"/>
          <w:numId w:val="0"/>
        </w:numPr>
        <w:kinsoku/>
        <w:wordWrap/>
        <w:overflowPunct/>
        <w:topLinePunct w:val="0"/>
        <w:bidi w:val="0"/>
        <w:adjustRightInd/>
        <w:snapToGrid/>
        <w:spacing w:line="560" w:lineRule="exact"/>
        <w:ind w:firstLine="640" w:firstLineChars="200"/>
        <w:jc w:val="lef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9.负责职责范围内的安全生产和职业健康、生态环境保护、审批服务便民化等工作。</w:t>
      </w:r>
    </w:p>
    <w:p w14:paraId="7DE0EF14">
      <w:pPr>
        <w:pStyle w:val="236"/>
        <w:keepNext w:val="0"/>
        <w:keepLines w:val="0"/>
        <w:pageBreakBefore w:val="0"/>
        <w:kinsoku/>
        <w:wordWrap/>
        <w:overflowPunct/>
        <w:topLinePunct w:val="0"/>
        <w:bidi w:val="0"/>
        <w:adjustRightInd/>
        <w:snapToGrid/>
        <w:spacing w:line="560" w:lineRule="exact"/>
        <w:ind w:firstLine="634"/>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10.完成区委和区政府交办的其他任务。</w:t>
      </w:r>
    </w:p>
    <w:p w14:paraId="560B1380">
      <w:pPr>
        <w:keepLines w:val="0"/>
        <w:pageBreakBefore w:val="0"/>
        <w:kinsoku/>
        <w:wordWrap/>
        <w:overflowPunct/>
        <w:topLinePunct w:val="0"/>
        <w:autoSpaceDN/>
        <w:bidi w:val="0"/>
        <w:spacing w:line="560" w:lineRule="exact"/>
        <w:ind w:firstLine="640" w:firstLineChars="200"/>
        <w:textAlignment w:val="auto"/>
        <w:outlineLvl w:val="1"/>
        <w:rPr>
          <w:rStyle w:val="203"/>
          <w:rFonts w:hint="eastAsia" w:ascii="黑体" w:hAnsi="黑体" w:eastAsia="黑体" w:cs="黑体"/>
          <w:b w:val="0"/>
          <w:bCs w:val="0"/>
          <w:i w:val="0"/>
          <w:iCs w:val="0"/>
        </w:rPr>
      </w:pPr>
      <w:r>
        <w:rPr>
          <w:rFonts w:hint="eastAsia" w:ascii="黑体" w:hAnsi="黑体" w:eastAsia="黑体" w:cs="黑体"/>
        </w:rPr>
        <w:t>二、机</w:t>
      </w:r>
      <w:r>
        <w:rPr>
          <w:rStyle w:val="203"/>
          <w:rFonts w:hint="eastAsia" w:ascii="黑体" w:hAnsi="黑体" w:eastAsia="黑体" w:cs="黑体"/>
          <w:b w:val="0"/>
          <w:bCs w:val="0"/>
          <w:i w:val="0"/>
          <w:iCs w:val="0"/>
        </w:rPr>
        <w:t>构设置</w:t>
      </w:r>
      <w:bookmarkEnd w:id="10"/>
      <w:bookmarkEnd w:id="11"/>
      <w:bookmarkEnd w:id="12"/>
    </w:p>
    <w:p w14:paraId="621B7D6C">
      <w:pPr>
        <w:keepLines w:val="0"/>
        <w:pageBreakBefore w:val="0"/>
        <w:kinsoku/>
        <w:wordWrap/>
        <w:overflowPunct/>
        <w:topLinePunct w:val="0"/>
        <w:autoSpaceDN/>
        <w:bidi w:val="0"/>
        <w:spacing w:line="56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rPr>
        <w:t>遂宁市安居区行政审批和数据局</w:t>
      </w:r>
      <w:r>
        <w:rPr>
          <w:rFonts w:hint="eastAsia" w:ascii="仿宋_GB2312" w:hAnsi="仿宋_GB2312" w:eastAsia="仿宋_GB2312" w:cs="仿宋_GB2312"/>
          <w:color w:val="000000"/>
        </w:rPr>
        <w:t>下属二级预算单位0个，其中行政单位0个，参照公务员法管理的事业单位0个，其他事业单位0个。</w:t>
      </w:r>
    </w:p>
    <w:p w14:paraId="09B3983A">
      <w:pPr>
        <w:pStyle w:val="15"/>
        <w:keepLines w:val="0"/>
        <w:pageBreakBefore w:val="0"/>
        <w:kinsoku/>
        <w:wordWrap/>
        <w:overflowPunct/>
        <w:topLinePunct w:val="0"/>
        <w:autoSpaceDN/>
        <w:bidi w:val="0"/>
        <w:adjustRightInd w:val="0"/>
        <w:snapToGrid w:val="0"/>
        <w:spacing w:line="560" w:lineRule="exact"/>
        <w:ind w:firstLine="640" w:firstLineChars="200"/>
        <w:textAlignment w:val="auto"/>
        <w:rPr>
          <w:rFonts w:eastAsia="仿宋" w:cs="Times New Roman"/>
        </w:rPr>
      </w:pPr>
      <w:r>
        <w:rPr>
          <w:rFonts w:hint="eastAsia" w:ascii="仿宋_GB2312" w:hAnsi="仿宋_GB2312" w:eastAsia="仿宋_GB2312" w:cs="仿宋_GB2312"/>
          <w:color w:val="000000"/>
        </w:rPr>
        <w:t>无纳入</w:t>
      </w:r>
      <w:r>
        <w:rPr>
          <w:rFonts w:hint="eastAsia" w:ascii="仿宋_GB2312" w:hAnsi="仿宋_GB2312" w:eastAsia="仿宋_GB2312" w:cs="仿宋_GB2312"/>
        </w:rPr>
        <w:t>遂宁市安居区行政审批和数据局</w:t>
      </w:r>
      <w:r>
        <w:rPr>
          <w:rFonts w:hint="eastAsia" w:ascii="仿宋_GB2312" w:hAnsi="仿宋_GB2312" w:eastAsia="仿宋_GB2312" w:cs="仿宋_GB2312"/>
          <w:color w:val="000000"/>
        </w:rPr>
        <w:t>2024年度部门决算编制范围的二级预算单位。</w:t>
      </w:r>
    </w:p>
    <w:p w14:paraId="122E1C1D">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bookmarkStart w:id="13" w:name="_Toc15396602"/>
      <w:bookmarkStart w:id="14" w:name="_Toc15377204"/>
      <w:bookmarkStart w:id="15" w:name="_Toc8685"/>
      <w:r>
        <w:rPr>
          <w:rFonts w:hint="eastAsia" w:ascii="方正小标宋简体" w:hAnsi="方正小标宋简体" w:eastAsia="方正小标宋简体" w:cs="方正小标宋简体"/>
          <w:sz w:val="44"/>
          <w:szCs w:val="44"/>
        </w:rPr>
        <w:t>第二部分 2024年度部门决算情况说明</w:t>
      </w:r>
      <w:bookmarkEnd w:id="13"/>
      <w:bookmarkEnd w:id="14"/>
      <w:bookmarkEnd w:id="15"/>
    </w:p>
    <w:p w14:paraId="05F0DD7E">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rPr>
      </w:pPr>
    </w:p>
    <w:p w14:paraId="2EB5CA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bookmarkStart w:id="16" w:name="_Toc15377205"/>
      <w:bookmarkStart w:id="17" w:name="_Toc20001"/>
      <w:bookmarkStart w:id="18" w:name="_Toc15396603"/>
      <w:r>
        <w:rPr>
          <w:rFonts w:hint="eastAsia" w:ascii="黑体" w:hAnsi="黑体" w:eastAsia="黑体" w:cs="黑体"/>
          <w:lang w:eastAsia="zh-CN"/>
        </w:rPr>
        <w:t>一、</w:t>
      </w:r>
      <w:r>
        <w:rPr>
          <w:rFonts w:hint="eastAsia" w:ascii="黑体" w:hAnsi="黑体" w:eastAsia="黑体" w:cs="黑体"/>
        </w:rPr>
        <w:t>收入支出决算总体情况说明</w:t>
      </w:r>
      <w:bookmarkEnd w:id="16"/>
      <w:bookmarkEnd w:id="17"/>
      <w:bookmarkEnd w:id="18"/>
    </w:p>
    <w:p w14:paraId="0E9241E7">
      <w:pPr>
        <w:keepLines w:val="0"/>
        <w:pageBreakBefore w:val="0"/>
        <w:kinsoku/>
        <w:wordWrap/>
        <w:overflowPunct/>
        <w:topLinePunct w:val="0"/>
        <w:autoSpaceDE w:val="0"/>
        <w:autoSpaceDN/>
        <w:bidi w:val="0"/>
        <w:spacing w:line="560" w:lineRule="exact"/>
        <w:ind w:firstLine="640" w:firstLineChars="200"/>
        <w:textAlignment w:val="auto"/>
        <w:rPr>
          <w:rFonts w:hint="default" w:ascii="仿宋_GB2312" w:hAnsi="仿宋_GB2312" w:eastAsia="仿宋_GB2312" w:cs="仿宋_GB2312"/>
          <w:lang w:val="en-US"/>
        </w:rPr>
      </w:pPr>
      <w:r>
        <w:rPr>
          <w:rFonts w:hint="eastAsia" w:ascii="仿宋_GB2312" w:hAnsi="仿宋_GB2312" w:eastAsia="仿宋_GB2312" w:cs="仿宋_GB2312"/>
        </w:rPr>
        <w:t>2024年度收、支总计均为1064.55万元。与2023年度相比，收、支总计各减少114.92万元，下降9.74%。主要变动原因是</w:t>
      </w:r>
      <w:bookmarkStart w:id="19" w:name="OLE_LINK9"/>
      <w:bookmarkStart w:id="20" w:name="OLE_LINK2"/>
      <w:bookmarkStart w:id="21" w:name="OLE_LINK8"/>
      <w:bookmarkStart w:id="22" w:name="OLE_LINK1"/>
      <w:r>
        <w:rPr>
          <w:rFonts w:hint="eastAsia" w:ascii="仿宋_GB2312" w:hAnsi="仿宋_GB2312" w:eastAsia="仿宋_GB2312" w:cs="仿宋_GB2312"/>
          <w:lang w:val="en-US" w:eastAsia="zh-CN"/>
        </w:rPr>
        <w:t>2024</w:t>
      </w:r>
      <w:r>
        <w:rPr>
          <w:rFonts w:hint="eastAsia" w:ascii="仿宋_GB2312" w:hAnsi="仿宋_GB2312" w:eastAsia="仿宋_GB2312" w:cs="仿宋_GB2312"/>
        </w:rPr>
        <w:t>年度</w:t>
      </w:r>
      <w:bookmarkEnd w:id="19"/>
      <w:bookmarkEnd w:id="20"/>
      <w:bookmarkEnd w:id="21"/>
      <w:bookmarkEnd w:id="22"/>
      <w:r>
        <w:rPr>
          <w:rFonts w:hint="eastAsia" w:ascii="仿宋_GB2312" w:hAnsi="仿宋_GB2312" w:eastAsia="仿宋_GB2312" w:cs="仿宋_GB2312"/>
          <w:lang w:val="en-US" w:eastAsia="zh-CN"/>
        </w:rPr>
        <w:t>比2023年度的项目资金有所减少</w:t>
      </w:r>
      <w:r>
        <w:rPr>
          <w:rFonts w:hint="eastAsia" w:ascii="仿宋_GB2312" w:hAnsi="仿宋_GB2312" w:eastAsia="仿宋_GB2312" w:cs="仿宋_GB2312"/>
        </w:rPr>
        <w:t>。</w:t>
      </w:r>
      <w:r>
        <w:rPr>
          <w:rFonts w:hint="eastAsia" w:ascii="仿宋_GB2312" w:hAnsi="仿宋_GB2312" w:cs="仿宋_GB2312"/>
          <w:lang w:val="en-US" w:eastAsia="zh-CN"/>
        </w:rPr>
        <w:t>减少了便民服务设施专项规划编制资金、行政效能监察网络运行维护费、安居政务中心停车场、政务服务综合大楼信息建设、装饰装修费。</w:t>
      </w:r>
    </w:p>
    <w:p w14:paraId="2BC0401F">
      <w:pPr>
        <w:pStyle w:val="29"/>
      </w:pPr>
    </w:p>
    <w:p w14:paraId="5848AB83">
      <w:pPr>
        <w:pStyle w:val="199"/>
        <w:jc w:val="center"/>
        <w:rPr>
          <w:rFonts w:cs="Times New Roman"/>
          <w:sz w:val="32"/>
          <w:szCs w:val="32"/>
        </w:rPr>
      </w:pPr>
      <w:r>
        <w:rPr>
          <w:rFonts w:cs="Times New Roman"/>
          <w:sz w:val="32"/>
          <w:szCs w:val="32"/>
        </w:rPr>
        <w:object>
          <v:shape id="_x0000_i1025" o:spt="75" type="#_x0000_t75" style="height:156.9pt;width:263.9pt;" o:ole="t" filled="f" o:preferrelative="t" stroked="f" coordsize="21600,21600">
            <v:path/>
            <v:fill on="f" focussize="0,0"/>
            <v:stroke on="f"/>
            <v:imagedata r:id="rId9" o:title=""/>
            <o:lock v:ext="edit" aspectratio="f"/>
            <w10:wrap type="none"/>
            <w10:anchorlock/>
          </v:shape>
          <o:OLEObject Type="Embed" ProgID="Excel.Chart.8" ShapeID="_x0000_i1025" DrawAspect="Content" ObjectID="_1468075725" r:id="rId8">
            <o:LockedField>false</o:LockedField>
          </o:OLEObject>
        </w:object>
      </w:r>
    </w:p>
    <w:p w14:paraId="7740D461">
      <w:pPr>
        <w:spacing w:line="560" w:lineRule="exact"/>
        <w:ind w:firstLine="632"/>
        <w:jc w:val="center"/>
        <w:rPr>
          <w:rFonts w:cs="Times New Roman"/>
          <w:sz w:val="28"/>
          <w:szCs w:val="28"/>
        </w:rPr>
      </w:pPr>
      <w:r>
        <w:rPr>
          <w:rFonts w:hint="eastAsia" w:cs="仿宋_GB2312"/>
          <w:sz w:val="28"/>
          <w:szCs w:val="28"/>
        </w:rPr>
        <w:t>（图</w:t>
      </w:r>
      <w:r>
        <w:rPr>
          <w:sz w:val="28"/>
          <w:szCs w:val="28"/>
        </w:rPr>
        <w:t>1</w:t>
      </w:r>
      <w:r>
        <w:rPr>
          <w:rFonts w:hint="eastAsia" w:cs="仿宋_GB2312"/>
          <w:sz w:val="28"/>
          <w:szCs w:val="28"/>
        </w:rPr>
        <w:t>：收、支决算总计变动情况图）（柱状图）</w:t>
      </w:r>
    </w:p>
    <w:p w14:paraId="5BDB25C8">
      <w:pPr>
        <w:pStyle w:val="2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03"/>
          <w:rFonts w:ascii="Times New Roman" w:hAnsi="Times New Roman" w:eastAsia="黑体" w:cs="Times New Roman"/>
          <w:b w:val="0"/>
          <w:bCs w:val="0"/>
          <w:i w:val="0"/>
          <w:iCs w:val="0"/>
        </w:rPr>
      </w:pPr>
      <w:bookmarkStart w:id="23" w:name="_Toc15396604"/>
      <w:bookmarkStart w:id="24" w:name="_Toc25864"/>
      <w:bookmarkStart w:id="25" w:name="_Toc15377206"/>
      <w:r>
        <w:rPr>
          <w:rFonts w:hint="eastAsia" w:eastAsia="黑体" w:cs="黑体"/>
          <w:lang w:eastAsia="zh-CN"/>
        </w:rPr>
        <w:t>二、</w:t>
      </w:r>
      <w:r>
        <w:rPr>
          <w:rFonts w:hint="eastAsia" w:eastAsia="黑体" w:cs="黑体"/>
        </w:rPr>
        <w:t>收</w:t>
      </w:r>
      <w:r>
        <w:rPr>
          <w:rStyle w:val="203"/>
          <w:rFonts w:hint="eastAsia" w:ascii="Times New Roman" w:hAnsi="Times New Roman" w:eastAsia="黑体" w:cs="黑体"/>
          <w:b w:val="0"/>
          <w:bCs w:val="0"/>
          <w:i w:val="0"/>
          <w:iCs w:val="0"/>
        </w:rPr>
        <w:t>入决算情况说明</w:t>
      </w:r>
      <w:bookmarkEnd w:id="23"/>
      <w:bookmarkEnd w:id="24"/>
      <w:bookmarkEnd w:id="25"/>
    </w:p>
    <w:p w14:paraId="2DEAE5E2">
      <w:pPr>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rPr>
      </w:pPr>
      <w:bookmarkStart w:id="26" w:name="_Toc1914"/>
      <w:r>
        <w:rPr>
          <w:rFonts w:hint="eastAsia" w:ascii="仿宋_GB2312" w:hAnsi="仿宋_GB2312" w:eastAsia="仿宋_GB2312" w:cs="仿宋_GB2312"/>
        </w:rPr>
        <w:t>2024年度本年收入合计1064.55万元，其中：一般公共预算财政拨款收入1064.55万元，占100%</w:t>
      </w:r>
      <w:bookmarkEnd w:id="26"/>
      <w:r>
        <w:rPr>
          <w:rFonts w:hint="eastAsia" w:ascii="仿宋_GB2312" w:hAnsi="仿宋_GB2312" w:eastAsia="仿宋_GB2312" w:cs="仿宋_GB2312"/>
        </w:rPr>
        <w:t>。</w:t>
      </w:r>
    </w:p>
    <w:p w14:paraId="4AA7B331">
      <w:pPr>
        <w:pStyle w:val="29"/>
        <w:jc w:val="center"/>
      </w:pPr>
      <w:r>
        <w:object>
          <v:shape id="_x0000_i1026" o:spt="75" type="#_x0000_t75" style="height:161.1pt;width:258.75pt;" o:ole="t" filled="f" o:preferrelative="t" stroked="f" coordsize="21600,21600">
            <v:path/>
            <v:fill on="f" focussize="0,0"/>
            <v:stroke on="f"/>
            <v:imagedata r:id="rId11" cropbottom="-31f" o:title=""/>
            <o:lock v:ext="edit" aspectratio="f"/>
            <w10:wrap type="none"/>
            <w10:anchorlock/>
          </v:shape>
          <o:OLEObject Type="Embed" ProgID="Excel.Chart.8" ShapeID="_x0000_i1026" DrawAspect="Content" ObjectID="_1468075726" r:id="rId10">
            <o:LockedField>false</o:LockedField>
          </o:OLEObject>
        </w:object>
      </w:r>
    </w:p>
    <w:p w14:paraId="769D4544">
      <w:pPr>
        <w:spacing w:line="560" w:lineRule="exact"/>
        <w:ind w:firstLine="1580"/>
        <w:rPr>
          <w:rFonts w:cs="Times New Roman"/>
        </w:rPr>
      </w:pPr>
      <w:r>
        <w:rPr>
          <w:rFonts w:hint="eastAsia" w:cs="仿宋_GB2312"/>
          <w:sz w:val="28"/>
          <w:szCs w:val="28"/>
        </w:rPr>
        <w:t>（图2：收入决算结构图）（饼状图）</w:t>
      </w:r>
    </w:p>
    <w:p w14:paraId="1BD9552A">
      <w:pPr>
        <w:pStyle w:val="22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outlineLvl w:val="1"/>
        <w:rPr>
          <w:rStyle w:val="203"/>
          <w:rFonts w:hint="eastAsia" w:ascii="黑体" w:hAnsi="黑体" w:eastAsia="黑体" w:cs="黑体"/>
          <w:b w:val="0"/>
          <w:bCs w:val="0"/>
          <w:i w:val="0"/>
          <w:iCs w:val="0"/>
        </w:rPr>
      </w:pPr>
      <w:bookmarkStart w:id="27" w:name="_Toc15377207"/>
      <w:bookmarkStart w:id="28" w:name="_Toc15396605"/>
      <w:bookmarkStart w:id="29" w:name="_Toc32156"/>
      <w:r>
        <w:rPr>
          <w:rFonts w:hint="eastAsia" w:ascii="黑体" w:hAnsi="黑体" w:eastAsia="黑体" w:cs="黑体"/>
          <w:lang w:val="en-US" w:eastAsia="zh-CN"/>
        </w:rPr>
        <w:t>三、</w:t>
      </w:r>
      <w:r>
        <w:rPr>
          <w:rFonts w:hint="eastAsia" w:ascii="黑体" w:hAnsi="黑体" w:eastAsia="黑体" w:cs="黑体"/>
        </w:rPr>
        <w:t>支</w:t>
      </w:r>
      <w:r>
        <w:rPr>
          <w:rStyle w:val="203"/>
          <w:rFonts w:hint="eastAsia" w:ascii="黑体" w:hAnsi="黑体" w:eastAsia="黑体" w:cs="黑体"/>
          <w:b w:val="0"/>
          <w:bCs w:val="0"/>
          <w:i w:val="0"/>
          <w:iCs w:val="0"/>
        </w:rPr>
        <w:t>出决算情况说明</w:t>
      </w:r>
      <w:bookmarkEnd w:id="27"/>
      <w:bookmarkEnd w:id="28"/>
      <w:bookmarkEnd w:id="29"/>
    </w:p>
    <w:p w14:paraId="7DBAC46B">
      <w:pPr>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rPr>
      </w:pPr>
      <w:bookmarkStart w:id="30" w:name="_Toc2558"/>
      <w:r>
        <w:rPr>
          <w:rFonts w:hint="eastAsia" w:ascii="仿宋_GB2312" w:hAnsi="仿宋_GB2312" w:eastAsia="仿宋_GB2312" w:cs="仿宋_GB2312"/>
        </w:rPr>
        <w:t>2024年度本年支出合计1064.55万元，其中：基本支出736.68万元，占69.2%；项目支出327.87万元，占30.8%。</w:t>
      </w:r>
      <w:bookmarkEnd w:id="30"/>
    </w:p>
    <w:p w14:paraId="74A15EAE">
      <w:pPr>
        <w:pStyle w:val="199"/>
        <w:jc w:val="center"/>
        <w:rPr>
          <w:rFonts w:ascii="Times New Roman" w:cs="Times New Roman"/>
        </w:rPr>
      </w:pPr>
      <w:r>
        <w:rPr>
          <w:rFonts w:ascii="Times New Roman" w:cs="Times New Roman"/>
        </w:rPr>
        <w:object>
          <v:shape id="_x0000_i1027" o:spt="75" type="#_x0000_t75" style="height:171.15pt;width:225pt;" o:ole="t" filled="f" o:preferrelative="t" stroked="f" coordsize="21600,21600">
            <v:path/>
            <v:fill on="f" focussize="0,0"/>
            <v:stroke on="f"/>
            <v:imagedata r:id="rId13" o:title=""/>
            <o:lock v:ext="edit" aspectratio="f"/>
            <w10:wrap type="none"/>
            <w10:anchorlock/>
          </v:shape>
          <o:OLEObject Type="Embed" ProgID="Excel.Chart.8" ShapeID="_x0000_i1027" DrawAspect="Content" ObjectID="_1468075727" r:id="rId12">
            <o:LockedField>false</o:LockedField>
          </o:OLEObject>
        </w:object>
      </w:r>
    </w:p>
    <w:p w14:paraId="4D9DA297">
      <w:pPr>
        <w:spacing w:line="560" w:lineRule="exact"/>
        <w:jc w:val="center"/>
        <w:rPr>
          <w:rFonts w:hint="eastAsia" w:cs="仿宋_GB2312"/>
          <w:sz w:val="28"/>
          <w:szCs w:val="28"/>
        </w:rPr>
      </w:pPr>
      <w:bookmarkStart w:id="31" w:name="_Toc15377208"/>
      <w:bookmarkStart w:id="32" w:name="_Toc15396606"/>
      <w:r>
        <w:rPr>
          <w:rFonts w:hint="eastAsia" w:cs="仿宋_GB2312"/>
          <w:sz w:val="28"/>
          <w:szCs w:val="28"/>
        </w:rPr>
        <w:t>（图3：支出决算结构图）（饼状图）</w:t>
      </w:r>
    </w:p>
    <w:p w14:paraId="57CD6660">
      <w:pPr>
        <w:keepNext w:val="0"/>
        <w:keepLines w:val="0"/>
        <w:pageBreakBefore w:val="0"/>
        <w:widowControl w:val="0"/>
        <w:kinsoku/>
        <w:wordWrap/>
        <w:overflowPunct/>
        <w:topLinePunct w:val="0"/>
        <w:autoSpaceDE/>
        <w:autoSpaceDN/>
        <w:bidi w:val="0"/>
        <w:adjustRightInd/>
        <w:snapToGrid/>
        <w:spacing w:line="560" w:lineRule="exact"/>
        <w:ind w:firstLine="629"/>
        <w:textAlignment w:val="auto"/>
        <w:outlineLvl w:val="1"/>
        <w:rPr>
          <w:rStyle w:val="203"/>
          <w:rFonts w:ascii="Times New Roman" w:hAnsi="Times New Roman" w:eastAsia="黑体" w:cs="Times New Roman"/>
          <w:b w:val="0"/>
          <w:bCs w:val="0"/>
          <w:i w:val="0"/>
          <w:iCs w:val="0"/>
        </w:rPr>
      </w:pPr>
      <w:bookmarkStart w:id="33" w:name="_Toc17137"/>
      <w:r>
        <w:rPr>
          <w:rFonts w:hint="eastAsia" w:eastAsia="黑体" w:cs="黑体"/>
        </w:rPr>
        <w:t>四、财</w:t>
      </w:r>
      <w:r>
        <w:rPr>
          <w:rStyle w:val="203"/>
          <w:rFonts w:hint="eastAsia" w:ascii="Times New Roman" w:hAnsi="Times New Roman" w:eastAsia="黑体" w:cs="黑体"/>
          <w:b w:val="0"/>
          <w:bCs w:val="0"/>
          <w:i w:val="0"/>
          <w:iCs w:val="0"/>
        </w:rPr>
        <w:t>政拨款收入支出决算总体情况说明</w:t>
      </w:r>
      <w:bookmarkEnd w:id="31"/>
      <w:bookmarkEnd w:id="32"/>
      <w:bookmarkEnd w:id="33"/>
    </w:p>
    <w:p w14:paraId="7BD4B66A">
      <w:pPr>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2024年度财政拨款收、支总计均为1064.55万元。与2023年度相比，财政拨款收、支总计各减少114.92万元，下降9.74%。主要变动原因是主要变动原因是</w:t>
      </w:r>
      <w:r>
        <w:rPr>
          <w:rFonts w:hint="eastAsia" w:ascii="仿宋_GB2312" w:hAnsi="仿宋_GB2312" w:eastAsia="仿宋_GB2312" w:cs="仿宋_GB2312"/>
          <w:lang w:val="en-US" w:eastAsia="zh-CN"/>
        </w:rPr>
        <w:t>2024</w:t>
      </w:r>
      <w:r>
        <w:rPr>
          <w:rFonts w:hint="eastAsia" w:ascii="仿宋_GB2312" w:hAnsi="仿宋_GB2312" w:eastAsia="仿宋_GB2312" w:cs="仿宋_GB2312"/>
        </w:rPr>
        <w:t>年度</w:t>
      </w:r>
      <w:r>
        <w:rPr>
          <w:rFonts w:hint="eastAsia" w:ascii="仿宋_GB2312" w:hAnsi="仿宋_GB2312" w:eastAsia="仿宋_GB2312" w:cs="仿宋_GB2312"/>
          <w:lang w:val="en-US" w:eastAsia="zh-CN"/>
        </w:rPr>
        <w:t>比2023年度的项目资金有所减少</w:t>
      </w:r>
      <w:r>
        <w:rPr>
          <w:rFonts w:hint="eastAsia" w:ascii="仿宋_GB2312" w:hAnsi="仿宋_GB2312" w:eastAsia="仿宋_GB2312" w:cs="仿宋_GB2312"/>
        </w:rPr>
        <w:t>。</w:t>
      </w:r>
      <w:r>
        <w:rPr>
          <w:rFonts w:hint="eastAsia" w:ascii="仿宋_GB2312" w:hAnsi="仿宋_GB2312" w:cs="仿宋_GB2312"/>
          <w:lang w:val="en-US" w:eastAsia="zh-CN"/>
        </w:rPr>
        <w:t>减少了便民服务设施专项规划编制资金、行政效能监察网络运行维护费、安居政务中心停车场、政务服务综合大楼信息建设、装饰装修费。</w:t>
      </w:r>
    </w:p>
    <w:p w14:paraId="42B7EEE9">
      <w:pPr>
        <w:pStyle w:val="200"/>
        <w:ind w:left="632" w:firstLine="632"/>
        <w:rPr>
          <w:rFonts w:ascii="Times New Roman" w:eastAsia="仿宋" w:cs="Times New Roman"/>
        </w:rPr>
      </w:pPr>
      <w:r>
        <w:rPr>
          <w:rFonts w:cs="Times New Roman"/>
        </w:rPr>
        <w:object>
          <v:shape id="_x0000_i1028" o:spt="75" type="#_x0000_t75" style="height:180.35pt;width:355.5pt;" o:ole="t" filled="f" o:preferrelative="t" stroked="f" coordsize="21600,21600">
            <v:path/>
            <v:fill on="f" focussize="0,0"/>
            <v:stroke on="f"/>
            <v:imagedata r:id="rId15" o:title=""/>
            <o:lock v:ext="edit" aspectratio="f"/>
            <w10:wrap type="none"/>
            <w10:anchorlock/>
          </v:shape>
          <o:OLEObject Type="Embed" ProgID="Excel.Chart.8" ShapeID="_x0000_i1028" DrawAspect="Content" ObjectID="_1468075728" r:id="rId14">
            <o:LockedField>false</o:LockedField>
          </o:OLEObject>
        </w:object>
      </w:r>
    </w:p>
    <w:p w14:paraId="7ECAD6C2">
      <w:pPr>
        <w:pStyle w:val="200"/>
        <w:ind w:left="632" w:firstLine="632"/>
        <w:rPr>
          <w:rFonts w:hint="eastAsia" w:cs="仿宋_GB2312"/>
          <w:sz w:val="28"/>
          <w:szCs w:val="28"/>
        </w:rPr>
      </w:pPr>
      <w:bookmarkStart w:id="34" w:name="_Toc15377209"/>
      <w:bookmarkStart w:id="35" w:name="_Toc15396607"/>
      <w:r>
        <w:rPr>
          <w:rFonts w:hint="eastAsia" w:cs="仿宋_GB2312"/>
          <w:sz w:val="28"/>
          <w:szCs w:val="28"/>
        </w:rPr>
        <w:t>（图4：财政拨款收、支决算总计变动情况）（柱状图）</w:t>
      </w:r>
    </w:p>
    <w:p w14:paraId="677A7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203"/>
          <w:rFonts w:ascii="Times New Roman" w:hAnsi="Times New Roman" w:eastAsia="黑体" w:cs="Times New Roman"/>
          <w:b w:val="0"/>
          <w:bCs w:val="0"/>
          <w:i w:val="0"/>
          <w:iCs w:val="0"/>
        </w:rPr>
      </w:pPr>
      <w:bookmarkStart w:id="36" w:name="_Toc16000"/>
      <w:r>
        <w:rPr>
          <w:rFonts w:hint="eastAsia" w:eastAsia="黑体" w:cs="黑体"/>
        </w:rPr>
        <w:t>五、一</w:t>
      </w:r>
      <w:r>
        <w:rPr>
          <w:rStyle w:val="203"/>
          <w:rFonts w:hint="eastAsia" w:ascii="Times New Roman" w:hAnsi="Times New Roman" w:eastAsia="黑体" w:cs="黑体"/>
          <w:b w:val="0"/>
          <w:bCs w:val="0"/>
          <w:i w:val="0"/>
          <w:iCs w:val="0"/>
        </w:rPr>
        <w:t>般公共预算财政拨款支出决算情况说明</w:t>
      </w:r>
      <w:bookmarkEnd w:id="34"/>
      <w:bookmarkEnd w:id="35"/>
      <w:bookmarkEnd w:id="36"/>
    </w:p>
    <w:p w14:paraId="2D5B7C4D">
      <w:pPr>
        <w:keepLines w:val="0"/>
        <w:pageBreakBefore w:val="0"/>
        <w:kinsoku/>
        <w:wordWrap/>
        <w:overflowPunct/>
        <w:topLinePunct w:val="0"/>
        <w:autoSpaceDE w:val="0"/>
        <w:autoSpaceDN/>
        <w:bidi w:val="0"/>
        <w:spacing w:line="560" w:lineRule="exact"/>
        <w:ind w:firstLine="640" w:firstLineChars="200"/>
        <w:textAlignment w:val="auto"/>
        <w:rPr>
          <w:rFonts w:hint="eastAsia" w:ascii="楷体_GB2312" w:hAnsi="楷体_GB2312" w:eastAsia="楷体_GB2312" w:cs="楷体_GB2312"/>
        </w:rPr>
      </w:pPr>
      <w:bookmarkStart w:id="37" w:name="_Toc15377210"/>
      <w:bookmarkStart w:id="38" w:name="_Toc22159"/>
      <w:r>
        <w:rPr>
          <w:rFonts w:hint="eastAsia" w:ascii="楷体_GB2312" w:hAnsi="楷体_GB2312" w:eastAsia="楷体_GB2312" w:cs="楷体_GB2312"/>
        </w:rPr>
        <w:t>（一）一般公共预算财政拨款支出决算总体情况</w:t>
      </w:r>
      <w:bookmarkEnd w:id="37"/>
      <w:bookmarkEnd w:id="38"/>
    </w:p>
    <w:p w14:paraId="4F398348">
      <w:pPr>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2024年度一般公共预算财政拨款支出1064.55万元，占本年支出合计的100%。与2023年度相比，一般公共预算财政拨款支出增加14.57万元，增长1.39%。主要变动原因是2024年</w:t>
      </w:r>
      <w:r>
        <w:rPr>
          <w:rFonts w:hint="eastAsia" w:ascii="仿宋_GB2312" w:hAnsi="仿宋_GB2312" w:cs="仿宋_GB2312"/>
          <w:lang w:val="en-US" w:eastAsia="zh-CN"/>
        </w:rPr>
        <w:t>聘用人员</w:t>
      </w:r>
      <w:r>
        <w:rPr>
          <w:rFonts w:hint="eastAsia" w:ascii="仿宋_GB2312" w:hAnsi="仿宋_GB2312" w:eastAsia="仿宋_GB2312" w:cs="仿宋_GB2312"/>
        </w:rPr>
        <w:t>增加，</w:t>
      </w:r>
      <w:r>
        <w:rPr>
          <w:rFonts w:hint="eastAsia" w:ascii="仿宋_GB2312" w:hAnsi="仿宋_GB2312" w:cs="仿宋_GB2312"/>
          <w:lang w:val="en-US" w:eastAsia="zh-CN"/>
        </w:rPr>
        <w:t>各类保险基数调标保险费用相应增加</w:t>
      </w:r>
      <w:r>
        <w:rPr>
          <w:rFonts w:hint="eastAsia" w:ascii="仿宋_GB2312" w:hAnsi="仿宋_GB2312" w:eastAsia="仿宋_GB2312" w:cs="仿宋_GB2312"/>
        </w:rPr>
        <w:t>。</w:t>
      </w:r>
    </w:p>
    <w:p w14:paraId="6690FC7F">
      <w:pPr>
        <w:pStyle w:val="200"/>
        <w:ind w:left="632" w:firstLine="632"/>
        <w:rPr>
          <w:rFonts w:ascii="Times New Roman" w:cs="Times New Roman"/>
        </w:rPr>
      </w:pPr>
      <w:r>
        <w:pict>
          <v:shape id="_x0000_s1027" o:spid="_x0000_s1027" o:spt="75" type="#_x0000_t75" style="position:absolute;left:0pt;margin-left:90.8pt;margin-top:9.7pt;height:188.25pt;width:251.4pt;mso-wrap-distance-bottom:0pt;mso-wrap-distance-left:9pt;mso-wrap-distance-right:9pt;mso-wrap-distance-top:0pt;z-index:251660288;mso-width-relative:page;mso-height-relative:page;" o:ole="t" filled="f" o:preferrelative="t" stroked="f" coordsize="21600,21600">
            <v:path/>
            <v:fill on="f" focussize="0,0"/>
            <v:stroke on="f"/>
            <v:imagedata r:id="rId17" o:title=""/>
            <o:lock v:ext="edit" aspectratio="t"/>
            <w10:wrap type="square"/>
          </v:shape>
          <o:OLEObject Type="Embed" ProgID="Excel.Chart.8" ShapeID="_x0000_s1027" DrawAspect="Content" ObjectID="_1468075729" r:id="rId16">
            <o:LockedField>false</o:LockedField>
          </o:OLEObject>
        </w:pict>
      </w:r>
    </w:p>
    <w:p w14:paraId="42D20533">
      <w:pPr>
        <w:pStyle w:val="200"/>
        <w:ind w:left="632" w:firstLine="632"/>
        <w:rPr>
          <w:rFonts w:ascii="Times New Roman" w:cs="Times New Roman"/>
        </w:rPr>
      </w:pPr>
    </w:p>
    <w:p w14:paraId="6B018710">
      <w:pPr>
        <w:pStyle w:val="200"/>
        <w:ind w:left="632" w:firstLine="632"/>
        <w:rPr>
          <w:rFonts w:ascii="Times New Roman" w:cs="Times New Roman"/>
        </w:rPr>
      </w:pPr>
    </w:p>
    <w:p w14:paraId="107845BA">
      <w:pPr>
        <w:pStyle w:val="200"/>
        <w:ind w:left="632" w:firstLine="632"/>
        <w:rPr>
          <w:rFonts w:ascii="Times New Roman" w:cs="Times New Roman"/>
        </w:rPr>
      </w:pPr>
    </w:p>
    <w:p w14:paraId="5E173FD2">
      <w:pPr>
        <w:pStyle w:val="200"/>
        <w:ind w:left="632" w:firstLine="632"/>
        <w:rPr>
          <w:rFonts w:ascii="Times New Roman" w:cs="Times New Roman"/>
        </w:rPr>
      </w:pPr>
    </w:p>
    <w:p w14:paraId="0D3E45FA">
      <w:pPr>
        <w:pStyle w:val="200"/>
        <w:ind w:left="632" w:firstLine="632"/>
        <w:rPr>
          <w:rFonts w:ascii="Times New Roman" w:cs="Times New Roman"/>
        </w:rPr>
      </w:pPr>
    </w:p>
    <w:p w14:paraId="35E00F5E">
      <w:pPr>
        <w:pStyle w:val="200"/>
        <w:ind w:left="632" w:firstLine="632"/>
        <w:rPr>
          <w:rFonts w:ascii="Times New Roman" w:cs="Times New Roman"/>
        </w:rPr>
      </w:pPr>
    </w:p>
    <w:p w14:paraId="580B5C7D">
      <w:pPr>
        <w:spacing w:line="560" w:lineRule="exact"/>
        <w:rPr>
          <w:rFonts w:hint="eastAsia" w:ascii="仿宋_GB2312" w:hAnsi="Calibri" w:eastAsia="仿宋_GB2312" w:cs="仿宋_GB2312"/>
          <w:kern w:val="0"/>
          <w:sz w:val="28"/>
          <w:szCs w:val="28"/>
          <w:lang w:val="en-US" w:eastAsia="zh-CN" w:bidi="ar-SA"/>
        </w:rPr>
      </w:pPr>
      <w:bookmarkStart w:id="39" w:name="_Toc15377211"/>
    </w:p>
    <w:p w14:paraId="32BF9511">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_GB2312" w:hAnsi="Calibri" w:eastAsia="仿宋_GB2312" w:cs="仿宋_GB2312"/>
          <w:kern w:val="0"/>
          <w:sz w:val="28"/>
          <w:szCs w:val="28"/>
          <w:lang w:val="en-US" w:eastAsia="zh-CN" w:bidi="ar-SA"/>
        </w:rPr>
      </w:pPr>
    </w:p>
    <w:p w14:paraId="02BD26A6">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_GB2312" w:hAnsi="Calibri" w:eastAsia="仿宋_GB2312" w:cs="仿宋_GB2312"/>
          <w:kern w:val="0"/>
          <w:sz w:val="28"/>
          <w:szCs w:val="28"/>
          <w:lang w:val="en-US" w:eastAsia="zh-CN" w:bidi="ar-SA"/>
        </w:rPr>
      </w:pPr>
      <w:r>
        <w:rPr>
          <w:rFonts w:hint="eastAsia" w:ascii="仿宋_GB2312" w:hAnsi="Calibri" w:eastAsia="仿宋_GB2312" w:cs="仿宋_GB2312"/>
          <w:kern w:val="0"/>
          <w:sz w:val="28"/>
          <w:szCs w:val="28"/>
          <w:lang w:val="en-US" w:eastAsia="zh-CN" w:bidi="ar-SA"/>
        </w:rPr>
        <w:t>（图5：一般公共预算财政拨款支出决算变动情况）（柱状图）</w:t>
      </w:r>
    </w:p>
    <w:p w14:paraId="773F000A">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楷体_GB2312" w:hAnsi="楷体_GB2312" w:eastAsia="楷体_GB2312" w:cs="楷体_GB2312"/>
        </w:rPr>
      </w:pPr>
      <w:bookmarkStart w:id="40" w:name="_Toc13407"/>
      <w:r>
        <w:rPr>
          <w:rFonts w:hint="eastAsia" w:ascii="楷体_GB2312" w:hAnsi="楷体_GB2312" w:eastAsia="楷体_GB2312" w:cs="楷体_GB2312"/>
        </w:rPr>
        <w:t>（二）一般公共预算财政拨款支出决算结构情况</w:t>
      </w:r>
      <w:bookmarkEnd w:id="39"/>
      <w:bookmarkEnd w:id="40"/>
    </w:p>
    <w:p w14:paraId="16C4859D">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2024年度一般公共预算财政拨款支出1064.55万元，主要用于以下方面：</w:t>
      </w:r>
      <w:bookmarkStart w:id="41" w:name="OLE_LINK6"/>
      <w:bookmarkStart w:id="42" w:name="OLE_LINK5"/>
      <w:r>
        <w:rPr>
          <w:rFonts w:hint="eastAsia" w:ascii="仿宋_GB2312" w:hAnsi="仿宋_GB2312" w:eastAsia="仿宋_GB2312" w:cs="仿宋_GB2312"/>
        </w:rPr>
        <w:t>一般公共服务支出</w:t>
      </w:r>
      <w:bookmarkEnd w:id="41"/>
      <w:bookmarkEnd w:id="42"/>
      <w:r>
        <w:rPr>
          <w:rFonts w:hint="eastAsia" w:ascii="仿宋_GB2312" w:hAnsi="仿宋_GB2312" w:eastAsia="仿宋_GB2312" w:cs="仿宋_GB2312"/>
        </w:rPr>
        <w:t>920.49万元，占86.47%；</w:t>
      </w:r>
      <w:bookmarkStart w:id="43" w:name="OLE_LINK7"/>
      <w:bookmarkStart w:id="44" w:name="OLE_LINK10"/>
      <w:r>
        <w:rPr>
          <w:rFonts w:hint="eastAsia" w:ascii="仿宋_GB2312" w:hAnsi="仿宋_GB2312" w:eastAsia="仿宋_GB2312" w:cs="仿宋_GB2312"/>
        </w:rPr>
        <w:t>社会保障和就业支出</w:t>
      </w:r>
      <w:bookmarkEnd w:id="43"/>
      <w:bookmarkEnd w:id="44"/>
      <w:r>
        <w:rPr>
          <w:rFonts w:hint="eastAsia" w:ascii="仿宋_GB2312" w:hAnsi="仿宋_GB2312" w:eastAsia="仿宋_GB2312" w:cs="仿宋_GB2312"/>
        </w:rPr>
        <w:t>68.99万元，占6.48%；</w:t>
      </w:r>
      <w:bookmarkStart w:id="45" w:name="OLE_LINK12"/>
      <w:bookmarkStart w:id="46" w:name="OLE_LINK11"/>
      <w:r>
        <w:rPr>
          <w:rFonts w:hint="eastAsia" w:ascii="仿宋_GB2312" w:hAnsi="仿宋_GB2312" w:eastAsia="仿宋_GB2312" w:cs="仿宋_GB2312"/>
        </w:rPr>
        <w:t>卫生健康支出</w:t>
      </w:r>
      <w:bookmarkEnd w:id="45"/>
      <w:bookmarkEnd w:id="46"/>
      <w:r>
        <w:rPr>
          <w:rFonts w:hint="eastAsia" w:ascii="仿宋_GB2312" w:hAnsi="仿宋_GB2312" w:eastAsia="仿宋_GB2312" w:cs="仿宋_GB2312"/>
        </w:rPr>
        <w:t>26.04万元，占2.45%；</w:t>
      </w:r>
      <w:bookmarkStart w:id="47" w:name="OLE_LINK13"/>
      <w:bookmarkStart w:id="48" w:name="OLE_LINK14"/>
      <w:r>
        <w:rPr>
          <w:rFonts w:hint="eastAsia" w:ascii="仿宋_GB2312" w:hAnsi="仿宋_GB2312" w:eastAsia="仿宋_GB2312" w:cs="仿宋_GB2312"/>
        </w:rPr>
        <w:t>住房保障支出</w:t>
      </w:r>
      <w:bookmarkEnd w:id="47"/>
      <w:bookmarkEnd w:id="48"/>
      <w:r>
        <w:rPr>
          <w:rFonts w:hint="eastAsia" w:ascii="仿宋_GB2312" w:hAnsi="仿宋_GB2312" w:eastAsia="仿宋_GB2312" w:cs="仿宋_GB2312"/>
        </w:rPr>
        <w:t>49.03万元，占4.6%。</w:t>
      </w:r>
    </w:p>
    <w:p w14:paraId="50F27484">
      <w:pPr>
        <w:keepLines w:val="0"/>
        <w:pageBreakBefore w:val="0"/>
        <w:kinsoku/>
        <w:wordWrap/>
        <w:overflowPunct/>
        <w:topLinePunct w:val="0"/>
        <w:autoSpaceDE w:val="0"/>
        <w:autoSpaceDN/>
        <w:bidi w:val="0"/>
        <w:spacing w:line="560" w:lineRule="exact"/>
        <w:ind w:firstLine="640" w:firstLineChars="200"/>
        <w:textAlignment w:val="auto"/>
        <w:rPr>
          <w:rFonts w:hint="eastAsia" w:ascii="仿宋_GB2312" w:hAnsi="仿宋_GB2312" w:eastAsia="仿宋_GB2312" w:cs="仿宋_GB2312"/>
        </w:rPr>
      </w:pPr>
    </w:p>
    <w:p w14:paraId="12C0F8D7">
      <w:pPr>
        <w:pStyle w:val="200"/>
        <w:ind w:left="632" w:firstLine="632"/>
        <w:rPr>
          <w:rFonts w:ascii="Times New Roman" w:cs="Times New Roman"/>
        </w:rPr>
      </w:pPr>
    </w:p>
    <w:p w14:paraId="15CCB00A">
      <w:pPr>
        <w:pStyle w:val="200"/>
        <w:ind w:firstLine="0"/>
        <w:rPr>
          <w:rFonts w:ascii="仿宋" w:hAnsi="仿宋" w:eastAsia="仿宋" w:cs="Times New Roman"/>
          <w:color w:val="000000"/>
        </w:rPr>
      </w:pPr>
    </w:p>
    <w:p w14:paraId="5C08E27C">
      <w:pPr>
        <w:pStyle w:val="200"/>
        <w:jc w:val="center"/>
        <w:rPr>
          <w:rFonts w:ascii="仿宋" w:hAnsi="仿宋" w:eastAsia="仿宋" w:cs="Times New Roman"/>
          <w:color w:val="000000"/>
        </w:rPr>
      </w:pPr>
      <w:r>
        <w:rPr>
          <w:rFonts w:ascii="仿宋" w:hAnsi="仿宋" w:eastAsia="仿宋" w:cs="Times New Roman"/>
          <w:color w:val="000000"/>
        </w:rPr>
        <w:object>
          <v:shape id="_x0000_i1029" o:spt="75" type="#_x0000_t75" style="height:162.75pt;width:256.55pt;" o:ole="t" filled="f" o:preferrelative="t" stroked="f" coordsize="21600,21600">
            <v:path/>
            <v:fill on="f" focussize="0,0"/>
            <v:stroke on="f"/>
            <v:imagedata r:id="rId19" o:title=""/>
            <o:lock v:ext="edit" aspectratio="f"/>
            <w10:wrap type="none"/>
            <w10:anchorlock/>
          </v:shape>
          <o:OLEObject Type="Embed" ProgID="Excel.Chart.8" ShapeID="_x0000_i1029" DrawAspect="Content" ObjectID="_1468075730" r:id="rId18">
            <o:LockedField>false</o:LockedField>
          </o:OLEObject>
        </w:object>
      </w:r>
    </w:p>
    <w:p w14:paraId="4D4F72F4">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_GB2312" w:hAnsi="Calibri" w:eastAsia="仿宋_GB2312" w:cs="仿宋_GB2312"/>
          <w:kern w:val="0"/>
          <w:sz w:val="28"/>
          <w:szCs w:val="28"/>
          <w:lang w:val="en-US" w:eastAsia="zh-CN" w:bidi="ar-SA"/>
        </w:rPr>
      </w:pPr>
      <w:bookmarkStart w:id="49" w:name="_Toc15377212"/>
      <w:r>
        <w:rPr>
          <w:rFonts w:hint="eastAsia" w:ascii="仿宋_GB2312" w:hAnsi="Calibri" w:eastAsia="仿宋_GB2312" w:cs="仿宋_GB2312"/>
          <w:kern w:val="0"/>
          <w:sz w:val="28"/>
          <w:szCs w:val="28"/>
          <w:lang w:val="en-US" w:eastAsia="zh-CN" w:bidi="ar-SA"/>
        </w:rPr>
        <w:t>（图6：</w:t>
      </w:r>
      <w:bookmarkStart w:id="50" w:name="OLE_LINK3"/>
      <w:bookmarkStart w:id="51" w:name="OLE_LINK4"/>
      <w:r>
        <w:rPr>
          <w:rFonts w:hint="eastAsia" w:ascii="仿宋_GB2312" w:hAnsi="Calibri" w:eastAsia="仿宋_GB2312" w:cs="仿宋_GB2312"/>
          <w:kern w:val="0"/>
          <w:sz w:val="28"/>
          <w:szCs w:val="28"/>
          <w:lang w:val="en-US" w:eastAsia="zh-CN" w:bidi="ar-SA"/>
        </w:rPr>
        <w:t>一般公共预算财政拨款支出决算结构</w:t>
      </w:r>
      <w:bookmarkEnd w:id="50"/>
      <w:bookmarkEnd w:id="51"/>
      <w:r>
        <w:rPr>
          <w:rFonts w:hint="eastAsia" w:ascii="仿宋_GB2312" w:hAnsi="Calibri" w:eastAsia="仿宋_GB2312" w:cs="仿宋_GB2312"/>
          <w:kern w:val="0"/>
          <w:sz w:val="28"/>
          <w:szCs w:val="28"/>
          <w:lang w:val="en-US" w:eastAsia="zh-CN" w:bidi="ar-SA"/>
        </w:rPr>
        <w:t>）（饼状图）</w:t>
      </w:r>
    </w:p>
    <w:p w14:paraId="3BA0ADE1">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楷体_GB2312" w:hAnsi="楷体_GB2312" w:eastAsia="楷体_GB2312" w:cs="楷体_GB2312"/>
        </w:rPr>
      </w:pPr>
      <w:bookmarkStart w:id="52" w:name="_Toc5736"/>
      <w:r>
        <w:rPr>
          <w:rFonts w:hint="eastAsia" w:ascii="楷体_GB2312" w:hAnsi="楷体_GB2312" w:eastAsia="楷体_GB2312" w:cs="楷体_GB2312"/>
        </w:rPr>
        <w:t>（三）一般公共预算财政拨款支出决算具体情况</w:t>
      </w:r>
      <w:bookmarkEnd w:id="49"/>
      <w:bookmarkEnd w:id="52"/>
    </w:p>
    <w:p w14:paraId="2DCC3864">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hAnsi="仿宋_GB2312" w:eastAsia="仿宋_GB2312" w:cs="仿宋_GB2312"/>
        </w:rPr>
      </w:pPr>
      <w:bookmarkStart w:id="53" w:name="_Toc15377213"/>
      <w:bookmarkStart w:id="54" w:name="_Toc15378460"/>
      <w:bookmarkStart w:id="55" w:name="_Toc30095"/>
      <w:bookmarkStart w:id="56" w:name="_Toc15377444"/>
      <w:r>
        <w:rPr>
          <w:rFonts w:hint="eastAsia" w:ascii="仿宋_GB2312" w:hAnsi="仿宋_GB2312" w:eastAsia="仿宋_GB2312" w:cs="仿宋_GB2312"/>
        </w:rPr>
        <w:t>2024年度一般公共预算支出决算数为1064.55</w:t>
      </w:r>
      <w:r>
        <w:rPr>
          <w:rStyle w:val="221"/>
          <w:rFonts w:hint="eastAsia" w:ascii="仿宋_GB2312" w:hAnsi="仿宋_GB2312" w:eastAsia="仿宋_GB2312" w:cs="仿宋_GB2312"/>
          <w:sz w:val="32"/>
          <w:szCs w:val="32"/>
        </w:rPr>
        <w:t>万元</w:t>
      </w:r>
      <w:r>
        <w:rPr>
          <w:rFonts w:hint="eastAsia" w:ascii="仿宋_GB2312" w:hAnsi="仿宋_GB2312" w:eastAsia="仿宋_GB2312" w:cs="仿宋_GB2312"/>
        </w:rPr>
        <w:t>，</w:t>
      </w:r>
      <w:r>
        <w:rPr>
          <w:rStyle w:val="218"/>
          <w:rFonts w:hint="eastAsia" w:ascii="仿宋_GB2312" w:hAnsi="仿宋_GB2312" w:eastAsia="仿宋_GB2312" w:cs="仿宋_GB2312"/>
          <w:b w:val="0"/>
          <w:bCs w:val="0"/>
        </w:rPr>
        <w:t>完成预算100%。其中：</w:t>
      </w:r>
      <w:bookmarkEnd w:id="53"/>
      <w:bookmarkEnd w:id="54"/>
      <w:bookmarkEnd w:id="55"/>
      <w:bookmarkEnd w:id="56"/>
    </w:p>
    <w:p w14:paraId="1DAA7CC4">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1.一般公共服务（类）政府办公厅（室）及相关机构事务（款）事业运行（项）：支出决算为398.91万元，完成预算100%，决算数与预算数持平。</w:t>
      </w:r>
    </w:p>
    <w:p w14:paraId="370C3B4B">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2.一般公共服务（类）政府办公厅（室）及相关机构事务（款）行政运行（项）：支出决算为193.71万元，完成预算100%，决算数与预算数持平。</w:t>
      </w:r>
    </w:p>
    <w:p w14:paraId="4E81289F">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3.一般公共服务（类）政府办公厅（室）及相关机构事务（款）其他政府办公厅（室）及相关机构事务支出（项）：支出决算为327.87万元，完成预算100%，决算数与预算数持平。</w:t>
      </w:r>
      <w:bookmarkStart w:id="57" w:name="_Toc15396608"/>
      <w:bookmarkStart w:id="58" w:name="_Toc8519"/>
      <w:bookmarkStart w:id="59" w:name="_Toc15377214"/>
    </w:p>
    <w:p w14:paraId="7444D5D9">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4.社会保障和就业（类）行政事业单位养老支出（款）机关事业单位基本养老保险缴费支出（项）：支出决算为64.34万元，完成预算100%，决算数与预算数持平。</w:t>
      </w:r>
    </w:p>
    <w:p w14:paraId="7BBB0AD0">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5.社会保障和就业（类））其他社会保障和就业支出（款）其他社会保障和就业支出（项）：支出决算为4.65万元，完成预算100%，决算数与预算数持平。</w:t>
      </w:r>
    </w:p>
    <w:p w14:paraId="1CEC1030">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6.卫生健康（类）行政事业单位医疗（款）</w:t>
      </w:r>
      <w:r>
        <w:rPr>
          <w:rFonts w:hint="eastAsia" w:ascii="仿宋_GB2312" w:hAnsi="仿宋_GB2312" w:cs="仿宋_GB2312"/>
          <w:lang w:eastAsia="zh-CN"/>
        </w:rPr>
        <w:t>行政事业单位医疗</w:t>
      </w:r>
      <w:r>
        <w:rPr>
          <w:rFonts w:hint="eastAsia" w:ascii="仿宋_GB2312" w:hAnsi="仿宋_GB2312" w:eastAsia="仿宋_GB2312" w:cs="仿宋_GB2312"/>
        </w:rPr>
        <w:t>（项）：支出决算为4万元，完成预算100%，决算数与预算数持平。</w:t>
      </w:r>
    </w:p>
    <w:p w14:paraId="7AD5424D">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7.卫生健康（类）行政事业单位医疗（款）事业单位医疗（项）：支出决算为16.74万元，完成预算100%，决算数与预算数持平。</w:t>
      </w:r>
    </w:p>
    <w:p w14:paraId="1A19CBEB">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8.卫生健康（类）行政事业单位医疗（款）公务员医疗补助（项）：支出决算为5.3万元，完成预算100%，决算数与预算数持平。</w:t>
      </w:r>
    </w:p>
    <w:p w14:paraId="071BC2EC">
      <w:pPr>
        <w:keepNext w:val="0"/>
        <w:keepLines w:val="0"/>
        <w:pageBreakBefore w:val="0"/>
        <w:widowControl w:val="0"/>
        <w:kinsoku/>
        <w:wordWrap/>
        <w:overflowPunct/>
        <w:topLinePunct w:val="0"/>
        <w:autoSpaceDN/>
        <w:bidi w:val="0"/>
        <w:adjustRightInd/>
        <w:snapToGrid/>
        <w:spacing w:line="560" w:lineRule="exact"/>
        <w:ind w:firstLine="640" w:firstLineChars="200"/>
        <w:textAlignment w:val="auto"/>
        <w:rPr>
          <w:rStyle w:val="38"/>
          <w:rFonts w:hint="eastAsia" w:ascii="仿宋_GB2312" w:hAnsi="仿宋_GB2312" w:eastAsia="仿宋_GB2312" w:cs="仿宋_GB2312"/>
          <w:b w:val="0"/>
          <w:bCs w:val="0"/>
          <w:color w:val="000000"/>
          <w:lang w:eastAsia="zh-CN"/>
        </w:rPr>
      </w:pPr>
      <w:r>
        <w:rPr>
          <w:rFonts w:hint="eastAsia" w:ascii="仿宋_GB2312" w:hAnsi="仿宋_GB2312" w:eastAsia="仿宋_GB2312" w:cs="仿宋_GB2312"/>
        </w:rPr>
        <w:t>9.住房保障（类）住房改革支出（款）住房公积金（项）：支出决算为49.03万元，完成预算100%，决算数与预算数持平</w:t>
      </w:r>
      <w:r>
        <w:rPr>
          <w:rFonts w:hint="eastAsia" w:ascii="仿宋_GB2312" w:hAnsi="仿宋_GB2312" w:cs="仿宋_GB2312"/>
          <w:lang w:eastAsia="zh-CN"/>
        </w:rPr>
        <w:t>。</w:t>
      </w:r>
    </w:p>
    <w:p w14:paraId="6C606387">
      <w:pPr>
        <w:pStyle w:val="199"/>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Style w:val="203"/>
          <w:rFonts w:ascii="Times New Roman" w:hAnsi="Times New Roman" w:cs="Times New Roman"/>
          <w:b w:val="0"/>
          <w:bCs w:val="0"/>
          <w:i w:val="0"/>
          <w:iCs w:val="0"/>
          <w:sz w:val="32"/>
          <w:szCs w:val="32"/>
        </w:rPr>
      </w:pPr>
      <w:r>
        <w:rPr>
          <w:rFonts w:hint="eastAsia" w:eastAsia="黑体" w:cs="黑体"/>
          <w:sz w:val="32"/>
          <w:szCs w:val="32"/>
        </w:rPr>
        <w:t>六、一</w:t>
      </w:r>
      <w:r>
        <w:rPr>
          <w:rStyle w:val="203"/>
          <w:rFonts w:hint="eastAsia" w:ascii="Times New Roman" w:hAnsi="Times New Roman" w:eastAsia="黑体" w:cs="黑体"/>
          <w:b w:val="0"/>
          <w:bCs w:val="0"/>
          <w:i w:val="0"/>
          <w:iCs w:val="0"/>
          <w:sz w:val="32"/>
          <w:szCs w:val="32"/>
        </w:rPr>
        <w:t>般公共预算财政拨款基本支出决算情况说明</w:t>
      </w:r>
      <w:bookmarkEnd w:id="57"/>
      <w:bookmarkEnd w:id="58"/>
      <w:bookmarkEnd w:id="59"/>
      <w:r>
        <w:rPr>
          <w:rStyle w:val="203"/>
          <w:rFonts w:ascii="Times New Roman" w:hAnsi="Times New Roman" w:eastAsia="黑体" w:cs="Times New Roman"/>
          <w:b w:val="0"/>
          <w:bCs w:val="0"/>
          <w:i w:val="0"/>
          <w:iCs w:val="0"/>
          <w:sz w:val="32"/>
          <w:szCs w:val="32"/>
        </w:rPr>
        <w:tab/>
      </w:r>
    </w:p>
    <w:p w14:paraId="0712558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cs="Times New Roman"/>
        </w:rPr>
      </w:pPr>
      <w:r>
        <w:t>2024</w:t>
      </w:r>
      <w:r>
        <w:rPr>
          <w:rFonts w:hint="eastAsia" w:cs="仿宋_GB2312"/>
        </w:rPr>
        <w:t>年度一般公共预算财政拨款基本支出</w:t>
      </w:r>
      <w:r>
        <w:t>736.68</w:t>
      </w:r>
      <w:r>
        <w:rPr>
          <w:rFonts w:hint="eastAsia" w:cs="仿宋_GB2312"/>
        </w:rPr>
        <w:t>万元，其中：</w:t>
      </w:r>
    </w:p>
    <w:p w14:paraId="121EFF7E">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rPr>
      </w:pPr>
      <w:r>
        <w:rPr>
          <w:rFonts w:hint="eastAsia" w:cs="仿宋_GB2312"/>
        </w:rPr>
        <w:t>人员经费</w:t>
      </w:r>
      <w:r>
        <w:t>672.31</w:t>
      </w:r>
      <w:r>
        <w:rPr>
          <w:rFonts w:hint="eastAsia" w:cs="仿宋_GB2312"/>
        </w:rPr>
        <w:t>万元，主要包括：基本工资、津贴补贴、奖金、伙食补助费、绩效工资、机关事业单位基本养老保险缴费、职工基本医疗保险缴费、公务员医疗补助缴费、其他社会保障缴费、</w:t>
      </w:r>
      <w:r>
        <w:rPr>
          <w:rFonts w:hint="eastAsia" w:ascii="仿宋_GB2312" w:hAnsi="仿宋_GB2312" w:eastAsia="仿宋_GB2312" w:cs="仿宋_GB2312"/>
        </w:rPr>
        <w:t>其他工资福利支出、住房公积金、其他对个人和家庭的补助支出等。</w:t>
      </w:r>
    </w:p>
    <w:p w14:paraId="35FA5C07">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cs="Times New Roman"/>
        </w:rPr>
      </w:pPr>
      <w:r>
        <w:rPr>
          <w:rFonts w:hint="eastAsia" w:ascii="仿宋_GB2312" w:hAnsi="仿宋_GB2312" w:eastAsia="仿宋_GB2312" w:cs="仿宋_GB2312"/>
        </w:rPr>
        <w:t>公用经费64.37万元，主要包括：办公费、印刷费、差旅费、维修（护）费、租赁费、会议费、培训费、公务接待费、劳务费、委托业务费、工会经</w:t>
      </w:r>
      <w:r>
        <w:rPr>
          <w:rFonts w:hint="eastAsia" w:cs="仿宋_GB2312"/>
        </w:rPr>
        <w:t>费、福利费、其他交通费用、其他商品和服务支出等。</w:t>
      </w:r>
    </w:p>
    <w:p w14:paraId="012E7724">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1"/>
        <w:rPr>
          <w:rStyle w:val="203"/>
          <w:rFonts w:ascii="Times New Roman" w:hAnsi="Times New Roman" w:eastAsia="黑体" w:cs="Times New Roman"/>
          <w:b w:val="0"/>
          <w:bCs w:val="0"/>
          <w:i w:val="0"/>
          <w:iCs w:val="0"/>
        </w:rPr>
      </w:pPr>
      <w:bookmarkStart w:id="60" w:name="_Toc15396609"/>
      <w:bookmarkStart w:id="61" w:name="_Toc30667"/>
      <w:bookmarkStart w:id="62" w:name="_Toc15377215"/>
      <w:r>
        <w:rPr>
          <w:rFonts w:hint="eastAsia" w:eastAsia="黑体" w:cs="黑体"/>
        </w:rPr>
        <w:t>七、</w:t>
      </w:r>
      <w:r>
        <w:rPr>
          <w:rStyle w:val="203"/>
          <w:rFonts w:hint="eastAsia" w:ascii="Times New Roman" w:hAnsi="Times New Roman" w:eastAsia="黑体" w:cs="黑体"/>
          <w:b w:val="0"/>
          <w:bCs w:val="0"/>
          <w:i w:val="0"/>
          <w:iCs w:val="0"/>
        </w:rPr>
        <w:t>财政拨款</w:t>
      </w:r>
      <w:r>
        <w:rPr>
          <w:rStyle w:val="203"/>
          <w:rFonts w:ascii="Times New Roman" w:hAnsi="Times New Roman" w:eastAsia="黑体" w:cs="Times New Roman"/>
          <w:b w:val="0"/>
          <w:bCs w:val="0"/>
          <w:i w:val="0"/>
          <w:iCs w:val="0"/>
        </w:rPr>
        <w:t>“</w:t>
      </w:r>
      <w:r>
        <w:rPr>
          <w:rStyle w:val="203"/>
          <w:rFonts w:hint="eastAsia" w:ascii="Times New Roman" w:hAnsi="Times New Roman" w:eastAsia="黑体" w:cs="黑体"/>
          <w:b w:val="0"/>
          <w:bCs w:val="0"/>
          <w:i w:val="0"/>
          <w:iCs w:val="0"/>
        </w:rPr>
        <w:t>三公</w:t>
      </w:r>
      <w:r>
        <w:rPr>
          <w:rStyle w:val="203"/>
          <w:rFonts w:ascii="Times New Roman" w:hAnsi="Times New Roman" w:eastAsia="黑体" w:cs="Times New Roman"/>
          <w:b w:val="0"/>
          <w:bCs w:val="0"/>
          <w:i w:val="0"/>
          <w:iCs w:val="0"/>
        </w:rPr>
        <w:t>”</w:t>
      </w:r>
      <w:r>
        <w:rPr>
          <w:rStyle w:val="203"/>
          <w:rFonts w:hint="eastAsia" w:ascii="Times New Roman" w:hAnsi="Times New Roman" w:eastAsia="黑体" w:cs="黑体"/>
          <w:b w:val="0"/>
          <w:bCs w:val="0"/>
          <w:i w:val="0"/>
          <w:iCs w:val="0"/>
        </w:rPr>
        <w:t>经费支出决算情况说明</w:t>
      </w:r>
      <w:bookmarkEnd w:id="60"/>
      <w:bookmarkEnd w:id="61"/>
      <w:bookmarkEnd w:id="62"/>
    </w:p>
    <w:p w14:paraId="4E6CE692">
      <w:pPr>
        <w:keepNext w:val="0"/>
        <w:keepLines w:val="0"/>
        <w:pageBreakBefore w:val="0"/>
        <w:widowControl w:val="0"/>
        <w:kinsoku/>
        <w:wordWrap/>
        <w:overflowPunct/>
        <w:topLinePunct w:val="0"/>
        <w:autoSpaceDE/>
        <w:autoSpaceDN/>
        <w:bidi w:val="0"/>
        <w:adjustRightInd/>
        <w:snapToGrid/>
        <w:spacing w:line="540" w:lineRule="exact"/>
        <w:ind w:firstLine="632"/>
        <w:jc w:val="left"/>
        <w:textAlignment w:val="auto"/>
        <w:outlineLvl w:val="2"/>
        <w:rPr>
          <w:rFonts w:eastAsia="楷体_GB2312" w:cs="Times New Roman"/>
          <w:b/>
          <w:bCs/>
        </w:rPr>
      </w:pPr>
      <w:bookmarkStart w:id="63" w:name="_Toc15377216"/>
      <w:bookmarkStart w:id="64" w:name="_Toc1959"/>
      <w:r>
        <w:rPr>
          <w:rFonts w:hint="eastAsia" w:eastAsia="楷体_GB2312" w:cs="楷体_GB2312"/>
          <w:b/>
          <w:bCs/>
        </w:rPr>
        <w:t>（一）</w:t>
      </w:r>
      <w:r>
        <w:rPr>
          <w:rFonts w:eastAsia="楷体_GB2312"/>
          <w:b/>
          <w:bCs/>
        </w:rPr>
        <w:t>“</w:t>
      </w:r>
      <w:r>
        <w:rPr>
          <w:rFonts w:hint="eastAsia" w:eastAsia="楷体_GB2312" w:cs="楷体_GB2312"/>
          <w:b/>
          <w:bCs/>
        </w:rPr>
        <w:t>三公</w:t>
      </w:r>
      <w:r>
        <w:rPr>
          <w:rFonts w:eastAsia="楷体_GB2312"/>
          <w:b/>
          <w:bCs/>
        </w:rPr>
        <w:t>”</w:t>
      </w:r>
      <w:r>
        <w:rPr>
          <w:rFonts w:hint="eastAsia" w:eastAsia="楷体_GB2312" w:cs="楷体_GB2312"/>
          <w:b/>
          <w:bCs/>
        </w:rPr>
        <w:t>经费财政拨款支出决算总体情况说明</w:t>
      </w:r>
      <w:bookmarkEnd w:id="63"/>
      <w:bookmarkEnd w:id="64"/>
    </w:p>
    <w:p w14:paraId="37F2195D">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cs="仿宋_GB2312"/>
        </w:rPr>
      </w:pPr>
      <w:r>
        <w:rPr>
          <w:rFonts w:hint="eastAsia" w:cs="仿宋_GB2312"/>
        </w:rPr>
        <w:t>2024年度“三公”经费财政拨款支出决算为1.15万元，完成预算100%，较上年度减少0.37万元，下降24.34%。决算数与预算数持平。</w:t>
      </w:r>
    </w:p>
    <w:p w14:paraId="72BE8E24">
      <w:pPr>
        <w:keepNext w:val="0"/>
        <w:keepLines w:val="0"/>
        <w:pageBreakBefore w:val="0"/>
        <w:widowControl w:val="0"/>
        <w:kinsoku/>
        <w:wordWrap/>
        <w:overflowPunct/>
        <w:topLinePunct w:val="0"/>
        <w:autoSpaceDE/>
        <w:autoSpaceDN/>
        <w:bidi w:val="0"/>
        <w:adjustRightInd/>
        <w:snapToGrid/>
        <w:spacing w:line="540" w:lineRule="exact"/>
        <w:ind w:firstLine="640"/>
        <w:textAlignment w:val="auto"/>
        <w:outlineLvl w:val="2"/>
        <w:rPr>
          <w:rFonts w:cs="Times New Roman"/>
          <w:b/>
          <w:bCs/>
        </w:rPr>
      </w:pPr>
      <w:bookmarkStart w:id="65" w:name="_Toc15377217"/>
      <w:bookmarkStart w:id="66" w:name="_Toc31883"/>
      <w:r>
        <w:rPr>
          <w:rFonts w:hint="eastAsia" w:eastAsia="楷体_GB2312" w:cs="楷体_GB2312"/>
          <w:b/>
          <w:bCs/>
        </w:rPr>
        <w:t>（二）</w:t>
      </w:r>
      <w:r>
        <w:rPr>
          <w:rFonts w:eastAsia="楷体_GB2312"/>
          <w:b/>
          <w:bCs/>
        </w:rPr>
        <w:t>“</w:t>
      </w:r>
      <w:r>
        <w:rPr>
          <w:rFonts w:hint="eastAsia" w:eastAsia="楷体_GB2312" w:cs="楷体_GB2312"/>
          <w:b/>
          <w:bCs/>
        </w:rPr>
        <w:t>三公</w:t>
      </w:r>
      <w:r>
        <w:rPr>
          <w:rFonts w:eastAsia="楷体_GB2312"/>
          <w:b/>
          <w:bCs/>
        </w:rPr>
        <w:t>”</w:t>
      </w:r>
      <w:r>
        <w:rPr>
          <w:rFonts w:hint="eastAsia" w:eastAsia="楷体_GB2312" w:cs="楷体_GB2312"/>
          <w:b/>
          <w:bCs/>
        </w:rPr>
        <w:t>经费财政拨款支出决算具体情况说明</w:t>
      </w:r>
      <w:bookmarkEnd w:id="65"/>
      <w:bookmarkEnd w:id="66"/>
    </w:p>
    <w:p w14:paraId="69A0CC99">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cs="仿宋_GB2312"/>
        </w:rPr>
      </w:pPr>
      <w:r>
        <w:rPr>
          <w:rFonts w:hint="eastAsia" w:cs="仿宋_GB2312"/>
        </w:rPr>
        <w:t>2024年度“三公”经费财政拨款支出决算中，因公出国（境）费支出决算0万元，占100%；公务用车购置及运行维护费支出决算0万元，占100%；公务接待费支出决算1.15万元，占100%。具体情况如下：</w:t>
      </w:r>
    </w:p>
    <w:p w14:paraId="70E72A8B">
      <w:pPr>
        <w:pStyle w:val="200"/>
        <w:ind w:firstLine="0"/>
        <w:jc w:val="center"/>
        <w:rPr>
          <w:rFonts w:ascii="Times New Roman" w:cs="Times New Roman"/>
        </w:rPr>
      </w:pPr>
      <w:r>
        <w:pict>
          <v:shape id="_x0000_s1028" o:spid="_x0000_s1028" o:spt="75" type="#_x0000_t75" style="position:absolute;left:0pt;margin-left:81.1pt;margin-top:2.4pt;height:167.15pt;width:277.2pt;mso-wrap-distance-bottom:0.2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_x0000_s1028" DrawAspect="Content" ObjectID="_1468075731" r:id="rId20">
            <o:LockedField>false</o:LockedField>
          </o:OLEObject>
        </w:pict>
      </w:r>
    </w:p>
    <w:p w14:paraId="4182B46C">
      <w:pPr>
        <w:pStyle w:val="200"/>
        <w:ind w:firstLine="0"/>
        <w:jc w:val="center"/>
        <w:rPr>
          <w:rFonts w:ascii="Times New Roman" w:cs="Times New Roman"/>
        </w:rPr>
      </w:pPr>
    </w:p>
    <w:p w14:paraId="3B672A20">
      <w:pPr>
        <w:pStyle w:val="200"/>
        <w:ind w:firstLine="0"/>
        <w:jc w:val="center"/>
        <w:rPr>
          <w:rFonts w:ascii="Times New Roman" w:cs="Times New Roman"/>
        </w:rPr>
      </w:pPr>
    </w:p>
    <w:p w14:paraId="3E20250C">
      <w:pPr>
        <w:pStyle w:val="200"/>
        <w:ind w:firstLine="0"/>
        <w:jc w:val="center"/>
        <w:rPr>
          <w:rFonts w:ascii="Times New Roman" w:cs="Times New Roman"/>
        </w:rPr>
      </w:pPr>
    </w:p>
    <w:p w14:paraId="4C0CB0CF">
      <w:pPr>
        <w:pStyle w:val="200"/>
        <w:ind w:firstLine="0"/>
        <w:jc w:val="center"/>
        <w:rPr>
          <w:rFonts w:ascii="Times New Roman" w:cs="Times New Roman"/>
        </w:rPr>
      </w:pPr>
    </w:p>
    <w:p w14:paraId="332D847D">
      <w:pPr>
        <w:pStyle w:val="200"/>
        <w:ind w:firstLine="0"/>
        <w:rPr>
          <w:rFonts w:ascii="Times New Roman" w:cs="Times New Roman"/>
        </w:rPr>
      </w:pPr>
    </w:p>
    <w:p w14:paraId="653ABCE0">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_GB2312" w:hAnsi="Calibri" w:eastAsia="仿宋_GB2312" w:cs="仿宋_GB2312"/>
          <w:kern w:val="0"/>
          <w:sz w:val="28"/>
          <w:szCs w:val="28"/>
          <w:lang w:val="en-US" w:eastAsia="zh-CN" w:bidi="ar-SA"/>
        </w:rPr>
      </w:pPr>
    </w:p>
    <w:p w14:paraId="0A8D81F5">
      <w:pPr>
        <w:keepNext w:val="0"/>
        <w:keepLines w:val="0"/>
        <w:pageBreakBefore w:val="0"/>
        <w:widowControl w:val="0"/>
        <w:kinsoku/>
        <w:wordWrap/>
        <w:overflowPunct/>
        <w:topLinePunct w:val="0"/>
        <w:autoSpaceDN/>
        <w:bidi w:val="0"/>
        <w:adjustRightInd/>
        <w:snapToGrid/>
        <w:spacing w:line="560" w:lineRule="exact"/>
        <w:jc w:val="center"/>
        <w:textAlignment w:val="auto"/>
        <w:rPr>
          <w:rFonts w:hint="eastAsia" w:ascii="仿宋_GB2312" w:hAnsi="Calibri" w:eastAsia="仿宋_GB2312" w:cs="仿宋_GB2312"/>
          <w:kern w:val="0"/>
          <w:sz w:val="28"/>
          <w:szCs w:val="28"/>
          <w:lang w:val="en-US" w:eastAsia="zh-CN" w:bidi="ar-SA"/>
        </w:rPr>
      </w:pPr>
      <w:r>
        <w:rPr>
          <w:rFonts w:hint="eastAsia" w:ascii="仿宋_GB2312" w:hAnsi="Calibri" w:eastAsia="仿宋_GB2312" w:cs="仿宋_GB2312"/>
          <w:kern w:val="0"/>
          <w:sz w:val="28"/>
          <w:szCs w:val="28"/>
          <w:lang w:val="en-US" w:eastAsia="zh-CN" w:bidi="ar-SA"/>
        </w:rPr>
        <w:t>（图7：“三公”经费财政拨款支出结构）（饼状图）</w:t>
      </w:r>
    </w:p>
    <w:p w14:paraId="2545EC4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1、因公出国（境）经费支出0万元，完成预算100%。全年安排因公出国（境）团组0次，出国（境）0人。因公出国（境）支出决算比2023年持平。</w:t>
      </w:r>
    </w:p>
    <w:p w14:paraId="1B02855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2、公务用车购置及运行维护费支出0万元,完成预算100%。公务用车购置及运行维护费支出决算与2023年度持平。</w:t>
      </w:r>
    </w:p>
    <w:p w14:paraId="16292716">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3F732FA7">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公务用车运行维护费支出0万元。主要用于保障单位工作人员执行公务活动等工作开展所需的公务用车燃料费、维修费、过路过桥费、保险费等支出。</w:t>
      </w:r>
    </w:p>
    <w:p w14:paraId="46A465A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3、公务接待费支出1.15万元，完成预算100%。公务接待费支出决算比2023年度减少0.37万元，下降24.25%。主要原因是单位</w:t>
      </w:r>
      <w:r>
        <w:rPr>
          <w:rFonts w:hint="eastAsia" w:cs="仿宋_GB2312"/>
          <w:lang w:eastAsia="zh-CN"/>
        </w:rPr>
        <w:t>厉行节约</w:t>
      </w:r>
      <w:r>
        <w:rPr>
          <w:rFonts w:hint="eastAsia" w:cs="仿宋_GB2312"/>
        </w:rPr>
        <w:t>，缩减开支。其中：</w:t>
      </w:r>
    </w:p>
    <w:p w14:paraId="7F51CE3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国内公务接待支出1.15万元，主要用于上级部门检查、调研、用工企业招工等的交通费、住宿费、用餐费等。国内公务接待</w:t>
      </w:r>
      <w:r>
        <w:rPr>
          <w:rFonts w:hint="eastAsia" w:cs="仿宋_GB2312"/>
          <w:lang w:val="en-US" w:eastAsia="zh-CN"/>
        </w:rPr>
        <w:t>10</w:t>
      </w:r>
      <w:r>
        <w:rPr>
          <w:rFonts w:hint="eastAsia" w:cs="仿宋_GB2312"/>
        </w:rPr>
        <w:t>批次，</w:t>
      </w:r>
      <w:r>
        <w:rPr>
          <w:rFonts w:hint="eastAsia" w:cs="仿宋_GB2312"/>
          <w:lang w:val="en-US" w:eastAsia="zh-CN"/>
        </w:rPr>
        <w:t>85</w:t>
      </w:r>
      <w:r>
        <w:rPr>
          <w:rFonts w:hint="eastAsia" w:cs="仿宋_GB2312"/>
        </w:rPr>
        <w:t>人次（不包括陪同人员），共计支出1.15万元，具体内容包括：</w:t>
      </w:r>
      <w:r>
        <w:rPr>
          <w:rFonts w:hint="eastAsia" w:cs="仿宋_GB2312"/>
          <w:lang w:val="en-US" w:eastAsia="zh-CN"/>
        </w:rPr>
        <w:t>市政务服务和大数据局莅安走访调研安居企业、</w:t>
      </w:r>
      <w:r>
        <w:rPr>
          <w:rFonts w:hint="eastAsia" w:cs="仿宋_GB2312"/>
        </w:rPr>
        <w:t>大英行政审批局到安居</w:t>
      </w:r>
      <w:r>
        <w:rPr>
          <w:rFonts w:hint="eastAsia" w:cs="仿宋_GB2312"/>
          <w:lang w:val="en-US" w:eastAsia="zh-CN"/>
        </w:rPr>
        <w:t>考察</w:t>
      </w:r>
      <w:r>
        <w:rPr>
          <w:rFonts w:hint="eastAsia" w:cs="仿宋_GB2312"/>
        </w:rPr>
        <w:t>学习</w:t>
      </w:r>
      <w:r>
        <w:rPr>
          <w:rFonts w:hint="eastAsia" w:cs="仿宋_GB2312"/>
          <w:lang w:val="en-US" w:eastAsia="zh-CN"/>
        </w:rPr>
        <w:t>、蓬溪行政审批局到安居交流学习、攀枝花行政审批局到安居交流学习、船山区行政审批局到安居区考察学习、</w:t>
      </w:r>
      <w:r>
        <w:rPr>
          <w:rFonts w:hint="eastAsia" w:cs="仿宋_GB2312"/>
        </w:rPr>
        <w:t xml:space="preserve"> 高新区行政审批和政务服务管理局到我局考察学习</w:t>
      </w:r>
      <w:r>
        <w:rPr>
          <w:rFonts w:hint="eastAsia" w:cs="仿宋_GB2312"/>
          <w:lang w:val="en-US" w:eastAsia="zh-CN"/>
        </w:rPr>
        <w:t>、市财政局到安居监督评价。</w:t>
      </w:r>
    </w:p>
    <w:p w14:paraId="19BF9668">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外事接待支出0万元。外事接待0批次，0人次（不包括陪同人员），共计支出0万元。</w:t>
      </w:r>
      <w:bookmarkStart w:id="67" w:name="_Toc15377218"/>
      <w:bookmarkStart w:id="68" w:name="_Toc15396610"/>
    </w:p>
    <w:p w14:paraId="474DEEB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203"/>
          <w:rFonts w:ascii="Times New Roman" w:hAnsi="Times New Roman" w:eastAsia="黑体" w:cs="Times New Roman"/>
          <w:b w:val="0"/>
          <w:bCs w:val="0"/>
          <w:i w:val="0"/>
          <w:iCs w:val="0"/>
        </w:rPr>
      </w:pPr>
      <w:bookmarkStart w:id="69" w:name="_Toc21605"/>
      <w:r>
        <w:rPr>
          <w:rFonts w:hint="eastAsia" w:eastAsia="黑体" w:cs="黑体"/>
        </w:rPr>
        <w:t>八、</w:t>
      </w:r>
      <w:r>
        <w:rPr>
          <w:rStyle w:val="203"/>
          <w:rFonts w:hint="eastAsia" w:ascii="Times New Roman" w:hAnsi="Times New Roman" w:eastAsia="黑体" w:cs="黑体"/>
          <w:b w:val="0"/>
          <w:bCs w:val="0"/>
          <w:i w:val="0"/>
          <w:iCs w:val="0"/>
        </w:rPr>
        <w:t>政府性基金预算支出决算情况说明</w:t>
      </w:r>
      <w:bookmarkEnd w:id="67"/>
      <w:bookmarkEnd w:id="68"/>
      <w:bookmarkEnd w:id="69"/>
    </w:p>
    <w:p w14:paraId="51A2185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bookmarkStart w:id="70" w:name="_Toc15396611"/>
      <w:bookmarkStart w:id="71" w:name="_Toc15377219"/>
      <w:r>
        <w:rPr>
          <w:rFonts w:hint="eastAsia" w:cs="仿宋_GB2312"/>
        </w:rPr>
        <w:t>2024年度政府性基金预算财政拨款支出0万元。占本年支出合计的100%。与2023年度相比，政府性基金预算财政拨款支出减少129.49万元，下降100%。主要变动原因</w:t>
      </w:r>
      <w:r>
        <w:rPr>
          <w:rFonts w:hint="eastAsia" w:cs="仿宋_GB2312"/>
          <w:lang w:val="en-US" w:eastAsia="zh-CN"/>
        </w:rPr>
        <w:t>部分项目未纳入政府</w:t>
      </w:r>
      <w:r>
        <w:rPr>
          <w:rFonts w:hint="eastAsia" w:cs="仿宋_GB2312"/>
        </w:rPr>
        <w:t>性基金预算。</w:t>
      </w:r>
    </w:p>
    <w:p w14:paraId="0EAAB64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textAlignment w:val="auto"/>
        <w:outlineLvl w:val="1"/>
        <w:rPr>
          <w:rStyle w:val="203"/>
          <w:rFonts w:ascii="Times New Roman" w:hAnsi="Times New Roman" w:eastAsia="黑体" w:cs="Times New Roman"/>
          <w:b w:val="0"/>
          <w:bCs w:val="0"/>
          <w:i w:val="0"/>
          <w:iCs w:val="0"/>
        </w:rPr>
      </w:pPr>
      <w:bookmarkStart w:id="72" w:name="_Toc32114"/>
      <w:r>
        <w:rPr>
          <w:rStyle w:val="203"/>
          <w:rFonts w:hint="eastAsia" w:ascii="Times New Roman" w:hAnsi="Times New Roman" w:eastAsia="黑体" w:cs="黑体"/>
          <w:b w:val="0"/>
          <w:bCs w:val="0"/>
          <w:i w:val="0"/>
          <w:iCs w:val="0"/>
        </w:rPr>
        <w:t>国有资本经营预算支出决算情况说明</w:t>
      </w:r>
      <w:bookmarkEnd w:id="70"/>
      <w:bookmarkEnd w:id="71"/>
      <w:bookmarkEnd w:id="72"/>
    </w:p>
    <w:p w14:paraId="4A7BC03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bookmarkStart w:id="73" w:name="_Toc15396612"/>
      <w:bookmarkStart w:id="74" w:name="_Toc15377221"/>
      <w:r>
        <w:rPr>
          <w:rFonts w:hint="eastAsia" w:cs="仿宋_GB2312"/>
        </w:rPr>
        <w:t>2024年度国有资本经营预算财政拨款支出0万元。</w:t>
      </w:r>
    </w:p>
    <w:p w14:paraId="1531D79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textAlignment w:val="auto"/>
        <w:outlineLvl w:val="1"/>
        <w:rPr>
          <w:rStyle w:val="203"/>
          <w:rFonts w:ascii="Times New Roman" w:hAnsi="Times New Roman" w:eastAsia="黑体" w:cs="Times New Roman"/>
          <w:b w:val="0"/>
          <w:bCs w:val="0"/>
          <w:i w:val="0"/>
          <w:iCs w:val="0"/>
        </w:rPr>
      </w:pPr>
      <w:bookmarkStart w:id="75" w:name="_Toc13293"/>
      <w:r>
        <w:rPr>
          <w:rStyle w:val="203"/>
          <w:rFonts w:hint="eastAsia" w:ascii="Times New Roman" w:hAnsi="Times New Roman" w:eastAsia="黑体" w:cs="黑体"/>
          <w:b w:val="0"/>
          <w:bCs w:val="0"/>
          <w:i w:val="0"/>
          <w:iCs w:val="0"/>
        </w:rPr>
        <w:t>其他重要事项的情况说明</w:t>
      </w:r>
      <w:bookmarkEnd w:id="73"/>
      <w:bookmarkEnd w:id="74"/>
      <w:bookmarkEnd w:id="75"/>
    </w:p>
    <w:p w14:paraId="554E599B">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cs="Times New Roman"/>
          <w:b/>
          <w:bCs/>
        </w:rPr>
      </w:pPr>
      <w:bookmarkStart w:id="76" w:name="_Toc15377222"/>
      <w:bookmarkStart w:id="77" w:name="_Toc28998"/>
      <w:r>
        <w:rPr>
          <w:rFonts w:hint="eastAsia" w:eastAsia="楷体_GB2312" w:cs="楷体_GB2312"/>
          <w:b/>
          <w:bCs/>
        </w:rPr>
        <w:t>（一）机关运行经费支出情况</w:t>
      </w:r>
      <w:bookmarkEnd w:id="76"/>
      <w:bookmarkEnd w:id="77"/>
    </w:p>
    <w:p w14:paraId="45A4576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lang w:eastAsia="zh-CN"/>
        </w:rPr>
      </w:pPr>
      <w:bookmarkStart w:id="78" w:name="_Toc15377223"/>
      <w:r>
        <w:rPr>
          <w:rFonts w:hint="eastAsia" w:cs="仿宋_GB2312"/>
        </w:rPr>
        <w:t>2024年度，遂宁市安居区</w:t>
      </w:r>
      <w:bookmarkStart w:id="79" w:name="OLE_LINK18"/>
      <w:bookmarkStart w:id="80" w:name="OLE_LINK17"/>
      <w:r>
        <w:rPr>
          <w:rFonts w:hint="eastAsia" w:cs="仿宋_GB2312"/>
        </w:rPr>
        <w:t>行政审批和数据局</w:t>
      </w:r>
      <w:bookmarkEnd w:id="79"/>
      <w:bookmarkEnd w:id="80"/>
      <w:r>
        <w:rPr>
          <w:rFonts w:hint="eastAsia" w:cs="仿宋_GB2312"/>
        </w:rPr>
        <w:t>机关运行经费支出64.36万元。比2023年度减少8.7万元，下降11.91%。主要原因是</w:t>
      </w:r>
      <w:bookmarkStart w:id="81" w:name="OLE_LINK16"/>
      <w:bookmarkStart w:id="82" w:name="OLE_LINK15"/>
      <w:r>
        <w:rPr>
          <w:rFonts w:hint="eastAsia" w:cs="仿宋_GB2312"/>
          <w:lang w:val="en-US" w:eastAsia="zh-CN"/>
        </w:rPr>
        <w:t>人员减少和</w:t>
      </w:r>
      <w:r>
        <w:rPr>
          <w:rFonts w:hint="eastAsia" w:cs="仿宋_GB2312"/>
        </w:rPr>
        <w:t>单位</w:t>
      </w:r>
      <w:r>
        <w:rPr>
          <w:rFonts w:hint="eastAsia" w:cs="仿宋_GB2312"/>
          <w:lang w:eastAsia="zh-CN"/>
        </w:rPr>
        <w:t>厉行节约</w:t>
      </w:r>
      <w:r>
        <w:rPr>
          <w:rFonts w:hint="eastAsia" w:cs="仿宋_GB2312"/>
        </w:rPr>
        <w:t>，缩减开支</w:t>
      </w:r>
      <w:bookmarkEnd w:id="81"/>
      <w:bookmarkEnd w:id="82"/>
      <w:r>
        <w:rPr>
          <w:rFonts w:hint="eastAsia" w:cs="仿宋_GB2312"/>
          <w:lang w:eastAsia="zh-CN"/>
        </w:rPr>
        <w:t>。</w:t>
      </w:r>
    </w:p>
    <w:p w14:paraId="491EA005">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cs="Times New Roman"/>
          <w:b/>
          <w:bCs/>
        </w:rPr>
      </w:pPr>
      <w:bookmarkStart w:id="83" w:name="_Toc30155"/>
      <w:r>
        <w:rPr>
          <w:rFonts w:hint="eastAsia" w:eastAsia="楷体_GB2312" w:cs="楷体_GB2312"/>
          <w:b/>
          <w:bCs/>
        </w:rPr>
        <w:t>（二）政府采购支出情况</w:t>
      </w:r>
      <w:bookmarkEnd w:id="78"/>
      <w:bookmarkEnd w:id="83"/>
    </w:p>
    <w:p w14:paraId="57E6DCA0">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2024年度，遂宁市安居区行政审批和数据局政府采购支出总额12.84万元，其中：政府采购货物支出12.84万元、政府采购工程支出0万元、政府采购服务支出0万元。授予中小企业合同金额</w:t>
      </w:r>
      <w:r>
        <w:rPr>
          <w:rFonts w:hint="eastAsia" w:cs="仿宋_GB2312"/>
          <w:lang w:val="en-US" w:eastAsia="zh-CN"/>
        </w:rPr>
        <w:t>12.84</w:t>
      </w:r>
      <w:r>
        <w:rPr>
          <w:rFonts w:hint="eastAsia" w:cs="仿宋_GB2312"/>
        </w:rPr>
        <w:t>万元，占政府采购支出总额的</w:t>
      </w:r>
      <w:r>
        <w:rPr>
          <w:rFonts w:hint="eastAsia" w:cs="仿宋_GB2312"/>
          <w:lang w:val="en-US" w:eastAsia="zh-CN"/>
        </w:rPr>
        <w:t>10</w:t>
      </w:r>
      <w:r>
        <w:rPr>
          <w:rFonts w:hint="eastAsia" w:cs="仿宋_GB2312"/>
        </w:rPr>
        <w:t>0%，其中：授予小微企业合同金额0万元，占政府采购支出总额的0%。</w:t>
      </w:r>
    </w:p>
    <w:p w14:paraId="412CD4DB">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cs="Times New Roman"/>
          <w:b/>
          <w:bCs/>
        </w:rPr>
      </w:pPr>
      <w:bookmarkStart w:id="84" w:name="_Toc15377224"/>
      <w:bookmarkStart w:id="85" w:name="_Toc21952"/>
      <w:r>
        <w:rPr>
          <w:rFonts w:hint="eastAsia" w:eastAsia="楷体_GB2312" w:cs="楷体_GB2312"/>
          <w:b/>
          <w:bCs/>
        </w:rPr>
        <w:t>（三）国有资产占有使用情况</w:t>
      </w:r>
      <w:bookmarkEnd w:id="84"/>
      <w:bookmarkEnd w:id="85"/>
    </w:p>
    <w:p w14:paraId="0690457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截至2024年12月31日，遂宁市安居区行政审批和数据局共有车辆0辆，其中：主要领导干部用车0辆、机要通信用车0辆、应急保障用车0辆、其他用车0辆，其他用车主要是用于保障单位工作人员执行公务活动等工作。单价100万元以上设备（不含车辆）0台（套）。</w:t>
      </w:r>
    </w:p>
    <w:p w14:paraId="2B33E945">
      <w:pPr>
        <w:keepNext w:val="0"/>
        <w:keepLines w:val="0"/>
        <w:pageBreakBefore w:val="0"/>
        <w:widowControl w:val="0"/>
        <w:kinsoku/>
        <w:wordWrap/>
        <w:overflowPunct/>
        <w:topLinePunct w:val="0"/>
        <w:autoSpaceDE/>
        <w:autoSpaceDN/>
        <w:bidi w:val="0"/>
        <w:adjustRightInd/>
        <w:snapToGrid/>
        <w:spacing w:line="560" w:lineRule="exact"/>
        <w:ind w:firstLine="632"/>
        <w:jc w:val="left"/>
        <w:textAlignment w:val="auto"/>
        <w:outlineLvl w:val="2"/>
        <w:rPr>
          <w:rFonts w:eastAsia="楷体_GB2312" w:cs="Times New Roman"/>
          <w:b/>
          <w:bCs/>
        </w:rPr>
      </w:pPr>
      <w:bookmarkStart w:id="86" w:name="_Toc17351"/>
      <w:r>
        <w:rPr>
          <w:rFonts w:hint="eastAsia" w:eastAsia="楷体_GB2312" w:cs="楷体_GB2312"/>
          <w:b/>
          <w:bCs/>
        </w:rPr>
        <w:t>（四）预算绩效管理情况</w:t>
      </w:r>
      <w:bookmarkEnd w:id="86"/>
    </w:p>
    <w:p w14:paraId="373A8714">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cs="仿宋_GB2312"/>
        </w:rPr>
      </w:pPr>
      <w:r>
        <w:rPr>
          <w:rFonts w:hint="eastAsia" w:cs="仿宋_GB2312"/>
        </w:rPr>
        <w:t>根据预算绩效管理要求，本部门在2024年度预算编制阶段，组织对</w:t>
      </w:r>
      <w:bookmarkStart w:id="87" w:name="OLE_LINK19"/>
      <w:bookmarkStart w:id="88" w:name="OLE_LINK20"/>
      <w:r>
        <w:rPr>
          <w:rFonts w:hint="eastAsia" w:cs="仿宋_GB2312"/>
        </w:rPr>
        <w:t>政务服务综合大楼广场升级改造费、免费印章及专家评审费、办事大厅运转运行费、物业管理费、机关办公自动化平台二期、政务服务综合大楼设施设备采购费、便民服务体系'三化“建设经费</w:t>
      </w:r>
      <w:bookmarkEnd w:id="87"/>
      <w:bookmarkEnd w:id="88"/>
      <w:r>
        <w:rPr>
          <w:rFonts w:hint="eastAsia" w:cs="仿宋_GB2312"/>
          <w:lang w:eastAsia="zh-CN"/>
        </w:rPr>
        <w:t>、</w:t>
      </w:r>
      <w:r>
        <w:rPr>
          <w:rFonts w:hint="eastAsia" w:cs="仿宋_GB2312"/>
          <w:lang w:val="en-US" w:eastAsia="zh-CN"/>
        </w:rPr>
        <w:t>信创资金、工作服装</w:t>
      </w:r>
      <w:r>
        <w:rPr>
          <w:rFonts w:hint="eastAsia" w:cs="仿宋_GB2312"/>
        </w:rPr>
        <w:t>费</w:t>
      </w:r>
      <w:r>
        <w:rPr>
          <w:rFonts w:hint="eastAsia" w:cs="仿宋_GB2312"/>
          <w:lang w:val="en-US" w:eastAsia="zh-CN"/>
        </w:rPr>
        <w:t>9</w:t>
      </w:r>
      <w:r>
        <w:rPr>
          <w:rFonts w:hint="eastAsia" w:cs="仿宋_GB2312"/>
        </w:rPr>
        <w:t>个项目开展了预算事前绩效评估，对</w:t>
      </w:r>
      <w:r>
        <w:rPr>
          <w:rFonts w:hint="eastAsia" w:cs="仿宋_GB2312"/>
          <w:lang w:val="en-US" w:eastAsia="zh-CN"/>
        </w:rPr>
        <w:t>9</w:t>
      </w:r>
      <w:r>
        <w:rPr>
          <w:rFonts w:hint="eastAsia" w:cs="仿宋_GB2312"/>
        </w:rPr>
        <w:t>个项目编制了绩效表，预算执行过程中，选取4个项目开展绩效监控。</w:t>
      </w:r>
    </w:p>
    <w:p w14:paraId="33D536A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eastAsia="仿宋_GB2312" w:cs="Times New Roman"/>
          <w:lang w:eastAsia="zh-CN"/>
        </w:rPr>
      </w:pPr>
      <w:r>
        <w:rPr>
          <w:rFonts w:hint="eastAsia" w:cs="仿宋_GB2312"/>
        </w:rPr>
        <w:t>组织对2024年度一般公共预算、政府性基金预算、国有资本经营预算、社会保险基金预算以及资本资产、债券资金等全面开展绩效自评，形成行政审批</w:t>
      </w:r>
      <w:r>
        <w:rPr>
          <w:rFonts w:hint="eastAsia" w:cs="仿宋_GB2312"/>
          <w:lang w:val="en-US" w:eastAsia="zh-CN"/>
        </w:rPr>
        <w:t>和数据</w:t>
      </w:r>
      <w:r>
        <w:rPr>
          <w:rFonts w:hint="eastAsia" w:cs="仿宋_GB2312"/>
        </w:rPr>
        <w:t>局部门整体（含部门预算项目）绩效自评报告，政务服务综合大楼广场升级改造费、免费印章及专家评审费、办事大厅运转运行费、物业管理费、机关办公自动化平台二期、政务服务综合大楼设施设备采购费、便民服务体系'三化“建设经费、信创资金、工作服装费9个预算项目绩效自评报告，其中，行政审批局部门整体（含部门预算项目）绩效自评得分为97.5分，绩效自评综述：区行政审批局财务管理制度健全规范，整体评价良好；办事大厅运转运行费专项预算项目绩效自评得分为</w:t>
      </w:r>
      <w:r>
        <w:t>99</w:t>
      </w:r>
      <w:r>
        <w:rPr>
          <w:rFonts w:hint="eastAsia" w:cs="仿宋_GB2312"/>
        </w:rPr>
        <w:t>分，绩效自评综述：通过办事大厅运转运行费项目经费的使用，实施绩效进行了指标评价，该经费的使用保障办事大厅正常维修维护，公共场所消毒至少达到</w:t>
      </w:r>
      <w:r>
        <w:t>1100</w:t>
      </w:r>
      <w:r>
        <w:rPr>
          <w:rFonts w:hint="eastAsia" w:cs="仿宋_GB2312"/>
        </w:rPr>
        <w:t>次</w:t>
      </w:r>
      <w:r>
        <w:t>,</w:t>
      </w:r>
      <w:r>
        <w:rPr>
          <w:rFonts w:hint="eastAsia" w:cs="仿宋_GB2312"/>
        </w:rPr>
        <w:t>提供良好的办事环境。受益群众满意度达</w:t>
      </w:r>
      <w:r>
        <w:t>100%</w:t>
      </w:r>
      <w:r>
        <w:rPr>
          <w:rFonts w:hint="eastAsia" w:cs="仿宋_GB2312"/>
        </w:rPr>
        <w:t>，评论结论为</w:t>
      </w:r>
      <w:r>
        <w:t>“</w:t>
      </w:r>
      <w:r>
        <w:rPr>
          <w:rFonts w:hint="eastAsia" w:cs="仿宋_GB2312"/>
        </w:rPr>
        <w:t>好</w:t>
      </w:r>
      <w:r>
        <w:t>”</w:t>
      </w:r>
      <w:r>
        <w:rPr>
          <w:rFonts w:hint="eastAsia" w:cs="仿宋_GB2312"/>
        </w:rPr>
        <w:t>。绩效自评报告详见附件。</w:t>
      </w:r>
      <w:bookmarkStart w:id="89" w:name="OLE_LINK26"/>
      <w:bookmarkStart w:id="90" w:name="OLE_LINK25"/>
      <w:r>
        <w:rPr>
          <w:rFonts w:hint="eastAsia" w:cs="仿宋_GB2312"/>
        </w:rPr>
        <w:t>机关办公自动化平台二期</w:t>
      </w:r>
      <w:bookmarkEnd w:id="89"/>
      <w:bookmarkEnd w:id="90"/>
      <w:r>
        <w:rPr>
          <w:rFonts w:hint="eastAsia" w:cs="仿宋_GB2312"/>
        </w:rPr>
        <w:t>预算项目绩效自评得分为</w:t>
      </w:r>
      <w:r>
        <w:t>93</w:t>
      </w:r>
      <w:r>
        <w:rPr>
          <w:rFonts w:hint="eastAsia" w:cs="仿宋_GB2312"/>
        </w:rPr>
        <w:t>分、</w:t>
      </w:r>
      <w:bookmarkStart w:id="91" w:name="OLE_LINK24"/>
      <w:bookmarkStart w:id="92" w:name="OLE_LINK23"/>
      <w:bookmarkStart w:id="93" w:name="OLE_LINK21"/>
      <w:bookmarkStart w:id="94" w:name="OLE_LINK22"/>
      <w:r>
        <w:rPr>
          <w:rFonts w:hint="eastAsia" w:cs="仿宋_GB2312"/>
        </w:rPr>
        <w:t>政务服务综合大楼设施设备采购费</w:t>
      </w:r>
      <w:bookmarkEnd w:id="91"/>
      <w:bookmarkEnd w:id="92"/>
      <w:r>
        <w:rPr>
          <w:rFonts w:hint="eastAsia" w:cs="仿宋_GB2312"/>
        </w:rPr>
        <w:t>预算项目绩效自评得分为</w:t>
      </w:r>
      <w:r>
        <w:t>95</w:t>
      </w:r>
      <w:r>
        <w:rPr>
          <w:rFonts w:hint="eastAsia" w:cs="仿宋_GB2312"/>
        </w:rPr>
        <w:t>分</w:t>
      </w:r>
      <w:bookmarkEnd w:id="93"/>
      <w:bookmarkEnd w:id="94"/>
      <w:r>
        <w:rPr>
          <w:rFonts w:hint="eastAsia" w:cs="仿宋_GB2312"/>
        </w:rPr>
        <w:t>，绩效自评综述：通过政务服务综合大楼设施设备采购费、机关办公自动化平台二期项目经费的使用，实施绩效进行了指标评价，该经费的使用完全达到部门入驻、事项集中办理的相关要求，为办事群众提供更加优质的办事环境，群众满意度高。受益群众满意度达</w:t>
      </w:r>
      <w:r>
        <w:t>100%</w:t>
      </w:r>
      <w:r>
        <w:rPr>
          <w:rFonts w:hint="eastAsia" w:cs="仿宋_GB2312"/>
        </w:rPr>
        <w:t>，评论结论为</w:t>
      </w:r>
      <w:r>
        <w:t>“</w:t>
      </w:r>
      <w:r>
        <w:rPr>
          <w:rFonts w:hint="eastAsia" w:cs="仿宋_GB2312"/>
        </w:rPr>
        <w:t>好</w:t>
      </w:r>
      <w:r>
        <w:t>”</w:t>
      </w:r>
      <w:r>
        <w:rPr>
          <w:rFonts w:hint="eastAsia" w:cs="仿宋_GB2312"/>
        </w:rPr>
        <w:t>。绩效自评报告详见附件。免费印章及专家评审费预算项目绩效自评得分为</w:t>
      </w:r>
      <w:r>
        <w:t>93</w:t>
      </w:r>
      <w:r>
        <w:rPr>
          <w:rFonts w:hint="eastAsia" w:cs="仿宋_GB2312"/>
        </w:rPr>
        <w:t>分，绩效自评综述：通过免费印章及专家评审费项目经费的使用，实施绩效进行了指标评价，该经费的使用完全达为企业提供印章刻制服务，行政许可事项证照制作费及取水许可等聘请专家进行评审，交易中心支付全区集中采购目录内的项目的专家评审费，有力保障各项工作高质量开展，受益群众满意度达</w:t>
      </w:r>
      <w:r>
        <w:t>100%</w:t>
      </w:r>
      <w:r>
        <w:rPr>
          <w:rFonts w:hint="eastAsia" w:cs="仿宋_GB2312"/>
        </w:rPr>
        <w:t>，评论结论为</w:t>
      </w:r>
      <w:r>
        <w:t>“</w:t>
      </w:r>
      <w:r>
        <w:rPr>
          <w:rFonts w:hint="eastAsia" w:cs="仿宋_GB2312"/>
        </w:rPr>
        <w:t>好</w:t>
      </w:r>
      <w:r>
        <w:t>”</w:t>
      </w:r>
      <w:r>
        <w:rPr>
          <w:rFonts w:hint="eastAsia" w:cs="仿宋_GB2312"/>
        </w:rPr>
        <w:t>。绩效自评报告详见附件。物业管理费</w:t>
      </w:r>
      <w:bookmarkStart w:id="95" w:name="OLE_LINK27"/>
      <w:bookmarkStart w:id="96" w:name="OLE_LINK28"/>
      <w:r>
        <w:rPr>
          <w:rFonts w:hint="eastAsia" w:cs="仿宋_GB2312"/>
        </w:rPr>
        <w:t>预算项目绩效自评得分为</w:t>
      </w:r>
      <w:r>
        <w:t>99</w:t>
      </w:r>
      <w:r>
        <w:rPr>
          <w:rFonts w:hint="eastAsia" w:cs="仿宋_GB2312"/>
        </w:rPr>
        <w:t>分</w:t>
      </w:r>
      <w:bookmarkEnd w:id="95"/>
      <w:bookmarkEnd w:id="96"/>
      <w:r>
        <w:rPr>
          <w:rFonts w:hint="eastAsia" w:cs="仿宋_GB2312"/>
        </w:rPr>
        <w:t>，绩效自评综述通过物业管理费项目经费的使用，实施绩效进行了指标评价，该经费的使用招标采购物业服务公司为政务服务综合大楼提供安全保卫、车辆管理、保洁、绿化、水电管理、设施设备维修保养等，确保政务大厅水电正常供应，从而提高行政运行效率。受益群众满意度达</w:t>
      </w:r>
      <w:r>
        <w:t>100%</w:t>
      </w:r>
      <w:r>
        <w:rPr>
          <w:rFonts w:hint="eastAsia" w:cs="仿宋_GB2312"/>
        </w:rPr>
        <w:t>，评论结论为</w:t>
      </w:r>
      <w:r>
        <w:t>“</w:t>
      </w:r>
      <w:r>
        <w:rPr>
          <w:rFonts w:hint="eastAsia" w:cs="仿宋_GB2312"/>
        </w:rPr>
        <w:t>好</w:t>
      </w:r>
      <w:r>
        <w:t>”</w:t>
      </w:r>
      <w:r>
        <w:rPr>
          <w:rFonts w:hint="eastAsia" w:cs="仿宋_GB2312"/>
        </w:rPr>
        <w:t>。绩效自评报告详见附件。政务服务综合大楼广场升级改造费预算项目绩效自评得分为</w:t>
      </w:r>
      <w:r>
        <w:t>98</w:t>
      </w:r>
      <w:r>
        <w:rPr>
          <w:rFonts w:hint="eastAsia" w:cs="仿宋_GB2312"/>
        </w:rPr>
        <w:t>分，绩效自评综述：通过政务服务综合大楼广场升级改造费项目经费的使用，实施绩效进行了指标评价，该经费的使用营造了安居最好最优的广场阵地建设，为办事群众提供温馨的办事环境，擦亮</w:t>
      </w:r>
      <w:r>
        <w:t>“</w:t>
      </w:r>
      <w:r>
        <w:rPr>
          <w:rFonts w:hint="eastAsia" w:cs="仿宋_GB2312"/>
        </w:rPr>
        <w:t>湖光山色，安逸安居</w:t>
      </w:r>
      <w:r>
        <w:t>”</w:t>
      </w:r>
      <w:r>
        <w:rPr>
          <w:rFonts w:hint="eastAsia" w:cs="仿宋_GB2312"/>
        </w:rPr>
        <w:t>金招牌，受益群众满意度达</w:t>
      </w:r>
      <w:r>
        <w:t>100%</w:t>
      </w:r>
      <w:r>
        <w:rPr>
          <w:rFonts w:hint="eastAsia" w:cs="仿宋_GB2312"/>
        </w:rPr>
        <w:t>，评论结论为</w:t>
      </w:r>
      <w:r>
        <w:t>“</w:t>
      </w:r>
      <w:r>
        <w:rPr>
          <w:rFonts w:hint="eastAsia" w:cs="仿宋_GB2312"/>
        </w:rPr>
        <w:t>好</w:t>
      </w:r>
      <w:r>
        <w:t>”</w:t>
      </w:r>
      <w:r>
        <w:rPr>
          <w:rFonts w:hint="eastAsia" w:cs="仿宋_GB2312"/>
        </w:rPr>
        <w:t>。</w:t>
      </w:r>
      <w:r>
        <w:t xml:space="preserve"> </w:t>
      </w:r>
      <w:r>
        <w:rPr>
          <w:rFonts w:hint="eastAsia" w:cs="仿宋_GB2312"/>
        </w:rPr>
        <w:t>便民服务体系'三化“建设经费预算项目绩效自评得分为</w:t>
      </w:r>
      <w:r>
        <w:t>98</w:t>
      </w:r>
      <w:r>
        <w:rPr>
          <w:rFonts w:hint="eastAsia" w:cs="仿宋_GB2312"/>
        </w:rPr>
        <w:t>分，绩效自评报告详见附件。信创资金预算项目绩效自评得分为</w:t>
      </w:r>
      <w:r>
        <w:t>99</w:t>
      </w:r>
      <w:r>
        <w:rPr>
          <w:rFonts w:hint="eastAsia" w:cs="仿宋_GB2312"/>
        </w:rPr>
        <w:t>分，绩效自评综述：通过框架协议采购电脑</w:t>
      </w:r>
      <w:r>
        <w:t>8</w:t>
      </w:r>
      <w:r>
        <w:rPr>
          <w:rFonts w:hint="eastAsia" w:cs="仿宋_GB2312"/>
        </w:rPr>
        <w:t>台用于交易中心开评标，加强工作人员的办事效率，拓展交易中心规模，保障交易中心运转。绩效自评报告详见附件。工作服装费预算项目绩效自评得分为</w:t>
      </w:r>
      <w:r>
        <w:t>96</w:t>
      </w:r>
      <w:r>
        <w:rPr>
          <w:rFonts w:hint="eastAsia" w:cs="仿宋_GB2312"/>
        </w:rPr>
        <w:t>分，绩效自评综述：提升政务服务工作人员形象，提高办事群众和企业体验感。绩效自评报告详见附件</w:t>
      </w:r>
      <w:r>
        <w:rPr>
          <w:rFonts w:hint="eastAsia" w:cs="仿宋_GB2312"/>
          <w:lang w:eastAsia="zh-CN"/>
        </w:rPr>
        <w:t>。</w:t>
      </w:r>
    </w:p>
    <w:p w14:paraId="3B0295EA">
      <w:pPr>
        <w:widowControl/>
        <w:ind w:firstLine="632"/>
        <w:jc w:val="left"/>
        <w:rPr>
          <w:rFonts w:cs="Times New Roman"/>
        </w:rPr>
      </w:pPr>
    </w:p>
    <w:p w14:paraId="05318E42">
      <w:pPr>
        <w:pageBreakBefore w:val="0"/>
        <w:widowControl w:val="0"/>
        <w:kinsoku/>
        <w:wordWrap/>
        <w:overflowPunct/>
        <w:topLinePunct w:val="0"/>
        <w:autoSpaceDE/>
        <w:autoSpaceDN/>
        <w:bidi w:val="0"/>
        <w:adjustRightInd/>
        <w:snapToGrid/>
        <w:spacing w:line="560" w:lineRule="exact"/>
        <w:jc w:val="center"/>
        <w:textAlignment w:val="auto"/>
        <w:outlineLvl w:val="0"/>
        <w:rPr>
          <w:rStyle w:val="202"/>
          <w:rFonts w:hint="eastAsia" w:eastAsia="方正小标宋简体" w:cs="方正小标宋简体"/>
          <w:b w:val="0"/>
          <w:bCs w:val="0"/>
        </w:rPr>
      </w:pPr>
      <w:bookmarkStart w:id="97" w:name="_Toc3245"/>
      <w:bookmarkStart w:id="98" w:name="_Toc15396613"/>
      <w:bookmarkStart w:id="99" w:name="_Toc15377225"/>
      <w:r>
        <w:rPr>
          <w:rFonts w:hint="eastAsia" w:eastAsia="方正小标宋简体" w:cs="方正小标宋简体"/>
          <w:sz w:val="44"/>
          <w:szCs w:val="44"/>
        </w:rPr>
        <w:br w:type="page"/>
      </w:r>
      <w:r>
        <w:rPr>
          <w:rFonts w:hint="eastAsia" w:eastAsia="方正小标宋简体" w:cs="方正小标宋简体"/>
          <w:sz w:val="44"/>
          <w:szCs w:val="44"/>
        </w:rPr>
        <w:t>第三部分</w:t>
      </w:r>
      <w:r>
        <w:rPr>
          <w:rFonts w:eastAsia="方正小标宋简体"/>
          <w:sz w:val="44"/>
          <w:szCs w:val="44"/>
        </w:rPr>
        <w:t xml:space="preserve"> </w:t>
      </w:r>
      <w:r>
        <w:rPr>
          <w:rFonts w:hint="eastAsia" w:eastAsia="方正小标宋简体" w:cs="方正小标宋简体"/>
          <w:sz w:val="44"/>
          <w:szCs w:val="44"/>
        </w:rPr>
        <w:t>名</w:t>
      </w:r>
      <w:r>
        <w:rPr>
          <w:rStyle w:val="202"/>
          <w:rFonts w:hint="eastAsia" w:eastAsia="方正小标宋简体" w:cs="方正小标宋简体"/>
          <w:b w:val="0"/>
          <w:bCs w:val="0"/>
        </w:rPr>
        <w:t>词解释</w:t>
      </w:r>
      <w:bookmarkEnd w:id="97"/>
      <w:bookmarkEnd w:id="98"/>
      <w:bookmarkEnd w:id="99"/>
    </w:p>
    <w:p w14:paraId="2BAE23DD">
      <w:pPr>
        <w:pStyle w:val="3"/>
        <w:pageBreakBefore w:val="0"/>
        <w:widowControl w:val="0"/>
        <w:kinsoku/>
        <w:wordWrap/>
        <w:overflowPunct/>
        <w:topLinePunct w:val="0"/>
        <w:autoSpaceDE/>
        <w:autoSpaceDN/>
        <w:bidi w:val="0"/>
        <w:adjustRightInd/>
        <w:snapToGrid/>
        <w:spacing w:line="560" w:lineRule="exact"/>
        <w:textAlignment w:val="auto"/>
      </w:pPr>
    </w:p>
    <w:p w14:paraId="711FECF5">
      <w:pPr>
        <w:pStyle w:val="22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财政拨款收入：指单位从同级财政部门取得的财政预算资金。</w:t>
      </w:r>
    </w:p>
    <w:p w14:paraId="638247B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cs="Times New Roman"/>
          <w:kern w:val="2"/>
        </w:rPr>
      </w:pPr>
      <w:r>
        <w:rPr>
          <w:rFonts w:ascii="仿宋_GB2312" w:hAnsi="仿宋_GB2312" w:cs="仿宋_GB2312"/>
          <w:kern w:val="2"/>
        </w:rPr>
        <w:t>2.</w:t>
      </w:r>
      <w:r>
        <w:rPr>
          <w:rFonts w:hint="eastAsia" w:ascii="仿宋_GB2312" w:hAnsi="仿宋_GB2312" w:cs="仿宋_GB2312"/>
          <w:kern w:val="2"/>
        </w:rPr>
        <w:t>使用非财政拨款结余（含专用结余）：指事业单位使用以前年度积累的非财政拨款结余弥补当年收支差额的金额。</w:t>
      </w:r>
      <w:r>
        <w:rPr>
          <w:rFonts w:ascii="仿宋_GB2312" w:hAnsi="仿宋_GB2312" w:cs="仿宋_GB2312"/>
          <w:kern w:val="2"/>
        </w:rPr>
        <w:t xml:space="preserve"> </w:t>
      </w:r>
    </w:p>
    <w:p w14:paraId="3DA5DB7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cs="Times New Roman"/>
          <w:kern w:val="2"/>
        </w:rPr>
      </w:pPr>
      <w:r>
        <w:rPr>
          <w:rFonts w:ascii="仿宋_GB2312" w:hAnsi="仿宋_GB2312" w:cs="仿宋_GB2312"/>
          <w:kern w:val="2"/>
        </w:rPr>
        <w:t>3.</w:t>
      </w:r>
      <w:r>
        <w:rPr>
          <w:rFonts w:hint="eastAsia" w:ascii="仿宋_GB2312" w:hAnsi="仿宋_GB2312" w:cs="仿宋_GB2312"/>
          <w:kern w:val="2"/>
        </w:rPr>
        <w:t>年初结转和结余：指以前年度尚未完成、结转到本年按有关规定继续使用的资金。</w:t>
      </w:r>
      <w:r>
        <w:rPr>
          <w:rFonts w:ascii="仿宋_GB2312" w:hAnsi="仿宋_GB2312" w:cs="仿宋_GB2312"/>
          <w:kern w:val="2"/>
        </w:rPr>
        <w:t xml:space="preserve"> </w:t>
      </w:r>
    </w:p>
    <w:p w14:paraId="6ADE897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cs="Times New Roman"/>
          <w:kern w:val="2"/>
        </w:rPr>
      </w:pPr>
      <w:r>
        <w:rPr>
          <w:rFonts w:ascii="仿宋_GB2312" w:hAnsi="仿宋_GB2312" w:cs="仿宋_GB2312"/>
          <w:kern w:val="2"/>
        </w:rPr>
        <w:t>4.</w:t>
      </w:r>
      <w:r>
        <w:rPr>
          <w:rFonts w:hint="eastAsia" w:ascii="仿宋_GB2312" w:hAnsi="仿宋_GB2312" w:cs="仿宋_GB2312"/>
          <w:kern w:val="2"/>
        </w:rPr>
        <w:t>结余分配：指事业单位按照会计制度规定缴纳的所得税、提取的专用结余以及转入非财政拨款结余的金额等。</w:t>
      </w:r>
    </w:p>
    <w:p w14:paraId="1B9D2085">
      <w:pPr>
        <w:pStyle w:val="2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Times New Roman"/>
          <w:color w:val="auto"/>
          <w:kern w:val="2"/>
          <w:sz w:val="32"/>
          <w:szCs w:val="32"/>
        </w:rPr>
      </w:pPr>
      <w:r>
        <w:rPr>
          <w:rFonts w:ascii="仿宋_GB2312" w:hAnsi="仿宋_GB2312" w:eastAsia="仿宋_GB2312" w:cs="仿宋_GB2312"/>
          <w:color w:val="auto"/>
          <w:kern w:val="2"/>
          <w:sz w:val="32"/>
          <w:szCs w:val="32"/>
        </w:rPr>
        <w:t>5.</w:t>
      </w:r>
      <w:r>
        <w:rPr>
          <w:rFonts w:hint="eastAsia" w:ascii="仿宋_GB2312" w:hAnsi="仿宋_GB2312" w:eastAsia="仿宋_GB2312" w:cs="仿宋_GB2312"/>
          <w:color w:val="auto"/>
          <w:kern w:val="2"/>
          <w:sz w:val="32"/>
          <w:szCs w:val="32"/>
        </w:rPr>
        <w:t>年末结转和结余：指单位按有关规定结转到下年或以后年度继续使用的资金。</w:t>
      </w:r>
    </w:p>
    <w:p w14:paraId="4A4F90A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6.</w:t>
      </w:r>
      <w:r>
        <w:rPr>
          <w:rStyle w:val="38"/>
          <w:rFonts w:hint="eastAsia" w:cs="仿宋_GB2312"/>
          <w:b w:val="0"/>
          <w:bCs w:val="0"/>
        </w:rPr>
        <w:t>一般公共服务（类）政府办公厅（室）及相关机构事务（款）事业运行（项）：指事业单位的基本支出，不包括行政单位（包括实行公务员管理的事业单位）后勤服务中心、医务室等附属事业单位。</w:t>
      </w:r>
    </w:p>
    <w:p w14:paraId="73CD9AF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Style w:val="38"/>
          <w:rFonts w:cs="Times New Roman"/>
          <w:b w:val="0"/>
          <w:bCs w:val="0"/>
        </w:rPr>
      </w:pPr>
      <w:bookmarkStart w:id="100" w:name="_Toc2607"/>
      <w:r>
        <w:rPr>
          <w:rStyle w:val="38"/>
          <w:b w:val="0"/>
          <w:bCs w:val="0"/>
        </w:rPr>
        <w:t>7.</w:t>
      </w:r>
      <w:r>
        <w:rPr>
          <w:rStyle w:val="38"/>
          <w:rFonts w:hint="eastAsia" w:cs="仿宋_GB2312"/>
          <w:b w:val="0"/>
          <w:bCs w:val="0"/>
        </w:rPr>
        <w:t>一般公共服务（类）政府办公厅（室）及相关机构事务</w:t>
      </w:r>
      <w:bookmarkEnd w:id="100"/>
    </w:p>
    <w:p w14:paraId="3A43717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rFonts w:hint="eastAsia" w:cs="仿宋_GB2312"/>
          <w:b w:val="0"/>
          <w:bCs w:val="0"/>
        </w:rPr>
        <w:t>（款）行政运行（项）：指反映为行政单位（包括实行公务员管理的事业单位）提供后勤服务的各类后勤服务中心、医务室等附属事业单位的支出。其他事业单位的支出，凡单独设置了项级单位的，在单独设置的项级科目中反映。未单设项级科目的，在</w:t>
      </w:r>
      <w:r>
        <w:rPr>
          <w:rStyle w:val="38"/>
          <w:rFonts w:hint="eastAsia"/>
          <w:b w:val="0"/>
          <w:bCs w:val="0"/>
          <w:lang w:eastAsia="zh-CN"/>
        </w:rPr>
        <w:t>“</w:t>
      </w:r>
      <w:r>
        <w:rPr>
          <w:rStyle w:val="38"/>
          <w:rFonts w:hint="eastAsia" w:cs="仿宋_GB2312"/>
          <w:b w:val="0"/>
          <w:bCs w:val="0"/>
        </w:rPr>
        <w:t>其他</w:t>
      </w:r>
      <w:r>
        <w:rPr>
          <w:rStyle w:val="38"/>
          <w:rFonts w:hint="eastAsia"/>
          <w:b w:val="0"/>
          <w:bCs w:val="0"/>
          <w:lang w:eastAsia="zh-CN"/>
        </w:rPr>
        <w:t>”</w:t>
      </w:r>
      <w:r>
        <w:rPr>
          <w:rStyle w:val="38"/>
          <w:rFonts w:hint="eastAsia" w:cs="仿宋_GB2312"/>
          <w:b w:val="0"/>
          <w:bCs w:val="0"/>
        </w:rPr>
        <w:t>项级科目中反映。</w:t>
      </w:r>
    </w:p>
    <w:p w14:paraId="539875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8.</w:t>
      </w:r>
      <w:r>
        <w:rPr>
          <w:rStyle w:val="38"/>
          <w:rFonts w:hint="eastAsia" w:cs="仿宋_GB2312"/>
          <w:b w:val="0"/>
          <w:bCs w:val="0"/>
        </w:rPr>
        <w:t>一般公共服务（类）政府办公厅（室）及相关机构事务（款）其他政府办公厅（室）及相关机构事务支出（项）：指除了行政运行、一般行政管理事务、机关服务、专项服务、专项业务及机关事务管理、政务公开审批经、信访事务、参事事务、事业运行以外的其他政府办公厅（室）及相关机构事务支出。</w:t>
      </w:r>
    </w:p>
    <w:p w14:paraId="3BACE8A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9.</w:t>
      </w:r>
      <w:r>
        <w:rPr>
          <w:rStyle w:val="38"/>
          <w:rFonts w:hint="eastAsia" w:cs="仿宋_GB2312"/>
          <w:b w:val="0"/>
          <w:bCs w:val="0"/>
        </w:rPr>
        <w:t>一般公共服务（类）其他一般公共服务支出（款）其他一般公共服务支出（项）：指除了行政运行、一般行政管理事务、机关服务、专项服务、专项业务及机关事务管理、政务公开审批经、信访事务、参事事务、事业运行以外的一般公共服务支出。</w:t>
      </w:r>
    </w:p>
    <w:p w14:paraId="6D4ABB4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10.</w:t>
      </w:r>
      <w:r>
        <w:rPr>
          <w:rStyle w:val="38"/>
          <w:rFonts w:hint="eastAsia" w:cs="仿宋_GB2312"/>
          <w:b w:val="0"/>
          <w:bCs w:val="0"/>
        </w:rPr>
        <w:t>社会保障和就业（类）行政事业单位养老支出（款）机关事业单位基本养老保险缴费支出（项）：指机关事业单位实施养老保险制度由单位缴纳的基本养老保险费支出。</w:t>
      </w:r>
    </w:p>
    <w:p w14:paraId="77510D2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11.</w:t>
      </w:r>
      <w:r>
        <w:rPr>
          <w:rStyle w:val="38"/>
          <w:rFonts w:hint="eastAsia" w:cs="仿宋_GB2312"/>
          <w:b w:val="0"/>
          <w:bCs w:val="0"/>
        </w:rPr>
        <w:t>社会保障和就业支出（类）其他社会保障和就业支出（款）其他社会保障和就业支出（项）：指除上述项目以外其他用于社会保障和就业方面的支出。</w:t>
      </w:r>
    </w:p>
    <w:p w14:paraId="51D67B0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12.</w:t>
      </w:r>
      <w:r>
        <w:rPr>
          <w:rStyle w:val="38"/>
          <w:rFonts w:hint="eastAsia" w:cs="仿宋_GB2312"/>
          <w:b w:val="0"/>
          <w:bCs w:val="0"/>
        </w:rPr>
        <w:t>卫生健康支出（类）行政事业单位医疗（款）</w:t>
      </w:r>
      <w:r>
        <w:rPr>
          <w:rStyle w:val="38"/>
          <w:rFonts w:hint="eastAsia" w:cs="仿宋_GB2312"/>
          <w:b w:val="0"/>
          <w:bCs w:val="0"/>
          <w:lang w:eastAsia="zh-CN"/>
        </w:rPr>
        <w:t>行政事业单位医疗</w:t>
      </w:r>
      <w:r>
        <w:rPr>
          <w:rStyle w:val="38"/>
          <w:rFonts w:hint="eastAsia" w:cs="仿宋_GB2312"/>
          <w:b w:val="0"/>
          <w:bCs w:val="0"/>
        </w:rPr>
        <w:t>（项）：指财政部门安排的行政单位基本医疗保险缴费经费，未参加医疗保险的行政单位的公费医疗经费，按国家规定享受离休人员、红军老战士待遇人员的医疗经费。</w:t>
      </w:r>
    </w:p>
    <w:p w14:paraId="363D935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13.</w:t>
      </w:r>
      <w:r>
        <w:rPr>
          <w:rStyle w:val="38"/>
          <w:rFonts w:hint="eastAsia" w:cs="仿宋_GB2312"/>
          <w:b w:val="0"/>
          <w:bCs w:val="0"/>
        </w:rPr>
        <w:t>卫生健康支出（类）行政事业单位医疗（款）事业单位医疗（项）：指财政部门安排的事业单位基本医疗保险缴费经费，未参加医疗保险的事业单位的公费医疗经费，按国家规定享受离休人员待遇的医疗经费。</w:t>
      </w:r>
    </w:p>
    <w:p w14:paraId="564A6A2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14.</w:t>
      </w:r>
      <w:r>
        <w:rPr>
          <w:rStyle w:val="38"/>
          <w:rFonts w:hint="eastAsia" w:cs="仿宋_GB2312"/>
          <w:b w:val="0"/>
          <w:bCs w:val="0"/>
        </w:rPr>
        <w:t>卫生健康（类）行政事业单位医疗（款）公务员医疗补助（项）：指财政部门安排的公务员医疗补助经费。</w:t>
      </w:r>
    </w:p>
    <w:p w14:paraId="58D7AE2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38"/>
          <w:rFonts w:cs="Times New Roman"/>
          <w:b w:val="0"/>
          <w:bCs w:val="0"/>
        </w:rPr>
      </w:pPr>
      <w:r>
        <w:rPr>
          <w:rStyle w:val="38"/>
          <w:b w:val="0"/>
          <w:bCs w:val="0"/>
        </w:rPr>
        <w:t>15.</w:t>
      </w:r>
      <w:r>
        <w:rPr>
          <w:rStyle w:val="38"/>
          <w:rFonts w:hint="eastAsia" w:cs="仿宋_GB2312"/>
          <w:b w:val="0"/>
          <w:bCs w:val="0"/>
        </w:rPr>
        <w:t>住房保障支出（类）住房改革支出（款）住房公积金（项）：指行政事业单位按人力资源和社会保障部、财政部规定的基本工资和津贴补贴</w:t>
      </w:r>
      <w:r>
        <w:rPr>
          <w:rStyle w:val="38"/>
          <w:rFonts w:hint="eastAsia" w:cs="仿宋_GB2312"/>
          <w:b w:val="0"/>
          <w:bCs w:val="0"/>
          <w:lang w:eastAsia="zh-CN"/>
        </w:rPr>
        <w:t>以及按规定比例</w:t>
      </w:r>
      <w:r>
        <w:rPr>
          <w:rStyle w:val="38"/>
          <w:rFonts w:hint="eastAsia" w:cs="仿宋_GB2312"/>
          <w:b w:val="0"/>
          <w:bCs w:val="0"/>
        </w:rPr>
        <w:t>为职工缴纳的住房公积金。</w:t>
      </w:r>
    </w:p>
    <w:p w14:paraId="436A0D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cs="Times New Roman"/>
        </w:rPr>
      </w:pPr>
      <w:r>
        <w:t>16.</w:t>
      </w:r>
      <w:r>
        <w:rPr>
          <w:rFonts w:hint="eastAsia" w:cs="仿宋_GB2312"/>
        </w:rPr>
        <w:t>基本支出：指为保障机构正常运转、完成日常工作任务而发生的人员支出和公用支出。</w:t>
      </w:r>
    </w:p>
    <w:p w14:paraId="779926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t>17.</w:t>
      </w:r>
      <w:r>
        <w:rPr>
          <w:rFonts w:hint="eastAsia" w:cs="仿宋_GB2312"/>
        </w:rPr>
        <w:t>项目支出：指在基本支出之外为完成特定行政任务和事业发展目标所发生的支出。</w:t>
      </w:r>
      <w:r>
        <w:t xml:space="preserve"> </w:t>
      </w:r>
    </w:p>
    <w:p w14:paraId="2FFCA665">
      <w:pPr>
        <w:pStyle w:val="2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18.“</w:t>
      </w:r>
      <w:r>
        <w:rPr>
          <w:rFonts w:hint="eastAsia" w:ascii="Times New Roman" w:hAnsi="Times New Roman" w:eastAsia="仿宋_GB2312" w:cs="仿宋_GB2312"/>
          <w:color w:val="auto"/>
          <w:sz w:val="32"/>
          <w:szCs w:val="32"/>
        </w:rPr>
        <w:t>三公</w:t>
      </w:r>
      <w:r>
        <w:rPr>
          <w:rFonts w:ascii="Times New Roman" w:hAnsi="Times New Roman" w:eastAsia="仿宋_GB2312" w:cs="Times New Roman"/>
          <w:color w:val="auto"/>
          <w:sz w:val="32"/>
          <w:szCs w:val="32"/>
        </w:rPr>
        <w:t>”</w:t>
      </w:r>
      <w:r>
        <w:rPr>
          <w:rFonts w:hint="eastAsia" w:ascii="Times New Roman" w:hAnsi="Times New Roman" w:eastAsia="仿宋_GB2312" w:cs="仿宋_GB2312"/>
          <w:color w:val="auto"/>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5DE542E">
      <w:pPr>
        <w:pStyle w:val="22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19.</w:t>
      </w:r>
      <w:r>
        <w:rPr>
          <w:rFonts w:hint="eastAsia" w:ascii="Times New Roman" w:hAnsi="Times New Roman" w:eastAsia="仿宋_GB2312" w:cs="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仿宋_GB2312" w:eastAsia="仿宋_GB2312" w:cs="仿宋_GB2312"/>
          <w:sz w:val="32"/>
          <w:szCs w:val="32"/>
        </w:rPr>
        <w:t>。</w:t>
      </w:r>
    </w:p>
    <w:p w14:paraId="2E233C2F">
      <w:pPr>
        <w:pStyle w:val="226"/>
        <w:keepNext w:val="0"/>
        <w:keepLines w:val="0"/>
        <w:pageBreakBefore w:val="0"/>
        <w:widowControl w:val="0"/>
        <w:kinsoku/>
        <w:wordWrap/>
        <w:overflowPunct/>
        <w:topLinePunct w:val="0"/>
        <w:autoSpaceDE/>
        <w:autoSpaceDN/>
        <w:bidi w:val="0"/>
        <w:adjustRightInd/>
        <w:snapToGrid/>
        <w:spacing w:line="560" w:lineRule="exact"/>
        <w:ind w:firstLine="632"/>
        <w:textAlignment w:val="auto"/>
        <w:rPr>
          <w:rFonts w:ascii="Times New Roman" w:hAnsi="Times New Roman" w:eastAsia="仿宋_GB2312" w:cs="Times New Roman"/>
          <w:sz w:val="32"/>
          <w:szCs w:val="32"/>
        </w:rPr>
      </w:pPr>
    </w:p>
    <w:p w14:paraId="6D46F7E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Style w:val="202"/>
          <w:rFonts w:hint="eastAsia" w:ascii="方正小标宋简体" w:hAnsi="方正小标宋简体" w:eastAsia="方正小标宋简体" w:cs="方正小标宋简体"/>
          <w:b w:val="0"/>
          <w:bCs w:val="0"/>
        </w:rPr>
      </w:pPr>
      <w:bookmarkStart w:id="101" w:name="_Toc766"/>
      <w:bookmarkStart w:id="102" w:name="_Toc15396614"/>
      <w:bookmarkStart w:id="103" w:name="_Toc15377226"/>
      <w:r>
        <w:rPr>
          <w:rFonts w:hint="eastAsia" w:eastAsia="方正小标宋简体" w:cs="方正小标宋简体"/>
          <w:sz w:val="44"/>
          <w:szCs w:val="44"/>
        </w:rPr>
        <w:br w:type="page"/>
      </w:r>
      <w:r>
        <w:rPr>
          <w:rFonts w:hint="eastAsia" w:ascii="方正小标宋简体" w:hAnsi="方正小标宋简体" w:eastAsia="方正小标宋简体" w:cs="方正小标宋简体"/>
          <w:sz w:val="44"/>
          <w:szCs w:val="44"/>
        </w:rPr>
        <w:t>第</w:t>
      </w:r>
      <w:r>
        <w:rPr>
          <w:rStyle w:val="202"/>
          <w:rFonts w:hint="eastAsia" w:ascii="方正小标宋简体" w:hAnsi="方正小标宋简体" w:eastAsia="方正小标宋简体" w:cs="方正小标宋简体"/>
          <w:b w:val="0"/>
          <w:bCs w:val="0"/>
        </w:rPr>
        <w:t>四部分 附件</w:t>
      </w:r>
      <w:bookmarkEnd w:id="101"/>
      <w:bookmarkEnd w:id="102"/>
    </w:p>
    <w:p w14:paraId="3ECC5199">
      <w:pPr>
        <w:keepNext w:val="0"/>
        <w:keepLines w:val="0"/>
        <w:pageBreakBefore w:val="0"/>
        <w:kinsoku/>
        <w:wordWrap/>
        <w:overflowPunct/>
        <w:topLinePunct w:val="0"/>
        <w:autoSpaceDN/>
        <w:bidi w:val="0"/>
        <w:spacing w:line="560" w:lineRule="exact"/>
        <w:ind w:left="0"/>
        <w:jc w:val="left"/>
        <w:textAlignment w:val="auto"/>
        <w:rPr>
          <w:rFonts w:hint="eastAsia" w:ascii="仿宋_GB2312" w:hAnsi="仿宋_GB2312" w:eastAsia="仿宋_GB2312" w:cs="仿宋_GB2312"/>
          <w:color w:val="FF0000"/>
        </w:rPr>
      </w:pPr>
    </w:p>
    <w:p w14:paraId="1F352B76">
      <w:pPr>
        <w:keepNext w:val="0"/>
        <w:keepLines w:val="0"/>
        <w:pageBreakBefore w:val="0"/>
        <w:kinsoku/>
        <w:wordWrap/>
        <w:overflowPunct/>
        <w:topLinePunct w:val="0"/>
        <w:autoSpaceDN/>
        <w:bidi w:val="0"/>
        <w:spacing w:line="560" w:lineRule="exact"/>
        <w:ind w:left="0"/>
        <w:jc w:val="left"/>
        <w:textAlignment w:val="auto"/>
        <w:outlineLvl w:val="0"/>
        <w:rPr>
          <w:rFonts w:hint="eastAsia" w:ascii="黑体" w:hAnsi="黑体" w:eastAsia="黑体" w:cs="黑体"/>
          <w:sz w:val="44"/>
          <w:szCs w:val="44"/>
        </w:rPr>
      </w:pPr>
      <w:bookmarkStart w:id="104" w:name="_Toc20274"/>
      <w:r>
        <w:rPr>
          <w:rFonts w:hint="eastAsia" w:ascii="黑体" w:hAnsi="黑体" w:eastAsia="黑体" w:cs="黑体"/>
        </w:rPr>
        <w:t>附件1</w:t>
      </w:r>
      <w:bookmarkEnd w:id="104"/>
    </w:p>
    <w:p w14:paraId="58056AB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部门预算绩效评价报告</w:t>
      </w:r>
    </w:p>
    <w:p w14:paraId="11A80F4F">
      <w:pPr>
        <w:keepNext w:val="0"/>
        <w:keepLines w:val="0"/>
        <w:pageBreakBefore w:val="0"/>
        <w:widowControl/>
        <w:kinsoku/>
        <w:wordWrap/>
        <w:overflowPunct/>
        <w:topLinePunct w:val="0"/>
        <w:autoSpaceDN/>
        <w:bidi w:val="0"/>
        <w:spacing w:line="560" w:lineRule="exact"/>
        <w:ind w:left="0" w:firstLine="472"/>
        <w:jc w:val="left"/>
        <w:textAlignment w:val="auto"/>
        <w:rPr>
          <w:rFonts w:hint="eastAsia" w:ascii="仿宋_GB2312" w:hAnsi="仿宋_GB2312" w:eastAsia="仿宋_GB2312" w:cs="仿宋_GB2312"/>
          <w:color w:val="000000"/>
          <w:sz w:val="24"/>
          <w:szCs w:val="24"/>
          <w:shd w:val="clear" w:color="auto" w:fill="FFFFFF"/>
        </w:rPr>
      </w:pPr>
    </w:p>
    <w:p w14:paraId="768B704E">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黑体" w:hAnsi="黑体" w:eastAsia="黑体" w:cs="黑体"/>
          <w:color w:val="000000"/>
          <w:shd w:val="clear" w:color="auto" w:fill="FFFFFF"/>
          <w:lang w:val="zh-CN"/>
        </w:rPr>
      </w:pPr>
      <w:r>
        <w:rPr>
          <w:rFonts w:hint="eastAsia" w:ascii="黑体" w:hAnsi="黑体" w:eastAsia="黑体" w:cs="黑体"/>
          <w:color w:val="000000"/>
          <w:shd w:val="clear" w:color="auto" w:fill="FFFFFF"/>
          <w:lang w:val="zh-CN"/>
        </w:rPr>
        <w:t>一、部门（单位）基本情况</w:t>
      </w:r>
    </w:p>
    <w:p w14:paraId="14B5E15E">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楷体_GB2312" w:hAnsi="楷体_GB2312" w:eastAsia="楷体_GB2312" w:cs="楷体_GB2312"/>
          <w:b w:val="0"/>
          <w:bCs w:val="0"/>
          <w:color w:val="000000"/>
          <w:shd w:val="clear" w:color="auto" w:fill="FFFFFF"/>
          <w:lang w:val="zh-CN"/>
        </w:rPr>
      </w:pPr>
      <w:r>
        <w:rPr>
          <w:rFonts w:hint="eastAsia" w:ascii="楷体_GB2312" w:hAnsi="楷体_GB2312" w:eastAsia="楷体_GB2312" w:cs="楷体_GB2312"/>
          <w:b w:val="0"/>
          <w:bCs w:val="0"/>
          <w:color w:val="000000"/>
          <w:shd w:val="clear" w:color="auto" w:fill="FFFFFF"/>
          <w:lang w:val="zh-CN"/>
        </w:rPr>
        <w:t>（一）机构组成。</w:t>
      </w:r>
    </w:p>
    <w:p w14:paraId="49323969">
      <w:pPr>
        <w:keepNext w:val="0"/>
        <w:keepLines w:val="0"/>
        <w:pageBreakBefore w:val="0"/>
        <w:kinsoku/>
        <w:wordWrap/>
        <w:overflowPunct/>
        <w:topLinePunct w:val="0"/>
        <w:autoSpaceDE w:val="0"/>
        <w:autoSpaceDN/>
        <w:bidi w:val="0"/>
        <w:spacing w:line="560" w:lineRule="exact"/>
        <w:ind w:left="0" w:firstLine="640" w:firstLineChars="200"/>
        <w:textAlignment w:val="auto"/>
        <w:rPr>
          <w:rFonts w:hint="eastAsia" w:ascii="仿宋_GB2312" w:hAnsi="仿宋_GB2312" w:eastAsia="仿宋_GB2312" w:cs="仿宋_GB2312"/>
          <w:color w:val="auto"/>
          <w:kern w:val="0"/>
          <w:sz w:val="32"/>
          <w:szCs w:val="32"/>
          <w:shd w:val="clear" w:color="auto" w:fill="FFFFFF"/>
          <w:lang w:val="zh-CN"/>
        </w:rPr>
      </w:pPr>
      <w:r>
        <w:rPr>
          <w:rFonts w:hint="eastAsia" w:ascii="仿宋_GB2312" w:hAnsi="仿宋_GB2312" w:eastAsia="仿宋_GB2312" w:cs="仿宋_GB2312"/>
          <w:color w:val="auto"/>
          <w:sz w:val="32"/>
          <w:szCs w:val="32"/>
        </w:rPr>
        <w:t>遂宁市安居区行政审批</w:t>
      </w:r>
      <w:r>
        <w:rPr>
          <w:rFonts w:hint="eastAsia" w:ascii="仿宋_GB2312" w:hAnsi="仿宋_GB2312" w:eastAsia="仿宋_GB2312" w:cs="仿宋_GB2312"/>
          <w:color w:val="auto"/>
          <w:sz w:val="32"/>
          <w:szCs w:val="32"/>
          <w:lang w:val="en-US" w:eastAsia="zh-CN"/>
        </w:rPr>
        <w:t>和数据</w:t>
      </w:r>
      <w:r>
        <w:rPr>
          <w:rFonts w:hint="eastAsia" w:ascii="仿宋_GB2312" w:hAnsi="仿宋_GB2312" w:eastAsia="仿宋_GB2312" w:cs="仿宋_GB2312"/>
          <w:color w:val="auto"/>
          <w:sz w:val="32"/>
          <w:szCs w:val="32"/>
        </w:rPr>
        <w:t>局成立于20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日，前身为遂宁市安居区</w:t>
      </w:r>
      <w:r>
        <w:rPr>
          <w:rFonts w:hint="eastAsia" w:ascii="仿宋_GB2312" w:hAnsi="仿宋_GB2312" w:eastAsia="仿宋_GB2312" w:cs="仿宋_GB2312"/>
          <w:color w:val="auto"/>
          <w:sz w:val="32"/>
          <w:szCs w:val="32"/>
          <w:lang w:val="en-US" w:eastAsia="zh-CN"/>
        </w:rPr>
        <w:t>行政审批局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下设3个事业单位，</w:t>
      </w:r>
      <w:r>
        <w:rPr>
          <w:rFonts w:hint="eastAsia" w:ascii="仿宋_GB2312" w:hAnsi="仿宋_GB2312" w:eastAsia="仿宋_GB2312" w:cs="仿宋_GB2312"/>
          <w:sz w:val="32"/>
          <w:szCs w:val="32"/>
        </w:rPr>
        <w:t>分别是</w:t>
      </w:r>
      <w:r>
        <w:rPr>
          <w:rFonts w:hint="eastAsia" w:ascii="仿宋_GB2312" w:hAnsi="仿宋_GB2312" w:eastAsia="仿宋_GB2312" w:cs="仿宋_GB2312"/>
          <w:sz w:val="32"/>
          <w:szCs w:val="32"/>
          <w:lang w:eastAsia="zh-CN"/>
        </w:rPr>
        <w:t>遂宁市</w:t>
      </w:r>
      <w:r>
        <w:rPr>
          <w:rFonts w:hint="eastAsia" w:ascii="仿宋_GB2312" w:hAnsi="仿宋_GB2312" w:eastAsia="仿宋_GB2312" w:cs="仿宋_GB2312"/>
          <w:sz w:val="32"/>
          <w:szCs w:val="32"/>
          <w:lang w:val="en-US" w:eastAsia="zh-CN"/>
        </w:rPr>
        <w:t>安居区政务服务和</w:t>
      </w:r>
      <w:r>
        <w:rPr>
          <w:rFonts w:hint="eastAsia" w:ascii="仿宋_GB2312" w:hAnsi="仿宋_GB2312" w:eastAsia="仿宋_GB2312" w:cs="仿宋_GB2312"/>
          <w:sz w:val="32"/>
          <w:szCs w:val="32"/>
          <w:lang w:eastAsia="zh-CN"/>
        </w:rPr>
        <w:t>公共资源交易</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lang w:val="en-US" w:eastAsia="zh-CN"/>
        </w:rPr>
        <w:t>科级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遂宁市</w:t>
      </w:r>
      <w:r>
        <w:rPr>
          <w:rFonts w:hint="eastAsia" w:ascii="仿宋_GB2312" w:hAnsi="仿宋_GB2312" w:eastAsia="仿宋_GB2312" w:cs="仿宋_GB2312"/>
          <w:sz w:val="32"/>
          <w:szCs w:val="32"/>
          <w:lang w:eastAsia="zh-CN"/>
        </w:rPr>
        <w:t>安居区政</w:t>
      </w:r>
      <w:r>
        <w:rPr>
          <w:rFonts w:hint="eastAsia" w:ascii="仿宋_GB2312" w:hAnsi="仿宋_GB2312" w:eastAsia="仿宋_GB2312" w:cs="仿宋_GB2312"/>
          <w:sz w:val="32"/>
          <w:szCs w:val="32"/>
        </w:rPr>
        <w:t>府</w:t>
      </w:r>
      <w:r>
        <w:rPr>
          <w:rFonts w:hint="eastAsia" w:ascii="仿宋_GB2312" w:hAnsi="仿宋_GB2312" w:eastAsia="仿宋_GB2312" w:cs="仿宋_GB2312"/>
          <w:sz w:val="32"/>
          <w:szCs w:val="32"/>
          <w:lang w:eastAsia="zh-CN"/>
        </w:rPr>
        <w:t>采购中心（</w:t>
      </w:r>
      <w:r>
        <w:rPr>
          <w:rFonts w:hint="eastAsia" w:ascii="仿宋_GB2312" w:hAnsi="仿宋_GB2312" w:eastAsia="仿宋_GB2312" w:cs="仿宋_GB2312"/>
          <w:sz w:val="32"/>
          <w:szCs w:val="32"/>
          <w:lang w:val="en-US" w:eastAsia="zh-CN"/>
        </w:rPr>
        <w:t>股级</w:t>
      </w:r>
      <w:r>
        <w:rPr>
          <w:rFonts w:hint="eastAsia" w:ascii="仿宋_GB2312" w:hAnsi="仿宋_GB2312" w:eastAsia="仿宋_GB2312" w:cs="仿宋_GB2312"/>
          <w:sz w:val="32"/>
          <w:szCs w:val="32"/>
          <w:lang w:eastAsia="zh-CN"/>
        </w:rPr>
        <w:t>）、遂宁市安居区大数据中心（</w:t>
      </w:r>
      <w:r>
        <w:rPr>
          <w:rFonts w:hint="eastAsia" w:ascii="仿宋_GB2312" w:hAnsi="仿宋_GB2312" w:eastAsia="仿宋_GB2312" w:cs="仿宋_GB2312"/>
          <w:sz w:val="32"/>
          <w:szCs w:val="32"/>
          <w:lang w:val="en-US" w:eastAsia="zh-CN"/>
        </w:rPr>
        <w:t>股级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color w:val="auto"/>
          <w:sz w:val="32"/>
          <w:szCs w:val="32"/>
        </w:rPr>
        <w:t>行政审批</w:t>
      </w:r>
      <w:r>
        <w:rPr>
          <w:rFonts w:hint="eastAsia" w:ascii="仿宋_GB2312" w:hAnsi="仿宋_GB2312" w:eastAsia="仿宋_GB2312" w:cs="仿宋_GB2312"/>
          <w:color w:val="auto"/>
          <w:sz w:val="32"/>
          <w:szCs w:val="32"/>
          <w:lang w:val="en-US" w:eastAsia="zh-CN"/>
        </w:rPr>
        <w:t>和数据</w:t>
      </w:r>
      <w:r>
        <w:rPr>
          <w:rFonts w:hint="eastAsia" w:ascii="仿宋_GB2312" w:hAnsi="仿宋_GB2312" w:eastAsia="仿宋_GB2312" w:cs="仿宋_GB2312"/>
          <w:color w:val="auto"/>
          <w:sz w:val="32"/>
          <w:szCs w:val="32"/>
        </w:rPr>
        <w:t>局下设</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个内设股室：办公室（</w:t>
      </w:r>
      <w:r>
        <w:rPr>
          <w:rFonts w:hint="eastAsia" w:ascii="仿宋_GB2312" w:hAnsi="仿宋_GB2312" w:eastAsia="仿宋_GB2312" w:cs="仿宋_GB2312"/>
          <w:color w:val="auto"/>
          <w:sz w:val="32"/>
          <w:szCs w:val="32"/>
          <w:lang w:val="en-US" w:eastAsia="zh-CN"/>
        </w:rPr>
        <w:t>审批改革股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审批一股、审批二股、数字经济股（数字基础建设股）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区政务服务和</w:t>
      </w:r>
      <w:r>
        <w:rPr>
          <w:rFonts w:hint="eastAsia" w:ascii="仿宋_GB2312" w:hAnsi="仿宋_GB2312" w:eastAsia="仿宋_GB2312" w:cs="仿宋_GB2312"/>
          <w:sz w:val="32"/>
          <w:szCs w:val="32"/>
          <w:lang w:eastAsia="zh-CN"/>
        </w:rPr>
        <w:t>公共资源交易</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下设</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股室：</w:t>
      </w:r>
      <w:r>
        <w:rPr>
          <w:rFonts w:hint="eastAsia" w:ascii="仿宋_GB2312" w:hAnsi="仿宋_GB2312" w:eastAsia="仿宋_GB2312" w:cs="仿宋_GB2312"/>
          <w:color w:val="auto"/>
          <w:sz w:val="32"/>
          <w:szCs w:val="32"/>
          <w:lang w:val="en-US" w:eastAsia="zh-CN"/>
        </w:rPr>
        <w:t>政务服务综合股、政务服务管理股、</w:t>
      </w:r>
      <w:r>
        <w:rPr>
          <w:rFonts w:hint="eastAsia" w:ascii="仿宋_GB2312" w:hAnsi="仿宋_GB2312" w:eastAsia="仿宋_GB2312" w:cs="仿宋_GB2312"/>
          <w:color w:val="auto"/>
          <w:sz w:val="32"/>
          <w:szCs w:val="32"/>
          <w:lang w:eastAsia="zh-CN"/>
        </w:rPr>
        <w:t>受理编审股、组织服务股、信息和监督股</w:t>
      </w:r>
      <w:r>
        <w:rPr>
          <w:rFonts w:hint="eastAsia" w:ascii="仿宋_GB2312" w:hAnsi="仿宋_GB2312" w:eastAsia="仿宋_GB2312" w:cs="仿宋_GB2312"/>
          <w:color w:val="auto"/>
          <w:sz w:val="32"/>
          <w:szCs w:val="32"/>
        </w:rPr>
        <w:t>。</w:t>
      </w:r>
    </w:p>
    <w:p w14:paraId="3047A1EC">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楷体_GB2312" w:hAnsi="楷体_GB2312" w:eastAsia="楷体_GB2312" w:cs="楷体_GB2312"/>
          <w:b w:val="0"/>
          <w:bCs w:val="0"/>
          <w:color w:val="000000"/>
          <w:shd w:val="clear" w:color="auto" w:fill="FFFFFF"/>
          <w:lang w:val="zh-CN"/>
        </w:rPr>
      </w:pPr>
      <w:r>
        <w:rPr>
          <w:rFonts w:hint="eastAsia" w:ascii="楷体_GB2312" w:hAnsi="楷体_GB2312" w:eastAsia="楷体_GB2312" w:cs="楷体_GB2312"/>
          <w:b w:val="0"/>
          <w:bCs w:val="0"/>
          <w:color w:val="000000"/>
          <w:shd w:val="clear" w:color="auto" w:fill="FFFFFF"/>
          <w:lang w:val="zh-CN"/>
        </w:rPr>
        <w:t>（二）机构职能</w:t>
      </w:r>
    </w:p>
    <w:p w14:paraId="48A23BDC">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1.负责拟订并指导实施政务服务的政策、制度、办法和标准，统筹推进政务服务管理等工作。</w:t>
      </w:r>
    </w:p>
    <w:p w14:paraId="52DEE2AB">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负责全区政务服务体系建设，推进政务服务标准化、规范化、便利化建设，推进政务服务事项集中办理，指导规范全区政务服务场所设立、服务窗口设置、窗口业务办理。统筹协调、监督推进区本级政务服务事项进驻区政务服务大厅集中受理、办理。负责区级部门进驻区政务服务大厅窗口工作人员考核。</w:t>
      </w:r>
    </w:p>
    <w:p w14:paraId="465D46FD">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3.指导全区优化政务服务提升行政效能、基层审批服务便民化工作。组织、协调、指导多部门(单位)政务服务事项联合办理工作。协调推进线上线下融合办理。</w:t>
      </w:r>
    </w:p>
    <w:p w14:paraId="2AB59792">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负责推进全区行政审批制度改革和“放管服”改革，深入推进审批服务标准化。拟订全区“放管服”改革和行政审批标准化规范化建设的制度、办法并组织实施。负责区级公共服务事项动态调整，会同相关部门指导全区相对集中行政许可权等政务服务改革。负责行使划转部门和上级部门下放的行政许可事项的审批工作，并对审批行为及结果承担法律责任。</w:t>
      </w:r>
    </w:p>
    <w:p w14:paraId="69BA4AB8">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5.协调推进全区数据基础制度建设，拟订全区数据发展战略、发展规划及数据要素产权、流通、分配、治理等政策措 施、标准规范并组织实施。会同有关部门做好数据人才队伍建 设。统筹数据资源整合共享和开发利用，拟订数据资源分类分级管理制度，负责全区数据统筹管理和监督检查，推动信息资源跨行业、跨部门互联互通。指导全区开展数据资源共享利用等工作。</w:t>
      </w:r>
    </w:p>
    <w:p w14:paraId="4F778054">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统筹推进数字安居建设，拟订数字安居建设发展规划，负责数据基础设施规划、协调和管理。统筹协调政府信息化建设项目，组织论证评估和实施监督管理。统筹推进数字社会规划和建设，牵头推进智慧城市建设工作，参与协调推动公共服务和社会治理信息化。</w:t>
      </w:r>
    </w:p>
    <w:p w14:paraId="5EE0F468">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7.统筹推进全区数字经济发展，拟订全区数字经济发展战略、计划措施、考核办法等并组织实施。</w:t>
      </w:r>
    </w:p>
    <w:p w14:paraId="2CBFC55B">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8.负责全区电子政务工作。负责政务云、政务外网、区政府网站集约化平台管理等工作，指导区直部门电子政务和政府门户网站建设工作。</w:t>
      </w:r>
    </w:p>
    <w:p w14:paraId="67691846">
      <w:pPr>
        <w:keepNext w:val="0"/>
        <w:keepLines w:val="0"/>
        <w:pageBreakBefore w:val="0"/>
        <w:widowControl/>
        <w:numPr>
          <w:ilvl w:val="0"/>
          <w:numId w:val="0"/>
        </w:numPr>
        <w:kinsoku/>
        <w:wordWrap/>
        <w:overflowPunct/>
        <w:topLinePunct w:val="0"/>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9.负责职责范围内的安全生产和职业健康、生态环境保护、审批服务便民化等工作。</w:t>
      </w:r>
    </w:p>
    <w:p w14:paraId="75249E12">
      <w:pPr>
        <w:keepNext w:val="0"/>
        <w:keepLines w:val="0"/>
        <w:pageBreakBefore w:val="0"/>
        <w:widowControl w:val="0"/>
        <w:kinsoku/>
        <w:wordWrap/>
        <w:overflowPunct/>
        <w:topLinePunct w:val="0"/>
        <w:autoSpaceDN/>
        <w:bidi w:val="0"/>
        <w:adjustRightInd w:val="0"/>
        <w:snapToGrid w:val="0"/>
        <w:spacing w:line="560" w:lineRule="exact"/>
        <w:ind w:left="0" w:firstLine="720"/>
        <w:jc w:val="left"/>
        <w:textAlignment w:val="auto"/>
        <w:rPr>
          <w:rStyle w:val="38"/>
          <w:rFonts w:hint="eastAsia" w:ascii="仿宋_GB2312" w:hAnsi="仿宋_GB2312" w:eastAsia="仿宋_GB2312" w:cs="仿宋_GB2312"/>
          <w:b w:val="0"/>
          <w:bCs w:val="0"/>
          <w:color w:val="000000"/>
          <w:shd w:val="clear" w:color="auto" w:fill="FFFFFF"/>
          <w:lang w:val="zh-CN"/>
        </w:rPr>
      </w:pPr>
      <w:r>
        <w:rPr>
          <w:rFonts w:hint="eastAsia" w:ascii="仿宋_GB2312" w:hAnsi="仿宋_GB2312" w:eastAsia="仿宋_GB2312" w:cs="仿宋_GB2312"/>
          <w:color w:val="auto"/>
          <w:sz w:val="32"/>
          <w:szCs w:val="32"/>
          <w:highlight w:val="none"/>
          <w:lang w:val="en-US" w:eastAsia="zh-CN"/>
        </w:rPr>
        <w:t>10.完成区委和区政府交办的其他任务。</w:t>
      </w:r>
    </w:p>
    <w:p w14:paraId="7CCC570D">
      <w:pPr>
        <w:keepNext w:val="0"/>
        <w:keepLines w:val="0"/>
        <w:pageBreakBefore w:val="0"/>
        <w:widowControl w:val="0"/>
        <w:kinsoku/>
        <w:wordWrap/>
        <w:overflowPunct/>
        <w:topLinePunct w:val="0"/>
        <w:autoSpaceDN/>
        <w:bidi w:val="0"/>
        <w:spacing w:line="560" w:lineRule="exact"/>
        <w:ind w:left="0" w:firstLine="640" w:firstLineChars="200"/>
        <w:textAlignment w:val="auto"/>
        <w:outlineLvl w:val="1"/>
        <w:rPr>
          <w:rFonts w:hint="eastAsia" w:ascii="仿宋_GB2312" w:hAnsi="仿宋_GB2312" w:eastAsia="仿宋_GB2312" w:cs="仿宋_GB2312"/>
        </w:rPr>
      </w:pPr>
      <w:r>
        <w:rPr>
          <w:rFonts w:hint="eastAsia" w:ascii="楷体_GB2312" w:hAnsi="楷体_GB2312" w:eastAsia="楷体_GB2312" w:cs="楷体_GB2312"/>
          <w:b w:val="0"/>
          <w:bCs w:val="0"/>
          <w:color w:val="000000"/>
          <w:shd w:val="clear" w:color="auto" w:fill="FFFFFF"/>
          <w:lang w:val="zh-CN"/>
        </w:rPr>
        <w:t>（三）人员概况。</w:t>
      </w:r>
      <w:r>
        <w:rPr>
          <w:rFonts w:hint="eastAsia" w:ascii="仿宋_GB2312" w:hAnsi="仿宋_GB2312" w:eastAsia="仿宋_GB2312" w:cs="仿宋_GB2312"/>
          <w:color w:val="auto"/>
          <w:sz w:val="32"/>
          <w:szCs w:val="32"/>
          <w:lang w:val="en-US" w:eastAsia="zh-CN"/>
        </w:rPr>
        <w:t>截至2024年末，</w:t>
      </w:r>
      <w:r>
        <w:rPr>
          <w:rFonts w:hint="eastAsia" w:ascii="仿宋_GB2312" w:hAnsi="仿宋_GB2312" w:eastAsia="仿宋_GB2312" w:cs="仿宋_GB2312"/>
          <w:color w:val="auto"/>
          <w:sz w:val="32"/>
          <w:szCs w:val="32"/>
        </w:rPr>
        <w:t>区行政审批</w:t>
      </w:r>
      <w:r>
        <w:rPr>
          <w:rFonts w:hint="eastAsia" w:ascii="仿宋_GB2312" w:hAnsi="仿宋_GB2312" w:eastAsia="仿宋_GB2312" w:cs="仿宋_GB2312"/>
          <w:color w:val="auto"/>
          <w:sz w:val="32"/>
          <w:szCs w:val="32"/>
          <w:lang w:val="en-US" w:eastAsia="zh-CN"/>
        </w:rPr>
        <w:t>和数据</w:t>
      </w:r>
      <w:r>
        <w:rPr>
          <w:rFonts w:hint="eastAsia" w:ascii="仿宋_GB2312" w:hAnsi="仿宋_GB2312" w:eastAsia="仿宋_GB2312" w:cs="仿宋_GB2312"/>
          <w:color w:val="auto"/>
          <w:sz w:val="32"/>
          <w:szCs w:val="32"/>
        </w:rPr>
        <w:t>局共有</w:t>
      </w:r>
      <w:r>
        <w:rPr>
          <w:rFonts w:hint="eastAsia" w:ascii="仿宋_GB2312" w:hAnsi="仿宋_GB2312" w:eastAsia="仿宋_GB2312" w:cs="仿宋_GB2312"/>
          <w:color w:val="auto"/>
          <w:sz w:val="32"/>
          <w:szCs w:val="32"/>
          <w:lang w:val="en-US" w:eastAsia="zh-CN"/>
        </w:rPr>
        <w:t>编制41名，其中</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名，下设事业单位</w:t>
      </w:r>
      <w:r>
        <w:rPr>
          <w:rFonts w:hint="eastAsia" w:ascii="仿宋_GB2312" w:hAnsi="仿宋_GB2312" w:eastAsia="仿宋_GB2312" w:cs="仿宋_GB2312"/>
          <w:color w:val="auto"/>
          <w:sz w:val="32"/>
          <w:szCs w:val="32"/>
          <w:lang w:val="en-US" w:eastAsia="zh-CN"/>
        </w:rPr>
        <w:t>34名（区政务服务和</w:t>
      </w:r>
      <w:r>
        <w:rPr>
          <w:rFonts w:hint="eastAsia" w:ascii="仿宋_GB2312" w:hAnsi="仿宋_GB2312" w:eastAsia="仿宋_GB2312" w:cs="仿宋_GB2312"/>
          <w:color w:val="auto"/>
          <w:sz w:val="32"/>
          <w:szCs w:val="32"/>
          <w:lang w:eastAsia="zh-CN"/>
        </w:rPr>
        <w:t>公共资源交易</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color w:val="auto"/>
          <w:sz w:val="32"/>
          <w:szCs w:val="32"/>
          <w:lang w:eastAsia="zh-CN"/>
        </w:rPr>
        <w:t>中心</w:t>
      </w:r>
      <w:r>
        <w:rPr>
          <w:rFonts w:hint="eastAsia" w:ascii="仿宋_GB2312" w:hAnsi="仿宋_GB2312" w:eastAsia="仿宋_GB2312" w:cs="仿宋_GB2312"/>
          <w:color w:val="auto"/>
          <w:sz w:val="32"/>
          <w:szCs w:val="32"/>
          <w:lang w:val="en-US" w:eastAsia="zh-CN"/>
        </w:rPr>
        <w:t>21名</w:t>
      </w:r>
      <w:r>
        <w:rPr>
          <w:rFonts w:hint="eastAsia" w:ascii="仿宋_GB2312" w:hAnsi="仿宋_GB2312" w:eastAsia="仿宋_GB2312" w:cs="仿宋_GB2312"/>
          <w:color w:val="auto"/>
          <w:sz w:val="32"/>
          <w:szCs w:val="32"/>
          <w:lang w:eastAsia="zh-CN"/>
        </w:rPr>
        <w:t>、区政</w:t>
      </w:r>
      <w:r>
        <w:rPr>
          <w:rFonts w:hint="eastAsia" w:ascii="仿宋_GB2312" w:hAnsi="仿宋_GB2312" w:eastAsia="仿宋_GB2312" w:cs="仿宋_GB2312"/>
          <w:color w:val="auto"/>
          <w:sz w:val="32"/>
          <w:szCs w:val="32"/>
        </w:rPr>
        <w:t>府</w:t>
      </w:r>
      <w:r>
        <w:rPr>
          <w:rFonts w:hint="eastAsia" w:ascii="仿宋_GB2312" w:hAnsi="仿宋_GB2312" w:eastAsia="仿宋_GB2312" w:cs="仿宋_GB2312"/>
          <w:color w:val="auto"/>
          <w:sz w:val="32"/>
          <w:szCs w:val="32"/>
          <w:lang w:eastAsia="zh-CN"/>
        </w:rPr>
        <w:t>采购中心</w:t>
      </w:r>
      <w:r>
        <w:rPr>
          <w:rFonts w:hint="eastAsia" w:ascii="仿宋_GB2312" w:hAnsi="仿宋_GB2312" w:eastAsia="仿宋_GB2312" w:cs="仿宋_GB2312"/>
          <w:color w:val="auto"/>
          <w:sz w:val="32"/>
          <w:szCs w:val="32"/>
          <w:lang w:val="en-US" w:eastAsia="zh-CN"/>
        </w:rPr>
        <w:t>3名</w:t>
      </w:r>
      <w:r>
        <w:rPr>
          <w:rFonts w:hint="eastAsia" w:ascii="仿宋_GB2312" w:hAnsi="仿宋_GB2312" w:eastAsia="仿宋_GB2312" w:cs="仿宋_GB2312"/>
          <w:color w:val="auto"/>
          <w:sz w:val="32"/>
          <w:szCs w:val="32"/>
          <w:lang w:eastAsia="zh-CN"/>
        </w:rPr>
        <w:t>、区大数据中心</w:t>
      </w:r>
      <w:r>
        <w:rPr>
          <w:rFonts w:hint="eastAsia" w:ascii="仿宋_GB2312" w:hAnsi="仿宋_GB2312" w:eastAsia="仿宋_GB2312" w:cs="仿宋_GB2312"/>
          <w:color w:val="auto"/>
          <w:sz w:val="32"/>
          <w:szCs w:val="32"/>
          <w:lang w:val="en-US" w:eastAsia="zh-CN"/>
        </w:rPr>
        <w:t>10名）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年末实有人员38名，其中行政人员6名，事业人员32名。</w:t>
      </w:r>
    </w:p>
    <w:p w14:paraId="1B72EF06">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黑体" w:hAnsi="黑体" w:eastAsia="黑体" w:cs="黑体"/>
          <w:color w:val="000000"/>
          <w:shd w:val="clear" w:color="auto" w:fill="FFFFFF"/>
          <w:lang w:val="zh-CN"/>
        </w:rPr>
      </w:pPr>
      <w:r>
        <w:rPr>
          <w:rFonts w:hint="eastAsia" w:ascii="黑体" w:hAnsi="黑体" w:eastAsia="黑体" w:cs="黑体"/>
          <w:color w:val="000000"/>
          <w:shd w:val="clear" w:color="auto" w:fill="FFFFFF"/>
          <w:lang w:val="zh-CN"/>
        </w:rPr>
        <w:t>二、部门资金收支情况</w:t>
      </w:r>
    </w:p>
    <w:p w14:paraId="2967ACD3">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color w:val="000000"/>
          <w:shd w:val="clear" w:color="auto" w:fill="FFFFFF"/>
        </w:rPr>
      </w:pPr>
      <w:r>
        <w:rPr>
          <w:rFonts w:hint="eastAsia" w:ascii="楷体_GB2312" w:hAnsi="楷体_GB2312" w:eastAsia="楷体_GB2312" w:cs="楷体_GB2312"/>
          <w:b w:val="0"/>
          <w:bCs w:val="0"/>
          <w:color w:val="000000"/>
          <w:shd w:val="clear" w:color="auto" w:fill="FFFFFF"/>
          <w:lang w:val="zh-CN"/>
        </w:rPr>
        <w:t>（一）收入情况。</w:t>
      </w:r>
      <w:r>
        <w:rPr>
          <w:rFonts w:hint="eastAsia" w:ascii="仿宋_GB2312" w:hAnsi="仿宋_GB2312" w:eastAsia="仿宋_GB2312" w:cs="仿宋_GB2312"/>
          <w:color w:val="000000"/>
          <w:kern w:val="2"/>
        </w:rPr>
        <w:t>遂宁市安居区</w:t>
      </w:r>
      <w:bookmarkStart w:id="105" w:name="OLE_LINK44"/>
      <w:bookmarkStart w:id="106" w:name="OLE_LINK47"/>
      <w:bookmarkStart w:id="107" w:name="OLE_LINK43"/>
      <w:r>
        <w:rPr>
          <w:rStyle w:val="38"/>
          <w:rFonts w:hint="eastAsia" w:ascii="仿宋_GB2312" w:hAnsi="仿宋_GB2312" w:eastAsia="仿宋_GB2312" w:cs="仿宋_GB2312"/>
          <w:b w:val="0"/>
          <w:bCs w:val="0"/>
        </w:rPr>
        <w:t>行政审批和数据局</w:t>
      </w:r>
      <w:bookmarkEnd w:id="105"/>
      <w:bookmarkEnd w:id="106"/>
      <w:bookmarkEnd w:id="107"/>
      <w:r>
        <w:rPr>
          <w:rFonts w:hint="eastAsia" w:ascii="仿宋_GB2312" w:hAnsi="仿宋_GB2312" w:eastAsia="仿宋_GB2312" w:cs="仿宋_GB2312"/>
        </w:rPr>
        <w:t>2024年年初预算收入957.51万元、决算报表收入1064.55万元。</w:t>
      </w:r>
    </w:p>
    <w:p w14:paraId="4BD91EB8">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lang w:val="zh-CN"/>
        </w:rPr>
      </w:pPr>
      <w:r>
        <w:rPr>
          <w:rFonts w:hint="eastAsia" w:ascii="楷体_GB2312" w:hAnsi="楷体_GB2312" w:eastAsia="楷体_GB2312" w:cs="楷体_GB2312"/>
          <w:b w:val="0"/>
          <w:bCs w:val="0"/>
          <w:color w:val="000000"/>
          <w:shd w:val="clear" w:color="auto" w:fill="FFFFFF"/>
          <w:lang w:val="zh-CN"/>
        </w:rPr>
        <w:t>（二）支出情况。</w:t>
      </w:r>
      <w:r>
        <w:rPr>
          <w:rFonts w:hint="eastAsia" w:ascii="仿宋_GB2312" w:hAnsi="仿宋_GB2312" w:eastAsia="仿宋_GB2312" w:cs="仿宋_GB2312"/>
          <w:color w:val="000000"/>
          <w:kern w:val="2"/>
        </w:rPr>
        <w:t>遂宁市安居区</w:t>
      </w:r>
      <w:bookmarkStart w:id="108" w:name="OLE_LINK46"/>
      <w:bookmarkStart w:id="109" w:name="OLE_LINK45"/>
      <w:r>
        <w:rPr>
          <w:rStyle w:val="38"/>
          <w:rFonts w:hint="eastAsia" w:ascii="仿宋_GB2312" w:hAnsi="仿宋_GB2312" w:eastAsia="仿宋_GB2312" w:cs="仿宋_GB2312"/>
          <w:b w:val="0"/>
          <w:bCs w:val="0"/>
        </w:rPr>
        <w:t>行政审批和数据局</w:t>
      </w:r>
      <w:bookmarkEnd w:id="108"/>
      <w:bookmarkEnd w:id="109"/>
      <w:r>
        <w:rPr>
          <w:rFonts w:hint="eastAsia" w:ascii="仿宋_GB2312" w:hAnsi="仿宋_GB2312" w:eastAsia="仿宋_GB2312" w:cs="仿宋_GB2312"/>
        </w:rPr>
        <w:t>2024年年初预算支出957.51万元、决算报表支出1064.55万元。</w:t>
      </w:r>
    </w:p>
    <w:p w14:paraId="561F453B">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rPr>
      </w:pPr>
      <w:r>
        <w:rPr>
          <w:rFonts w:hint="eastAsia" w:ascii="楷体_GB2312" w:hAnsi="楷体_GB2312" w:eastAsia="楷体_GB2312" w:cs="楷体_GB2312"/>
          <w:b w:val="0"/>
          <w:bCs w:val="0"/>
          <w:color w:val="000000"/>
          <w:shd w:val="clear" w:color="auto" w:fill="FFFFFF"/>
          <w:lang w:val="zh-CN"/>
        </w:rPr>
        <w:t>（三）结余分配和结转结余情况。</w:t>
      </w:r>
      <w:r>
        <w:rPr>
          <w:rFonts w:hint="eastAsia" w:ascii="仿宋_GB2312" w:hAnsi="仿宋_GB2312" w:eastAsia="仿宋_GB2312" w:cs="仿宋_GB2312"/>
          <w:color w:val="000000"/>
          <w:kern w:val="2"/>
        </w:rPr>
        <w:t>遂宁市安居区</w:t>
      </w:r>
      <w:r>
        <w:rPr>
          <w:rStyle w:val="38"/>
          <w:rFonts w:hint="eastAsia" w:ascii="仿宋_GB2312" w:hAnsi="仿宋_GB2312" w:eastAsia="仿宋_GB2312" w:cs="仿宋_GB2312"/>
          <w:b w:val="0"/>
          <w:bCs w:val="0"/>
        </w:rPr>
        <w:t>行政审批和数据局</w:t>
      </w:r>
      <w:r>
        <w:rPr>
          <w:rFonts w:hint="eastAsia" w:ascii="仿宋_GB2312" w:hAnsi="仿宋_GB2312" w:eastAsia="仿宋_GB2312" w:cs="仿宋_GB2312"/>
        </w:rPr>
        <w:t>2024年决算报表无结转结余情况。</w:t>
      </w:r>
    </w:p>
    <w:p w14:paraId="235E1211">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黑体" w:hAnsi="黑体" w:eastAsia="黑体" w:cs="黑体"/>
          <w:color w:val="000000"/>
          <w:shd w:val="clear" w:color="auto" w:fill="FFFFFF"/>
          <w:lang w:val="zh-CN"/>
        </w:rPr>
      </w:pPr>
      <w:r>
        <w:rPr>
          <w:rFonts w:hint="eastAsia" w:ascii="黑体" w:hAnsi="黑体" w:eastAsia="黑体" w:cs="黑体"/>
          <w:color w:val="000000"/>
          <w:shd w:val="clear" w:color="auto" w:fill="FFFFFF"/>
          <w:lang w:val="zh-CN"/>
        </w:rPr>
        <w:t>三、部门预算绩效分析</w:t>
      </w:r>
    </w:p>
    <w:p w14:paraId="00B2A128">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color w:val="000000"/>
          <w:shd w:val="clear" w:color="auto" w:fill="FFFFFF"/>
          <w:lang w:val="zh-CN"/>
        </w:rPr>
      </w:pPr>
      <w:r>
        <w:rPr>
          <w:rFonts w:hint="eastAsia" w:ascii="楷体_GB2312" w:hAnsi="楷体_GB2312" w:eastAsia="楷体_GB2312" w:cs="楷体_GB2312"/>
          <w:b w:val="0"/>
          <w:bCs w:val="0"/>
          <w:color w:val="000000"/>
          <w:shd w:val="clear" w:color="auto" w:fill="FFFFFF"/>
          <w:lang w:val="zh-CN"/>
        </w:rPr>
        <w:t>（一）部门预算总体绩效分析</w:t>
      </w:r>
      <w:r>
        <w:rPr>
          <w:rFonts w:hint="eastAsia" w:ascii="仿宋_GB2312" w:hAnsi="仿宋_GB2312" w:eastAsia="仿宋_GB2312" w:cs="仿宋_GB2312"/>
          <w:b/>
          <w:bCs/>
          <w:color w:val="000000"/>
          <w:shd w:val="clear" w:color="auto" w:fill="FFFFFF"/>
          <w:lang w:val="zh-CN"/>
        </w:rPr>
        <w:t>。</w:t>
      </w:r>
      <w:r>
        <w:rPr>
          <w:rFonts w:hint="eastAsia" w:ascii="仿宋_GB2312" w:hAnsi="仿宋_GB2312" w:eastAsia="仿宋_GB2312" w:cs="仿宋_GB2312"/>
          <w:lang w:val="zh-CN"/>
        </w:rPr>
        <w:t>根据部门预算绩效评价指标体系“总体绩效”涉及二、三级指标进行逐项绩效分析并评分，依次包括履职效能、预算管理、财务管理、资产管理、采购管理等情况。</w:t>
      </w:r>
    </w:p>
    <w:p w14:paraId="762512D3">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b/>
          <w:bCs/>
          <w:color w:val="000000"/>
          <w:shd w:val="clear" w:color="auto" w:fill="FFFFFF"/>
          <w:lang w:val="zh-CN"/>
        </w:rPr>
      </w:pPr>
      <w:r>
        <w:rPr>
          <w:rFonts w:hint="eastAsia" w:ascii="仿宋_GB2312" w:hAnsi="仿宋_GB2312" w:eastAsia="仿宋_GB2312" w:cs="仿宋_GB2312"/>
          <w:b/>
          <w:bCs/>
          <w:color w:val="000000"/>
          <w:shd w:val="clear" w:color="auto" w:fill="FFFFFF"/>
        </w:rPr>
        <w:t>1</w:t>
      </w:r>
      <w:r>
        <w:rPr>
          <w:rFonts w:hint="eastAsia" w:ascii="仿宋_GB2312" w:hAnsi="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lang w:val="zh-CN"/>
        </w:rPr>
        <w:t>履职效能。</w:t>
      </w:r>
    </w:p>
    <w:p w14:paraId="733DA697">
      <w:pPr>
        <w:keepNext w:val="0"/>
        <w:keepLines w:val="0"/>
        <w:pageBreakBefore w:val="0"/>
        <w:kinsoku/>
        <w:wordWrap/>
        <w:overflowPunct/>
        <w:topLinePunct w:val="0"/>
        <w:autoSpaceDN/>
        <w:bidi w:val="0"/>
        <w:spacing w:line="560" w:lineRule="exact"/>
        <w:ind w:left="0"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一是全力推进项目建设全过程效率革命。</w:t>
      </w:r>
      <w:r>
        <w:rPr>
          <w:rFonts w:hint="eastAsia" w:ascii="仿宋_GB2312" w:hAnsi="仿宋_GB2312" w:eastAsia="仿宋_GB2312" w:cs="仿宋_GB2312"/>
        </w:rPr>
        <w:t>开辟投资项目服务专区，开通重大项目审批“绿色通道”，建立“提前把脉、主动问需、一跟到底”机制，按照“一图、一窗、一表”实施挂图作战，推行施工许可分阶段办理，实现政府、企业、实行承诺制的投资项目开工前审批时间分别压缩至53、43、38个工作日，整体办理提速60%以上。今年以来，上线103个项目，审批办件406件。</w:t>
      </w:r>
      <w:r>
        <w:rPr>
          <w:rFonts w:hint="eastAsia" w:ascii="仿宋_GB2312" w:hAnsi="仿宋_GB2312" w:eastAsia="仿宋_GB2312" w:cs="仿宋_GB2312"/>
          <w:kern w:val="2"/>
        </w:rPr>
        <w:t>二</w:t>
      </w:r>
      <w:r>
        <w:rPr>
          <w:rFonts w:hint="eastAsia" w:ascii="仿宋_GB2312" w:hAnsi="仿宋_GB2312" w:eastAsia="仿宋_GB2312" w:cs="仿宋_GB2312"/>
          <w:b/>
          <w:bCs/>
          <w:kern w:val="2"/>
        </w:rPr>
        <w:t>是完成市场准入及退出全年目标任务。</w:t>
      </w:r>
      <w:r>
        <w:rPr>
          <w:rFonts w:hint="eastAsia" w:ascii="仿宋_GB2312" w:hAnsi="仿宋_GB2312" w:eastAsia="仿宋_GB2312" w:cs="仿宋_GB2312"/>
          <w:kern w:val="2"/>
        </w:rPr>
        <w:t>做好企业信息变更和注销“一件事一次办”，联合市内其他区县打通跨地域障碍，推行企业登记“同城通办”，创新推出安居区“证照联办”一件事，通过“供给侧”流程再造，推行“营业执照与劳务派遣许可”和“营业执照与办学许可”证照联办、同步审批“一站式”办理，目前已完成跨域办理企业登记3件，证照联办3件，共办理企业变更254件，企业注销37件。持续落实开展企业“零费用”政策，为新开办企业免费提供首套印章，同时提供免费帮代办、免费邮寄等服务，降低企业开办成本，2024年共免费发放印章1318枚，免费邮寄执照公章等231份。三</w:t>
      </w:r>
      <w:r>
        <w:rPr>
          <w:rFonts w:hint="eastAsia" w:ascii="仿宋_GB2312" w:hAnsi="仿宋_GB2312" w:eastAsia="仿宋_GB2312" w:cs="仿宋_GB2312"/>
          <w:b/>
          <w:bCs/>
          <w:kern w:val="2"/>
        </w:rPr>
        <w:t>是全市首发经营主体信息码营业执照。</w:t>
      </w:r>
      <w:r>
        <w:rPr>
          <w:rFonts w:hint="eastAsia" w:ascii="仿宋_GB2312" w:hAnsi="仿宋_GB2312" w:eastAsia="仿宋_GB2312" w:cs="仿宋_GB2312"/>
          <w:kern w:val="2"/>
        </w:rPr>
        <w:t>发出遂宁地区首张“经营主体码”营业执照，以经营主体的统一社会信用代码为基础，实时关联汇聚许可、监管等常用涉企信息，真正实现“一企一照一码”。经营主体可通过“天府活力市场”APP等经营主体码模块申领下载“经营主体码”电子档，在个人名片、宣传材料、经营门店或企业产品上展示应用，点亮企业“身份码”。</w:t>
      </w:r>
      <w:r>
        <w:rPr>
          <w:rFonts w:hint="eastAsia" w:ascii="仿宋_GB2312" w:hAnsi="仿宋_GB2312" w:eastAsia="仿宋_GB2312" w:cs="仿宋_GB2312"/>
          <w:b/>
          <w:bCs/>
          <w:kern w:val="2"/>
        </w:rPr>
        <w:t>四是有序推进各类事项快审快批。</w:t>
      </w:r>
      <w:r>
        <w:rPr>
          <w:rFonts w:hint="eastAsia" w:ascii="仿宋_GB2312" w:hAnsi="仿宋_GB2312" w:eastAsia="仿宋_GB2312" w:cs="仿宋_GB2312"/>
          <w:kern w:val="2"/>
        </w:rPr>
        <w:t>推行“前台综合受理、后台分类审批”，共办理各类行政许可事项4952件，其中市场服务类2107件，社会事务类1887件，交通涉农类476件，经济建设类482件。</w:t>
      </w:r>
    </w:p>
    <w:p w14:paraId="432869DD">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rPr>
      </w:pPr>
      <w:r>
        <w:rPr>
          <w:rFonts w:hint="eastAsia" w:ascii="仿宋_GB2312" w:hAnsi="仿宋_GB2312" w:eastAsia="仿宋_GB2312" w:cs="仿宋_GB2312"/>
          <w:b/>
          <w:bCs/>
        </w:rPr>
        <w:t>一是多方面提升政务服务效能。</w:t>
      </w:r>
      <w:r>
        <w:rPr>
          <w:rFonts w:hint="eastAsia" w:ascii="仿宋_GB2312" w:hAnsi="仿宋_GB2312" w:eastAsia="仿宋_GB2312" w:cs="仿宋_GB2312"/>
        </w:rPr>
        <w:t>通过在区政务服务大厅设置公安户籍、税务、医保、社保等“川渝通办”专窗11个和“川渝通办”无差别综窗1个，在18 个镇（街道）便民服务中心设置“川渝通办”窗口的模式推动“川渝通办”扩质增面。截至目前，为群众办理“川渝通办”事项4539件。推进“高效办成一件事”，线下通过在政务服务大厅设置“一件事一次办”综合窗口，线上依托省一体化政务服务平台，构建线上“一网通办”、线下“一门审批”及咨询“一号服务”的线上线下服务体系，大力推动国务院13个“高效办成一件事”落地落实。截至目前，完成“高效办成一件事”11146件。</w:t>
      </w:r>
      <w:r>
        <w:rPr>
          <w:rFonts w:hint="eastAsia" w:ascii="仿宋_GB2312" w:hAnsi="仿宋_GB2312" w:eastAsia="仿宋_GB2312" w:cs="仿宋_GB2312"/>
          <w:b/>
          <w:bCs/>
        </w:rPr>
        <w:t>二是多思路开拓更优营商环境。</w:t>
      </w:r>
      <w:r>
        <w:rPr>
          <w:rFonts w:hint="eastAsia" w:ascii="仿宋_GB2312" w:hAnsi="仿宋_GB2312" w:eastAsia="仿宋_GB2312" w:cs="仿宋_GB2312"/>
        </w:rPr>
        <w:t>组建政务服务专家库、开发政务服务提醒平台，率先在各区县推行政务服务VIP卡，制定出台了《遂宁市安居区惠企政策“直达快享”实施方案》，设置惠企政策专窗，建立惠企政策“直达快享”工作机制，截至目前，累计指导企业群众完成“遂企云”平台注册、政策咨询申报等操作200余次，完成“一企一档”企业信息录入1500余条，已为55家企业发放政务服务VIP卡，累计发送短信提醒2000余条，认领省级惠企政策145项、市级政策31项、录入区级惠企政策22项及对应政策解读，精准推送匹配政策5.43万次。</w:t>
      </w:r>
      <w:r>
        <w:rPr>
          <w:rFonts w:hint="eastAsia" w:ascii="仿宋_GB2312" w:hAnsi="仿宋_GB2312" w:eastAsia="仿宋_GB2312" w:cs="仿宋_GB2312"/>
          <w:b/>
          <w:bCs/>
        </w:rPr>
        <w:t>三是多梯度做实“三化”建设。</w:t>
      </w:r>
      <w:r>
        <w:rPr>
          <w:rFonts w:hint="eastAsia" w:ascii="仿宋_GB2312" w:hAnsi="仿宋_GB2312" w:eastAsia="仿宋_GB2312" w:cs="仿宋_GB2312"/>
        </w:rPr>
        <w:t>持续推动政务服务标准化规范化便利化建设，动态调整下放事项，完成省级规范化大厅建设，横山、聚贤2个星级、拦江镇省级示范便民服务中心和海龙村省级“政务服务+供销”试点建设。梳理园区政务事项217项、镇（街道）便民服务事项255项、“政务+供销”事项81项、村级代办事项107项，推动政务服务向基层延伸，</w:t>
      </w:r>
      <w:r>
        <w:rPr>
          <w:rFonts w:hint="eastAsia" w:ascii="仿宋_GB2312" w:hAnsi="仿宋_GB2312" w:eastAsia="仿宋_GB2312" w:cs="仿宋_GB2312"/>
          <w:kern w:val="2"/>
        </w:rPr>
        <w:t>有效打通服务群众“最后一公里”。</w:t>
      </w:r>
    </w:p>
    <w:p w14:paraId="2ADB74C9">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shd w:val="clear" w:color="auto" w:fill="FFFFFF"/>
          <w:lang w:val="zh-CN"/>
        </w:rPr>
      </w:pPr>
      <w:r>
        <w:rPr>
          <w:rFonts w:hint="eastAsia" w:ascii="仿宋_GB2312" w:hAnsi="仿宋_GB2312" w:eastAsia="仿宋_GB2312" w:cs="仿宋_GB2312"/>
          <w:b/>
          <w:bCs/>
          <w:color w:val="000000"/>
          <w:shd w:val="clear" w:color="auto" w:fill="FFFFFF"/>
        </w:rPr>
        <w:t xml:space="preserve"> 2</w:t>
      </w:r>
      <w:r>
        <w:rPr>
          <w:rFonts w:hint="eastAsia" w:ascii="仿宋_GB2312" w:hAnsi="仿宋_GB2312" w:eastAsia="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lang w:val="zh-CN"/>
        </w:rPr>
        <w:t>预算管理。</w:t>
      </w:r>
      <w:r>
        <w:rPr>
          <w:rFonts w:hint="eastAsia" w:ascii="仿宋_GB2312" w:hAnsi="仿宋_GB2312" w:eastAsia="仿宋_GB2312" w:cs="仿宋_GB2312"/>
        </w:rPr>
        <w:t>严格按照财政部门预算编制通知和有关要求，按时完成2024年预算编制工作，并按时提交部门预算草案和编制说明。按规定编制预算，预算编制全面、科学。</w:t>
      </w:r>
    </w:p>
    <w:p w14:paraId="66048B6B">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hd w:val="clear" w:color="auto" w:fill="FFFFFF"/>
        </w:rPr>
        <w:t>3</w:t>
      </w:r>
      <w:r>
        <w:rPr>
          <w:rFonts w:hint="eastAsia" w:ascii="仿宋_GB2312" w:hAnsi="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lang w:val="zh-CN"/>
        </w:rPr>
        <w:t>财务管理。</w:t>
      </w:r>
      <w:r>
        <w:rPr>
          <w:rFonts w:hint="eastAsia" w:ascii="仿宋_GB2312" w:hAnsi="仿宋_GB2312" w:eastAsia="仿宋_GB2312" w:cs="仿宋_GB2312"/>
        </w:rPr>
        <w:t>为进一步加强财务管理，规范公务支付业务，减少现金支付结算，提高支付透明度，强化资金安全，制定了《财务管理制度》等内部控制制度，包括：预算管理、采购管理、结算管理、资产管理、财务机构、财务监督等管理事项。</w:t>
      </w:r>
    </w:p>
    <w:p w14:paraId="2F256A9A">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lang w:val="zh-CN"/>
        </w:rPr>
      </w:pPr>
      <w:r>
        <w:rPr>
          <w:rFonts w:hint="eastAsia" w:ascii="仿宋_GB2312" w:hAnsi="仿宋_GB2312" w:eastAsia="仿宋_GB2312" w:cs="仿宋_GB2312"/>
          <w:b/>
          <w:bCs/>
          <w:color w:val="000000"/>
          <w:shd w:val="clear" w:color="auto" w:fill="FFFFFF"/>
        </w:rPr>
        <w:t>4</w:t>
      </w:r>
      <w:r>
        <w:rPr>
          <w:rFonts w:hint="eastAsia" w:ascii="仿宋_GB2312" w:hAnsi="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lang w:val="zh-CN"/>
        </w:rPr>
        <w:t>资产管理。</w:t>
      </w:r>
      <w:r>
        <w:rPr>
          <w:rFonts w:hint="eastAsia" w:ascii="仿宋_GB2312" w:hAnsi="仿宋_GB2312" w:eastAsia="仿宋_GB2312" w:cs="仿宋_GB2312"/>
          <w:lang w:val="zh-CN"/>
        </w:rPr>
        <w:t>围绕人均资产变化率、资产利用率、资产盘活率进行绩效分析。</w:t>
      </w:r>
    </w:p>
    <w:p w14:paraId="129F6951">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shd w:val="clear" w:color="auto" w:fill="FFFFFF"/>
        </w:rPr>
      </w:pPr>
      <w:r>
        <w:rPr>
          <w:rFonts w:hint="eastAsia" w:ascii="仿宋_GB2312" w:hAnsi="仿宋_GB2312" w:eastAsia="仿宋_GB2312" w:cs="仿宋_GB2312"/>
          <w:lang w:val="zh-CN"/>
        </w:rPr>
        <w:t>截止</w:t>
      </w:r>
      <w:r>
        <w:rPr>
          <w:rFonts w:hint="eastAsia" w:ascii="仿宋_GB2312" w:hAnsi="仿宋_GB2312" w:eastAsia="仿宋_GB2312" w:cs="仿宋_GB2312"/>
        </w:rPr>
        <w:t>2024年末，资产总值1373.81万元，比2023年增长5160.75万元，增幅13.25%。</w:t>
      </w:r>
      <w:r>
        <w:rPr>
          <w:rFonts w:hint="eastAsia" w:ascii="仿宋_GB2312" w:hAnsi="仿宋_GB2312" w:eastAsia="仿宋_GB2312" w:cs="仿宋_GB2312"/>
          <w:lang w:val="zh-CN"/>
        </w:rPr>
        <w:t>为了提高资产利用率，保证资产管理的安全性，将资产管理的各个权利和责任明确，提升单位资产管理的科学性。建立闲置资产盘活台账，落实专人专责，加大对办公设备、办公家具等闲置可用资产的回收力度，进一步提高资产使用率。单位</w:t>
      </w:r>
      <w:r>
        <w:rPr>
          <w:rFonts w:hint="eastAsia" w:ascii="仿宋_GB2312" w:hAnsi="仿宋_GB2312" w:eastAsia="仿宋_GB2312" w:cs="仿宋_GB2312"/>
        </w:rPr>
        <w:t>无截留、挤占、挪用、虚列支出等情况。</w:t>
      </w:r>
    </w:p>
    <w:p w14:paraId="4162D399">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color w:val="FF0000"/>
          <w:shd w:val="clear" w:color="auto" w:fill="FFFFFF"/>
          <w:lang w:val="zh-CN"/>
        </w:rPr>
      </w:pPr>
      <w:r>
        <w:rPr>
          <w:rFonts w:hint="eastAsia" w:ascii="仿宋_GB2312" w:hAnsi="仿宋_GB2312" w:eastAsia="仿宋_GB2312" w:cs="仿宋_GB2312"/>
          <w:b/>
          <w:bCs/>
          <w:color w:val="000000"/>
          <w:shd w:val="clear" w:color="auto" w:fill="FFFFFF"/>
        </w:rPr>
        <w:t>5</w:t>
      </w:r>
      <w:r>
        <w:rPr>
          <w:rFonts w:hint="eastAsia" w:ascii="仿宋_GB2312" w:hAnsi="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lang w:val="zh-CN"/>
        </w:rPr>
        <w:t>采购管理。</w:t>
      </w:r>
      <w:r>
        <w:rPr>
          <w:rFonts w:hint="eastAsia" w:ascii="仿宋_GB2312" w:hAnsi="仿宋_GB2312" w:eastAsia="仿宋_GB2312" w:cs="仿宋_GB2312"/>
        </w:rPr>
        <w:t>落实促进中小企业发展等政府采购政策，科学编制政府采购预算，建立本单位政府采购内部控制制度，实现“阳光采购”，确保采购过程公开透明，提高采购效率。</w:t>
      </w:r>
    </w:p>
    <w:p w14:paraId="3FA81D3A">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rPr>
      </w:pPr>
      <w:r>
        <w:rPr>
          <w:rFonts w:hint="eastAsia" w:ascii="楷体_GB2312" w:hAnsi="楷体_GB2312" w:eastAsia="楷体_GB2312" w:cs="楷体_GB2312"/>
          <w:b w:val="0"/>
          <w:bCs w:val="0"/>
          <w:color w:val="000000"/>
          <w:shd w:val="clear" w:color="auto" w:fill="FFFFFF"/>
          <w:lang w:val="zh-CN"/>
        </w:rPr>
        <w:t>（二）部门预算项目绩效分析。</w:t>
      </w:r>
      <w:r>
        <w:rPr>
          <w:rFonts w:hint="eastAsia" w:ascii="仿宋_GB2312" w:hAnsi="仿宋_GB2312" w:eastAsia="仿宋_GB2312" w:cs="仿宋_GB2312"/>
          <w:lang w:val="zh-CN"/>
        </w:rPr>
        <w:t>填报以下数据，并根据部门预算绩效评价指标体系“项目绩效”涉及二、三级指标进行逐项绩效分析并评分，依次包括项目</w:t>
      </w:r>
      <w:r>
        <w:rPr>
          <w:rFonts w:hint="eastAsia" w:ascii="仿宋_GB2312" w:hAnsi="仿宋_GB2312" w:eastAsia="仿宋_GB2312" w:cs="仿宋_GB2312"/>
        </w:rPr>
        <w:t>决策、项目执行、目标实现等情况。</w:t>
      </w:r>
    </w:p>
    <w:p w14:paraId="492DEDB6">
      <w:pPr>
        <w:keepNext w:val="0"/>
        <w:keepLines w:val="0"/>
        <w:pageBreakBefore w:val="0"/>
        <w:kinsoku/>
        <w:wordWrap/>
        <w:overflowPunct/>
        <w:topLinePunct w:val="0"/>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color w:val="auto"/>
          <w:lang w:val="zh-CN"/>
        </w:rPr>
      </w:pPr>
      <w:r>
        <w:rPr>
          <w:rFonts w:hint="eastAsia" w:ascii="仿宋_GB2312" w:hAnsi="仿宋_GB2312" w:eastAsia="仿宋_GB2312" w:cs="仿宋_GB2312"/>
          <w:color w:val="auto"/>
        </w:rPr>
        <w:t>常年项目绩效分析。</w:t>
      </w:r>
      <w:r>
        <w:rPr>
          <w:rFonts w:hint="eastAsia" w:ascii="仿宋_GB2312" w:hAnsi="仿宋_GB2312" w:eastAsia="仿宋_GB2312" w:cs="仿宋_GB2312"/>
          <w:color w:val="auto"/>
          <w:lang w:val="zh-CN"/>
        </w:rPr>
        <w:t>该类项目总数</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3</w:t>
      </w:r>
      <w:r>
        <w:rPr>
          <w:rFonts w:hint="eastAsia" w:ascii="仿宋_GB2312" w:hAnsi="仿宋_GB2312" w:eastAsia="仿宋_GB2312" w:cs="仿宋_GB2312"/>
          <w:color w:val="auto"/>
          <w:lang w:val="zh-CN"/>
        </w:rPr>
        <w:t>个，涉及预算总金额</w:t>
      </w:r>
      <w:r>
        <w:rPr>
          <w:rFonts w:hint="eastAsia" w:ascii="仿宋_GB2312" w:hAnsi="仿宋_GB2312" w:eastAsia="仿宋_GB2312" w:cs="仿宋_GB2312"/>
          <w:color w:val="auto"/>
        </w:rPr>
        <w:t xml:space="preserve">   </w:t>
      </w:r>
      <w:r>
        <w:rPr>
          <w:rFonts w:hint="eastAsia" w:ascii="仿宋_GB2312" w:hAnsi="仿宋_GB2312" w:eastAsia="仿宋_GB2312" w:cs="仿宋_GB2312"/>
          <w:color w:val="auto"/>
          <w:lang w:val="en-US" w:eastAsia="zh-CN"/>
        </w:rPr>
        <w:t>176.18</w:t>
      </w:r>
      <w:r>
        <w:rPr>
          <w:rFonts w:hint="eastAsia" w:ascii="仿宋_GB2312" w:hAnsi="仿宋_GB2312" w:eastAsia="仿宋_GB2312" w:cs="仿宋_GB2312"/>
          <w:color w:val="auto"/>
          <w:lang w:val="zh-CN"/>
        </w:rPr>
        <w:t>万元，1—1</w:t>
      </w:r>
      <w:r>
        <w:rPr>
          <w:rFonts w:hint="eastAsia" w:ascii="仿宋_GB2312" w:hAnsi="仿宋_GB2312" w:eastAsia="仿宋_GB2312" w:cs="仿宋_GB2312"/>
          <w:color w:val="auto"/>
        </w:rPr>
        <w:t>2</w:t>
      </w:r>
      <w:r>
        <w:rPr>
          <w:rFonts w:hint="eastAsia" w:ascii="仿宋_GB2312" w:hAnsi="仿宋_GB2312" w:eastAsia="仿宋_GB2312" w:cs="仿宋_GB2312"/>
          <w:color w:val="auto"/>
          <w:lang w:val="zh-CN"/>
        </w:rPr>
        <w:t>月预算执行总体进度为</w:t>
      </w:r>
      <w:r>
        <w:rPr>
          <w:rFonts w:hint="eastAsia" w:ascii="仿宋_GB2312" w:hAnsi="仿宋_GB2312" w:eastAsia="仿宋_GB2312" w:cs="仿宋_GB2312"/>
          <w:color w:val="auto"/>
        </w:rPr>
        <w:t xml:space="preserve"> 100 </w:t>
      </w:r>
      <w:r>
        <w:rPr>
          <w:rFonts w:hint="eastAsia" w:ascii="仿宋_GB2312" w:hAnsi="仿宋_GB2312" w:eastAsia="仿宋_GB2312" w:cs="仿宋_GB2312"/>
          <w:color w:val="auto"/>
          <w:lang w:val="zh-CN"/>
        </w:rPr>
        <w:t>%，其中：预算结余率大于</w:t>
      </w:r>
      <w:r>
        <w:rPr>
          <w:rFonts w:hint="eastAsia" w:ascii="仿宋_GB2312" w:hAnsi="仿宋_GB2312" w:eastAsia="仿宋_GB2312" w:cs="仿宋_GB2312"/>
          <w:color w:val="auto"/>
        </w:rPr>
        <w:t>10%</w:t>
      </w:r>
      <w:r>
        <w:rPr>
          <w:rFonts w:hint="eastAsia" w:ascii="仿宋_GB2312" w:hAnsi="仿宋_GB2312" w:eastAsia="仿宋_GB2312" w:cs="仿宋_GB2312"/>
          <w:color w:val="auto"/>
          <w:lang w:val="zh-CN"/>
        </w:rPr>
        <w:t>的项目共计</w:t>
      </w:r>
      <w:r>
        <w:rPr>
          <w:rFonts w:hint="eastAsia" w:ascii="仿宋_GB2312" w:hAnsi="仿宋_GB2312" w:eastAsia="仿宋_GB2312" w:cs="仿宋_GB2312"/>
          <w:color w:val="auto"/>
        </w:rPr>
        <w:t xml:space="preserve"> 0 </w:t>
      </w:r>
      <w:r>
        <w:rPr>
          <w:rFonts w:hint="eastAsia" w:ascii="仿宋_GB2312" w:hAnsi="仿宋_GB2312" w:eastAsia="仿宋_GB2312" w:cs="仿宋_GB2312"/>
          <w:color w:val="auto"/>
          <w:lang w:val="zh-CN"/>
        </w:rPr>
        <w:t>个。</w:t>
      </w:r>
    </w:p>
    <w:p w14:paraId="509B7CC9">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color w:val="auto"/>
          <w:lang w:val="zh-CN"/>
        </w:rPr>
      </w:pPr>
      <w:r>
        <w:rPr>
          <w:rFonts w:hint="eastAsia" w:ascii="仿宋_GB2312" w:hAnsi="仿宋_GB2312" w:eastAsia="仿宋_GB2312" w:cs="仿宋_GB2312"/>
          <w:color w:val="auto"/>
        </w:rPr>
        <w:t>阶段（一次性）项目绩效分析。</w:t>
      </w:r>
      <w:r>
        <w:rPr>
          <w:rFonts w:hint="eastAsia" w:ascii="仿宋_GB2312" w:hAnsi="仿宋_GB2312" w:eastAsia="仿宋_GB2312" w:cs="仿宋_GB2312"/>
          <w:color w:val="auto"/>
          <w:lang w:val="zh-CN"/>
        </w:rPr>
        <w:t>该类项目总数</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val="zh-CN"/>
        </w:rPr>
        <w:t>个，涉及预算总金额</w:t>
      </w:r>
      <w:r>
        <w:rPr>
          <w:rFonts w:hint="eastAsia" w:ascii="仿宋_GB2312" w:hAnsi="仿宋_GB2312" w:eastAsia="仿宋_GB2312" w:cs="仿宋_GB2312"/>
          <w:color w:val="auto"/>
          <w:lang w:val="en-US" w:eastAsia="zh-CN"/>
        </w:rPr>
        <w:t>151.58</w:t>
      </w:r>
      <w:r>
        <w:rPr>
          <w:rFonts w:hint="eastAsia" w:ascii="仿宋_GB2312" w:hAnsi="仿宋_GB2312" w:eastAsia="仿宋_GB2312" w:cs="仿宋_GB2312"/>
          <w:color w:val="auto"/>
          <w:lang w:val="zh-CN"/>
        </w:rPr>
        <w:t>万元，1—1</w:t>
      </w:r>
      <w:r>
        <w:rPr>
          <w:rFonts w:hint="eastAsia" w:ascii="仿宋_GB2312" w:hAnsi="仿宋_GB2312" w:eastAsia="仿宋_GB2312" w:cs="仿宋_GB2312"/>
          <w:color w:val="auto"/>
        </w:rPr>
        <w:t>2</w:t>
      </w:r>
      <w:r>
        <w:rPr>
          <w:rFonts w:hint="eastAsia" w:ascii="仿宋_GB2312" w:hAnsi="仿宋_GB2312" w:eastAsia="仿宋_GB2312" w:cs="仿宋_GB2312"/>
          <w:color w:val="auto"/>
          <w:lang w:val="zh-CN"/>
        </w:rPr>
        <w:t>月预算执行总体进度为</w:t>
      </w:r>
      <w:r>
        <w:rPr>
          <w:rFonts w:hint="eastAsia" w:ascii="仿宋_GB2312" w:hAnsi="仿宋_GB2312" w:eastAsia="仿宋_GB2312" w:cs="仿宋_GB2312"/>
          <w:color w:val="auto"/>
        </w:rPr>
        <w:t xml:space="preserve"> 100 </w:t>
      </w:r>
      <w:r>
        <w:rPr>
          <w:rFonts w:hint="eastAsia" w:ascii="仿宋_GB2312" w:hAnsi="仿宋_GB2312" w:eastAsia="仿宋_GB2312" w:cs="仿宋_GB2312"/>
          <w:color w:val="auto"/>
          <w:lang w:val="zh-CN"/>
        </w:rPr>
        <w:t>%，其中：预算结余率大于</w:t>
      </w:r>
      <w:r>
        <w:rPr>
          <w:rFonts w:hint="eastAsia" w:ascii="仿宋_GB2312" w:hAnsi="仿宋_GB2312" w:eastAsia="仿宋_GB2312" w:cs="仿宋_GB2312"/>
          <w:color w:val="auto"/>
        </w:rPr>
        <w:t>10%</w:t>
      </w:r>
      <w:r>
        <w:rPr>
          <w:rFonts w:hint="eastAsia" w:ascii="仿宋_GB2312" w:hAnsi="仿宋_GB2312" w:eastAsia="仿宋_GB2312" w:cs="仿宋_GB2312"/>
          <w:color w:val="auto"/>
          <w:lang w:val="zh-CN"/>
        </w:rPr>
        <w:t>的项目共计</w:t>
      </w:r>
      <w:r>
        <w:rPr>
          <w:rFonts w:hint="eastAsia" w:ascii="仿宋_GB2312" w:hAnsi="仿宋_GB2312" w:eastAsia="仿宋_GB2312" w:cs="仿宋_GB2312"/>
          <w:color w:val="auto"/>
        </w:rPr>
        <w:t>0</w:t>
      </w:r>
      <w:r>
        <w:rPr>
          <w:rFonts w:hint="eastAsia" w:ascii="仿宋_GB2312" w:hAnsi="仿宋_GB2312" w:eastAsia="仿宋_GB2312" w:cs="仿宋_GB2312"/>
          <w:color w:val="auto"/>
          <w:lang w:val="zh-CN"/>
        </w:rPr>
        <w:t>个。</w:t>
      </w:r>
    </w:p>
    <w:p w14:paraId="59393512">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b/>
          <w:bCs/>
          <w:color w:val="000000"/>
          <w:lang w:val="zh-CN"/>
        </w:rPr>
      </w:pPr>
      <w:r>
        <w:rPr>
          <w:rFonts w:hint="eastAsia" w:ascii="仿宋_GB2312" w:hAnsi="仿宋_GB2312" w:eastAsia="仿宋_GB2312" w:cs="仿宋_GB2312"/>
          <w:b/>
          <w:bCs/>
          <w:color w:val="000000"/>
          <w:shd w:val="clear" w:color="auto" w:fill="FFFFFF"/>
        </w:rPr>
        <w:t>1</w:t>
      </w:r>
      <w:r>
        <w:rPr>
          <w:rFonts w:hint="eastAsia" w:ascii="仿宋_GB2312" w:hAnsi="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lang w:val="zh-CN"/>
        </w:rPr>
        <w:t>项目决策。</w:t>
      </w:r>
      <w:bookmarkStart w:id="110" w:name="OLE_LINK56"/>
      <w:bookmarkStart w:id="111" w:name="OLE_LINK57"/>
      <w:r>
        <w:rPr>
          <w:rStyle w:val="38"/>
          <w:rFonts w:hint="eastAsia" w:ascii="仿宋_GB2312" w:hAnsi="仿宋_GB2312" w:eastAsia="仿宋_GB2312" w:cs="仿宋_GB2312"/>
          <w:b w:val="0"/>
          <w:bCs w:val="0"/>
          <w:kern w:val="2"/>
        </w:rPr>
        <w:t>企业开办更便利，工程建设项目审批更快捷，容缺预审更高效。推进服务事项“一门办”。推进异地事项“跨域办”。推进“一件事一次办”、推出镇级“一件事”、狠抓示范创建，提高网办能力。强化政府公开管理、强化网站功能设置、聚焦平台建设。</w:t>
      </w:r>
      <w:r>
        <w:rPr>
          <w:rStyle w:val="38"/>
          <w:rFonts w:hint="eastAsia" w:ascii="仿宋_GB2312" w:hAnsi="仿宋_GB2312" w:eastAsia="仿宋_GB2312" w:cs="仿宋_GB2312"/>
          <w:b w:val="0"/>
          <w:bCs w:val="0"/>
          <w:kern w:val="2"/>
          <w:lang w:val="zh-CN"/>
        </w:rPr>
        <w:t>通过规范化，系统化的流程，成立专业研究小组全面评估项目可行性、必要性和合理性，提出具体实施方案和预算安排，专家评审后经单位领导审批同意后项目开始实施。项目入库全部到位</w:t>
      </w:r>
      <w:r>
        <w:rPr>
          <w:rStyle w:val="38"/>
          <w:rFonts w:hint="eastAsia" w:ascii="仿宋_GB2312" w:hAnsi="仿宋_GB2312" w:eastAsia="仿宋_GB2312" w:cs="仿宋_GB2312"/>
          <w:b w:val="0"/>
          <w:bCs w:val="0"/>
          <w:kern w:val="2"/>
        </w:rPr>
        <w:t>。</w:t>
      </w:r>
      <w:bookmarkEnd w:id="110"/>
      <w:bookmarkEnd w:id="111"/>
    </w:p>
    <w:p w14:paraId="6D1A2CF2">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hd w:val="clear" w:color="auto" w:fill="FFFFFF"/>
        </w:rPr>
        <w:t>2</w:t>
      </w:r>
      <w:r>
        <w:rPr>
          <w:rFonts w:hint="eastAsia" w:ascii="仿宋_GB2312" w:hAnsi="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rPr>
        <w:t>项目执行</w:t>
      </w:r>
      <w:r>
        <w:rPr>
          <w:rFonts w:hint="eastAsia" w:ascii="仿宋_GB2312" w:hAnsi="仿宋_GB2312" w:eastAsia="仿宋_GB2312" w:cs="仿宋_GB2312"/>
          <w:b/>
          <w:bCs/>
          <w:color w:val="000000"/>
          <w:shd w:val="clear" w:color="auto" w:fill="FFFFFF"/>
          <w:lang w:val="zh-CN"/>
        </w:rPr>
        <w:t>。</w:t>
      </w:r>
      <w:r>
        <w:rPr>
          <w:rFonts w:hint="eastAsia" w:ascii="仿宋_GB2312" w:hAnsi="仿宋_GB2312" w:eastAsia="仿宋_GB2312" w:cs="仿宋_GB2312"/>
          <w:color w:val="000000"/>
        </w:rPr>
        <w:t>项目资金年初预算223.28万元，使用327.87万元（其中：预算支出223.28万元，年度调增预算104.59万元)。</w:t>
      </w:r>
    </w:p>
    <w:p w14:paraId="0A2C03C9">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rPr>
      </w:pPr>
      <w:r>
        <w:rPr>
          <w:rFonts w:hint="eastAsia" w:ascii="仿宋_GB2312" w:hAnsi="仿宋_GB2312" w:eastAsia="仿宋_GB2312" w:cs="仿宋_GB2312"/>
          <w:b/>
          <w:bCs/>
          <w:color w:val="000000"/>
          <w:shd w:val="clear" w:color="auto" w:fill="FFFFFF"/>
        </w:rPr>
        <w:t>3</w:t>
      </w:r>
      <w:r>
        <w:rPr>
          <w:rFonts w:hint="eastAsia" w:ascii="仿宋_GB2312" w:hAnsi="仿宋_GB2312" w:cs="仿宋_GB2312"/>
          <w:b/>
          <w:bCs/>
          <w:color w:val="000000"/>
          <w:shd w:val="clear" w:color="auto" w:fill="FFFFFF"/>
          <w:lang w:val="en-US" w:eastAsia="zh-CN"/>
        </w:rPr>
        <w:t>.</w:t>
      </w:r>
      <w:r>
        <w:rPr>
          <w:rFonts w:hint="eastAsia" w:ascii="仿宋_GB2312" w:hAnsi="仿宋_GB2312" w:eastAsia="仿宋_GB2312" w:cs="仿宋_GB2312"/>
          <w:b/>
          <w:bCs/>
          <w:color w:val="000000"/>
          <w:shd w:val="clear" w:color="auto" w:fill="FFFFFF"/>
          <w:lang w:val="zh-CN"/>
        </w:rPr>
        <w:t>目标实现。</w:t>
      </w:r>
      <w:r>
        <w:rPr>
          <w:rFonts w:hint="eastAsia" w:ascii="仿宋_GB2312" w:hAnsi="仿宋_GB2312" w:eastAsia="仿宋_GB2312" w:cs="仿宋_GB2312"/>
        </w:rPr>
        <w:t>2024年共免费发放印章1318枚，免费邮寄执照公章等231份。推行“前台综合受理、后台分类审批”，共办理各类行政许可事项4952件，其中市场服务类2107件，社会事务类1887件，交通涉农类476件，经济建设类482件。通过在区政务服务大厅设置公安户籍、税务、医保、社保等“川渝通办”专窗11个和“川渝通办”无差别综窗1个，在18 个镇（街道）便民服务中心设置“川渝通办”窗口的模式推动“川渝通办”扩质增面。截至目前，为群众办理“川渝通办”事项4539件。累计指导企业群众完成“遂企云”平台注册、政策咨询申报等操作200余次，完成“一企一档”企业信息录入1500余条，已为55家企业发放政务服务VIP卡，累计发送短信提醒2000余条，认领省级惠企政策145项、市级政策31项、录入区级惠企政策22项及对应政策解读，精准推送匹配政策5.43次。</w:t>
      </w:r>
    </w:p>
    <w:p w14:paraId="7AD9E171">
      <w:pPr>
        <w:keepNext w:val="0"/>
        <w:keepLines w:val="0"/>
        <w:pageBreakBefore w:val="0"/>
        <w:kinsoku/>
        <w:wordWrap/>
        <w:overflowPunct/>
        <w:topLinePunct w:val="0"/>
        <w:autoSpaceDN/>
        <w:bidi w:val="0"/>
        <w:spacing w:line="560" w:lineRule="exact"/>
        <w:ind w:left="0" w:firstLine="632"/>
        <w:jc w:val="left"/>
        <w:textAlignment w:val="auto"/>
        <w:rPr>
          <w:rFonts w:hint="eastAsia" w:ascii="仿宋_GB2312" w:hAnsi="仿宋_GB2312" w:eastAsia="仿宋_GB2312" w:cs="仿宋_GB2312"/>
          <w:color w:val="FF0000"/>
        </w:rPr>
      </w:pPr>
      <w:r>
        <w:rPr>
          <w:rFonts w:hint="eastAsia" w:ascii="楷体_GB2312" w:hAnsi="楷体_GB2312" w:eastAsia="楷体_GB2312" w:cs="楷体_GB2312"/>
          <w:b w:val="0"/>
          <w:bCs w:val="0"/>
          <w:color w:val="000000"/>
          <w:shd w:val="clear" w:color="auto" w:fill="FFFFFF"/>
          <w:lang w:val="zh-CN"/>
        </w:rPr>
        <w:t>（三）绩效结果应用情况。</w:t>
      </w:r>
      <w:r>
        <w:rPr>
          <w:rFonts w:hint="eastAsia" w:ascii="仿宋_GB2312" w:hAnsi="仿宋_GB2312" w:eastAsia="仿宋_GB2312" w:cs="仿宋_GB2312"/>
          <w:color w:val="000000"/>
          <w:lang w:val="zh-CN"/>
        </w:rPr>
        <w:t>在今后编制预算时，</w:t>
      </w:r>
      <w:r>
        <w:rPr>
          <w:rFonts w:hint="eastAsia" w:ascii="仿宋_GB2312" w:hAnsi="仿宋_GB2312" w:eastAsia="仿宋_GB2312" w:cs="仿宋_GB2312"/>
          <w:color w:val="000000"/>
        </w:rPr>
        <w:t>根据信息公开</w:t>
      </w:r>
      <w:r>
        <w:rPr>
          <w:rFonts w:hint="eastAsia" w:ascii="仿宋_GB2312" w:hAnsi="仿宋_GB2312" w:eastAsia="仿宋_GB2312" w:cs="仿宋_GB2312"/>
          <w:color w:val="000000"/>
          <w:lang w:val="zh-CN"/>
        </w:rPr>
        <w:t>按要求将</w:t>
      </w:r>
      <w:r>
        <w:rPr>
          <w:rFonts w:hint="eastAsia" w:ascii="仿宋_GB2312" w:hAnsi="仿宋_GB2312" w:eastAsia="仿宋_GB2312" w:cs="仿宋_GB2312"/>
          <w:color w:val="000000"/>
        </w:rPr>
        <w:t>我单位</w:t>
      </w:r>
      <w:r>
        <w:rPr>
          <w:rFonts w:hint="eastAsia" w:ascii="仿宋_GB2312" w:hAnsi="仿宋_GB2312" w:eastAsia="仿宋_GB2312" w:cs="仿宋_GB2312"/>
          <w:color w:val="000000"/>
          <w:lang w:val="zh-CN"/>
        </w:rPr>
        <w:t>整体绩效自评情况和</w:t>
      </w:r>
      <w:r>
        <w:rPr>
          <w:rFonts w:hint="eastAsia" w:ascii="仿宋_GB2312" w:hAnsi="仿宋_GB2312" w:eastAsia="仿宋_GB2312" w:cs="仿宋_GB2312"/>
          <w:color w:val="000000"/>
        </w:rPr>
        <w:t>自</w:t>
      </w:r>
      <w:r>
        <w:rPr>
          <w:rFonts w:hint="eastAsia" w:ascii="仿宋_GB2312" w:hAnsi="仿宋_GB2312" w:eastAsia="仿宋_GB2312" w:cs="仿宋_GB2312"/>
          <w:color w:val="000000"/>
          <w:lang w:val="zh-CN"/>
        </w:rPr>
        <w:t>行组织的评价情况向社会公开；根据整改</w:t>
      </w:r>
      <w:r>
        <w:rPr>
          <w:rFonts w:hint="eastAsia" w:ascii="仿宋_GB2312" w:hAnsi="仿宋_GB2312" w:eastAsia="仿宋_GB2312" w:cs="仿宋_GB2312"/>
          <w:color w:val="000000"/>
        </w:rPr>
        <w:t>反馈</w:t>
      </w:r>
      <w:r>
        <w:rPr>
          <w:rFonts w:hint="eastAsia" w:ascii="仿宋_GB2312" w:hAnsi="仿宋_GB2312" w:eastAsia="仿宋_GB2312" w:cs="仿宋_GB2312"/>
          <w:color w:val="000000"/>
          <w:lang w:val="zh-CN"/>
        </w:rPr>
        <w:t>问题、完善政策、改进管理的情况</w:t>
      </w:r>
      <w:r>
        <w:rPr>
          <w:rFonts w:hint="eastAsia" w:ascii="仿宋_GB2312" w:hAnsi="仿宋_GB2312" w:eastAsia="仿宋_GB2312" w:cs="仿宋_GB2312"/>
          <w:color w:val="000000"/>
        </w:rPr>
        <w:t>并及时向财政部门反馈结果应用情况</w:t>
      </w:r>
      <w:r>
        <w:rPr>
          <w:rFonts w:hint="eastAsia" w:ascii="仿宋_GB2312" w:hAnsi="仿宋_GB2312" w:eastAsia="仿宋_GB2312" w:cs="仿宋_GB2312"/>
          <w:color w:val="000000"/>
          <w:lang w:val="zh-CN"/>
        </w:rPr>
        <w:t>；将绩效自评价结果作为改进预算管理和安排以后年度预算的重要依据。</w:t>
      </w:r>
    </w:p>
    <w:p w14:paraId="2C692F8C">
      <w:pPr>
        <w:keepNext w:val="0"/>
        <w:keepLines w:val="0"/>
        <w:pageBreakBefore w:val="0"/>
        <w:widowControl/>
        <w:kinsoku/>
        <w:wordWrap/>
        <w:overflowPunct/>
        <w:topLinePunct w:val="0"/>
        <w:autoSpaceDN/>
        <w:bidi w:val="0"/>
        <w:spacing w:line="560" w:lineRule="exact"/>
        <w:ind w:left="0" w:firstLine="632"/>
        <w:jc w:val="left"/>
        <w:textAlignment w:val="auto"/>
        <w:rPr>
          <w:rFonts w:hint="eastAsia" w:ascii="黑体" w:hAnsi="黑体" w:eastAsia="黑体" w:cs="黑体"/>
          <w:color w:val="000000"/>
          <w:shd w:val="clear" w:color="auto" w:fill="FFFFFF"/>
          <w:lang w:val="zh-CN"/>
        </w:rPr>
      </w:pPr>
      <w:r>
        <w:rPr>
          <w:rFonts w:hint="eastAsia" w:ascii="黑体" w:hAnsi="黑体" w:eastAsia="黑体" w:cs="黑体"/>
          <w:color w:val="000000"/>
          <w:shd w:val="clear" w:color="auto" w:fill="FFFFFF"/>
          <w:lang w:val="zh-CN"/>
        </w:rPr>
        <w:t>四、评价结论及建议</w:t>
      </w:r>
    </w:p>
    <w:p w14:paraId="4CF9D036">
      <w:pPr>
        <w:keepNext w:val="0"/>
        <w:keepLines w:val="0"/>
        <w:pageBreakBefore w:val="0"/>
        <w:kinsoku/>
        <w:wordWrap/>
        <w:overflowPunct/>
        <w:topLinePunct w:val="0"/>
        <w:autoSpaceDN/>
        <w:bidi w:val="0"/>
        <w:spacing w:line="560" w:lineRule="exact"/>
        <w:ind w:left="0" w:firstLine="632"/>
        <w:jc w:val="both"/>
        <w:textAlignment w:val="auto"/>
        <w:rPr>
          <w:rFonts w:hint="eastAsia" w:ascii="仿宋_GB2312" w:hAnsi="仿宋_GB2312" w:eastAsia="仿宋_GB2312" w:cs="仿宋_GB2312"/>
        </w:rPr>
      </w:pPr>
      <w:r>
        <w:rPr>
          <w:rFonts w:hint="eastAsia" w:ascii="楷体_GB2312" w:hAnsi="楷体_GB2312" w:eastAsia="楷体_GB2312" w:cs="楷体_GB2312"/>
          <w:b w:val="0"/>
          <w:bCs w:val="0"/>
          <w:color w:val="000000"/>
          <w:shd w:val="clear" w:color="auto" w:fill="FFFFFF"/>
          <w:lang w:val="zh-CN"/>
        </w:rPr>
        <w:t>（一）评价结论。</w:t>
      </w:r>
      <w:r>
        <w:rPr>
          <w:rFonts w:hint="eastAsia" w:ascii="仿宋_GB2312" w:hAnsi="仿宋_GB2312" w:eastAsia="仿宋_GB2312" w:cs="仿宋_GB2312"/>
          <w:color w:val="000000"/>
        </w:rPr>
        <w:t>项目目标申报科学合理，资金使用合规，绩效目标完成情况良好，自评得分97.5分</w:t>
      </w:r>
      <w:r>
        <w:rPr>
          <w:rFonts w:hint="eastAsia" w:ascii="仿宋_GB2312" w:hAnsi="仿宋_GB2312" w:eastAsia="仿宋_GB2312" w:cs="仿宋_GB2312"/>
          <w:shd w:val="clear" w:color="auto" w:fill="FFFFFF"/>
        </w:rPr>
        <w:t>。</w:t>
      </w:r>
    </w:p>
    <w:p w14:paraId="43D0324B">
      <w:pPr>
        <w:keepNext w:val="0"/>
        <w:keepLines w:val="0"/>
        <w:pageBreakBefore w:val="0"/>
        <w:kinsoku/>
        <w:wordWrap/>
        <w:overflowPunct/>
        <w:topLinePunct w:val="0"/>
        <w:autoSpaceDN/>
        <w:bidi w:val="0"/>
        <w:spacing w:line="560" w:lineRule="exact"/>
        <w:ind w:left="0" w:firstLine="632"/>
        <w:jc w:val="both"/>
        <w:textAlignment w:val="auto"/>
        <w:rPr>
          <w:rFonts w:hint="eastAsia" w:ascii="仿宋_GB2312" w:hAnsi="仿宋_GB2312" w:eastAsia="仿宋_GB2312" w:cs="仿宋_GB2312"/>
        </w:rPr>
      </w:pPr>
      <w:r>
        <w:rPr>
          <w:rFonts w:hint="eastAsia" w:ascii="楷体_GB2312" w:hAnsi="楷体_GB2312" w:eastAsia="楷体_GB2312" w:cs="楷体_GB2312"/>
          <w:b w:val="0"/>
          <w:bCs w:val="0"/>
          <w:color w:val="000000"/>
          <w:shd w:val="clear" w:color="auto" w:fill="FFFFFF"/>
          <w:lang w:val="zh-CN"/>
        </w:rPr>
        <w:t>（二）存在问题。</w:t>
      </w:r>
      <w:r>
        <w:rPr>
          <w:rFonts w:hint="eastAsia" w:ascii="仿宋_GB2312" w:hAnsi="仿宋_GB2312" w:eastAsia="仿宋_GB2312" w:cs="仿宋_GB2312"/>
          <w:color w:val="000000"/>
        </w:rPr>
        <w:t>部门整体支出绩效目标需进一步细化。业务类支出未能根据部门职能及当年度工作规划等进行细化，不利于部门整体支出绩效评价工作的开展。</w:t>
      </w:r>
    </w:p>
    <w:p w14:paraId="5BED047D">
      <w:pPr>
        <w:keepNext w:val="0"/>
        <w:keepLines w:val="0"/>
        <w:pageBreakBefore w:val="0"/>
        <w:widowControl/>
        <w:numPr>
          <w:ilvl w:val="0"/>
          <w:numId w:val="0"/>
        </w:numPr>
        <w:kinsoku/>
        <w:wordWrap/>
        <w:overflowPunct/>
        <w:topLinePunct w:val="0"/>
        <w:autoSpaceDN/>
        <w:bidi w:val="0"/>
        <w:spacing w:line="560" w:lineRule="exact"/>
        <w:ind w:firstLine="640" w:firstLineChars="200"/>
        <w:jc w:val="both"/>
        <w:textAlignment w:val="auto"/>
        <w:rPr>
          <w:rFonts w:hint="eastAsia" w:ascii="仿宋_GB2312" w:hAnsi="仿宋_GB2312" w:eastAsia="仿宋_GB2312" w:cs="仿宋_GB2312"/>
          <w:shd w:val="clear" w:color="auto" w:fill="FFFFFF"/>
        </w:rPr>
      </w:pPr>
      <w:r>
        <w:rPr>
          <w:rFonts w:hint="eastAsia" w:ascii="楷体_GB2312" w:hAnsi="楷体_GB2312" w:eastAsia="楷体_GB2312" w:cs="楷体_GB2312"/>
          <w:b w:val="0"/>
          <w:bCs w:val="0"/>
          <w:color w:val="000000"/>
          <w:shd w:val="clear" w:color="auto" w:fill="FFFFFF"/>
          <w:lang w:val="en-US" w:eastAsia="zh-CN"/>
        </w:rPr>
        <w:t>(三）</w:t>
      </w:r>
      <w:r>
        <w:rPr>
          <w:rFonts w:hint="eastAsia" w:ascii="楷体_GB2312" w:hAnsi="楷体_GB2312" w:eastAsia="楷体_GB2312" w:cs="楷体_GB2312"/>
          <w:b w:val="0"/>
          <w:bCs w:val="0"/>
          <w:color w:val="000000"/>
          <w:shd w:val="clear" w:color="auto" w:fill="FFFFFF"/>
          <w:lang w:val="zh-CN"/>
        </w:rPr>
        <w:t>改进建议。</w:t>
      </w:r>
      <w:bookmarkStart w:id="112" w:name="_Hlk110546638"/>
      <w:r>
        <w:rPr>
          <w:rFonts w:hint="eastAsia" w:ascii="仿宋_GB2312" w:hAnsi="仿宋_GB2312" w:eastAsia="仿宋_GB2312" w:cs="仿宋_GB2312"/>
          <w:shd w:val="clear" w:color="auto" w:fill="FFFFFF"/>
        </w:rPr>
        <w:t>一是优化预算编制，加强预算执行力。进一步提高预算编制到位率，做准做全基本支出预算，做全项目支出预算，加强预算支出的审核、跟踪及预算执行情况分析，提高预算编制严谨性和可控性。二是进一步加强对绩效目标监控的重视。定期对预算执行情况进行监督，使绩效目标监控与政府工作、财务工作挂钩，做到及时监控，及时控制，避免疏忽。三是应立足实际，坚持推行精细化管理，强化预算绩效目标管理、细化绩效目标，并将绩效目标细化分解为具体工作计划，同时，计划应明确规定在一定时间内完成的目标、任务和应达到的要求，任务和要求应具体明确任务数量、质量。严格执行财务管理制度，做到了财务处理及时，会计核算规范，严格按照计划进度支付。</w:t>
      </w:r>
      <w:bookmarkEnd w:id="103"/>
    </w:p>
    <w:p w14:paraId="18661DE9">
      <w:pPr>
        <w:pStyle w:val="29"/>
        <w:keepNext w:val="0"/>
        <w:keepLines w:val="0"/>
        <w:pageBreakBefore w:val="0"/>
        <w:kinsoku/>
        <w:wordWrap/>
        <w:overflowPunct/>
        <w:topLinePunct w:val="0"/>
        <w:autoSpaceDN/>
        <w:bidi w:val="0"/>
        <w:spacing w:after="0" w:line="560" w:lineRule="exact"/>
        <w:ind w:left="0"/>
        <w:textAlignment w:val="auto"/>
        <w:rPr>
          <w:rFonts w:hint="eastAsia" w:ascii="仿宋_GB2312" w:hAnsi="仿宋_GB2312" w:eastAsia="仿宋_GB2312" w:cs="仿宋_GB2312"/>
        </w:rPr>
      </w:pPr>
    </w:p>
    <w:p w14:paraId="7540DE4A">
      <w:pPr>
        <w:pStyle w:val="200"/>
        <w:keepNext w:val="0"/>
        <w:keepLines w:val="0"/>
        <w:pageBreakBefore w:val="0"/>
        <w:kinsoku/>
        <w:wordWrap/>
        <w:overflowPunct/>
        <w:topLinePunct w:val="0"/>
        <w:autoSpaceDN/>
        <w:bidi w:val="0"/>
        <w:spacing w:after="0" w:line="560" w:lineRule="exact"/>
        <w:ind w:left="0"/>
        <w:textAlignment w:val="auto"/>
        <w:rPr>
          <w:rFonts w:hint="eastAsia" w:ascii="仿宋_GB2312" w:hAnsi="仿宋_GB2312" w:eastAsia="仿宋_GB2312" w:cs="仿宋_GB2312"/>
          <w:lang w:val="zh-CN"/>
        </w:rPr>
      </w:pPr>
    </w:p>
    <w:p w14:paraId="7F7E11BE">
      <w:pPr>
        <w:pStyle w:val="200"/>
        <w:spacing w:line="560" w:lineRule="exact"/>
        <w:ind w:left="0" w:leftChars="0" w:firstLine="0" w:firstLineChars="0"/>
        <w:rPr>
          <w:rFonts w:ascii="Times New Roman" w:cs="Times New Roman"/>
          <w:lang w:val="zh-CN"/>
        </w:rPr>
      </w:pPr>
    </w:p>
    <w:p w14:paraId="1E90F949">
      <w:pPr>
        <w:pStyle w:val="200"/>
        <w:spacing w:line="560" w:lineRule="exact"/>
        <w:rPr>
          <w:rFonts w:ascii="Times New Roman" w:cs="Times New Roman"/>
          <w:lang w:val="zh-CN"/>
        </w:rPr>
        <w:sectPr>
          <w:footerReference r:id="rId6" w:type="default"/>
          <w:pgSz w:w="11906" w:h="16838" w:orient="landscape"/>
          <w:pgMar w:top="2098" w:right="1474" w:bottom="1984" w:left="1587" w:header="851" w:footer="1701" w:gutter="0"/>
          <w:pgNumType w:fmt="decimal" w:start="1"/>
          <w:cols w:space="1701" w:num="1"/>
        </w:sectPr>
      </w:pPr>
    </w:p>
    <w:p w14:paraId="474E3065">
      <w:pPr>
        <w:pStyle w:val="200"/>
        <w:spacing w:line="560" w:lineRule="exact"/>
        <w:rPr>
          <w:rFonts w:hint="eastAsia" w:ascii="黑体" w:hAnsi="黑体" w:eastAsia="黑体" w:cs="黑体"/>
          <w:lang w:val="zh-CN"/>
        </w:rPr>
      </w:pPr>
      <w:r>
        <w:rPr>
          <w:rFonts w:hint="eastAsia" w:ascii="黑体" w:hAnsi="黑体" w:eastAsia="黑体" w:cs="黑体"/>
          <w:lang w:val="zh-CN"/>
        </w:rPr>
        <w:t>附表</w:t>
      </w:r>
      <w:r>
        <w:rPr>
          <w:rFonts w:hint="eastAsia" w:ascii="黑体" w:hAnsi="黑体" w:eastAsia="黑体" w:cs="黑体"/>
          <w:lang w:val="en-US" w:eastAsia="zh-CN"/>
        </w:rPr>
        <w:t>1</w:t>
      </w:r>
      <w:r>
        <w:rPr>
          <w:rFonts w:hint="eastAsia" w:ascii="黑体" w:hAnsi="黑体" w:eastAsia="黑体" w:cs="黑体"/>
          <w:lang w:val="zh-CN"/>
        </w:rPr>
        <w:t>：部门整体支出绩效自评表</w:t>
      </w:r>
    </w:p>
    <w:tbl>
      <w:tblPr>
        <w:tblStyle w:val="35"/>
        <w:tblW w:w="5397" w:type="pct"/>
        <w:tblInd w:w="-615" w:type="dxa"/>
        <w:tblLayout w:type="fixed"/>
        <w:tblCellMar>
          <w:top w:w="0" w:type="dxa"/>
          <w:left w:w="108" w:type="dxa"/>
          <w:bottom w:w="0" w:type="dxa"/>
          <w:right w:w="108" w:type="dxa"/>
        </w:tblCellMar>
      </w:tblPr>
      <w:tblGrid>
        <w:gridCol w:w="1173"/>
        <w:gridCol w:w="1202"/>
        <w:gridCol w:w="2959"/>
        <w:gridCol w:w="863"/>
        <w:gridCol w:w="1975"/>
        <w:gridCol w:w="4741"/>
        <w:gridCol w:w="741"/>
        <w:gridCol w:w="863"/>
      </w:tblGrid>
      <w:tr w14:paraId="3EC76BC8">
        <w:tblPrEx>
          <w:tblCellMar>
            <w:top w:w="0" w:type="dxa"/>
            <w:left w:w="108" w:type="dxa"/>
            <w:bottom w:w="0" w:type="dxa"/>
            <w:right w:w="108" w:type="dxa"/>
          </w:tblCellMar>
        </w:tblPrEx>
        <w:trPr>
          <w:trHeight w:val="645" w:hRule="atLeast"/>
        </w:trPr>
        <w:tc>
          <w:tcPr>
            <w:tcW w:w="5000" w:type="pct"/>
            <w:gridSpan w:val="8"/>
            <w:tcBorders>
              <w:top w:val="nil"/>
              <w:left w:val="nil"/>
              <w:bottom w:val="nil"/>
              <w:right w:val="nil"/>
            </w:tcBorders>
            <w:vAlign w:val="center"/>
          </w:tcPr>
          <w:p w14:paraId="03FBCC1B">
            <w:pPr>
              <w:widowControl/>
              <w:jc w:val="center"/>
              <w:rPr>
                <w:rFonts w:ascii="方正小标宋简体" w:hAnsi="宋体" w:eastAsia="方正小标宋简体" w:cs="Times New Roman"/>
                <w:sz w:val="48"/>
                <w:szCs w:val="48"/>
              </w:rPr>
            </w:pPr>
            <w:r>
              <w:rPr>
                <w:rFonts w:hint="eastAsia" w:ascii="方正小标宋简体" w:hAnsi="宋体" w:eastAsia="方正小标宋简体" w:cs="方正小标宋简体"/>
                <w:sz w:val="44"/>
                <w:szCs w:val="44"/>
              </w:rPr>
              <w:t>部门整体支出绩效自评表</w:t>
            </w:r>
          </w:p>
        </w:tc>
      </w:tr>
      <w:tr w14:paraId="12B81B54">
        <w:tblPrEx>
          <w:tblCellMar>
            <w:top w:w="0" w:type="dxa"/>
            <w:left w:w="108" w:type="dxa"/>
            <w:bottom w:w="0" w:type="dxa"/>
            <w:right w:w="108" w:type="dxa"/>
          </w:tblCellMar>
        </w:tblPrEx>
        <w:trPr>
          <w:trHeight w:val="522" w:hRule="atLeast"/>
        </w:trPr>
        <w:tc>
          <w:tcPr>
            <w:tcW w:w="2134" w:type="pct"/>
            <w:gridSpan w:val="4"/>
            <w:tcBorders>
              <w:top w:val="single" w:color="auto" w:sz="4" w:space="0"/>
              <w:left w:val="single" w:color="auto" w:sz="4" w:space="0"/>
              <w:bottom w:val="single" w:color="auto" w:sz="4" w:space="0"/>
              <w:right w:val="single" w:color="auto" w:sz="4" w:space="0"/>
            </w:tcBorders>
            <w:vAlign w:val="center"/>
          </w:tcPr>
          <w:p w14:paraId="0CECAAC9">
            <w:pPr>
              <w:widowControl/>
              <w:jc w:val="center"/>
              <w:rPr>
                <w:rFonts w:ascii="黑体" w:hAnsi="黑体" w:eastAsia="黑体" w:cs="Times New Roman"/>
                <w:sz w:val="24"/>
                <w:szCs w:val="24"/>
              </w:rPr>
            </w:pPr>
            <w:r>
              <w:rPr>
                <w:rFonts w:hint="eastAsia" w:ascii="黑体" w:hAnsi="黑体" w:eastAsia="黑体" w:cs="黑体"/>
                <w:sz w:val="24"/>
                <w:szCs w:val="24"/>
              </w:rPr>
              <w:t>绩效指标</w:t>
            </w:r>
          </w:p>
        </w:tc>
        <w:tc>
          <w:tcPr>
            <w:tcW w:w="680" w:type="pct"/>
            <w:vMerge w:val="restart"/>
            <w:tcBorders>
              <w:top w:val="single" w:color="auto" w:sz="4" w:space="0"/>
              <w:left w:val="single" w:color="auto" w:sz="4" w:space="0"/>
              <w:bottom w:val="single" w:color="auto" w:sz="4" w:space="0"/>
              <w:right w:val="single" w:color="auto" w:sz="4" w:space="0"/>
            </w:tcBorders>
            <w:vAlign w:val="center"/>
          </w:tcPr>
          <w:p w14:paraId="39CFC01D">
            <w:pPr>
              <w:widowControl/>
              <w:jc w:val="center"/>
              <w:rPr>
                <w:rFonts w:ascii="黑体" w:hAnsi="黑体" w:eastAsia="黑体" w:cs="Times New Roman"/>
                <w:sz w:val="24"/>
                <w:szCs w:val="24"/>
              </w:rPr>
            </w:pPr>
            <w:r>
              <w:rPr>
                <w:rFonts w:hint="eastAsia" w:ascii="黑体" w:hAnsi="黑体" w:eastAsia="黑体" w:cs="黑体"/>
                <w:sz w:val="24"/>
                <w:szCs w:val="24"/>
              </w:rPr>
              <w:t>指标解释</w:t>
            </w:r>
          </w:p>
        </w:tc>
        <w:tc>
          <w:tcPr>
            <w:tcW w:w="1632" w:type="pct"/>
            <w:vMerge w:val="restart"/>
            <w:tcBorders>
              <w:top w:val="single" w:color="auto" w:sz="4" w:space="0"/>
              <w:left w:val="single" w:color="auto" w:sz="4" w:space="0"/>
              <w:bottom w:val="single" w:color="auto" w:sz="4" w:space="0"/>
              <w:right w:val="single" w:color="auto" w:sz="4" w:space="0"/>
            </w:tcBorders>
            <w:vAlign w:val="center"/>
          </w:tcPr>
          <w:p w14:paraId="4CB3A76A">
            <w:pPr>
              <w:widowControl/>
              <w:jc w:val="center"/>
              <w:rPr>
                <w:rFonts w:ascii="黑体" w:hAnsi="黑体" w:eastAsia="黑体" w:cs="Times New Roman"/>
                <w:sz w:val="24"/>
                <w:szCs w:val="24"/>
              </w:rPr>
            </w:pPr>
            <w:r>
              <w:rPr>
                <w:rFonts w:hint="eastAsia" w:ascii="黑体" w:hAnsi="黑体" w:eastAsia="黑体" w:cs="黑体"/>
                <w:sz w:val="24"/>
                <w:szCs w:val="24"/>
              </w:rPr>
              <w:t>评分说明</w:t>
            </w:r>
          </w:p>
        </w:tc>
        <w:tc>
          <w:tcPr>
            <w:tcW w:w="255" w:type="pct"/>
            <w:vMerge w:val="restart"/>
            <w:tcBorders>
              <w:top w:val="single" w:color="auto" w:sz="4" w:space="0"/>
              <w:left w:val="single" w:color="auto" w:sz="4" w:space="0"/>
              <w:bottom w:val="single" w:color="000000" w:sz="4" w:space="0"/>
              <w:right w:val="single" w:color="auto" w:sz="4" w:space="0"/>
            </w:tcBorders>
            <w:vAlign w:val="center"/>
          </w:tcPr>
          <w:p w14:paraId="16FC8E3A">
            <w:pPr>
              <w:widowControl/>
              <w:jc w:val="center"/>
              <w:rPr>
                <w:rFonts w:ascii="黑体" w:hAnsi="黑体" w:eastAsia="黑体" w:cs="Times New Roman"/>
                <w:sz w:val="24"/>
                <w:szCs w:val="24"/>
              </w:rPr>
            </w:pPr>
            <w:r>
              <w:rPr>
                <w:rFonts w:hint="eastAsia" w:ascii="黑体" w:hAnsi="黑体" w:eastAsia="黑体" w:cs="黑体"/>
                <w:sz w:val="24"/>
                <w:szCs w:val="24"/>
              </w:rPr>
              <w:t>自评得分</w:t>
            </w:r>
          </w:p>
        </w:tc>
        <w:tc>
          <w:tcPr>
            <w:tcW w:w="297" w:type="pct"/>
            <w:vMerge w:val="restart"/>
            <w:tcBorders>
              <w:top w:val="single" w:color="auto" w:sz="4" w:space="0"/>
              <w:left w:val="single" w:color="auto" w:sz="4" w:space="0"/>
              <w:bottom w:val="single" w:color="000000" w:sz="4" w:space="0"/>
              <w:right w:val="single" w:color="auto" w:sz="4" w:space="0"/>
            </w:tcBorders>
            <w:vAlign w:val="center"/>
          </w:tcPr>
          <w:p w14:paraId="6A19D6D4">
            <w:pPr>
              <w:widowControl/>
              <w:jc w:val="center"/>
              <w:rPr>
                <w:rFonts w:ascii="黑体" w:hAnsi="黑体" w:eastAsia="黑体" w:cs="Times New Roman"/>
                <w:sz w:val="24"/>
                <w:szCs w:val="24"/>
              </w:rPr>
            </w:pPr>
            <w:r>
              <w:rPr>
                <w:rFonts w:hint="eastAsia" w:ascii="黑体" w:hAnsi="黑体" w:eastAsia="黑体" w:cs="黑体"/>
                <w:sz w:val="24"/>
                <w:szCs w:val="24"/>
              </w:rPr>
              <w:t>备注</w:t>
            </w:r>
          </w:p>
        </w:tc>
      </w:tr>
      <w:tr w14:paraId="2533CF7C">
        <w:tblPrEx>
          <w:tblCellMar>
            <w:top w:w="0" w:type="dxa"/>
            <w:left w:w="108" w:type="dxa"/>
            <w:bottom w:w="0" w:type="dxa"/>
            <w:right w:w="108" w:type="dxa"/>
          </w:tblCellMar>
        </w:tblPrEx>
        <w:trPr>
          <w:trHeight w:val="285" w:hRule="atLeast"/>
        </w:trPr>
        <w:tc>
          <w:tcPr>
            <w:tcW w:w="404" w:type="pct"/>
            <w:tcBorders>
              <w:top w:val="nil"/>
              <w:left w:val="single" w:color="auto" w:sz="4" w:space="0"/>
              <w:bottom w:val="single" w:color="auto" w:sz="4" w:space="0"/>
              <w:right w:val="nil"/>
            </w:tcBorders>
            <w:vAlign w:val="center"/>
          </w:tcPr>
          <w:p w14:paraId="602EFA28">
            <w:pPr>
              <w:widowControl/>
              <w:jc w:val="center"/>
              <w:rPr>
                <w:rFonts w:hint="eastAsia" w:ascii="黑体" w:hAnsi="黑体" w:eastAsia="黑体" w:cs="黑体"/>
                <w:sz w:val="24"/>
                <w:szCs w:val="24"/>
              </w:rPr>
            </w:pPr>
            <w:r>
              <w:rPr>
                <w:rFonts w:hint="eastAsia" w:ascii="黑体" w:hAnsi="黑体" w:eastAsia="黑体" w:cs="黑体"/>
                <w:sz w:val="24"/>
                <w:szCs w:val="24"/>
              </w:rPr>
              <w:t>一级</w:t>
            </w:r>
          </w:p>
          <w:p w14:paraId="52359C51">
            <w:pPr>
              <w:widowControl/>
              <w:jc w:val="center"/>
              <w:rPr>
                <w:rFonts w:ascii="黑体" w:hAnsi="黑体" w:eastAsia="黑体" w:cs="Times New Roman"/>
                <w:sz w:val="24"/>
                <w:szCs w:val="24"/>
              </w:rPr>
            </w:pPr>
            <w:r>
              <w:rPr>
                <w:rFonts w:hint="eastAsia" w:ascii="黑体" w:hAnsi="黑体" w:eastAsia="黑体" w:cs="黑体"/>
                <w:sz w:val="24"/>
                <w:szCs w:val="24"/>
              </w:rPr>
              <w:t>指标</w:t>
            </w:r>
          </w:p>
        </w:tc>
        <w:tc>
          <w:tcPr>
            <w:tcW w:w="413" w:type="pct"/>
            <w:tcBorders>
              <w:top w:val="nil"/>
              <w:left w:val="single" w:color="auto" w:sz="4" w:space="0"/>
              <w:bottom w:val="single" w:color="auto" w:sz="4" w:space="0"/>
              <w:right w:val="single" w:color="auto" w:sz="4" w:space="0"/>
            </w:tcBorders>
            <w:vAlign w:val="center"/>
          </w:tcPr>
          <w:p w14:paraId="005D0792">
            <w:pPr>
              <w:widowControl/>
              <w:jc w:val="center"/>
              <w:rPr>
                <w:rFonts w:hint="eastAsia" w:ascii="黑体" w:hAnsi="黑体" w:eastAsia="黑体" w:cs="黑体"/>
                <w:sz w:val="24"/>
                <w:szCs w:val="24"/>
              </w:rPr>
            </w:pPr>
            <w:r>
              <w:rPr>
                <w:rFonts w:hint="eastAsia" w:ascii="黑体" w:hAnsi="黑体" w:eastAsia="黑体" w:cs="黑体"/>
                <w:sz w:val="24"/>
                <w:szCs w:val="24"/>
              </w:rPr>
              <w:t>二级</w:t>
            </w:r>
          </w:p>
          <w:p w14:paraId="72F3ED86">
            <w:pPr>
              <w:widowControl/>
              <w:jc w:val="center"/>
              <w:rPr>
                <w:rFonts w:ascii="黑体" w:hAnsi="黑体" w:eastAsia="黑体" w:cs="Times New Roman"/>
                <w:sz w:val="24"/>
                <w:szCs w:val="24"/>
              </w:rPr>
            </w:pPr>
            <w:r>
              <w:rPr>
                <w:rFonts w:hint="eastAsia" w:ascii="黑体" w:hAnsi="黑体" w:eastAsia="黑体" w:cs="黑体"/>
                <w:sz w:val="24"/>
                <w:szCs w:val="24"/>
              </w:rPr>
              <w:t>指标</w:t>
            </w:r>
          </w:p>
        </w:tc>
        <w:tc>
          <w:tcPr>
            <w:tcW w:w="1019" w:type="pct"/>
            <w:tcBorders>
              <w:top w:val="nil"/>
              <w:left w:val="nil"/>
              <w:bottom w:val="single" w:color="auto" w:sz="4" w:space="0"/>
              <w:right w:val="single" w:color="auto" w:sz="4" w:space="0"/>
            </w:tcBorders>
            <w:vAlign w:val="center"/>
          </w:tcPr>
          <w:p w14:paraId="3EF80AE8">
            <w:pPr>
              <w:widowControl/>
              <w:jc w:val="center"/>
              <w:rPr>
                <w:rFonts w:ascii="黑体" w:hAnsi="黑体" w:eastAsia="黑体" w:cs="Times New Roman"/>
                <w:sz w:val="24"/>
                <w:szCs w:val="24"/>
              </w:rPr>
            </w:pPr>
            <w:r>
              <w:rPr>
                <w:rFonts w:hint="eastAsia" w:ascii="黑体" w:hAnsi="黑体" w:eastAsia="黑体" w:cs="黑体"/>
                <w:sz w:val="24"/>
                <w:szCs w:val="24"/>
              </w:rPr>
              <w:t>三级指标</w:t>
            </w:r>
          </w:p>
        </w:tc>
        <w:tc>
          <w:tcPr>
            <w:tcW w:w="297" w:type="pct"/>
            <w:tcBorders>
              <w:top w:val="nil"/>
              <w:left w:val="nil"/>
              <w:bottom w:val="single" w:color="auto" w:sz="4" w:space="0"/>
              <w:right w:val="single" w:color="auto" w:sz="4" w:space="0"/>
            </w:tcBorders>
            <w:vAlign w:val="center"/>
          </w:tcPr>
          <w:p w14:paraId="4CA8882C">
            <w:pPr>
              <w:widowControl/>
              <w:jc w:val="center"/>
              <w:rPr>
                <w:rFonts w:ascii="黑体" w:hAnsi="黑体" w:eastAsia="黑体" w:cs="Times New Roman"/>
                <w:sz w:val="24"/>
                <w:szCs w:val="24"/>
              </w:rPr>
            </w:pPr>
            <w:r>
              <w:rPr>
                <w:rFonts w:hint="eastAsia" w:ascii="黑体" w:hAnsi="黑体" w:eastAsia="黑体" w:cs="黑体"/>
                <w:sz w:val="24"/>
                <w:szCs w:val="24"/>
              </w:rPr>
              <w:t>指标分值</w:t>
            </w:r>
          </w:p>
        </w:tc>
        <w:tc>
          <w:tcPr>
            <w:tcW w:w="680" w:type="pct"/>
            <w:vMerge w:val="continue"/>
            <w:tcBorders>
              <w:top w:val="single" w:color="auto" w:sz="4" w:space="0"/>
              <w:left w:val="single" w:color="auto" w:sz="4" w:space="0"/>
              <w:bottom w:val="single" w:color="auto" w:sz="4" w:space="0"/>
              <w:right w:val="single" w:color="auto" w:sz="4" w:space="0"/>
            </w:tcBorders>
            <w:vAlign w:val="center"/>
          </w:tcPr>
          <w:p w14:paraId="1EFFD998">
            <w:pPr>
              <w:widowControl/>
              <w:jc w:val="left"/>
              <w:rPr>
                <w:rFonts w:ascii="黑体" w:hAnsi="黑体" w:eastAsia="黑体" w:cs="Times New Roman"/>
                <w:sz w:val="24"/>
                <w:szCs w:val="24"/>
              </w:rPr>
            </w:pPr>
          </w:p>
        </w:tc>
        <w:tc>
          <w:tcPr>
            <w:tcW w:w="1632" w:type="pct"/>
            <w:vMerge w:val="continue"/>
            <w:tcBorders>
              <w:top w:val="single" w:color="auto" w:sz="4" w:space="0"/>
              <w:left w:val="single" w:color="auto" w:sz="4" w:space="0"/>
              <w:bottom w:val="single" w:color="auto" w:sz="4" w:space="0"/>
              <w:right w:val="single" w:color="auto" w:sz="4" w:space="0"/>
            </w:tcBorders>
            <w:vAlign w:val="center"/>
          </w:tcPr>
          <w:p w14:paraId="3FF30E70">
            <w:pPr>
              <w:widowControl/>
              <w:jc w:val="left"/>
              <w:rPr>
                <w:rFonts w:ascii="黑体" w:hAnsi="黑体" w:eastAsia="黑体" w:cs="Times New Roman"/>
                <w:sz w:val="24"/>
                <w:szCs w:val="24"/>
              </w:rPr>
            </w:pPr>
          </w:p>
        </w:tc>
        <w:tc>
          <w:tcPr>
            <w:tcW w:w="255" w:type="pct"/>
            <w:vMerge w:val="continue"/>
            <w:tcBorders>
              <w:top w:val="single" w:color="auto" w:sz="4" w:space="0"/>
              <w:left w:val="single" w:color="auto" w:sz="4" w:space="0"/>
              <w:bottom w:val="single" w:color="000000" w:sz="4" w:space="0"/>
              <w:right w:val="single" w:color="auto" w:sz="4" w:space="0"/>
            </w:tcBorders>
            <w:vAlign w:val="center"/>
          </w:tcPr>
          <w:p w14:paraId="61E38C87">
            <w:pPr>
              <w:widowControl/>
              <w:jc w:val="left"/>
              <w:rPr>
                <w:rFonts w:ascii="黑体" w:hAnsi="黑体" w:eastAsia="黑体" w:cs="Times New Roman"/>
                <w:sz w:val="24"/>
                <w:szCs w:val="24"/>
              </w:rPr>
            </w:pPr>
          </w:p>
        </w:tc>
        <w:tc>
          <w:tcPr>
            <w:tcW w:w="297" w:type="pct"/>
            <w:vMerge w:val="continue"/>
            <w:tcBorders>
              <w:top w:val="single" w:color="auto" w:sz="4" w:space="0"/>
              <w:left w:val="single" w:color="auto" w:sz="4" w:space="0"/>
              <w:bottom w:val="single" w:color="000000" w:sz="4" w:space="0"/>
              <w:right w:val="single" w:color="auto" w:sz="4" w:space="0"/>
            </w:tcBorders>
            <w:vAlign w:val="center"/>
          </w:tcPr>
          <w:p w14:paraId="09EA9F23">
            <w:pPr>
              <w:widowControl/>
              <w:jc w:val="left"/>
              <w:rPr>
                <w:rFonts w:ascii="黑体" w:hAnsi="黑体" w:eastAsia="黑体" w:cs="Times New Roman"/>
                <w:sz w:val="24"/>
                <w:szCs w:val="24"/>
              </w:rPr>
            </w:pPr>
          </w:p>
        </w:tc>
      </w:tr>
      <w:tr w14:paraId="7210A7D4">
        <w:tblPrEx>
          <w:tblCellMar>
            <w:top w:w="0" w:type="dxa"/>
            <w:left w:w="108" w:type="dxa"/>
            <w:bottom w:w="0" w:type="dxa"/>
            <w:right w:w="108" w:type="dxa"/>
          </w:tblCellMar>
        </w:tblPrEx>
        <w:trPr>
          <w:trHeight w:val="1219" w:hRule="atLeast"/>
        </w:trPr>
        <w:tc>
          <w:tcPr>
            <w:tcW w:w="404" w:type="pct"/>
            <w:vMerge w:val="restart"/>
            <w:tcBorders>
              <w:top w:val="nil"/>
              <w:left w:val="single" w:color="auto" w:sz="4" w:space="0"/>
              <w:bottom w:val="single" w:color="000000" w:sz="4" w:space="0"/>
              <w:right w:val="single" w:color="auto" w:sz="4" w:space="0"/>
            </w:tcBorders>
            <w:vAlign w:val="center"/>
          </w:tcPr>
          <w:p w14:paraId="42EEEE5E">
            <w:pPr>
              <w:widowControl/>
              <w:jc w:val="center"/>
              <w:rPr>
                <w:rFonts w:ascii="宋体" w:hAnsi="宋体" w:eastAsia="宋体" w:cs="Times New Roman"/>
                <w:b/>
                <w:bCs/>
                <w:sz w:val="18"/>
                <w:szCs w:val="18"/>
              </w:rPr>
            </w:pPr>
            <w:r>
              <w:rPr>
                <w:rFonts w:hint="eastAsia" w:ascii="宋体" w:hAnsi="宋体" w:eastAsia="宋体" w:cs="宋体"/>
                <w:b/>
                <w:bCs/>
                <w:sz w:val="18"/>
                <w:szCs w:val="18"/>
              </w:rPr>
              <w:t>总体绩效</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65</w:t>
            </w:r>
            <w:r>
              <w:rPr>
                <w:rFonts w:hint="eastAsia" w:ascii="宋体" w:hAnsi="宋体" w:eastAsia="宋体" w:cs="宋体"/>
                <w:b/>
                <w:bCs/>
                <w:sz w:val="18"/>
                <w:szCs w:val="18"/>
              </w:rPr>
              <w:t>分）</w:t>
            </w:r>
          </w:p>
        </w:tc>
        <w:tc>
          <w:tcPr>
            <w:tcW w:w="413" w:type="pct"/>
            <w:vMerge w:val="restart"/>
            <w:tcBorders>
              <w:top w:val="nil"/>
              <w:left w:val="single" w:color="auto" w:sz="4" w:space="0"/>
              <w:bottom w:val="nil"/>
              <w:right w:val="single" w:color="auto" w:sz="4" w:space="0"/>
            </w:tcBorders>
            <w:vAlign w:val="center"/>
          </w:tcPr>
          <w:p w14:paraId="2DF41B5F">
            <w:pPr>
              <w:widowControl/>
              <w:jc w:val="center"/>
              <w:rPr>
                <w:rFonts w:ascii="宋体" w:hAnsi="宋体" w:eastAsia="宋体" w:cs="Times New Roman"/>
                <w:b/>
                <w:bCs/>
                <w:sz w:val="18"/>
                <w:szCs w:val="18"/>
              </w:rPr>
            </w:pPr>
            <w:r>
              <w:rPr>
                <w:rFonts w:hint="eastAsia" w:ascii="宋体" w:hAnsi="宋体" w:eastAsia="宋体" w:cs="宋体"/>
                <w:b/>
                <w:bCs/>
                <w:sz w:val="18"/>
                <w:szCs w:val="18"/>
              </w:rPr>
              <w:t>履职效能</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10</w:t>
            </w:r>
            <w:r>
              <w:rPr>
                <w:rFonts w:hint="eastAsia" w:ascii="宋体" w:hAnsi="宋体" w:eastAsia="宋体" w:cs="宋体"/>
                <w:b/>
                <w:bCs/>
                <w:sz w:val="18"/>
                <w:szCs w:val="18"/>
              </w:rPr>
              <w:t>分）</w:t>
            </w:r>
          </w:p>
        </w:tc>
        <w:tc>
          <w:tcPr>
            <w:tcW w:w="1019" w:type="pct"/>
            <w:tcBorders>
              <w:top w:val="nil"/>
              <w:left w:val="nil"/>
              <w:bottom w:val="single" w:color="auto" w:sz="4" w:space="0"/>
              <w:right w:val="single" w:color="auto" w:sz="4" w:space="0"/>
            </w:tcBorders>
            <w:vAlign w:val="center"/>
          </w:tcPr>
          <w:p w14:paraId="62C6E3CD">
            <w:pPr>
              <w:widowControl/>
              <w:jc w:val="center"/>
              <w:rPr>
                <w:rFonts w:ascii="宋体" w:hAnsi="宋体" w:eastAsia="宋体" w:cs="Times New Roman"/>
                <w:sz w:val="18"/>
                <w:szCs w:val="18"/>
              </w:rPr>
            </w:pPr>
            <w:r>
              <w:rPr>
                <w:rFonts w:hint="eastAsia" w:ascii="宋体" w:hAnsi="宋体" w:eastAsia="宋体" w:cs="宋体"/>
                <w:sz w:val="18"/>
                <w:szCs w:val="18"/>
              </w:rPr>
              <w:t>保障政务综合大楼</w:t>
            </w:r>
            <w:r>
              <w:rPr>
                <w:rFonts w:ascii="宋体" w:hAnsi="宋体" w:eastAsia="宋体" w:cs="宋体"/>
                <w:sz w:val="18"/>
                <w:szCs w:val="18"/>
              </w:rPr>
              <w:t>8000</w:t>
            </w:r>
            <w:r>
              <w:rPr>
                <w:rFonts w:hint="eastAsia" w:ascii="宋体" w:hAnsi="宋体" w:eastAsia="宋体" w:cs="宋体"/>
                <w:sz w:val="18"/>
                <w:szCs w:val="18"/>
              </w:rPr>
              <w:t>平米的维修维护、</w:t>
            </w:r>
            <w:r>
              <w:rPr>
                <w:rFonts w:ascii="宋体" w:hAnsi="宋体" w:eastAsia="宋体" w:cs="宋体"/>
                <w:sz w:val="18"/>
                <w:szCs w:val="18"/>
              </w:rPr>
              <w:t>1-4</w:t>
            </w:r>
            <w:r>
              <w:rPr>
                <w:rFonts w:hint="eastAsia" w:ascii="宋体" w:hAnsi="宋体" w:eastAsia="宋体" w:cs="宋体"/>
                <w:sz w:val="18"/>
                <w:szCs w:val="18"/>
              </w:rPr>
              <w:t>楼水电费、办公耗材、广告宣传费、免费复印费等。</w:t>
            </w:r>
          </w:p>
        </w:tc>
        <w:tc>
          <w:tcPr>
            <w:tcW w:w="297" w:type="pct"/>
            <w:vMerge w:val="restart"/>
            <w:tcBorders>
              <w:top w:val="nil"/>
              <w:left w:val="single" w:color="auto" w:sz="4" w:space="0"/>
              <w:bottom w:val="nil"/>
              <w:right w:val="single" w:color="auto" w:sz="4" w:space="0"/>
            </w:tcBorders>
            <w:vAlign w:val="center"/>
          </w:tcPr>
          <w:p w14:paraId="284A9355">
            <w:pPr>
              <w:widowControl/>
              <w:jc w:val="center"/>
              <w:rPr>
                <w:rFonts w:ascii="宋体" w:hAnsi="宋体" w:eastAsia="宋体" w:cs="宋体"/>
                <w:sz w:val="18"/>
                <w:szCs w:val="18"/>
              </w:rPr>
            </w:pPr>
            <w:r>
              <w:rPr>
                <w:rFonts w:ascii="宋体" w:hAnsi="宋体" w:eastAsia="宋体" w:cs="宋体"/>
                <w:sz w:val="18"/>
                <w:szCs w:val="18"/>
              </w:rPr>
              <w:t>10</w:t>
            </w:r>
          </w:p>
        </w:tc>
        <w:tc>
          <w:tcPr>
            <w:tcW w:w="680" w:type="pct"/>
            <w:vMerge w:val="restart"/>
            <w:tcBorders>
              <w:top w:val="nil"/>
              <w:left w:val="single" w:color="auto" w:sz="4" w:space="0"/>
              <w:bottom w:val="nil"/>
              <w:right w:val="single" w:color="auto" w:sz="4" w:space="0"/>
            </w:tcBorders>
            <w:vAlign w:val="center"/>
          </w:tcPr>
          <w:p w14:paraId="444C5B51">
            <w:pPr>
              <w:widowControl/>
              <w:jc w:val="center"/>
              <w:rPr>
                <w:rFonts w:ascii="宋体" w:hAnsi="宋体" w:eastAsia="宋体" w:cs="Times New Roman"/>
                <w:sz w:val="18"/>
                <w:szCs w:val="18"/>
              </w:rPr>
            </w:pPr>
            <w:r>
              <w:rPr>
                <w:rFonts w:hint="eastAsia" w:ascii="宋体" w:hAnsi="宋体" w:eastAsia="宋体" w:cs="宋体"/>
                <w:sz w:val="18"/>
                <w:szCs w:val="18"/>
              </w:rPr>
              <w:t>部门整体绩效目标中选定</w:t>
            </w:r>
            <w:r>
              <w:rPr>
                <w:rFonts w:ascii="宋体" w:hAnsi="宋体" w:eastAsia="宋体" w:cs="宋体"/>
                <w:sz w:val="18"/>
                <w:szCs w:val="18"/>
              </w:rPr>
              <w:t>4-6</w:t>
            </w:r>
            <w:r>
              <w:rPr>
                <w:rFonts w:hint="eastAsia" w:ascii="宋体" w:hAnsi="宋体" w:eastAsia="宋体" w:cs="宋体"/>
                <w:sz w:val="18"/>
                <w:szCs w:val="18"/>
              </w:rPr>
              <w:t>个核心职能目标，反映该项职能目标完成效果情况</w:t>
            </w:r>
          </w:p>
        </w:tc>
        <w:tc>
          <w:tcPr>
            <w:tcW w:w="1632" w:type="pct"/>
            <w:vMerge w:val="restart"/>
            <w:tcBorders>
              <w:top w:val="nil"/>
              <w:left w:val="single" w:color="auto" w:sz="4" w:space="0"/>
              <w:bottom w:val="nil"/>
              <w:right w:val="single" w:color="auto" w:sz="4" w:space="0"/>
            </w:tcBorders>
            <w:vAlign w:val="center"/>
          </w:tcPr>
          <w:p w14:paraId="152A14C4">
            <w:pPr>
              <w:widowControl/>
              <w:jc w:val="center"/>
              <w:rPr>
                <w:rFonts w:ascii="宋体" w:hAnsi="宋体" w:eastAsia="宋体" w:cs="Times New Roman"/>
                <w:sz w:val="18"/>
                <w:szCs w:val="18"/>
              </w:rPr>
            </w:pPr>
            <w:r>
              <w:rPr>
                <w:rFonts w:hint="eastAsia" w:ascii="宋体" w:hAnsi="宋体" w:eastAsia="宋体" w:cs="宋体"/>
                <w:sz w:val="18"/>
                <w:szCs w:val="18"/>
              </w:rPr>
              <w:t>部门整体绩效目标中选定</w:t>
            </w:r>
            <w:r>
              <w:rPr>
                <w:rFonts w:ascii="宋体" w:hAnsi="宋体" w:eastAsia="宋体" w:cs="宋体"/>
                <w:sz w:val="18"/>
                <w:szCs w:val="18"/>
              </w:rPr>
              <w:t>4-6</w:t>
            </w:r>
            <w:r>
              <w:rPr>
                <w:rFonts w:hint="eastAsia" w:ascii="宋体" w:hAnsi="宋体" w:eastAsia="宋体" w:cs="宋体"/>
                <w:sz w:val="18"/>
                <w:szCs w:val="18"/>
              </w:rPr>
              <w:t>个可量化计算、可评价的核心职能目标，分别设定指标分值、指标解释、评分方法和评分说明，总分值不超过</w:t>
            </w:r>
            <w:r>
              <w:rPr>
                <w:rFonts w:ascii="宋体" w:hAnsi="宋体" w:eastAsia="宋体" w:cs="宋体"/>
                <w:sz w:val="18"/>
                <w:szCs w:val="18"/>
              </w:rPr>
              <w:t>10</w:t>
            </w:r>
            <w:r>
              <w:rPr>
                <w:rFonts w:hint="eastAsia" w:ascii="宋体" w:hAnsi="宋体" w:eastAsia="宋体" w:cs="宋体"/>
                <w:sz w:val="18"/>
                <w:szCs w:val="18"/>
              </w:rPr>
              <w:t>分。该项指标得分</w:t>
            </w:r>
            <w:r>
              <w:rPr>
                <w:rFonts w:ascii="宋体" w:hAnsi="宋体" w:eastAsia="宋体" w:cs="宋体"/>
                <w:sz w:val="18"/>
                <w:szCs w:val="18"/>
              </w:rPr>
              <w:t>=</w:t>
            </w:r>
            <w:r>
              <w:rPr>
                <w:rFonts w:hint="eastAsia" w:ascii="宋体" w:hAnsi="宋体" w:eastAsia="宋体" w:cs="宋体"/>
                <w:sz w:val="18"/>
                <w:szCs w:val="18"/>
              </w:rPr>
              <w:t>年终完成履职效果目标数量÷年初目标设置总数×</w:t>
            </w:r>
            <w:r>
              <w:rPr>
                <w:rFonts w:ascii="宋体" w:hAnsi="宋体" w:eastAsia="宋体" w:cs="宋体"/>
                <w:sz w:val="18"/>
                <w:szCs w:val="18"/>
              </w:rPr>
              <w:t>100%</w:t>
            </w:r>
            <w:r>
              <w:rPr>
                <w:rFonts w:hint="eastAsia" w:ascii="宋体" w:hAnsi="宋体" w:eastAsia="宋体" w:cs="宋体"/>
                <w:sz w:val="18"/>
                <w:szCs w:val="18"/>
              </w:rPr>
              <w:t>×指标分值。履职效能总分为各项履职效果得分的和。</w:t>
            </w:r>
          </w:p>
        </w:tc>
        <w:tc>
          <w:tcPr>
            <w:tcW w:w="255" w:type="pct"/>
            <w:vMerge w:val="restart"/>
            <w:tcBorders>
              <w:top w:val="nil"/>
              <w:left w:val="single" w:color="auto" w:sz="4" w:space="0"/>
              <w:bottom w:val="nil"/>
              <w:right w:val="single" w:color="auto" w:sz="4" w:space="0"/>
            </w:tcBorders>
            <w:vAlign w:val="center"/>
          </w:tcPr>
          <w:p w14:paraId="0F75284D">
            <w:pPr>
              <w:widowControl/>
              <w:jc w:val="center"/>
              <w:rPr>
                <w:rFonts w:ascii="宋体" w:hAnsi="宋体" w:eastAsia="宋体" w:cs="宋体"/>
                <w:sz w:val="18"/>
                <w:szCs w:val="18"/>
              </w:rPr>
            </w:pPr>
            <w:r>
              <w:rPr>
                <w:rFonts w:ascii="宋体" w:hAnsi="宋体" w:eastAsia="宋体" w:cs="宋体"/>
                <w:sz w:val="18"/>
                <w:szCs w:val="18"/>
              </w:rPr>
              <w:t>10</w:t>
            </w:r>
          </w:p>
        </w:tc>
        <w:tc>
          <w:tcPr>
            <w:tcW w:w="297" w:type="pct"/>
            <w:vMerge w:val="restart"/>
            <w:tcBorders>
              <w:top w:val="nil"/>
              <w:left w:val="single" w:color="auto" w:sz="4" w:space="0"/>
              <w:bottom w:val="nil"/>
              <w:right w:val="single" w:color="auto" w:sz="4" w:space="0"/>
            </w:tcBorders>
            <w:vAlign w:val="center"/>
          </w:tcPr>
          <w:p w14:paraId="4D3CF822">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A97702B">
        <w:tblPrEx>
          <w:tblCellMar>
            <w:top w:w="0" w:type="dxa"/>
            <w:left w:w="108" w:type="dxa"/>
            <w:bottom w:w="0" w:type="dxa"/>
            <w:right w:w="108" w:type="dxa"/>
          </w:tblCellMar>
        </w:tblPrEx>
        <w:trPr>
          <w:trHeight w:val="582" w:hRule="atLeast"/>
        </w:trPr>
        <w:tc>
          <w:tcPr>
            <w:tcW w:w="404" w:type="pct"/>
            <w:vMerge w:val="continue"/>
            <w:tcBorders>
              <w:top w:val="nil"/>
              <w:left w:val="single" w:color="auto" w:sz="4" w:space="0"/>
              <w:bottom w:val="single" w:color="000000" w:sz="4" w:space="0"/>
              <w:right w:val="single" w:color="auto" w:sz="4" w:space="0"/>
            </w:tcBorders>
            <w:vAlign w:val="center"/>
          </w:tcPr>
          <w:p w14:paraId="03285767">
            <w:pPr>
              <w:widowControl/>
              <w:jc w:val="left"/>
              <w:rPr>
                <w:rFonts w:ascii="宋体" w:hAnsi="宋体" w:eastAsia="宋体" w:cs="Times New Roman"/>
                <w:b/>
                <w:bCs/>
                <w:sz w:val="18"/>
                <w:szCs w:val="18"/>
              </w:rPr>
            </w:pPr>
          </w:p>
        </w:tc>
        <w:tc>
          <w:tcPr>
            <w:tcW w:w="413" w:type="pct"/>
            <w:vMerge w:val="continue"/>
            <w:tcBorders>
              <w:top w:val="nil"/>
              <w:left w:val="single" w:color="auto" w:sz="4" w:space="0"/>
              <w:bottom w:val="nil"/>
              <w:right w:val="single" w:color="auto" w:sz="4" w:space="0"/>
            </w:tcBorders>
            <w:vAlign w:val="center"/>
          </w:tcPr>
          <w:p w14:paraId="264B2E79">
            <w:pPr>
              <w:widowControl/>
              <w:jc w:val="left"/>
              <w:rPr>
                <w:rFonts w:ascii="宋体" w:hAnsi="宋体" w:eastAsia="宋体" w:cs="Times New Roman"/>
                <w:b/>
                <w:bCs/>
                <w:sz w:val="18"/>
                <w:szCs w:val="18"/>
              </w:rPr>
            </w:pPr>
          </w:p>
        </w:tc>
        <w:tc>
          <w:tcPr>
            <w:tcW w:w="1019" w:type="pct"/>
            <w:tcBorders>
              <w:top w:val="nil"/>
              <w:left w:val="nil"/>
              <w:bottom w:val="single" w:color="auto" w:sz="4" w:space="0"/>
              <w:right w:val="single" w:color="auto" w:sz="4" w:space="0"/>
            </w:tcBorders>
            <w:vAlign w:val="center"/>
          </w:tcPr>
          <w:p w14:paraId="6D2323BE">
            <w:pPr>
              <w:widowControl/>
              <w:jc w:val="center"/>
              <w:rPr>
                <w:rFonts w:ascii="宋体" w:hAnsi="宋体" w:eastAsia="宋体" w:cs="Times New Roman"/>
                <w:sz w:val="18"/>
                <w:szCs w:val="18"/>
              </w:rPr>
            </w:pPr>
            <w:r>
              <w:rPr>
                <w:rFonts w:hint="eastAsia" w:ascii="宋体" w:hAnsi="宋体" w:eastAsia="宋体" w:cs="宋体"/>
                <w:sz w:val="18"/>
                <w:szCs w:val="18"/>
              </w:rPr>
              <w:t>保障政务服务综合大楼安保、清洁卫生等工作</w:t>
            </w:r>
          </w:p>
        </w:tc>
        <w:tc>
          <w:tcPr>
            <w:tcW w:w="297" w:type="pct"/>
            <w:vMerge w:val="continue"/>
            <w:tcBorders>
              <w:top w:val="nil"/>
              <w:left w:val="single" w:color="auto" w:sz="4" w:space="0"/>
              <w:bottom w:val="nil"/>
              <w:right w:val="single" w:color="auto" w:sz="4" w:space="0"/>
            </w:tcBorders>
            <w:vAlign w:val="center"/>
          </w:tcPr>
          <w:p w14:paraId="0F163EE4">
            <w:pPr>
              <w:widowControl/>
              <w:jc w:val="left"/>
              <w:rPr>
                <w:rFonts w:ascii="宋体" w:hAnsi="宋体" w:eastAsia="宋体" w:cs="Times New Roman"/>
                <w:sz w:val="18"/>
                <w:szCs w:val="18"/>
              </w:rPr>
            </w:pPr>
          </w:p>
        </w:tc>
        <w:tc>
          <w:tcPr>
            <w:tcW w:w="680" w:type="pct"/>
            <w:vMerge w:val="continue"/>
            <w:tcBorders>
              <w:top w:val="nil"/>
              <w:left w:val="single" w:color="auto" w:sz="4" w:space="0"/>
              <w:bottom w:val="nil"/>
              <w:right w:val="single" w:color="auto" w:sz="4" w:space="0"/>
            </w:tcBorders>
            <w:vAlign w:val="center"/>
          </w:tcPr>
          <w:p w14:paraId="0B67082D">
            <w:pPr>
              <w:widowControl/>
              <w:jc w:val="left"/>
              <w:rPr>
                <w:rFonts w:ascii="宋体" w:hAnsi="宋体" w:eastAsia="宋体" w:cs="Times New Roman"/>
                <w:sz w:val="18"/>
                <w:szCs w:val="18"/>
              </w:rPr>
            </w:pPr>
          </w:p>
        </w:tc>
        <w:tc>
          <w:tcPr>
            <w:tcW w:w="1632" w:type="pct"/>
            <w:vMerge w:val="continue"/>
            <w:tcBorders>
              <w:top w:val="nil"/>
              <w:left w:val="single" w:color="auto" w:sz="4" w:space="0"/>
              <w:bottom w:val="nil"/>
              <w:right w:val="single" w:color="auto" w:sz="4" w:space="0"/>
            </w:tcBorders>
            <w:vAlign w:val="center"/>
          </w:tcPr>
          <w:p w14:paraId="7AE4C10A">
            <w:pPr>
              <w:widowControl/>
              <w:jc w:val="left"/>
              <w:rPr>
                <w:rFonts w:ascii="宋体" w:hAnsi="宋体" w:eastAsia="宋体" w:cs="Times New Roman"/>
                <w:sz w:val="18"/>
                <w:szCs w:val="18"/>
              </w:rPr>
            </w:pPr>
          </w:p>
        </w:tc>
        <w:tc>
          <w:tcPr>
            <w:tcW w:w="255" w:type="pct"/>
            <w:vMerge w:val="continue"/>
            <w:tcBorders>
              <w:top w:val="nil"/>
              <w:left w:val="single" w:color="auto" w:sz="4" w:space="0"/>
              <w:bottom w:val="nil"/>
              <w:right w:val="single" w:color="auto" w:sz="4" w:space="0"/>
            </w:tcBorders>
            <w:vAlign w:val="center"/>
          </w:tcPr>
          <w:p w14:paraId="745B292C">
            <w:pPr>
              <w:widowControl/>
              <w:jc w:val="left"/>
              <w:rPr>
                <w:rFonts w:ascii="宋体" w:hAnsi="宋体" w:eastAsia="宋体" w:cs="Times New Roman"/>
                <w:sz w:val="18"/>
                <w:szCs w:val="18"/>
              </w:rPr>
            </w:pPr>
          </w:p>
        </w:tc>
        <w:tc>
          <w:tcPr>
            <w:tcW w:w="297" w:type="pct"/>
            <w:vMerge w:val="continue"/>
            <w:tcBorders>
              <w:top w:val="nil"/>
              <w:left w:val="single" w:color="auto" w:sz="4" w:space="0"/>
              <w:bottom w:val="nil"/>
              <w:right w:val="single" w:color="auto" w:sz="4" w:space="0"/>
            </w:tcBorders>
            <w:vAlign w:val="center"/>
          </w:tcPr>
          <w:p w14:paraId="6353A1B4">
            <w:pPr>
              <w:widowControl/>
              <w:jc w:val="left"/>
              <w:rPr>
                <w:rFonts w:ascii="宋体" w:hAnsi="宋体" w:eastAsia="宋体" w:cs="Times New Roman"/>
                <w:sz w:val="18"/>
                <w:szCs w:val="18"/>
              </w:rPr>
            </w:pPr>
          </w:p>
        </w:tc>
      </w:tr>
      <w:tr w14:paraId="6924988C">
        <w:tblPrEx>
          <w:tblCellMar>
            <w:top w:w="0" w:type="dxa"/>
            <w:left w:w="108" w:type="dxa"/>
            <w:bottom w:w="0" w:type="dxa"/>
            <w:right w:w="108" w:type="dxa"/>
          </w:tblCellMar>
        </w:tblPrEx>
        <w:trPr>
          <w:trHeight w:val="1662" w:hRule="atLeast"/>
        </w:trPr>
        <w:tc>
          <w:tcPr>
            <w:tcW w:w="404" w:type="pct"/>
            <w:vMerge w:val="continue"/>
            <w:tcBorders>
              <w:top w:val="nil"/>
              <w:left w:val="single" w:color="auto" w:sz="4" w:space="0"/>
              <w:bottom w:val="single" w:color="000000" w:sz="4" w:space="0"/>
              <w:right w:val="single" w:color="auto" w:sz="4" w:space="0"/>
            </w:tcBorders>
            <w:vAlign w:val="center"/>
          </w:tcPr>
          <w:p w14:paraId="76F1CDCC">
            <w:pPr>
              <w:widowControl/>
              <w:jc w:val="left"/>
              <w:rPr>
                <w:rFonts w:ascii="宋体" w:hAnsi="宋体" w:eastAsia="宋体" w:cs="Times New Roman"/>
                <w:b/>
                <w:bCs/>
                <w:sz w:val="18"/>
                <w:szCs w:val="18"/>
              </w:rPr>
            </w:pPr>
          </w:p>
        </w:tc>
        <w:tc>
          <w:tcPr>
            <w:tcW w:w="413" w:type="pct"/>
            <w:vMerge w:val="continue"/>
            <w:tcBorders>
              <w:top w:val="nil"/>
              <w:left w:val="single" w:color="auto" w:sz="4" w:space="0"/>
              <w:bottom w:val="nil"/>
              <w:right w:val="single" w:color="auto" w:sz="4" w:space="0"/>
            </w:tcBorders>
            <w:vAlign w:val="center"/>
          </w:tcPr>
          <w:p w14:paraId="56CBE214">
            <w:pPr>
              <w:widowControl/>
              <w:jc w:val="left"/>
              <w:rPr>
                <w:rFonts w:ascii="宋体" w:hAnsi="宋体" w:eastAsia="宋体" w:cs="Times New Roman"/>
                <w:b/>
                <w:bCs/>
                <w:sz w:val="18"/>
                <w:szCs w:val="18"/>
              </w:rPr>
            </w:pPr>
          </w:p>
        </w:tc>
        <w:tc>
          <w:tcPr>
            <w:tcW w:w="1019" w:type="pct"/>
            <w:tcBorders>
              <w:top w:val="nil"/>
              <w:left w:val="nil"/>
              <w:bottom w:val="single" w:color="auto" w:sz="4" w:space="0"/>
              <w:right w:val="single" w:color="auto" w:sz="4" w:space="0"/>
            </w:tcBorders>
            <w:vAlign w:val="center"/>
          </w:tcPr>
          <w:p w14:paraId="281C816D">
            <w:pPr>
              <w:widowControl/>
              <w:jc w:val="center"/>
              <w:rPr>
                <w:rFonts w:ascii="宋体" w:hAnsi="宋体" w:eastAsia="宋体" w:cs="Times New Roman"/>
                <w:sz w:val="18"/>
                <w:szCs w:val="18"/>
              </w:rPr>
            </w:pPr>
            <w:r>
              <w:rPr>
                <w:rFonts w:hint="eastAsia" w:ascii="宋体" w:hAnsi="宋体" w:eastAsia="宋体" w:cs="宋体"/>
                <w:sz w:val="18"/>
                <w:szCs w:val="18"/>
              </w:rPr>
              <w:t>落实企业开办零费用免费为企业提供印章刻制服务、行政许可事项证照制作费及取水许可等需要聘请专家进行评审，交易中心支付全区集中采购目录内的项目的专家评审费经费</w:t>
            </w:r>
          </w:p>
        </w:tc>
        <w:tc>
          <w:tcPr>
            <w:tcW w:w="297" w:type="pct"/>
            <w:vMerge w:val="continue"/>
            <w:tcBorders>
              <w:top w:val="nil"/>
              <w:left w:val="single" w:color="auto" w:sz="4" w:space="0"/>
              <w:bottom w:val="nil"/>
              <w:right w:val="single" w:color="auto" w:sz="4" w:space="0"/>
            </w:tcBorders>
            <w:vAlign w:val="center"/>
          </w:tcPr>
          <w:p w14:paraId="4607F25F">
            <w:pPr>
              <w:widowControl/>
              <w:jc w:val="left"/>
              <w:rPr>
                <w:rFonts w:ascii="宋体" w:hAnsi="宋体" w:eastAsia="宋体" w:cs="Times New Roman"/>
                <w:sz w:val="18"/>
                <w:szCs w:val="18"/>
              </w:rPr>
            </w:pPr>
          </w:p>
        </w:tc>
        <w:tc>
          <w:tcPr>
            <w:tcW w:w="680" w:type="pct"/>
            <w:vMerge w:val="continue"/>
            <w:tcBorders>
              <w:top w:val="nil"/>
              <w:left w:val="single" w:color="auto" w:sz="4" w:space="0"/>
              <w:bottom w:val="nil"/>
              <w:right w:val="single" w:color="auto" w:sz="4" w:space="0"/>
            </w:tcBorders>
            <w:vAlign w:val="center"/>
          </w:tcPr>
          <w:p w14:paraId="19A31420">
            <w:pPr>
              <w:widowControl/>
              <w:jc w:val="left"/>
              <w:rPr>
                <w:rFonts w:ascii="宋体" w:hAnsi="宋体" w:eastAsia="宋体" w:cs="Times New Roman"/>
                <w:sz w:val="18"/>
                <w:szCs w:val="18"/>
              </w:rPr>
            </w:pPr>
          </w:p>
        </w:tc>
        <w:tc>
          <w:tcPr>
            <w:tcW w:w="1632" w:type="pct"/>
            <w:vMerge w:val="continue"/>
            <w:tcBorders>
              <w:top w:val="nil"/>
              <w:left w:val="single" w:color="auto" w:sz="4" w:space="0"/>
              <w:bottom w:val="nil"/>
              <w:right w:val="single" w:color="auto" w:sz="4" w:space="0"/>
            </w:tcBorders>
            <w:vAlign w:val="center"/>
          </w:tcPr>
          <w:p w14:paraId="0D34D34A">
            <w:pPr>
              <w:widowControl/>
              <w:jc w:val="left"/>
              <w:rPr>
                <w:rFonts w:ascii="宋体" w:hAnsi="宋体" w:eastAsia="宋体" w:cs="Times New Roman"/>
                <w:sz w:val="18"/>
                <w:szCs w:val="18"/>
              </w:rPr>
            </w:pPr>
          </w:p>
        </w:tc>
        <w:tc>
          <w:tcPr>
            <w:tcW w:w="255" w:type="pct"/>
            <w:vMerge w:val="continue"/>
            <w:tcBorders>
              <w:top w:val="nil"/>
              <w:left w:val="single" w:color="auto" w:sz="4" w:space="0"/>
              <w:bottom w:val="nil"/>
              <w:right w:val="single" w:color="auto" w:sz="4" w:space="0"/>
            </w:tcBorders>
            <w:vAlign w:val="center"/>
          </w:tcPr>
          <w:p w14:paraId="12ABF6ED">
            <w:pPr>
              <w:widowControl/>
              <w:jc w:val="left"/>
              <w:rPr>
                <w:rFonts w:ascii="宋体" w:hAnsi="宋体" w:eastAsia="宋体" w:cs="Times New Roman"/>
                <w:sz w:val="18"/>
                <w:szCs w:val="18"/>
              </w:rPr>
            </w:pPr>
          </w:p>
        </w:tc>
        <w:tc>
          <w:tcPr>
            <w:tcW w:w="297" w:type="pct"/>
            <w:vMerge w:val="continue"/>
            <w:tcBorders>
              <w:top w:val="nil"/>
              <w:left w:val="single" w:color="auto" w:sz="4" w:space="0"/>
              <w:bottom w:val="nil"/>
              <w:right w:val="single" w:color="auto" w:sz="4" w:space="0"/>
            </w:tcBorders>
            <w:vAlign w:val="center"/>
          </w:tcPr>
          <w:p w14:paraId="09104576">
            <w:pPr>
              <w:widowControl/>
              <w:jc w:val="left"/>
              <w:rPr>
                <w:rFonts w:ascii="宋体" w:hAnsi="宋体" w:eastAsia="宋体" w:cs="Times New Roman"/>
                <w:sz w:val="18"/>
                <w:szCs w:val="18"/>
              </w:rPr>
            </w:pPr>
          </w:p>
        </w:tc>
      </w:tr>
      <w:tr w14:paraId="4AC88464">
        <w:tblPrEx>
          <w:tblCellMar>
            <w:top w:w="0" w:type="dxa"/>
            <w:left w:w="108" w:type="dxa"/>
            <w:bottom w:w="0" w:type="dxa"/>
            <w:right w:w="108" w:type="dxa"/>
          </w:tblCellMar>
        </w:tblPrEx>
        <w:trPr>
          <w:trHeight w:val="915" w:hRule="atLeast"/>
        </w:trPr>
        <w:tc>
          <w:tcPr>
            <w:tcW w:w="404" w:type="pct"/>
            <w:vMerge w:val="continue"/>
            <w:tcBorders>
              <w:top w:val="nil"/>
              <w:left w:val="single" w:color="auto" w:sz="4" w:space="0"/>
              <w:bottom w:val="single" w:color="000000" w:sz="4" w:space="0"/>
              <w:right w:val="single" w:color="auto" w:sz="4" w:space="0"/>
            </w:tcBorders>
            <w:vAlign w:val="center"/>
          </w:tcPr>
          <w:p w14:paraId="6DA45420">
            <w:pPr>
              <w:widowControl/>
              <w:jc w:val="left"/>
              <w:rPr>
                <w:rFonts w:ascii="宋体" w:hAnsi="宋体" w:eastAsia="宋体" w:cs="Times New Roman"/>
                <w:b/>
                <w:bCs/>
                <w:sz w:val="18"/>
                <w:szCs w:val="18"/>
              </w:rPr>
            </w:pPr>
          </w:p>
        </w:tc>
        <w:tc>
          <w:tcPr>
            <w:tcW w:w="413" w:type="pct"/>
            <w:vMerge w:val="continue"/>
            <w:tcBorders>
              <w:top w:val="nil"/>
              <w:left w:val="single" w:color="auto" w:sz="4" w:space="0"/>
              <w:bottom w:val="nil"/>
              <w:right w:val="single" w:color="auto" w:sz="4" w:space="0"/>
            </w:tcBorders>
            <w:vAlign w:val="center"/>
          </w:tcPr>
          <w:p w14:paraId="30F44961">
            <w:pPr>
              <w:widowControl/>
              <w:jc w:val="left"/>
              <w:rPr>
                <w:rFonts w:ascii="宋体" w:hAnsi="宋体" w:eastAsia="宋体" w:cs="Times New Roman"/>
                <w:b/>
                <w:bCs/>
                <w:sz w:val="18"/>
                <w:szCs w:val="18"/>
              </w:rPr>
            </w:pPr>
          </w:p>
        </w:tc>
        <w:tc>
          <w:tcPr>
            <w:tcW w:w="1019" w:type="pct"/>
            <w:tcBorders>
              <w:top w:val="nil"/>
              <w:left w:val="nil"/>
              <w:bottom w:val="single" w:color="auto" w:sz="4" w:space="0"/>
              <w:right w:val="single" w:color="auto" w:sz="4" w:space="0"/>
            </w:tcBorders>
            <w:vAlign w:val="center"/>
          </w:tcPr>
          <w:p w14:paraId="4590CA7C">
            <w:pPr>
              <w:widowControl/>
              <w:jc w:val="center"/>
              <w:rPr>
                <w:rFonts w:ascii="宋体" w:hAnsi="宋体" w:eastAsia="宋体" w:cs="Times New Roman"/>
                <w:sz w:val="18"/>
                <w:szCs w:val="18"/>
              </w:rPr>
            </w:pPr>
            <w:r>
              <w:rPr>
                <w:rFonts w:hint="eastAsia" w:ascii="宋体" w:hAnsi="宋体" w:eastAsia="宋体" w:cs="宋体"/>
                <w:sz w:val="18"/>
                <w:szCs w:val="18"/>
              </w:rPr>
              <w:t>保障全区党政机关及企事业单位</w:t>
            </w:r>
            <w:r>
              <w:rPr>
                <w:rFonts w:ascii="宋体" w:hAnsi="宋体" w:eastAsia="宋体" w:cs="宋体"/>
                <w:sz w:val="18"/>
                <w:szCs w:val="18"/>
              </w:rPr>
              <w:t>OA</w:t>
            </w:r>
            <w:r>
              <w:rPr>
                <w:rFonts w:hint="eastAsia" w:ascii="宋体" w:hAnsi="宋体" w:eastAsia="宋体" w:cs="宋体"/>
                <w:sz w:val="18"/>
                <w:szCs w:val="18"/>
              </w:rPr>
              <w:t>系统的正常运营、系统授权扩容服务及日常运行维护</w:t>
            </w:r>
          </w:p>
        </w:tc>
        <w:tc>
          <w:tcPr>
            <w:tcW w:w="297" w:type="pct"/>
            <w:vMerge w:val="continue"/>
            <w:tcBorders>
              <w:top w:val="nil"/>
              <w:left w:val="single" w:color="auto" w:sz="4" w:space="0"/>
              <w:bottom w:val="nil"/>
              <w:right w:val="single" w:color="auto" w:sz="4" w:space="0"/>
            </w:tcBorders>
            <w:vAlign w:val="center"/>
          </w:tcPr>
          <w:p w14:paraId="7FDFE83A">
            <w:pPr>
              <w:widowControl/>
              <w:jc w:val="left"/>
              <w:rPr>
                <w:rFonts w:ascii="宋体" w:hAnsi="宋体" w:eastAsia="宋体" w:cs="Times New Roman"/>
                <w:sz w:val="18"/>
                <w:szCs w:val="18"/>
              </w:rPr>
            </w:pPr>
          </w:p>
        </w:tc>
        <w:tc>
          <w:tcPr>
            <w:tcW w:w="680" w:type="pct"/>
            <w:vMerge w:val="continue"/>
            <w:tcBorders>
              <w:top w:val="nil"/>
              <w:left w:val="single" w:color="auto" w:sz="4" w:space="0"/>
              <w:bottom w:val="nil"/>
              <w:right w:val="single" w:color="auto" w:sz="4" w:space="0"/>
            </w:tcBorders>
            <w:vAlign w:val="center"/>
          </w:tcPr>
          <w:p w14:paraId="6A944E64">
            <w:pPr>
              <w:widowControl/>
              <w:jc w:val="left"/>
              <w:rPr>
                <w:rFonts w:ascii="宋体" w:hAnsi="宋体" w:eastAsia="宋体" w:cs="Times New Roman"/>
                <w:sz w:val="18"/>
                <w:szCs w:val="18"/>
              </w:rPr>
            </w:pPr>
          </w:p>
        </w:tc>
        <w:tc>
          <w:tcPr>
            <w:tcW w:w="1632" w:type="pct"/>
            <w:vMerge w:val="continue"/>
            <w:tcBorders>
              <w:top w:val="nil"/>
              <w:left w:val="single" w:color="auto" w:sz="4" w:space="0"/>
              <w:bottom w:val="nil"/>
              <w:right w:val="single" w:color="auto" w:sz="4" w:space="0"/>
            </w:tcBorders>
            <w:vAlign w:val="center"/>
          </w:tcPr>
          <w:p w14:paraId="31AEC0D5">
            <w:pPr>
              <w:widowControl/>
              <w:jc w:val="left"/>
              <w:rPr>
                <w:rFonts w:ascii="宋体" w:hAnsi="宋体" w:eastAsia="宋体" w:cs="Times New Roman"/>
                <w:sz w:val="18"/>
                <w:szCs w:val="18"/>
              </w:rPr>
            </w:pPr>
          </w:p>
        </w:tc>
        <w:tc>
          <w:tcPr>
            <w:tcW w:w="255" w:type="pct"/>
            <w:vMerge w:val="continue"/>
            <w:tcBorders>
              <w:top w:val="nil"/>
              <w:left w:val="single" w:color="auto" w:sz="4" w:space="0"/>
              <w:bottom w:val="nil"/>
              <w:right w:val="single" w:color="auto" w:sz="4" w:space="0"/>
            </w:tcBorders>
            <w:vAlign w:val="center"/>
          </w:tcPr>
          <w:p w14:paraId="1DE1F558">
            <w:pPr>
              <w:widowControl/>
              <w:jc w:val="left"/>
              <w:rPr>
                <w:rFonts w:ascii="宋体" w:hAnsi="宋体" w:eastAsia="宋体" w:cs="Times New Roman"/>
                <w:sz w:val="18"/>
                <w:szCs w:val="18"/>
              </w:rPr>
            </w:pPr>
          </w:p>
        </w:tc>
        <w:tc>
          <w:tcPr>
            <w:tcW w:w="297" w:type="pct"/>
            <w:vMerge w:val="continue"/>
            <w:tcBorders>
              <w:top w:val="nil"/>
              <w:left w:val="single" w:color="auto" w:sz="4" w:space="0"/>
              <w:bottom w:val="nil"/>
              <w:right w:val="single" w:color="auto" w:sz="4" w:space="0"/>
            </w:tcBorders>
            <w:vAlign w:val="center"/>
          </w:tcPr>
          <w:p w14:paraId="4060DAAA">
            <w:pPr>
              <w:widowControl/>
              <w:jc w:val="left"/>
              <w:rPr>
                <w:rFonts w:ascii="宋体" w:hAnsi="宋体" w:eastAsia="宋体" w:cs="Times New Roman"/>
                <w:sz w:val="18"/>
                <w:szCs w:val="18"/>
              </w:rPr>
            </w:pPr>
          </w:p>
        </w:tc>
      </w:tr>
      <w:tr w14:paraId="512A8BD3">
        <w:tblPrEx>
          <w:tblCellMar>
            <w:top w:w="0" w:type="dxa"/>
            <w:left w:w="108" w:type="dxa"/>
            <w:bottom w:w="0" w:type="dxa"/>
            <w:right w:w="108" w:type="dxa"/>
          </w:tblCellMar>
        </w:tblPrEx>
        <w:trPr>
          <w:trHeight w:val="402" w:hRule="atLeast"/>
        </w:trPr>
        <w:tc>
          <w:tcPr>
            <w:tcW w:w="404" w:type="pct"/>
            <w:vMerge w:val="continue"/>
            <w:tcBorders>
              <w:top w:val="nil"/>
              <w:left w:val="single" w:color="auto" w:sz="4" w:space="0"/>
              <w:bottom w:val="single" w:color="000000" w:sz="4" w:space="0"/>
              <w:right w:val="single" w:color="auto" w:sz="4" w:space="0"/>
            </w:tcBorders>
            <w:vAlign w:val="center"/>
          </w:tcPr>
          <w:p w14:paraId="2E6539F6">
            <w:pPr>
              <w:widowControl/>
              <w:jc w:val="left"/>
              <w:rPr>
                <w:rFonts w:ascii="宋体" w:hAnsi="宋体" w:eastAsia="宋体" w:cs="Times New Roman"/>
                <w:b/>
                <w:bCs/>
                <w:sz w:val="18"/>
                <w:szCs w:val="18"/>
              </w:rPr>
            </w:pPr>
          </w:p>
        </w:tc>
        <w:tc>
          <w:tcPr>
            <w:tcW w:w="413" w:type="pct"/>
            <w:vMerge w:val="continue"/>
            <w:tcBorders>
              <w:top w:val="nil"/>
              <w:left w:val="single" w:color="auto" w:sz="4" w:space="0"/>
              <w:bottom w:val="nil"/>
              <w:right w:val="single" w:color="auto" w:sz="4" w:space="0"/>
            </w:tcBorders>
            <w:vAlign w:val="center"/>
          </w:tcPr>
          <w:p w14:paraId="3C489E85">
            <w:pPr>
              <w:widowControl/>
              <w:jc w:val="left"/>
              <w:rPr>
                <w:rFonts w:ascii="宋体" w:hAnsi="宋体" w:eastAsia="宋体" w:cs="Times New Roman"/>
                <w:b/>
                <w:bCs/>
                <w:sz w:val="18"/>
                <w:szCs w:val="18"/>
              </w:rPr>
            </w:pPr>
          </w:p>
        </w:tc>
        <w:tc>
          <w:tcPr>
            <w:tcW w:w="1019" w:type="pct"/>
            <w:tcBorders>
              <w:top w:val="nil"/>
              <w:left w:val="nil"/>
              <w:bottom w:val="single" w:color="auto" w:sz="4" w:space="0"/>
              <w:right w:val="single" w:color="auto" w:sz="4" w:space="0"/>
            </w:tcBorders>
            <w:vAlign w:val="center"/>
          </w:tcPr>
          <w:p w14:paraId="4C5B31C1">
            <w:pPr>
              <w:widowControl/>
              <w:jc w:val="center"/>
              <w:rPr>
                <w:rFonts w:ascii="宋体" w:hAnsi="宋体" w:eastAsia="宋体" w:cs="Times New Roman"/>
                <w:sz w:val="18"/>
                <w:szCs w:val="18"/>
              </w:rPr>
            </w:pPr>
            <w:r>
              <w:rPr>
                <w:rFonts w:hint="eastAsia" w:ascii="宋体" w:hAnsi="宋体" w:eastAsia="宋体" w:cs="宋体"/>
                <w:sz w:val="18"/>
                <w:szCs w:val="18"/>
              </w:rPr>
              <w:t>群众满意度得到提高</w:t>
            </w:r>
          </w:p>
        </w:tc>
        <w:tc>
          <w:tcPr>
            <w:tcW w:w="297" w:type="pct"/>
            <w:vMerge w:val="continue"/>
            <w:tcBorders>
              <w:top w:val="nil"/>
              <w:left w:val="single" w:color="auto" w:sz="4" w:space="0"/>
              <w:bottom w:val="nil"/>
              <w:right w:val="single" w:color="auto" w:sz="4" w:space="0"/>
            </w:tcBorders>
            <w:vAlign w:val="center"/>
          </w:tcPr>
          <w:p w14:paraId="75F36D94">
            <w:pPr>
              <w:widowControl/>
              <w:jc w:val="left"/>
              <w:rPr>
                <w:rFonts w:ascii="宋体" w:hAnsi="宋体" w:eastAsia="宋体" w:cs="Times New Roman"/>
                <w:sz w:val="18"/>
                <w:szCs w:val="18"/>
              </w:rPr>
            </w:pPr>
          </w:p>
        </w:tc>
        <w:tc>
          <w:tcPr>
            <w:tcW w:w="680" w:type="pct"/>
            <w:vMerge w:val="continue"/>
            <w:tcBorders>
              <w:top w:val="nil"/>
              <w:left w:val="single" w:color="auto" w:sz="4" w:space="0"/>
              <w:bottom w:val="nil"/>
              <w:right w:val="single" w:color="auto" w:sz="4" w:space="0"/>
            </w:tcBorders>
            <w:vAlign w:val="center"/>
          </w:tcPr>
          <w:p w14:paraId="06C906B5">
            <w:pPr>
              <w:widowControl/>
              <w:jc w:val="left"/>
              <w:rPr>
                <w:rFonts w:ascii="宋体" w:hAnsi="宋体" w:eastAsia="宋体" w:cs="Times New Roman"/>
                <w:sz w:val="18"/>
                <w:szCs w:val="18"/>
              </w:rPr>
            </w:pPr>
          </w:p>
        </w:tc>
        <w:tc>
          <w:tcPr>
            <w:tcW w:w="1632" w:type="pct"/>
            <w:vMerge w:val="continue"/>
            <w:tcBorders>
              <w:top w:val="nil"/>
              <w:left w:val="single" w:color="auto" w:sz="4" w:space="0"/>
              <w:bottom w:val="nil"/>
              <w:right w:val="single" w:color="auto" w:sz="4" w:space="0"/>
            </w:tcBorders>
            <w:vAlign w:val="center"/>
          </w:tcPr>
          <w:p w14:paraId="4C806DBD">
            <w:pPr>
              <w:widowControl/>
              <w:jc w:val="left"/>
              <w:rPr>
                <w:rFonts w:ascii="宋体" w:hAnsi="宋体" w:eastAsia="宋体" w:cs="Times New Roman"/>
                <w:sz w:val="18"/>
                <w:szCs w:val="18"/>
              </w:rPr>
            </w:pPr>
          </w:p>
        </w:tc>
        <w:tc>
          <w:tcPr>
            <w:tcW w:w="255" w:type="pct"/>
            <w:vMerge w:val="continue"/>
            <w:tcBorders>
              <w:top w:val="nil"/>
              <w:left w:val="single" w:color="auto" w:sz="4" w:space="0"/>
              <w:bottom w:val="nil"/>
              <w:right w:val="single" w:color="auto" w:sz="4" w:space="0"/>
            </w:tcBorders>
            <w:vAlign w:val="center"/>
          </w:tcPr>
          <w:p w14:paraId="19CCD362">
            <w:pPr>
              <w:widowControl/>
              <w:jc w:val="left"/>
              <w:rPr>
                <w:rFonts w:ascii="宋体" w:hAnsi="宋体" w:eastAsia="宋体" w:cs="Times New Roman"/>
                <w:sz w:val="18"/>
                <w:szCs w:val="18"/>
              </w:rPr>
            </w:pPr>
          </w:p>
        </w:tc>
        <w:tc>
          <w:tcPr>
            <w:tcW w:w="297" w:type="pct"/>
            <w:vMerge w:val="continue"/>
            <w:tcBorders>
              <w:top w:val="nil"/>
              <w:left w:val="single" w:color="auto" w:sz="4" w:space="0"/>
              <w:bottom w:val="nil"/>
              <w:right w:val="single" w:color="auto" w:sz="4" w:space="0"/>
            </w:tcBorders>
            <w:vAlign w:val="center"/>
          </w:tcPr>
          <w:p w14:paraId="6F9CCC48">
            <w:pPr>
              <w:widowControl/>
              <w:jc w:val="left"/>
              <w:rPr>
                <w:rFonts w:ascii="宋体" w:hAnsi="宋体" w:eastAsia="宋体" w:cs="Times New Roman"/>
                <w:sz w:val="18"/>
                <w:szCs w:val="18"/>
              </w:rPr>
            </w:pPr>
          </w:p>
        </w:tc>
      </w:tr>
      <w:tr w14:paraId="759BFB01">
        <w:tblPrEx>
          <w:tblCellMar>
            <w:top w:w="0" w:type="dxa"/>
            <w:left w:w="108" w:type="dxa"/>
            <w:bottom w:w="0" w:type="dxa"/>
            <w:right w:w="108" w:type="dxa"/>
          </w:tblCellMar>
        </w:tblPrEx>
        <w:trPr>
          <w:trHeight w:val="990" w:hRule="atLeast"/>
        </w:trPr>
        <w:tc>
          <w:tcPr>
            <w:tcW w:w="404" w:type="pct"/>
            <w:vMerge w:val="continue"/>
            <w:tcBorders>
              <w:top w:val="nil"/>
              <w:left w:val="single" w:color="auto" w:sz="4" w:space="0"/>
              <w:bottom w:val="single" w:color="000000" w:sz="4" w:space="0"/>
              <w:right w:val="single" w:color="auto" w:sz="4" w:space="0"/>
            </w:tcBorders>
            <w:vAlign w:val="center"/>
          </w:tcPr>
          <w:p w14:paraId="6AAB1A6E">
            <w:pPr>
              <w:widowControl/>
              <w:jc w:val="left"/>
              <w:rPr>
                <w:rFonts w:ascii="宋体" w:hAnsi="宋体" w:eastAsia="宋体" w:cs="Times New Roman"/>
                <w:b/>
                <w:bCs/>
                <w:sz w:val="18"/>
                <w:szCs w:val="18"/>
              </w:rPr>
            </w:pPr>
          </w:p>
        </w:tc>
        <w:tc>
          <w:tcPr>
            <w:tcW w:w="413" w:type="pct"/>
            <w:vMerge w:val="restart"/>
            <w:tcBorders>
              <w:top w:val="single" w:color="auto" w:sz="4" w:space="0"/>
              <w:left w:val="single" w:color="auto" w:sz="4" w:space="0"/>
              <w:bottom w:val="single" w:color="auto" w:sz="4" w:space="0"/>
              <w:right w:val="single" w:color="auto" w:sz="4" w:space="0"/>
            </w:tcBorders>
            <w:vAlign w:val="center"/>
          </w:tcPr>
          <w:p w14:paraId="38DDD6C3">
            <w:pPr>
              <w:widowControl/>
              <w:jc w:val="center"/>
              <w:rPr>
                <w:rFonts w:ascii="宋体" w:hAnsi="宋体" w:eastAsia="宋体" w:cs="Times New Roman"/>
                <w:b/>
                <w:bCs/>
                <w:sz w:val="18"/>
                <w:szCs w:val="18"/>
              </w:rPr>
            </w:pPr>
            <w:r>
              <w:rPr>
                <w:rFonts w:hint="eastAsia" w:ascii="宋体" w:hAnsi="宋体" w:eastAsia="宋体" w:cs="宋体"/>
                <w:b/>
                <w:bCs/>
                <w:sz w:val="18"/>
                <w:szCs w:val="18"/>
              </w:rPr>
              <w:t>预算管理</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31</w:t>
            </w:r>
            <w:r>
              <w:rPr>
                <w:rFonts w:hint="eastAsia" w:ascii="宋体" w:hAnsi="宋体" w:eastAsia="宋体" w:cs="宋体"/>
                <w:b/>
                <w:bCs/>
                <w:sz w:val="18"/>
                <w:szCs w:val="18"/>
              </w:rPr>
              <w:t>分）</w:t>
            </w:r>
          </w:p>
        </w:tc>
        <w:tc>
          <w:tcPr>
            <w:tcW w:w="1019" w:type="pct"/>
            <w:tcBorders>
              <w:top w:val="nil"/>
              <w:left w:val="nil"/>
              <w:bottom w:val="single" w:color="auto" w:sz="4" w:space="0"/>
              <w:right w:val="single" w:color="auto" w:sz="4" w:space="0"/>
            </w:tcBorders>
            <w:vAlign w:val="center"/>
          </w:tcPr>
          <w:p w14:paraId="06377526">
            <w:pPr>
              <w:widowControl/>
              <w:jc w:val="center"/>
              <w:rPr>
                <w:rFonts w:ascii="宋体" w:hAnsi="宋体" w:eastAsia="宋体" w:cs="Times New Roman"/>
                <w:sz w:val="18"/>
                <w:szCs w:val="18"/>
              </w:rPr>
            </w:pPr>
            <w:r>
              <w:rPr>
                <w:rFonts w:hint="eastAsia" w:ascii="宋体" w:hAnsi="宋体" w:eastAsia="宋体" w:cs="宋体"/>
                <w:sz w:val="18"/>
                <w:szCs w:val="18"/>
              </w:rPr>
              <w:t>预算编制质量</w:t>
            </w:r>
          </w:p>
        </w:tc>
        <w:tc>
          <w:tcPr>
            <w:tcW w:w="297" w:type="pct"/>
            <w:tcBorders>
              <w:top w:val="single" w:color="auto" w:sz="4" w:space="0"/>
              <w:left w:val="nil"/>
              <w:bottom w:val="single" w:color="auto" w:sz="4" w:space="0"/>
              <w:right w:val="single" w:color="auto" w:sz="4" w:space="0"/>
            </w:tcBorders>
            <w:vAlign w:val="center"/>
          </w:tcPr>
          <w:p w14:paraId="6ACE95B6">
            <w:pPr>
              <w:widowControl/>
              <w:jc w:val="center"/>
              <w:rPr>
                <w:rFonts w:ascii="宋体" w:hAnsi="宋体" w:eastAsia="宋体" w:cs="宋体"/>
                <w:sz w:val="18"/>
                <w:szCs w:val="18"/>
              </w:rPr>
            </w:pPr>
            <w:r>
              <w:rPr>
                <w:rFonts w:ascii="宋体" w:hAnsi="宋体" w:eastAsia="宋体" w:cs="宋体"/>
                <w:sz w:val="18"/>
                <w:szCs w:val="18"/>
              </w:rPr>
              <w:t>8</w:t>
            </w:r>
          </w:p>
        </w:tc>
        <w:tc>
          <w:tcPr>
            <w:tcW w:w="680" w:type="pct"/>
            <w:tcBorders>
              <w:top w:val="single" w:color="auto" w:sz="4" w:space="0"/>
              <w:left w:val="nil"/>
              <w:bottom w:val="single" w:color="auto" w:sz="4" w:space="0"/>
              <w:right w:val="single" w:color="auto" w:sz="4" w:space="0"/>
            </w:tcBorders>
            <w:vAlign w:val="center"/>
          </w:tcPr>
          <w:p w14:paraId="7B082A9C">
            <w:pPr>
              <w:widowControl/>
              <w:jc w:val="center"/>
              <w:rPr>
                <w:rFonts w:ascii="宋体" w:hAnsi="宋体" w:eastAsia="宋体" w:cs="Times New Roman"/>
                <w:sz w:val="18"/>
                <w:szCs w:val="18"/>
              </w:rPr>
            </w:pPr>
            <w:r>
              <w:rPr>
                <w:rFonts w:hint="eastAsia" w:ascii="宋体" w:hAnsi="宋体" w:eastAsia="宋体" w:cs="宋体"/>
                <w:sz w:val="18"/>
                <w:szCs w:val="18"/>
              </w:rPr>
              <w:t>部门是否严格按要求编制年初部门预算，年初预算编制的科学性和准确性</w:t>
            </w:r>
          </w:p>
        </w:tc>
        <w:tc>
          <w:tcPr>
            <w:tcW w:w="1632" w:type="pct"/>
            <w:tcBorders>
              <w:top w:val="single" w:color="auto" w:sz="4" w:space="0"/>
              <w:left w:val="nil"/>
              <w:bottom w:val="single" w:color="auto" w:sz="4" w:space="0"/>
              <w:right w:val="single" w:color="auto" w:sz="4" w:space="0"/>
            </w:tcBorders>
            <w:vAlign w:val="center"/>
          </w:tcPr>
          <w:p w14:paraId="2A82E9C1">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w:t>
            </w:r>
            <w:r>
              <w:rPr>
                <w:rFonts w:ascii="宋体" w:hAnsi="宋体" w:eastAsia="宋体" w:cs="宋体"/>
                <w:sz w:val="18"/>
                <w:szCs w:val="18"/>
              </w:rPr>
              <w:t>1-</w:t>
            </w:r>
            <w:r>
              <w:rPr>
                <w:rFonts w:hint="eastAsia" w:ascii="宋体" w:hAnsi="宋体" w:eastAsia="宋体" w:cs="宋体"/>
                <w:sz w:val="18"/>
                <w:szCs w:val="18"/>
              </w:rPr>
              <w:t>财政拨款预算偏离度）×</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8</w:t>
            </w:r>
            <w:r>
              <w:rPr>
                <w:rFonts w:hint="eastAsia" w:ascii="宋体" w:hAnsi="宋体" w:eastAsia="宋体" w:cs="宋体"/>
                <w:sz w:val="18"/>
                <w:szCs w:val="18"/>
              </w:rPr>
              <w:t>。偏离度</w:t>
            </w:r>
            <w:r>
              <w:rPr>
                <w:rFonts w:ascii="宋体" w:hAnsi="宋体" w:eastAsia="宋体" w:cs="宋体"/>
                <w:sz w:val="18"/>
                <w:szCs w:val="18"/>
              </w:rPr>
              <w:t>=|</w:t>
            </w:r>
            <w:r>
              <w:rPr>
                <w:rFonts w:hint="eastAsia" w:ascii="宋体" w:hAnsi="宋体" w:eastAsia="宋体" w:cs="宋体"/>
                <w:sz w:val="18"/>
                <w:szCs w:val="18"/>
              </w:rPr>
              <w:t>预算执行数</w:t>
            </w:r>
            <w:r>
              <w:rPr>
                <w:rFonts w:ascii="宋体" w:hAnsi="宋体" w:eastAsia="宋体" w:cs="宋体"/>
                <w:sz w:val="18"/>
                <w:szCs w:val="18"/>
              </w:rPr>
              <w:t>-</w:t>
            </w:r>
            <w:r>
              <w:rPr>
                <w:rFonts w:hint="eastAsia" w:ascii="宋体" w:hAnsi="宋体" w:eastAsia="宋体" w:cs="宋体"/>
                <w:sz w:val="18"/>
                <w:szCs w:val="18"/>
              </w:rPr>
              <w:t>调整预算数</w:t>
            </w:r>
            <w:r>
              <w:rPr>
                <w:rFonts w:ascii="宋体" w:hAnsi="宋体" w:eastAsia="宋体" w:cs="宋体"/>
                <w:sz w:val="18"/>
                <w:szCs w:val="18"/>
              </w:rPr>
              <w:t>|</w:t>
            </w:r>
            <w:r>
              <w:rPr>
                <w:rFonts w:hint="eastAsia" w:ascii="宋体" w:hAnsi="宋体" w:eastAsia="宋体" w:cs="宋体"/>
                <w:sz w:val="18"/>
                <w:szCs w:val="18"/>
              </w:rPr>
              <w:t>÷调整预算数。</w:t>
            </w:r>
          </w:p>
        </w:tc>
        <w:tc>
          <w:tcPr>
            <w:tcW w:w="255" w:type="pct"/>
            <w:tcBorders>
              <w:top w:val="single" w:color="auto" w:sz="4" w:space="0"/>
              <w:left w:val="nil"/>
              <w:bottom w:val="single" w:color="auto" w:sz="4" w:space="0"/>
              <w:right w:val="single" w:color="auto" w:sz="4" w:space="0"/>
            </w:tcBorders>
            <w:vAlign w:val="center"/>
          </w:tcPr>
          <w:p w14:paraId="72833FA4">
            <w:pPr>
              <w:widowControl/>
              <w:jc w:val="center"/>
              <w:rPr>
                <w:rFonts w:ascii="宋体" w:hAnsi="宋体" w:eastAsia="宋体" w:cs="宋体"/>
                <w:sz w:val="18"/>
                <w:szCs w:val="18"/>
              </w:rPr>
            </w:pPr>
            <w:r>
              <w:rPr>
                <w:rFonts w:ascii="宋体" w:hAnsi="宋体" w:eastAsia="宋体" w:cs="宋体"/>
                <w:sz w:val="18"/>
                <w:szCs w:val="18"/>
              </w:rPr>
              <w:t>8</w:t>
            </w:r>
          </w:p>
        </w:tc>
        <w:tc>
          <w:tcPr>
            <w:tcW w:w="297" w:type="pct"/>
            <w:vMerge w:val="restart"/>
            <w:tcBorders>
              <w:top w:val="single" w:color="auto" w:sz="4" w:space="0"/>
              <w:left w:val="single" w:color="auto" w:sz="4" w:space="0"/>
              <w:bottom w:val="single" w:color="auto" w:sz="4" w:space="0"/>
              <w:right w:val="single" w:color="auto" w:sz="4" w:space="0"/>
            </w:tcBorders>
            <w:vAlign w:val="center"/>
          </w:tcPr>
          <w:p w14:paraId="199105B7">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36AE8E0B">
        <w:tblPrEx>
          <w:tblCellMar>
            <w:top w:w="0" w:type="dxa"/>
            <w:left w:w="108" w:type="dxa"/>
            <w:bottom w:w="0" w:type="dxa"/>
            <w:right w:w="108" w:type="dxa"/>
          </w:tblCellMar>
        </w:tblPrEx>
        <w:trPr>
          <w:trHeight w:val="1470" w:hRule="atLeast"/>
        </w:trPr>
        <w:tc>
          <w:tcPr>
            <w:tcW w:w="404" w:type="pct"/>
            <w:vMerge w:val="continue"/>
            <w:tcBorders>
              <w:top w:val="nil"/>
              <w:left w:val="single" w:color="auto" w:sz="4" w:space="0"/>
              <w:bottom w:val="single" w:color="000000" w:sz="4" w:space="0"/>
              <w:right w:val="single" w:color="auto" w:sz="4" w:space="0"/>
            </w:tcBorders>
            <w:vAlign w:val="center"/>
          </w:tcPr>
          <w:p w14:paraId="41604F7D">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619EF92A">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2009BC62">
            <w:pPr>
              <w:widowControl/>
              <w:jc w:val="center"/>
              <w:rPr>
                <w:rFonts w:ascii="宋体" w:hAnsi="宋体" w:eastAsia="宋体" w:cs="Times New Roman"/>
                <w:sz w:val="18"/>
                <w:szCs w:val="18"/>
              </w:rPr>
            </w:pPr>
            <w:r>
              <w:rPr>
                <w:rFonts w:hint="eastAsia" w:ascii="宋体" w:hAnsi="宋体" w:eastAsia="宋体" w:cs="宋体"/>
                <w:sz w:val="18"/>
                <w:szCs w:val="18"/>
              </w:rPr>
              <w:t>支出执行进度</w:t>
            </w:r>
          </w:p>
        </w:tc>
        <w:tc>
          <w:tcPr>
            <w:tcW w:w="297" w:type="pct"/>
            <w:tcBorders>
              <w:top w:val="single" w:color="auto" w:sz="4" w:space="0"/>
              <w:left w:val="nil"/>
              <w:bottom w:val="single" w:color="auto" w:sz="4" w:space="0"/>
              <w:right w:val="single" w:color="auto" w:sz="4" w:space="0"/>
            </w:tcBorders>
            <w:vAlign w:val="center"/>
          </w:tcPr>
          <w:p w14:paraId="540C6EF9">
            <w:pPr>
              <w:widowControl/>
              <w:jc w:val="center"/>
              <w:rPr>
                <w:rFonts w:ascii="宋体" w:hAnsi="宋体" w:eastAsia="宋体" w:cs="宋体"/>
                <w:sz w:val="18"/>
                <w:szCs w:val="18"/>
              </w:rPr>
            </w:pPr>
            <w:r>
              <w:rPr>
                <w:rFonts w:ascii="宋体" w:hAnsi="宋体" w:eastAsia="宋体" w:cs="宋体"/>
                <w:sz w:val="18"/>
                <w:szCs w:val="18"/>
              </w:rPr>
              <w:t>9</w:t>
            </w:r>
          </w:p>
        </w:tc>
        <w:tc>
          <w:tcPr>
            <w:tcW w:w="680" w:type="pct"/>
            <w:tcBorders>
              <w:top w:val="single" w:color="auto" w:sz="4" w:space="0"/>
              <w:left w:val="nil"/>
              <w:bottom w:val="single" w:color="auto" w:sz="4" w:space="0"/>
              <w:right w:val="single" w:color="auto" w:sz="4" w:space="0"/>
            </w:tcBorders>
            <w:vAlign w:val="center"/>
          </w:tcPr>
          <w:p w14:paraId="67F1B5DD">
            <w:pPr>
              <w:widowControl/>
              <w:jc w:val="center"/>
              <w:rPr>
                <w:rFonts w:ascii="宋体" w:hAnsi="宋体" w:eastAsia="宋体" w:cs="Times New Roman"/>
                <w:sz w:val="18"/>
                <w:szCs w:val="18"/>
              </w:rPr>
            </w:pPr>
            <w:r>
              <w:rPr>
                <w:rFonts w:hint="eastAsia" w:ascii="宋体" w:hAnsi="宋体" w:eastAsia="宋体" w:cs="宋体"/>
                <w:sz w:val="18"/>
                <w:szCs w:val="18"/>
              </w:rPr>
              <w:t>部门</w:t>
            </w:r>
            <w:r>
              <w:rPr>
                <w:rFonts w:ascii="宋体" w:hAnsi="宋体" w:eastAsia="宋体" w:cs="宋体"/>
                <w:sz w:val="18"/>
                <w:szCs w:val="18"/>
              </w:rPr>
              <w:t>1</w:t>
            </w:r>
            <w:r>
              <w:rPr>
                <w:rFonts w:hint="eastAsia" w:ascii="宋体" w:hAnsi="宋体" w:eastAsia="宋体" w:cs="宋体"/>
                <w:sz w:val="18"/>
                <w:szCs w:val="18"/>
              </w:rPr>
              <w:t>至</w:t>
            </w:r>
            <w:r>
              <w:rPr>
                <w:rFonts w:ascii="宋体" w:hAnsi="宋体" w:eastAsia="宋体" w:cs="宋体"/>
                <w:sz w:val="18"/>
                <w:szCs w:val="18"/>
              </w:rPr>
              <w:t>12</w:t>
            </w:r>
            <w:r>
              <w:rPr>
                <w:rFonts w:hint="eastAsia" w:ascii="宋体" w:hAnsi="宋体" w:eastAsia="宋体" w:cs="宋体"/>
                <w:sz w:val="18"/>
                <w:szCs w:val="18"/>
              </w:rPr>
              <w:t>月预算执行情况</w:t>
            </w:r>
          </w:p>
        </w:tc>
        <w:tc>
          <w:tcPr>
            <w:tcW w:w="1632" w:type="pct"/>
            <w:tcBorders>
              <w:top w:val="single" w:color="auto" w:sz="4" w:space="0"/>
              <w:left w:val="nil"/>
              <w:bottom w:val="single" w:color="auto" w:sz="4" w:space="0"/>
              <w:right w:val="single" w:color="auto" w:sz="4" w:space="0"/>
            </w:tcBorders>
            <w:vAlign w:val="center"/>
          </w:tcPr>
          <w:p w14:paraId="4C847413">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lang w:eastAsia="zh-CN"/>
              </w:rPr>
              <w:t>中央、省委</w:t>
            </w:r>
            <w:r>
              <w:rPr>
                <w:rFonts w:hint="eastAsia" w:ascii="宋体" w:hAnsi="宋体" w:eastAsia="宋体" w:cs="宋体"/>
                <w:sz w:val="18"/>
                <w:szCs w:val="18"/>
              </w:rPr>
              <w:t>转移支付资金</w:t>
            </w:r>
            <w:r>
              <w:rPr>
                <w:rFonts w:ascii="宋体" w:hAnsi="宋体" w:eastAsia="宋体" w:cs="宋体"/>
                <w:sz w:val="18"/>
                <w:szCs w:val="18"/>
              </w:rPr>
              <w:t>1</w:t>
            </w:r>
            <w:r>
              <w:rPr>
                <w:rFonts w:hint="eastAsia" w:ascii="宋体" w:hAnsi="宋体" w:eastAsia="宋体" w:cs="宋体"/>
                <w:sz w:val="18"/>
                <w:szCs w:val="18"/>
              </w:rPr>
              <w:t>至</w:t>
            </w:r>
            <w:r>
              <w:rPr>
                <w:rFonts w:ascii="宋体" w:hAnsi="宋体" w:eastAsia="宋体" w:cs="宋体"/>
                <w:sz w:val="18"/>
                <w:szCs w:val="18"/>
              </w:rPr>
              <w:t>12</w:t>
            </w:r>
            <w:r>
              <w:rPr>
                <w:rFonts w:hint="eastAsia" w:ascii="宋体" w:hAnsi="宋体" w:eastAsia="宋体" w:cs="宋体"/>
                <w:sz w:val="18"/>
                <w:szCs w:val="18"/>
              </w:rPr>
              <w:t>月实际支出数÷</w:t>
            </w:r>
            <w:r>
              <w:rPr>
                <w:rFonts w:ascii="宋体" w:hAnsi="宋体" w:eastAsia="宋体" w:cs="宋体"/>
                <w:sz w:val="18"/>
                <w:szCs w:val="18"/>
              </w:rPr>
              <w:t>1-12</w:t>
            </w:r>
            <w:r>
              <w:rPr>
                <w:rFonts w:hint="eastAsia" w:ascii="宋体" w:hAnsi="宋体" w:eastAsia="宋体" w:cs="宋体"/>
                <w:sz w:val="18"/>
                <w:szCs w:val="18"/>
              </w:rPr>
              <w:t>月预算数</w:t>
            </w:r>
            <w:r>
              <w:rPr>
                <w:rFonts w:ascii="宋体" w:hAnsi="宋体" w:eastAsia="宋体" w:cs="宋体"/>
                <w:sz w:val="18"/>
                <w:szCs w:val="18"/>
              </w:rPr>
              <w:t>*3+</w:t>
            </w:r>
            <w:r>
              <w:rPr>
                <w:rFonts w:hint="eastAsia" w:ascii="宋体" w:hAnsi="宋体" w:eastAsia="宋体" w:cs="宋体"/>
                <w:sz w:val="18"/>
                <w:szCs w:val="18"/>
              </w:rPr>
              <w:t>专项债券资金实际支出数÷</w:t>
            </w:r>
            <w:r>
              <w:rPr>
                <w:rFonts w:ascii="宋体" w:hAnsi="宋体" w:eastAsia="宋体" w:cs="宋体"/>
                <w:sz w:val="18"/>
                <w:szCs w:val="18"/>
              </w:rPr>
              <w:t>1-12</w:t>
            </w:r>
            <w:r>
              <w:rPr>
                <w:rFonts w:hint="eastAsia" w:ascii="宋体" w:hAnsi="宋体" w:eastAsia="宋体" w:cs="宋体"/>
                <w:sz w:val="18"/>
                <w:szCs w:val="18"/>
              </w:rPr>
              <w:t>月部门预算数</w:t>
            </w:r>
            <w:r>
              <w:rPr>
                <w:rFonts w:ascii="宋体" w:hAnsi="宋体" w:eastAsia="宋体" w:cs="宋体"/>
                <w:sz w:val="18"/>
                <w:szCs w:val="18"/>
              </w:rPr>
              <w:t>*3+</w:t>
            </w:r>
            <w:r>
              <w:rPr>
                <w:rFonts w:hint="eastAsia" w:ascii="宋体" w:hAnsi="宋体" w:eastAsia="宋体" w:cs="宋体"/>
                <w:sz w:val="18"/>
                <w:szCs w:val="18"/>
              </w:rPr>
              <w:t>专项预算项目</w:t>
            </w:r>
            <w:r>
              <w:rPr>
                <w:rFonts w:ascii="宋体" w:hAnsi="宋体" w:eastAsia="宋体" w:cs="宋体"/>
                <w:sz w:val="18"/>
                <w:szCs w:val="18"/>
              </w:rPr>
              <w:t>1</w:t>
            </w:r>
            <w:r>
              <w:rPr>
                <w:rFonts w:hint="eastAsia" w:ascii="宋体" w:hAnsi="宋体" w:eastAsia="宋体" w:cs="宋体"/>
                <w:sz w:val="18"/>
                <w:szCs w:val="18"/>
              </w:rPr>
              <w:t>至</w:t>
            </w:r>
            <w:r>
              <w:rPr>
                <w:rFonts w:ascii="宋体" w:hAnsi="宋体" w:eastAsia="宋体" w:cs="宋体"/>
                <w:sz w:val="18"/>
                <w:szCs w:val="18"/>
              </w:rPr>
              <w:t>12</w:t>
            </w:r>
            <w:r>
              <w:rPr>
                <w:rFonts w:hint="eastAsia" w:ascii="宋体" w:hAnsi="宋体" w:eastAsia="宋体" w:cs="宋体"/>
                <w:sz w:val="18"/>
                <w:szCs w:val="18"/>
              </w:rPr>
              <w:t>月实际支出数÷</w:t>
            </w:r>
            <w:r>
              <w:rPr>
                <w:rFonts w:ascii="宋体" w:hAnsi="宋体" w:eastAsia="宋体" w:cs="宋体"/>
                <w:sz w:val="18"/>
                <w:szCs w:val="18"/>
              </w:rPr>
              <w:t>1-12</w:t>
            </w:r>
            <w:r>
              <w:rPr>
                <w:rFonts w:hint="eastAsia" w:ascii="宋体" w:hAnsi="宋体" w:eastAsia="宋体" w:cs="宋体"/>
                <w:sz w:val="18"/>
                <w:szCs w:val="18"/>
              </w:rPr>
              <w:t>月预算数</w:t>
            </w:r>
            <w:r>
              <w:rPr>
                <w:rFonts w:ascii="宋体" w:hAnsi="宋体" w:eastAsia="宋体" w:cs="宋体"/>
                <w:sz w:val="18"/>
                <w:szCs w:val="18"/>
              </w:rPr>
              <w:t>*3</w:t>
            </w:r>
            <w:r>
              <w:rPr>
                <w:rFonts w:hint="eastAsia" w:ascii="宋体" w:hAnsi="宋体" w:eastAsia="宋体" w:cs="宋体"/>
                <w:sz w:val="18"/>
                <w:szCs w:val="18"/>
              </w:rPr>
              <w:t>。</w:t>
            </w:r>
          </w:p>
        </w:tc>
        <w:tc>
          <w:tcPr>
            <w:tcW w:w="255" w:type="pct"/>
            <w:tcBorders>
              <w:top w:val="single" w:color="auto" w:sz="4" w:space="0"/>
              <w:left w:val="nil"/>
              <w:bottom w:val="single" w:color="auto" w:sz="4" w:space="0"/>
              <w:right w:val="single" w:color="auto" w:sz="4" w:space="0"/>
            </w:tcBorders>
            <w:vAlign w:val="center"/>
          </w:tcPr>
          <w:p w14:paraId="1F5A79CC">
            <w:pPr>
              <w:widowControl/>
              <w:jc w:val="center"/>
              <w:rPr>
                <w:rFonts w:ascii="宋体" w:hAnsi="宋体" w:eastAsia="宋体" w:cs="宋体"/>
                <w:sz w:val="18"/>
                <w:szCs w:val="18"/>
              </w:rPr>
            </w:pPr>
            <w:r>
              <w:rPr>
                <w:rFonts w:ascii="宋体" w:hAnsi="宋体" w:eastAsia="宋体" w:cs="宋体"/>
                <w:sz w:val="18"/>
                <w:szCs w:val="18"/>
              </w:rPr>
              <w:t>9</w:t>
            </w: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0D2AF362">
            <w:pPr>
              <w:widowControl/>
              <w:jc w:val="left"/>
              <w:rPr>
                <w:rFonts w:ascii="宋体" w:hAnsi="宋体" w:eastAsia="宋体" w:cs="Times New Roman"/>
                <w:sz w:val="18"/>
                <w:szCs w:val="18"/>
              </w:rPr>
            </w:pPr>
          </w:p>
        </w:tc>
      </w:tr>
      <w:tr w14:paraId="30E19556">
        <w:tblPrEx>
          <w:tblCellMar>
            <w:top w:w="0" w:type="dxa"/>
            <w:left w:w="108" w:type="dxa"/>
            <w:bottom w:w="0" w:type="dxa"/>
            <w:right w:w="108" w:type="dxa"/>
          </w:tblCellMar>
        </w:tblPrEx>
        <w:trPr>
          <w:trHeight w:val="1122" w:hRule="atLeast"/>
        </w:trPr>
        <w:tc>
          <w:tcPr>
            <w:tcW w:w="404" w:type="pct"/>
            <w:vMerge w:val="continue"/>
            <w:tcBorders>
              <w:top w:val="nil"/>
              <w:left w:val="single" w:color="auto" w:sz="4" w:space="0"/>
              <w:bottom w:val="single" w:color="000000" w:sz="4" w:space="0"/>
              <w:right w:val="single" w:color="auto" w:sz="4" w:space="0"/>
            </w:tcBorders>
            <w:vAlign w:val="center"/>
          </w:tcPr>
          <w:p w14:paraId="0A601878">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5BACAA9C">
            <w:pPr>
              <w:widowControl/>
              <w:jc w:val="left"/>
              <w:rPr>
                <w:rFonts w:ascii="宋体" w:hAnsi="宋体" w:eastAsia="宋体" w:cs="Times New Roman"/>
                <w:b/>
                <w:bCs/>
                <w:sz w:val="18"/>
                <w:szCs w:val="18"/>
              </w:rPr>
            </w:pPr>
          </w:p>
        </w:tc>
        <w:tc>
          <w:tcPr>
            <w:tcW w:w="1019" w:type="pct"/>
            <w:tcBorders>
              <w:top w:val="nil"/>
              <w:left w:val="single" w:color="auto" w:sz="4" w:space="0"/>
              <w:bottom w:val="single" w:color="auto" w:sz="4" w:space="0"/>
              <w:right w:val="single" w:color="auto" w:sz="4" w:space="0"/>
            </w:tcBorders>
            <w:vAlign w:val="center"/>
          </w:tcPr>
          <w:p w14:paraId="71EB064D">
            <w:pPr>
              <w:widowControl/>
              <w:jc w:val="center"/>
              <w:rPr>
                <w:rFonts w:ascii="宋体" w:hAnsi="宋体" w:eastAsia="宋体" w:cs="Times New Roman"/>
                <w:sz w:val="18"/>
                <w:szCs w:val="18"/>
              </w:rPr>
            </w:pPr>
            <w:r>
              <w:rPr>
                <w:rFonts w:hint="eastAsia" w:ascii="宋体" w:hAnsi="宋体" w:eastAsia="宋体" w:cs="宋体"/>
                <w:sz w:val="18"/>
                <w:szCs w:val="18"/>
              </w:rPr>
              <w:t>预算年终结余</w:t>
            </w:r>
          </w:p>
        </w:tc>
        <w:tc>
          <w:tcPr>
            <w:tcW w:w="297" w:type="pct"/>
            <w:tcBorders>
              <w:top w:val="nil"/>
              <w:left w:val="nil"/>
              <w:bottom w:val="single" w:color="auto" w:sz="4" w:space="0"/>
              <w:right w:val="single" w:color="auto" w:sz="4" w:space="0"/>
            </w:tcBorders>
            <w:vAlign w:val="center"/>
          </w:tcPr>
          <w:p w14:paraId="3CF88978">
            <w:pPr>
              <w:widowControl/>
              <w:jc w:val="center"/>
              <w:rPr>
                <w:rFonts w:ascii="宋体" w:hAnsi="宋体" w:eastAsia="宋体" w:cs="宋体"/>
                <w:sz w:val="18"/>
                <w:szCs w:val="18"/>
              </w:rPr>
            </w:pPr>
            <w:r>
              <w:rPr>
                <w:rFonts w:ascii="宋体" w:hAnsi="宋体" w:eastAsia="宋体" w:cs="宋体"/>
                <w:sz w:val="18"/>
                <w:szCs w:val="18"/>
              </w:rPr>
              <w:t>8</w:t>
            </w:r>
          </w:p>
        </w:tc>
        <w:tc>
          <w:tcPr>
            <w:tcW w:w="680" w:type="pct"/>
            <w:tcBorders>
              <w:top w:val="nil"/>
              <w:left w:val="nil"/>
              <w:bottom w:val="single" w:color="auto" w:sz="4" w:space="0"/>
              <w:right w:val="single" w:color="auto" w:sz="4" w:space="0"/>
            </w:tcBorders>
            <w:vAlign w:val="center"/>
          </w:tcPr>
          <w:p w14:paraId="4682094C">
            <w:pPr>
              <w:widowControl/>
              <w:jc w:val="center"/>
              <w:rPr>
                <w:rFonts w:ascii="宋体" w:hAnsi="宋体" w:eastAsia="宋体" w:cs="Times New Roman"/>
                <w:sz w:val="18"/>
                <w:szCs w:val="18"/>
              </w:rPr>
            </w:pPr>
            <w:r>
              <w:rPr>
                <w:rFonts w:hint="eastAsia" w:ascii="宋体" w:hAnsi="宋体" w:eastAsia="宋体" w:cs="宋体"/>
                <w:sz w:val="18"/>
                <w:szCs w:val="18"/>
              </w:rPr>
              <w:t>部门整体年终预算结余情况</w:t>
            </w:r>
          </w:p>
        </w:tc>
        <w:tc>
          <w:tcPr>
            <w:tcW w:w="1632" w:type="pct"/>
            <w:tcBorders>
              <w:top w:val="nil"/>
              <w:left w:val="nil"/>
              <w:bottom w:val="single" w:color="auto" w:sz="4" w:space="0"/>
              <w:right w:val="single" w:color="auto" w:sz="4" w:space="0"/>
            </w:tcBorders>
            <w:vAlign w:val="center"/>
          </w:tcPr>
          <w:p w14:paraId="62199915">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w:t>
            </w:r>
            <w:r>
              <w:rPr>
                <w:rFonts w:ascii="宋体" w:hAnsi="宋体" w:eastAsia="宋体" w:cs="宋体"/>
                <w:sz w:val="18"/>
                <w:szCs w:val="18"/>
              </w:rPr>
              <w:t>1-</w:t>
            </w:r>
            <w:r>
              <w:rPr>
                <w:rFonts w:hint="eastAsia" w:ascii="宋体" w:hAnsi="宋体" w:eastAsia="宋体" w:cs="宋体"/>
                <w:sz w:val="18"/>
                <w:szCs w:val="18"/>
              </w:rPr>
              <w:t>部门整体预算结余率）×</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8</w:t>
            </w:r>
            <w:r>
              <w:rPr>
                <w:rFonts w:hint="eastAsia" w:ascii="宋体" w:hAnsi="宋体" w:eastAsia="宋体" w:cs="宋体"/>
                <w:sz w:val="18"/>
                <w:szCs w:val="18"/>
              </w:rPr>
              <w:t>部门整体预算结余率为当年年终部门预算注销金额和结转金额占部门预算总金额的比率。</w:t>
            </w:r>
          </w:p>
        </w:tc>
        <w:tc>
          <w:tcPr>
            <w:tcW w:w="255" w:type="pct"/>
            <w:tcBorders>
              <w:top w:val="nil"/>
              <w:left w:val="nil"/>
              <w:bottom w:val="single" w:color="auto" w:sz="4" w:space="0"/>
              <w:right w:val="single" w:color="auto" w:sz="4" w:space="0"/>
            </w:tcBorders>
            <w:vAlign w:val="center"/>
          </w:tcPr>
          <w:p w14:paraId="5EC15C54">
            <w:pPr>
              <w:widowControl/>
              <w:jc w:val="center"/>
              <w:rPr>
                <w:rFonts w:ascii="宋体" w:hAnsi="宋体" w:eastAsia="宋体" w:cs="宋体"/>
                <w:sz w:val="18"/>
                <w:szCs w:val="18"/>
              </w:rPr>
            </w:pPr>
            <w:r>
              <w:rPr>
                <w:rFonts w:ascii="宋体" w:hAnsi="宋体" w:eastAsia="宋体" w:cs="宋体"/>
                <w:sz w:val="18"/>
                <w:szCs w:val="18"/>
              </w:rPr>
              <w:t>8</w:t>
            </w: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642792BB">
            <w:pPr>
              <w:widowControl/>
              <w:jc w:val="left"/>
              <w:rPr>
                <w:rFonts w:ascii="宋体" w:hAnsi="宋体" w:eastAsia="宋体" w:cs="Times New Roman"/>
                <w:sz w:val="18"/>
                <w:szCs w:val="18"/>
              </w:rPr>
            </w:pPr>
          </w:p>
        </w:tc>
      </w:tr>
      <w:tr w14:paraId="4D934057">
        <w:tblPrEx>
          <w:tblCellMar>
            <w:top w:w="0" w:type="dxa"/>
            <w:left w:w="108" w:type="dxa"/>
            <w:bottom w:w="0" w:type="dxa"/>
            <w:right w:w="108" w:type="dxa"/>
          </w:tblCellMar>
        </w:tblPrEx>
        <w:trPr>
          <w:trHeight w:val="2250" w:hRule="atLeast"/>
        </w:trPr>
        <w:tc>
          <w:tcPr>
            <w:tcW w:w="404" w:type="pct"/>
            <w:vMerge w:val="continue"/>
            <w:tcBorders>
              <w:top w:val="nil"/>
              <w:left w:val="single" w:color="auto" w:sz="4" w:space="0"/>
              <w:bottom w:val="single" w:color="000000" w:sz="4" w:space="0"/>
              <w:right w:val="single" w:color="auto" w:sz="4" w:space="0"/>
            </w:tcBorders>
            <w:vAlign w:val="center"/>
          </w:tcPr>
          <w:p w14:paraId="23C89673">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2687F031">
            <w:pPr>
              <w:widowControl/>
              <w:jc w:val="left"/>
              <w:rPr>
                <w:rFonts w:ascii="宋体" w:hAnsi="宋体" w:eastAsia="宋体" w:cs="Times New Roman"/>
                <w:b/>
                <w:bCs/>
                <w:sz w:val="18"/>
                <w:szCs w:val="18"/>
              </w:rPr>
            </w:pPr>
          </w:p>
        </w:tc>
        <w:tc>
          <w:tcPr>
            <w:tcW w:w="1019" w:type="pct"/>
            <w:tcBorders>
              <w:top w:val="nil"/>
              <w:left w:val="single" w:color="auto" w:sz="4" w:space="0"/>
              <w:bottom w:val="single" w:color="auto" w:sz="4" w:space="0"/>
              <w:right w:val="single" w:color="auto" w:sz="4" w:space="0"/>
            </w:tcBorders>
            <w:vAlign w:val="center"/>
          </w:tcPr>
          <w:p w14:paraId="2B99FDCD">
            <w:pPr>
              <w:widowControl/>
              <w:jc w:val="center"/>
              <w:rPr>
                <w:rFonts w:ascii="宋体" w:hAnsi="宋体" w:eastAsia="宋体" w:cs="Times New Roman"/>
                <w:sz w:val="18"/>
                <w:szCs w:val="18"/>
              </w:rPr>
            </w:pPr>
            <w:r>
              <w:rPr>
                <w:rFonts w:hint="eastAsia" w:ascii="宋体" w:hAnsi="宋体" w:eastAsia="宋体" w:cs="宋体"/>
                <w:sz w:val="18"/>
                <w:szCs w:val="18"/>
              </w:rPr>
              <w:t>严控一般性支出</w:t>
            </w:r>
          </w:p>
        </w:tc>
        <w:tc>
          <w:tcPr>
            <w:tcW w:w="297" w:type="pct"/>
            <w:tcBorders>
              <w:top w:val="nil"/>
              <w:left w:val="nil"/>
              <w:bottom w:val="single" w:color="auto" w:sz="4" w:space="0"/>
              <w:right w:val="single" w:color="auto" w:sz="4" w:space="0"/>
            </w:tcBorders>
            <w:vAlign w:val="center"/>
          </w:tcPr>
          <w:p w14:paraId="7955DF14">
            <w:pPr>
              <w:widowControl/>
              <w:jc w:val="center"/>
              <w:rPr>
                <w:rFonts w:ascii="宋体" w:hAnsi="宋体" w:eastAsia="宋体" w:cs="宋体"/>
                <w:sz w:val="18"/>
                <w:szCs w:val="18"/>
              </w:rPr>
            </w:pPr>
            <w:r>
              <w:rPr>
                <w:rFonts w:ascii="宋体" w:hAnsi="宋体" w:eastAsia="宋体" w:cs="宋体"/>
                <w:sz w:val="18"/>
                <w:szCs w:val="18"/>
              </w:rPr>
              <w:t>6</w:t>
            </w:r>
          </w:p>
        </w:tc>
        <w:tc>
          <w:tcPr>
            <w:tcW w:w="680" w:type="pct"/>
            <w:tcBorders>
              <w:top w:val="nil"/>
              <w:left w:val="nil"/>
              <w:bottom w:val="single" w:color="auto" w:sz="4" w:space="0"/>
              <w:right w:val="single" w:color="auto" w:sz="4" w:space="0"/>
            </w:tcBorders>
            <w:vAlign w:val="center"/>
          </w:tcPr>
          <w:p w14:paraId="3DB14816">
            <w:pPr>
              <w:widowControl/>
              <w:jc w:val="center"/>
              <w:rPr>
                <w:rFonts w:ascii="宋体" w:hAnsi="宋体" w:eastAsia="宋体" w:cs="Times New Roman"/>
                <w:sz w:val="18"/>
                <w:szCs w:val="18"/>
              </w:rPr>
            </w:pPr>
            <w:r>
              <w:rPr>
                <w:rFonts w:hint="eastAsia" w:ascii="宋体" w:hAnsi="宋体" w:eastAsia="宋体" w:cs="宋体"/>
                <w:sz w:val="18"/>
                <w:szCs w:val="18"/>
              </w:rPr>
              <w:t>部门严控“三公”经费、会议、培训、差旅、办节办展、办公设备购置、信息网络及软件购置更新、课题经费等</w:t>
            </w:r>
            <w:r>
              <w:rPr>
                <w:rFonts w:ascii="宋体" w:hAnsi="宋体" w:eastAsia="宋体" w:cs="宋体"/>
                <w:sz w:val="18"/>
                <w:szCs w:val="18"/>
              </w:rPr>
              <w:t>8</w:t>
            </w:r>
            <w:r>
              <w:rPr>
                <w:rFonts w:hint="eastAsia" w:ascii="宋体" w:hAnsi="宋体" w:eastAsia="宋体" w:cs="宋体"/>
                <w:sz w:val="18"/>
                <w:szCs w:val="18"/>
              </w:rPr>
              <w:t>项一般性支出情况</w:t>
            </w:r>
          </w:p>
        </w:tc>
        <w:tc>
          <w:tcPr>
            <w:tcW w:w="1632" w:type="pct"/>
            <w:tcBorders>
              <w:top w:val="nil"/>
              <w:left w:val="nil"/>
              <w:bottom w:val="single" w:color="auto" w:sz="4" w:space="0"/>
              <w:right w:val="single" w:color="auto" w:sz="4" w:space="0"/>
            </w:tcBorders>
            <w:vAlign w:val="center"/>
          </w:tcPr>
          <w:p w14:paraId="581B82D0">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基础分值</w:t>
            </w:r>
            <w:r>
              <w:rPr>
                <w:rFonts w:ascii="宋体" w:hAnsi="宋体" w:eastAsia="宋体" w:cs="宋体"/>
                <w:sz w:val="18"/>
                <w:szCs w:val="18"/>
              </w:rPr>
              <w:t>+</w:t>
            </w:r>
            <w:r>
              <w:rPr>
                <w:rFonts w:hint="eastAsia" w:ascii="宋体" w:hAnsi="宋体" w:eastAsia="宋体" w:cs="宋体"/>
                <w:sz w:val="18"/>
                <w:szCs w:val="18"/>
              </w:rPr>
              <w:t>加分值。</w:t>
            </w:r>
            <w:r>
              <w:rPr>
                <w:rFonts w:ascii="宋体" w:hAnsi="宋体" w:eastAsia="宋体" w:cs="Times New Roman"/>
                <w:sz w:val="18"/>
                <w:szCs w:val="18"/>
              </w:rPr>
              <w:br w:type="textWrapping"/>
            </w:r>
            <w:r>
              <w:rPr>
                <w:rFonts w:ascii="宋体" w:hAnsi="宋体" w:eastAsia="宋体" w:cs="宋体"/>
                <w:sz w:val="18"/>
                <w:szCs w:val="18"/>
              </w:rPr>
              <w:t>1.</w:t>
            </w:r>
            <w:r>
              <w:rPr>
                <w:rFonts w:hint="eastAsia" w:ascii="宋体" w:hAnsi="宋体" w:eastAsia="宋体" w:cs="宋体"/>
                <w:sz w:val="18"/>
                <w:szCs w:val="18"/>
              </w:rPr>
              <w:t>基础分值。一般性支出财政拨款年初预算较上年实现压减得</w:t>
            </w:r>
            <w:r>
              <w:rPr>
                <w:rFonts w:ascii="宋体" w:hAnsi="宋体" w:eastAsia="宋体" w:cs="宋体"/>
                <w:sz w:val="18"/>
                <w:szCs w:val="18"/>
              </w:rPr>
              <w:t>1.5</w:t>
            </w:r>
            <w:r>
              <w:rPr>
                <w:rFonts w:hint="eastAsia" w:ascii="宋体" w:hAnsi="宋体" w:eastAsia="宋体" w:cs="宋体"/>
                <w:sz w:val="18"/>
                <w:szCs w:val="18"/>
              </w:rPr>
              <w:t>分；一般性支出财政拨款预算执行较上年实现压减得</w:t>
            </w:r>
            <w:r>
              <w:rPr>
                <w:rFonts w:ascii="宋体" w:hAnsi="宋体" w:eastAsia="宋体" w:cs="宋体"/>
                <w:sz w:val="18"/>
                <w:szCs w:val="18"/>
              </w:rPr>
              <w:t>1.5</w:t>
            </w:r>
            <w:r>
              <w:rPr>
                <w:rFonts w:hint="eastAsia" w:ascii="宋体" w:hAnsi="宋体" w:eastAsia="宋体" w:cs="宋体"/>
                <w:sz w:val="18"/>
                <w:szCs w:val="18"/>
              </w:rPr>
              <w:t>分。</w:t>
            </w:r>
            <w:r>
              <w:rPr>
                <w:rFonts w:ascii="宋体" w:hAnsi="宋体" w:eastAsia="宋体" w:cs="Times New Roman"/>
                <w:sz w:val="18"/>
                <w:szCs w:val="18"/>
              </w:rPr>
              <w:br w:type="textWrapping"/>
            </w:r>
            <w:r>
              <w:rPr>
                <w:rFonts w:ascii="宋体" w:hAnsi="宋体" w:eastAsia="宋体" w:cs="宋体"/>
                <w:sz w:val="18"/>
                <w:szCs w:val="18"/>
              </w:rPr>
              <w:t>2.</w:t>
            </w:r>
            <w:r>
              <w:rPr>
                <w:rFonts w:hint="eastAsia" w:ascii="宋体" w:hAnsi="宋体" w:eastAsia="宋体" w:cs="宋体"/>
                <w:sz w:val="18"/>
                <w:szCs w:val="18"/>
              </w:rPr>
              <w:t>加分值。一般性支出财政拨款年初预算较上年每压减</w:t>
            </w:r>
            <w:r>
              <w:rPr>
                <w:rFonts w:ascii="宋体" w:hAnsi="宋体" w:eastAsia="宋体" w:cs="宋体"/>
                <w:sz w:val="18"/>
                <w:szCs w:val="18"/>
              </w:rPr>
              <w:t>1%</w:t>
            </w:r>
            <w:r>
              <w:rPr>
                <w:rFonts w:hint="eastAsia" w:ascii="宋体" w:hAnsi="宋体" w:eastAsia="宋体" w:cs="宋体"/>
                <w:sz w:val="18"/>
                <w:szCs w:val="18"/>
              </w:rPr>
              <w:t>得</w:t>
            </w:r>
            <w:r>
              <w:rPr>
                <w:rFonts w:ascii="宋体" w:hAnsi="宋体" w:eastAsia="宋体" w:cs="宋体"/>
                <w:sz w:val="18"/>
                <w:szCs w:val="18"/>
              </w:rPr>
              <w:t>0.2</w:t>
            </w:r>
            <w:r>
              <w:rPr>
                <w:rFonts w:hint="eastAsia" w:ascii="宋体" w:hAnsi="宋体" w:eastAsia="宋体" w:cs="宋体"/>
                <w:sz w:val="18"/>
                <w:szCs w:val="18"/>
              </w:rPr>
              <w:t>分，累计不超过</w:t>
            </w:r>
            <w:r>
              <w:rPr>
                <w:rFonts w:ascii="宋体" w:hAnsi="宋体" w:eastAsia="宋体" w:cs="宋体"/>
                <w:sz w:val="18"/>
                <w:szCs w:val="18"/>
              </w:rPr>
              <w:t>1</w:t>
            </w:r>
            <w:r>
              <w:rPr>
                <w:rFonts w:hint="eastAsia" w:ascii="宋体" w:hAnsi="宋体" w:eastAsia="宋体" w:cs="宋体"/>
                <w:sz w:val="18"/>
                <w:szCs w:val="18"/>
              </w:rPr>
              <w:t>分；一般性支出财政拨款预算执行较上年每压减</w:t>
            </w:r>
            <w:r>
              <w:rPr>
                <w:rFonts w:ascii="宋体" w:hAnsi="宋体" w:eastAsia="宋体" w:cs="宋体"/>
                <w:sz w:val="18"/>
                <w:szCs w:val="18"/>
              </w:rPr>
              <w:t>1%</w:t>
            </w:r>
            <w:r>
              <w:rPr>
                <w:rFonts w:hint="eastAsia" w:ascii="宋体" w:hAnsi="宋体" w:eastAsia="宋体" w:cs="宋体"/>
                <w:sz w:val="18"/>
                <w:szCs w:val="18"/>
              </w:rPr>
              <w:t>得</w:t>
            </w:r>
            <w:r>
              <w:rPr>
                <w:rFonts w:ascii="宋体" w:hAnsi="宋体" w:eastAsia="宋体" w:cs="宋体"/>
                <w:sz w:val="18"/>
                <w:szCs w:val="18"/>
              </w:rPr>
              <w:t>0.4</w:t>
            </w:r>
            <w:r>
              <w:rPr>
                <w:rFonts w:hint="eastAsia" w:ascii="宋体" w:hAnsi="宋体" w:eastAsia="宋体" w:cs="宋体"/>
                <w:sz w:val="18"/>
                <w:szCs w:val="18"/>
              </w:rPr>
              <w:t>分，累计不超过</w:t>
            </w:r>
            <w:r>
              <w:rPr>
                <w:rFonts w:ascii="宋体" w:hAnsi="宋体" w:eastAsia="宋体" w:cs="宋体"/>
                <w:sz w:val="18"/>
                <w:szCs w:val="18"/>
              </w:rPr>
              <w:t>2</w:t>
            </w:r>
            <w:r>
              <w:rPr>
                <w:rFonts w:hint="eastAsia" w:ascii="宋体" w:hAnsi="宋体" w:eastAsia="宋体" w:cs="宋体"/>
                <w:sz w:val="18"/>
                <w:szCs w:val="18"/>
              </w:rPr>
              <w:t>分。</w:t>
            </w:r>
          </w:p>
        </w:tc>
        <w:tc>
          <w:tcPr>
            <w:tcW w:w="255" w:type="pct"/>
            <w:tcBorders>
              <w:top w:val="nil"/>
              <w:left w:val="nil"/>
              <w:bottom w:val="single" w:color="auto" w:sz="4" w:space="0"/>
              <w:right w:val="single" w:color="auto" w:sz="4" w:space="0"/>
            </w:tcBorders>
            <w:vAlign w:val="center"/>
          </w:tcPr>
          <w:p w14:paraId="1730F4CD">
            <w:pPr>
              <w:widowControl/>
              <w:jc w:val="center"/>
              <w:rPr>
                <w:rFonts w:ascii="宋体" w:hAnsi="宋体" w:eastAsia="宋体" w:cs="宋体"/>
                <w:sz w:val="18"/>
                <w:szCs w:val="18"/>
              </w:rPr>
            </w:pPr>
            <w:r>
              <w:rPr>
                <w:rFonts w:ascii="宋体" w:hAnsi="宋体" w:eastAsia="宋体" w:cs="宋体"/>
                <w:sz w:val="18"/>
                <w:szCs w:val="18"/>
              </w:rPr>
              <w:t>3.5</w:t>
            </w:r>
          </w:p>
        </w:tc>
        <w:tc>
          <w:tcPr>
            <w:tcW w:w="297" w:type="pct"/>
            <w:vMerge w:val="continue"/>
            <w:tcBorders>
              <w:top w:val="single" w:color="auto" w:sz="4" w:space="0"/>
              <w:left w:val="single" w:color="auto" w:sz="4" w:space="0"/>
              <w:bottom w:val="single" w:color="auto" w:sz="4" w:space="0"/>
              <w:right w:val="single" w:color="auto" w:sz="4" w:space="0"/>
            </w:tcBorders>
            <w:vAlign w:val="center"/>
          </w:tcPr>
          <w:p w14:paraId="09538721">
            <w:pPr>
              <w:widowControl/>
              <w:jc w:val="left"/>
              <w:rPr>
                <w:rFonts w:ascii="宋体" w:hAnsi="宋体" w:eastAsia="宋体" w:cs="Times New Roman"/>
                <w:sz w:val="18"/>
                <w:szCs w:val="18"/>
              </w:rPr>
            </w:pPr>
          </w:p>
        </w:tc>
      </w:tr>
      <w:tr w14:paraId="1870FAE1">
        <w:tblPrEx>
          <w:tblCellMar>
            <w:top w:w="0" w:type="dxa"/>
            <w:left w:w="108" w:type="dxa"/>
            <w:bottom w:w="0" w:type="dxa"/>
            <w:right w:w="108" w:type="dxa"/>
          </w:tblCellMar>
        </w:tblPrEx>
        <w:trPr>
          <w:trHeight w:val="2802" w:hRule="atLeast"/>
        </w:trPr>
        <w:tc>
          <w:tcPr>
            <w:tcW w:w="404" w:type="pct"/>
            <w:vMerge w:val="continue"/>
            <w:tcBorders>
              <w:top w:val="nil"/>
              <w:left w:val="single" w:color="auto" w:sz="4" w:space="0"/>
              <w:bottom w:val="single" w:color="auto" w:sz="4" w:space="0"/>
              <w:right w:val="single" w:color="auto" w:sz="4" w:space="0"/>
            </w:tcBorders>
            <w:vAlign w:val="center"/>
          </w:tcPr>
          <w:p w14:paraId="1B1C32C0">
            <w:pPr>
              <w:widowControl/>
              <w:jc w:val="left"/>
              <w:rPr>
                <w:rFonts w:ascii="宋体" w:hAnsi="宋体" w:eastAsia="宋体" w:cs="Times New Roman"/>
                <w:b/>
                <w:bCs/>
                <w:sz w:val="18"/>
                <w:szCs w:val="18"/>
              </w:rPr>
            </w:pPr>
          </w:p>
        </w:tc>
        <w:tc>
          <w:tcPr>
            <w:tcW w:w="413" w:type="pct"/>
            <w:vMerge w:val="restart"/>
            <w:tcBorders>
              <w:top w:val="nil"/>
              <w:left w:val="single" w:color="auto" w:sz="4" w:space="0"/>
              <w:bottom w:val="single" w:color="auto" w:sz="4" w:space="0"/>
              <w:right w:val="single" w:color="auto" w:sz="4" w:space="0"/>
            </w:tcBorders>
            <w:vAlign w:val="center"/>
          </w:tcPr>
          <w:p w14:paraId="1B3D6273">
            <w:pPr>
              <w:widowControl/>
              <w:jc w:val="center"/>
              <w:rPr>
                <w:rFonts w:ascii="宋体" w:hAnsi="宋体" w:eastAsia="宋体" w:cs="Times New Roman"/>
                <w:b/>
                <w:bCs/>
                <w:sz w:val="18"/>
                <w:szCs w:val="18"/>
              </w:rPr>
            </w:pPr>
            <w:r>
              <w:rPr>
                <w:rFonts w:hint="eastAsia" w:ascii="宋体" w:hAnsi="宋体" w:eastAsia="宋体" w:cs="宋体"/>
                <w:b/>
                <w:bCs/>
                <w:sz w:val="18"/>
                <w:szCs w:val="18"/>
              </w:rPr>
              <w:t>资产管理</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9</w:t>
            </w:r>
            <w:r>
              <w:rPr>
                <w:rFonts w:hint="eastAsia" w:ascii="宋体" w:hAnsi="宋体" w:eastAsia="宋体" w:cs="宋体"/>
                <w:b/>
                <w:bCs/>
                <w:sz w:val="18"/>
                <w:szCs w:val="18"/>
              </w:rPr>
              <w:t>分）</w:t>
            </w:r>
          </w:p>
        </w:tc>
        <w:tc>
          <w:tcPr>
            <w:tcW w:w="1019" w:type="pct"/>
            <w:tcBorders>
              <w:top w:val="single" w:color="auto" w:sz="4" w:space="0"/>
              <w:left w:val="single" w:color="000000" w:sz="4" w:space="0"/>
              <w:bottom w:val="single" w:color="auto" w:sz="4" w:space="0"/>
              <w:right w:val="single" w:color="000000" w:sz="4" w:space="0"/>
            </w:tcBorders>
            <w:vAlign w:val="center"/>
          </w:tcPr>
          <w:p w14:paraId="742E19EE">
            <w:pPr>
              <w:widowControl/>
              <w:jc w:val="center"/>
              <w:rPr>
                <w:rFonts w:ascii="宋体" w:hAnsi="宋体" w:eastAsia="宋体" w:cs="Times New Roman"/>
                <w:sz w:val="18"/>
                <w:szCs w:val="18"/>
              </w:rPr>
            </w:pPr>
            <w:r>
              <w:rPr>
                <w:rFonts w:hint="eastAsia" w:ascii="宋体" w:hAnsi="宋体" w:eastAsia="宋体" w:cs="宋体"/>
                <w:sz w:val="18"/>
                <w:szCs w:val="18"/>
              </w:rPr>
              <w:t>人均资产变化率</w:t>
            </w:r>
          </w:p>
        </w:tc>
        <w:tc>
          <w:tcPr>
            <w:tcW w:w="297" w:type="pct"/>
            <w:tcBorders>
              <w:top w:val="single" w:color="auto" w:sz="4" w:space="0"/>
              <w:left w:val="nil"/>
              <w:bottom w:val="single" w:color="auto" w:sz="4" w:space="0"/>
              <w:right w:val="single" w:color="000000" w:sz="4" w:space="0"/>
            </w:tcBorders>
            <w:vAlign w:val="center"/>
          </w:tcPr>
          <w:p w14:paraId="52A95DA7">
            <w:pPr>
              <w:widowControl/>
              <w:jc w:val="center"/>
              <w:rPr>
                <w:rFonts w:ascii="宋体" w:hAnsi="宋体" w:eastAsia="宋体" w:cs="宋体"/>
                <w:sz w:val="18"/>
                <w:szCs w:val="18"/>
              </w:rPr>
            </w:pPr>
            <w:r>
              <w:rPr>
                <w:rFonts w:ascii="宋体" w:hAnsi="宋体" w:eastAsia="宋体" w:cs="宋体"/>
                <w:sz w:val="18"/>
                <w:szCs w:val="18"/>
              </w:rPr>
              <w:t>3</w:t>
            </w:r>
          </w:p>
        </w:tc>
        <w:tc>
          <w:tcPr>
            <w:tcW w:w="680" w:type="pct"/>
            <w:tcBorders>
              <w:top w:val="single" w:color="auto" w:sz="4" w:space="0"/>
              <w:left w:val="nil"/>
              <w:bottom w:val="single" w:color="auto" w:sz="4" w:space="0"/>
              <w:right w:val="single" w:color="000000" w:sz="4" w:space="0"/>
            </w:tcBorders>
            <w:vAlign w:val="center"/>
          </w:tcPr>
          <w:p w14:paraId="7EF977DE">
            <w:pPr>
              <w:widowControl/>
              <w:jc w:val="center"/>
              <w:rPr>
                <w:rFonts w:ascii="宋体" w:hAnsi="宋体" w:eastAsia="宋体" w:cs="Times New Roman"/>
                <w:sz w:val="18"/>
                <w:szCs w:val="18"/>
              </w:rPr>
            </w:pPr>
            <w:r>
              <w:rPr>
                <w:rFonts w:hint="eastAsia" w:ascii="宋体" w:hAnsi="宋体" w:eastAsia="宋体" w:cs="宋体"/>
                <w:sz w:val="18"/>
                <w:szCs w:val="18"/>
              </w:rPr>
              <w:t>部门人均资产变化情况</w:t>
            </w:r>
          </w:p>
        </w:tc>
        <w:tc>
          <w:tcPr>
            <w:tcW w:w="1632" w:type="pct"/>
            <w:tcBorders>
              <w:top w:val="single" w:color="auto" w:sz="4" w:space="0"/>
              <w:left w:val="nil"/>
              <w:bottom w:val="single" w:color="auto" w:sz="4" w:space="0"/>
              <w:right w:val="single" w:color="000000" w:sz="4" w:space="0"/>
            </w:tcBorders>
            <w:vAlign w:val="center"/>
          </w:tcPr>
          <w:p w14:paraId="10E9F663">
            <w:pPr>
              <w:widowControl/>
              <w:jc w:val="left"/>
              <w:rPr>
                <w:rFonts w:ascii="宋体" w:hAnsi="宋体" w:eastAsia="宋体" w:cs="Times New Roman"/>
                <w:sz w:val="18"/>
                <w:szCs w:val="18"/>
              </w:rPr>
            </w:pPr>
            <w:r>
              <w:rPr>
                <w:rFonts w:hint="eastAsia" w:ascii="宋体" w:hAnsi="宋体" w:eastAsia="宋体" w:cs="宋体"/>
                <w:sz w:val="18"/>
                <w:szCs w:val="18"/>
              </w:rPr>
              <w:t>部门人均资产变化率</w:t>
            </w:r>
            <w:r>
              <w:rPr>
                <w:rFonts w:ascii="宋体" w:hAnsi="宋体" w:eastAsia="宋体" w:cs="宋体"/>
                <w:sz w:val="18"/>
                <w:szCs w:val="18"/>
              </w:rPr>
              <w:t>Y=</w:t>
            </w:r>
            <w:r>
              <w:rPr>
                <w:rFonts w:hint="eastAsia" w:ascii="宋体" w:hAnsi="宋体" w:eastAsia="宋体" w:cs="宋体"/>
                <w:sz w:val="18"/>
                <w:szCs w:val="18"/>
              </w:rPr>
              <w:t>（</w:t>
            </w:r>
            <w:r>
              <w:rPr>
                <w:rFonts w:ascii="宋体" w:hAnsi="宋体" w:eastAsia="宋体" w:cs="宋体"/>
                <w:sz w:val="18"/>
                <w:szCs w:val="18"/>
              </w:rPr>
              <w:t>2024</w:t>
            </w:r>
            <w:r>
              <w:rPr>
                <w:rFonts w:hint="eastAsia" w:ascii="宋体" w:hAnsi="宋体" w:eastAsia="宋体" w:cs="宋体"/>
                <w:sz w:val="18"/>
                <w:szCs w:val="18"/>
              </w:rPr>
              <w:t>年行政事业单位人均占有资产</w:t>
            </w:r>
            <w:r>
              <w:rPr>
                <w:rFonts w:ascii="宋体" w:hAnsi="宋体" w:eastAsia="宋体" w:cs="宋体"/>
                <w:sz w:val="18"/>
                <w:szCs w:val="18"/>
              </w:rPr>
              <w:t>-2023</w:t>
            </w:r>
            <w:r>
              <w:rPr>
                <w:rFonts w:hint="eastAsia" w:ascii="宋体" w:hAnsi="宋体" w:eastAsia="宋体" w:cs="宋体"/>
                <w:sz w:val="18"/>
                <w:szCs w:val="18"/>
              </w:rPr>
              <w:t>年行政事业单位人均占有资产）÷</w:t>
            </w:r>
            <w:r>
              <w:rPr>
                <w:rFonts w:ascii="宋体" w:hAnsi="宋体" w:eastAsia="宋体" w:cs="宋体"/>
                <w:sz w:val="18"/>
                <w:szCs w:val="18"/>
              </w:rPr>
              <w:t>2023</w:t>
            </w:r>
            <w:r>
              <w:rPr>
                <w:rFonts w:hint="eastAsia" w:ascii="宋体" w:hAnsi="宋体" w:eastAsia="宋体" w:cs="宋体"/>
                <w:sz w:val="18"/>
                <w:szCs w:val="18"/>
              </w:rPr>
              <w:t>年行政事业单位人均占有资产×</w:t>
            </w:r>
            <w:r>
              <w:rPr>
                <w:rFonts w:ascii="宋体" w:hAnsi="宋体" w:eastAsia="宋体" w:cs="宋体"/>
                <w:sz w:val="18"/>
                <w:szCs w:val="18"/>
              </w:rPr>
              <w:t>100%</w:t>
            </w:r>
            <w:r>
              <w:rPr>
                <w:rFonts w:hint="eastAsia" w:ascii="宋体" w:hAnsi="宋体" w:eastAsia="宋体" w:cs="宋体"/>
                <w:sz w:val="18"/>
                <w:szCs w:val="18"/>
              </w:rPr>
              <w:t>。行政事业单位人均占有资产</w:t>
            </w:r>
            <w:r>
              <w:rPr>
                <w:rFonts w:ascii="宋体" w:hAnsi="宋体" w:eastAsia="宋体" w:cs="宋体"/>
                <w:sz w:val="18"/>
                <w:szCs w:val="18"/>
              </w:rPr>
              <w:t>=</w:t>
            </w:r>
            <w:r>
              <w:rPr>
                <w:rFonts w:hint="eastAsia" w:ascii="宋体" w:hAnsi="宋体" w:eastAsia="宋体" w:cs="宋体"/>
                <w:sz w:val="18"/>
                <w:szCs w:val="18"/>
              </w:rPr>
              <w:t>（固定资产净值</w:t>
            </w:r>
            <w:r>
              <w:rPr>
                <w:rFonts w:ascii="宋体" w:hAnsi="宋体" w:eastAsia="宋体" w:cs="宋体"/>
                <w:sz w:val="18"/>
                <w:szCs w:val="18"/>
              </w:rPr>
              <w:t>+</w:t>
            </w:r>
            <w:r>
              <w:rPr>
                <w:rFonts w:hint="eastAsia" w:ascii="宋体" w:hAnsi="宋体" w:eastAsia="宋体" w:cs="宋体"/>
                <w:sz w:val="18"/>
                <w:szCs w:val="18"/>
              </w:rPr>
              <w:t>无形资产净值）÷行政事业单位编制内实有人数。</w:t>
            </w:r>
            <w:r>
              <w:rPr>
                <w:rFonts w:ascii="宋体" w:hAnsi="宋体" w:eastAsia="宋体" w:cs="宋体"/>
                <w:sz w:val="18"/>
                <w:szCs w:val="18"/>
              </w:rPr>
              <w:t>2024</w:t>
            </w:r>
            <w:r>
              <w:rPr>
                <w:rFonts w:hint="eastAsia" w:ascii="宋体" w:hAnsi="宋体" w:eastAsia="宋体" w:cs="宋体"/>
                <w:sz w:val="18"/>
                <w:szCs w:val="18"/>
              </w:rPr>
              <w:t>年区直行政事业单位人均资产变化率平均值</w:t>
            </w:r>
            <w:r>
              <w:rPr>
                <w:rFonts w:ascii="宋体" w:hAnsi="宋体" w:eastAsia="宋体" w:cs="宋体"/>
                <w:sz w:val="18"/>
                <w:szCs w:val="18"/>
              </w:rPr>
              <w:t>N</w:t>
            </w:r>
            <w:r>
              <w:rPr>
                <w:rFonts w:hint="eastAsia" w:ascii="宋体" w:hAnsi="宋体" w:eastAsia="宋体" w:cs="宋体"/>
                <w:sz w:val="18"/>
                <w:szCs w:val="18"/>
              </w:rPr>
              <w:t>为</w:t>
            </w:r>
            <w:r>
              <w:rPr>
                <w:rFonts w:ascii="宋体" w:hAnsi="宋体" w:eastAsia="宋体" w:cs="宋体"/>
                <w:sz w:val="18"/>
                <w:szCs w:val="18"/>
              </w:rPr>
              <w:t>-4.63%</w:t>
            </w:r>
            <w:r>
              <w:rPr>
                <w:rFonts w:hint="eastAsia" w:ascii="宋体" w:hAnsi="宋体" w:eastAsia="宋体" w:cs="宋体"/>
                <w:sz w:val="18"/>
                <w:szCs w:val="18"/>
              </w:rPr>
              <w:t>，</w:t>
            </w:r>
            <w:r>
              <w:rPr>
                <w:rFonts w:ascii="宋体" w:hAnsi="宋体" w:eastAsia="宋体" w:cs="宋体"/>
                <w:sz w:val="18"/>
                <w:szCs w:val="18"/>
              </w:rPr>
              <w:t>Y</w:t>
            </w:r>
            <w:r>
              <w:rPr>
                <w:rFonts w:hint="eastAsia" w:ascii="宋体" w:hAnsi="宋体" w:eastAsia="宋体" w:cs="宋体"/>
                <w:sz w:val="18"/>
                <w:szCs w:val="18"/>
              </w:rPr>
              <w:t>≤</w:t>
            </w:r>
            <w:r>
              <w:rPr>
                <w:rFonts w:ascii="宋体" w:hAnsi="宋体" w:eastAsia="宋体" w:cs="宋体"/>
                <w:sz w:val="18"/>
                <w:szCs w:val="18"/>
              </w:rPr>
              <w:t>N</w:t>
            </w:r>
            <w:r>
              <w:rPr>
                <w:rFonts w:hint="eastAsia" w:ascii="宋体" w:hAnsi="宋体" w:eastAsia="宋体" w:cs="宋体"/>
                <w:sz w:val="18"/>
                <w:szCs w:val="18"/>
              </w:rPr>
              <w:t>，得</w:t>
            </w:r>
            <w:r>
              <w:rPr>
                <w:rFonts w:ascii="宋体" w:hAnsi="宋体" w:eastAsia="宋体" w:cs="宋体"/>
                <w:sz w:val="18"/>
                <w:szCs w:val="18"/>
              </w:rPr>
              <w:t>3</w:t>
            </w:r>
            <w:r>
              <w:rPr>
                <w:rFonts w:hint="eastAsia" w:ascii="宋体" w:hAnsi="宋体" w:eastAsia="宋体" w:cs="宋体"/>
                <w:sz w:val="18"/>
                <w:szCs w:val="18"/>
              </w:rPr>
              <w:t>分；</w:t>
            </w:r>
            <w:r>
              <w:rPr>
                <w:rFonts w:ascii="宋体" w:hAnsi="宋体" w:eastAsia="宋体" w:cs="宋体"/>
                <w:sz w:val="18"/>
                <w:szCs w:val="18"/>
              </w:rPr>
              <w:t>N</w:t>
            </w:r>
            <w:r>
              <w:rPr>
                <w:rFonts w:hint="eastAsia" w:ascii="宋体" w:hAnsi="宋体" w:eastAsia="宋体" w:cs="宋体"/>
                <w:sz w:val="18"/>
                <w:szCs w:val="18"/>
              </w:rPr>
              <w:t>＜</w:t>
            </w:r>
            <w:r>
              <w:rPr>
                <w:rFonts w:ascii="宋体" w:hAnsi="宋体" w:eastAsia="宋体" w:cs="宋体"/>
                <w:sz w:val="18"/>
                <w:szCs w:val="18"/>
              </w:rPr>
              <w:t>Y</w:t>
            </w:r>
            <w:r>
              <w:rPr>
                <w:rFonts w:hint="eastAsia" w:ascii="宋体" w:hAnsi="宋体" w:eastAsia="宋体" w:cs="宋体"/>
                <w:sz w:val="18"/>
                <w:szCs w:val="18"/>
              </w:rPr>
              <w:t>≤</w:t>
            </w:r>
            <w:r>
              <w:rPr>
                <w:rFonts w:ascii="宋体" w:hAnsi="宋体" w:eastAsia="宋体" w:cs="宋体"/>
                <w:sz w:val="18"/>
                <w:szCs w:val="18"/>
              </w:rPr>
              <w:t>0.8N</w:t>
            </w:r>
            <w:r>
              <w:rPr>
                <w:rFonts w:hint="eastAsia" w:ascii="宋体" w:hAnsi="宋体" w:eastAsia="宋体" w:cs="宋体"/>
                <w:sz w:val="18"/>
                <w:szCs w:val="18"/>
              </w:rPr>
              <w:t>（即</w:t>
            </w:r>
            <w:r>
              <w:rPr>
                <w:rFonts w:ascii="宋体" w:hAnsi="宋体" w:eastAsia="宋体" w:cs="宋体"/>
                <w:sz w:val="18"/>
                <w:szCs w:val="18"/>
              </w:rPr>
              <w:t>-3.704%</w:t>
            </w:r>
            <w:r>
              <w:rPr>
                <w:rFonts w:hint="eastAsia" w:ascii="宋体" w:hAnsi="宋体" w:eastAsia="宋体" w:cs="宋体"/>
                <w:sz w:val="18"/>
                <w:szCs w:val="18"/>
              </w:rPr>
              <w:t>），得</w:t>
            </w:r>
            <w:r>
              <w:rPr>
                <w:rFonts w:ascii="宋体" w:hAnsi="宋体" w:eastAsia="宋体" w:cs="宋体"/>
                <w:sz w:val="18"/>
                <w:szCs w:val="18"/>
              </w:rPr>
              <w:t>2</w:t>
            </w:r>
            <w:r>
              <w:rPr>
                <w:rFonts w:hint="eastAsia" w:ascii="宋体" w:hAnsi="宋体" w:eastAsia="宋体" w:cs="宋体"/>
                <w:sz w:val="18"/>
                <w:szCs w:val="18"/>
              </w:rPr>
              <w:t>分；</w:t>
            </w:r>
            <w:r>
              <w:rPr>
                <w:rFonts w:ascii="宋体" w:hAnsi="宋体" w:eastAsia="宋体" w:cs="宋体"/>
                <w:sz w:val="18"/>
                <w:szCs w:val="18"/>
              </w:rPr>
              <w:t>0.8N</w:t>
            </w:r>
            <w:r>
              <w:rPr>
                <w:rFonts w:hint="eastAsia" w:ascii="宋体" w:hAnsi="宋体" w:eastAsia="宋体" w:cs="宋体"/>
                <w:sz w:val="18"/>
                <w:szCs w:val="18"/>
              </w:rPr>
              <w:t>＜</w:t>
            </w:r>
            <w:r>
              <w:rPr>
                <w:rFonts w:ascii="宋体" w:hAnsi="宋体" w:eastAsia="宋体" w:cs="宋体"/>
                <w:sz w:val="18"/>
                <w:szCs w:val="18"/>
              </w:rPr>
              <w:t>Y</w:t>
            </w:r>
            <w:r>
              <w:rPr>
                <w:rFonts w:hint="eastAsia" w:ascii="宋体" w:hAnsi="宋体" w:eastAsia="宋体" w:cs="宋体"/>
                <w:sz w:val="18"/>
                <w:szCs w:val="18"/>
              </w:rPr>
              <w:t>≤</w:t>
            </w:r>
            <w:r>
              <w:rPr>
                <w:rFonts w:ascii="宋体" w:hAnsi="宋体" w:eastAsia="宋体" w:cs="宋体"/>
                <w:sz w:val="18"/>
                <w:szCs w:val="18"/>
              </w:rPr>
              <w:t>0.5N</w:t>
            </w:r>
            <w:r>
              <w:rPr>
                <w:rFonts w:hint="eastAsia" w:ascii="宋体" w:hAnsi="宋体" w:eastAsia="宋体" w:cs="宋体"/>
                <w:sz w:val="18"/>
                <w:szCs w:val="18"/>
              </w:rPr>
              <w:t>（即</w:t>
            </w:r>
            <w:r>
              <w:rPr>
                <w:rFonts w:ascii="宋体" w:hAnsi="宋体" w:eastAsia="宋体" w:cs="宋体"/>
                <w:sz w:val="18"/>
                <w:szCs w:val="18"/>
              </w:rPr>
              <w:t>-2.32%</w:t>
            </w:r>
            <w:r>
              <w:rPr>
                <w:rFonts w:hint="eastAsia" w:ascii="宋体" w:hAnsi="宋体" w:eastAsia="宋体" w:cs="宋体"/>
                <w:sz w:val="18"/>
                <w:szCs w:val="18"/>
              </w:rPr>
              <w:t>），得</w:t>
            </w:r>
            <w:r>
              <w:rPr>
                <w:rFonts w:ascii="宋体" w:hAnsi="宋体" w:eastAsia="宋体" w:cs="宋体"/>
                <w:sz w:val="18"/>
                <w:szCs w:val="18"/>
              </w:rPr>
              <w:t>1</w:t>
            </w:r>
            <w:r>
              <w:rPr>
                <w:rFonts w:hint="eastAsia" w:ascii="宋体" w:hAnsi="宋体" w:eastAsia="宋体" w:cs="宋体"/>
                <w:sz w:val="18"/>
                <w:szCs w:val="18"/>
              </w:rPr>
              <w:t>分；</w:t>
            </w:r>
            <w:r>
              <w:rPr>
                <w:rFonts w:ascii="宋体" w:hAnsi="宋体" w:eastAsia="宋体" w:cs="宋体"/>
                <w:sz w:val="18"/>
                <w:szCs w:val="18"/>
              </w:rPr>
              <w:t>Y</w:t>
            </w:r>
            <w:r>
              <w:rPr>
                <w:rFonts w:hint="eastAsia" w:ascii="宋体" w:hAnsi="宋体" w:eastAsia="宋体" w:cs="宋体"/>
                <w:sz w:val="18"/>
                <w:szCs w:val="18"/>
              </w:rPr>
              <w:t>＞</w:t>
            </w:r>
            <w:r>
              <w:rPr>
                <w:rFonts w:ascii="宋体" w:hAnsi="宋体" w:eastAsia="宋体" w:cs="宋体"/>
                <w:sz w:val="18"/>
                <w:szCs w:val="18"/>
              </w:rPr>
              <w:t>0.5N</w:t>
            </w:r>
            <w:r>
              <w:rPr>
                <w:rFonts w:hint="eastAsia" w:ascii="宋体" w:hAnsi="宋体" w:eastAsia="宋体" w:cs="宋体"/>
                <w:sz w:val="18"/>
                <w:szCs w:val="18"/>
              </w:rPr>
              <w:t>，得</w:t>
            </w:r>
            <w:r>
              <w:rPr>
                <w:rFonts w:ascii="宋体" w:hAnsi="宋体" w:eastAsia="宋体" w:cs="宋体"/>
                <w:sz w:val="18"/>
                <w:szCs w:val="18"/>
              </w:rPr>
              <w:t>0</w:t>
            </w:r>
            <w:r>
              <w:rPr>
                <w:rFonts w:hint="eastAsia" w:ascii="宋体" w:hAnsi="宋体" w:eastAsia="宋体" w:cs="宋体"/>
                <w:sz w:val="18"/>
                <w:szCs w:val="18"/>
              </w:rPr>
              <w:t>分。</w:t>
            </w:r>
          </w:p>
        </w:tc>
        <w:tc>
          <w:tcPr>
            <w:tcW w:w="255" w:type="pct"/>
            <w:tcBorders>
              <w:top w:val="single" w:color="auto" w:sz="4" w:space="0"/>
              <w:left w:val="single" w:color="auto" w:sz="4" w:space="0"/>
              <w:bottom w:val="single" w:color="auto" w:sz="4" w:space="0"/>
              <w:right w:val="single" w:color="auto" w:sz="4" w:space="0"/>
            </w:tcBorders>
            <w:vAlign w:val="center"/>
          </w:tcPr>
          <w:p w14:paraId="511F3027">
            <w:pPr>
              <w:widowControl/>
              <w:jc w:val="center"/>
              <w:rPr>
                <w:rFonts w:ascii="宋体" w:hAnsi="宋体" w:eastAsia="宋体" w:cs="宋体"/>
                <w:sz w:val="18"/>
                <w:szCs w:val="18"/>
              </w:rPr>
            </w:pPr>
            <w:r>
              <w:rPr>
                <w:rFonts w:ascii="宋体" w:hAnsi="宋体" w:eastAsia="宋体" w:cs="宋体"/>
                <w:sz w:val="18"/>
                <w:szCs w:val="18"/>
              </w:rPr>
              <w:t>3</w:t>
            </w:r>
          </w:p>
        </w:tc>
        <w:tc>
          <w:tcPr>
            <w:tcW w:w="297" w:type="pct"/>
            <w:vMerge w:val="restart"/>
            <w:tcBorders>
              <w:top w:val="nil"/>
              <w:left w:val="single" w:color="auto" w:sz="4" w:space="0"/>
              <w:bottom w:val="single" w:color="auto" w:sz="4" w:space="0"/>
              <w:right w:val="single" w:color="auto" w:sz="4" w:space="0"/>
            </w:tcBorders>
            <w:vAlign w:val="center"/>
          </w:tcPr>
          <w:p w14:paraId="7991DF23">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74AE6885">
        <w:tblPrEx>
          <w:tblCellMar>
            <w:top w:w="0" w:type="dxa"/>
            <w:left w:w="108" w:type="dxa"/>
            <w:bottom w:w="0" w:type="dxa"/>
            <w:right w:w="108" w:type="dxa"/>
          </w:tblCellMar>
        </w:tblPrEx>
        <w:trPr>
          <w:trHeight w:val="1200"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1D580F36">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5857F912">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72DF3713">
            <w:pPr>
              <w:widowControl/>
              <w:jc w:val="center"/>
              <w:rPr>
                <w:rFonts w:ascii="宋体" w:hAnsi="宋体" w:eastAsia="宋体" w:cs="Times New Roman"/>
                <w:sz w:val="18"/>
                <w:szCs w:val="18"/>
              </w:rPr>
            </w:pPr>
            <w:r>
              <w:rPr>
                <w:rFonts w:hint="eastAsia" w:ascii="宋体" w:hAnsi="宋体" w:eastAsia="宋体" w:cs="宋体"/>
                <w:sz w:val="18"/>
                <w:szCs w:val="18"/>
              </w:rPr>
              <w:t>资产利用率</w:t>
            </w:r>
          </w:p>
        </w:tc>
        <w:tc>
          <w:tcPr>
            <w:tcW w:w="297" w:type="pct"/>
            <w:tcBorders>
              <w:top w:val="single" w:color="auto" w:sz="4" w:space="0"/>
              <w:left w:val="single" w:color="auto" w:sz="4" w:space="0"/>
              <w:bottom w:val="single" w:color="000000" w:sz="4" w:space="0"/>
              <w:right w:val="single" w:color="000000" w:sz="4" w:space="0"/>
            </w:tcBorders>
            <w:vAlign w:val="center"/>
          </w:tcPr>
          <w:p w14:paraId="565E4EEB">
            <w:pPr>
              <w:widowControl/>
              <w:jc w:val="center"/>
              <w:rPr>
                <w:rFonts w:ascii="宋体" w:hAnsi="宋体" w:eastAsia="宋体" w:cs="宋体"/>
                <w:sz w:val="18"/>
                <w:szCs w:val="18"/>
              </w:rPr>
            </w:pPr>
            <w:r>
              <w:rPr>
                <w:rFonts w:ascii="宋体" w:hAnsi="宋体" w:eastAsia="宋体" w:cs="宋体"/>
                <w:sz w:val="18"/>
                <w:szCs w:val="18"/>
              </w:rPr>
              <w:t>3</w:t>
            </w:r>
          </w:p>
        </w:tc>
        <w:tc>
          <w:tcPr>
            <w:tcW w:w="680" w:type="pct"/>
            <w:tcBorders>
              <w:top w:val="single" w:color="auto" w:sz="4" w:space="0"/>
              <w:left w:val="nil"/>
              <w:bottom w:val="single" w:color="000000" w:sz="4" w:space="0"/>
              <w:right w:val="single" w:color="000000" w:sz="4" w:space="0"/>
            </w:tcBorders>
            <w:vAlign w:val="center"/>
          </w:tcPr>
          <w:p w14:paraId="77F5EDBF">
            <w:pPr>
              <w:widowControl/>
              <w:jc w:val="center"/>
              <w:rPr>
                <w:rFonts w:ascii="宋体" w:hAnsi="宋体" w:eastAsia="宋体" w:cs="Times New Roman"/>
                <w:sz w:val="18"/>
                <w:szCs w:val="18"/>
              </w:rPr>
            </w:pPr>
            <w:r>
              <w:rPr>
                <w:rFonts w:hint="eastAsia" w:ascii="宋体" w:hAnsi="宋体" w:eastAsia="宋体" w:cs="宋体"/>
                <w:sz w:val="18"/>
                <w:szCs w:val="18"/>
              </w:rPr>
              <w:t>部门资产超最低使用年限情况</w:t>
            </w:r>
          </w:p>
        </w:tc>
        <w:tc>
          <w:tcPr>
            <w:tcW w:w="1632" w:type="pct"/>
            <w:tcBorders>
              <w:top w:val="single" w:color="auto" w:sz="4" w:space="0"/>
              <w:left w:val="nil"/>
              <w:bottom w:val="single" w:color="000000" w:sz="4" w:space="0"/>
              <w:right w:val="single" w:color="000000" w:sz="4" w:space="0"/>
            </w:tcBorders>
            <w:vAlign w:val="center"/>
          </w:tcPr>
          <w:p w14:paraId="45859E0B">
            <w:pPr>
              <w:widowControl/>
              <w:jc w:val="left"/>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（超最低使用年限的办公家具账面原值÷办公家具账面原值×</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1.5</w:t>
            </w:r>
            <w:r>
              <w:rPr>
                <w:rFonts w:hint="eastAsia" w:ascii="宋体" w:hAnsi="宋体" w:eastAsia="宋体" w:cs="宋体"/>
                <w:sz w:val="18"/>
                <w:szCs w:val="18"/>
              </w:rPr>
              <w:t>）</w:t>
            </w:r>
            <w:r>
              <w:rPr>
                <w:rFonts w:ascii="宋体" w:hAnsi="宋体" w:eastAsia="宋体" w:cs="宋体"/>
                <w:sz w:val="18"/>
                <w:szCs w:val="18"/>
              </w:rPr>
              <w:t>+</w:t>
            </w:r>
            <w:r>
              <w:rPr>
                <w:rFonts w:hint="eastAsia" w:ascii="宋体" w:hAnsi="宋体" w:eastAsia="宋体" w:cs="宋体"/>
                <w:sz w:val="18"/>
                <w:szCs w:val="18"/>
              </w:rPr>
              <w:t>（超最低使用年限的办公设备账面原值÷办公设备账面原值×</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1.5</w:t>
            </w:r>
            <w:r>
              <w:rPr>
                <w:rFonts w:hint="eastAsia" w:ascii="宋体" w:hAnsi="宋体" w:eastAsia="宋体" w:cs="宋体"/>
                <w:sz w:val="18"/>
                <w:szCs w:val="18"/>
              </w:rPr>
              <w:t>）。</w:t>
            </w:r>
          </w:p>
        </w:tc>
        <w:tc>
          <w:tcPr>
            <w:tcW w:w="255" w:type="pct"/>
            <w:tcBorders>
              <w:top w:val="single" w:color="auto" w:sz="4" w:space="0"/>
              <w:left w:val="single" w:color="auto" w:sz="4" w:space="0"/>
              <w:bottom w:val="single" w:color="auto" w:sz="4" w:space="0"/>
              <w:right w:val="nil"/>
            </w:tcBorders>
            <w:vAlign w:val="center"/>
          </w:tcPr>
          <w:p w14:paraId="51F017B0">
            <w:pPr>
              <w:widowControl/>
              <w:jc w:val="center"/>
              <w:rPr>
                <w:rFonts w:ascii="宋体" w:hAnsi="宋体" w:eastAsia="宋体" w:cs="宋体"/>
                <w:sz w:val="18"/>
                <w:szCs w:val="18"/>
              </w:rPr>
            </w:pPr>
            <w:r>
              <w:rPr>
                <w:rFonts w:ascii="宋体" w:hAnsi="宋体" w:eastAsia="宋体" w:cs="宋体"/>
                <w:sz w:val="18"/>
                <w:szCs w:val="18"/>
              </w:rPr>
              <w:t>3</w:t>
            </w:r>
          </w:p>
        </w:tc>
        <w:tc>
          <w:tcPr>
            <w:tcW w:w="297" w:type="pct"/>
            <w:vMerge w:val="continue"/>
            <w:tcBorders>
              <w:top w:val="single" w:color="auto" w:sz="4" w:space="0"/>
              <w:left w:val="nil"/>
              <w:bottom w:val="single" w:color="auto" w:sz="4" w:space="0"/>
              <w:right w:val="single" w:color="auto" w:sz="4" w:space="0"/>
            </w:tcBorders>
            <w:vAlign w:val="center"/>
          </w:tcPr>
          <w:p w14:paraId="0680ED2D">
            <w:pPr>
              <w:widowControl/>
              <w:jc w:val="left"/>
              <w:rPr>
                <w:rFonts w:ascii="宋体" w:hAnsi="宋体" w:eastAsia="宋体" w:cs="Times New Roman"/>
                <w:sz w:val="18"/>
                <w:szCs w:val="18"/>
              </w:rPr>
            </w:pPr>
          </w:p>
        </w:tc>
      </w:tr>
      <w:tr w14:paraId="0D57778A">
        <w:tblPrEx>
          <w:tblCellMar>
            <w:top w:w="0" w:type="dxa"/>
            <w:left w:w="108" w:type="dxa"/>
            <w:bottom w:w="0" w:type="dxa"/>
            <w:right w:w="108" w:type="dxa"/>
          </w:tblCellMar>
        </w:tblPrEx>
        <w:trPr>
          <w:trHeight w:val="1650" w:hRule="atLeast"/>
        </w:trPr>
        <w:tc>
          <w:tcPr>
            <w:tcW w:w="404" w:type="pct"/>
            <w:vMerge w:val="restart"/>
            <w:tcBorders>
              <w:top w:val="single" w:color="auto" w:sz="4" w:space="0"/>
              <w:left w:val="single" w:color="auto" w:sz="4" w:space="0"/>
              <w:bottom w:val="single" w:color="auto" w:sz="4" w:space="0"/>
              <w:right w:val="single" w:color="auto" w:sz="4" w:space="0"/>
            </w:tcBorders>
            <w:vAlign w:val="center"/>
          </w:tcPr>
          <w:p w14:paraId="28A9CE3E">
            <w:pPr>
              <w:widowControl/>
              <w:jc w:val="center"/>
              <w:rPr>
                <w:rFonts w:ascii="宋体" w:hAnsi="宋体" w:eastAsia="宋体" w:cs="Times New Roman"/>
                <w:b/>
                <w:bCs/>
                <w:sz w:val="18"/>
                <w:szCs w:val="18"/>
              </w:rPr>
            </w:pPr>
            <w:r>
              <w:rPr>
                <w:rFonts w:hint="eastAsia" w:ascii="宋体" w:hAnsi="宋体" w:eastAsia="宋体" w:cs="宋体"/>
                <w:b/>
                <w:bCs/>
                <w:sz w:val="18"/>
                <w:szCs w:val="18"/>
              </w:rPr>
              <w:t>总体绩效</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65</w:t>
            </w:r>
            <w:r>
              <w:rPr>
                <w:rFonts w:hint="eastAsia" w:ascii="宋体" w:hAnsi="宋体" w:eastAsia="宋体" w:cs="宋体"/>
                <w:b/>
                <w:bCs/>
                <w:sz w:val="18"/>
                <w:szCs w:val="18"/>
              </w:rPr>
              <w:t>分）</w:t>
            </w: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4654D18F">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2C67DABD">
            <w:pPr>
              <w:widowControl/>
              <w:jc w:val="center"/>
              <w:rPr>
                <w:rFonts w:ascii="宋体" w:hAnsi="宋体" w:eastAsia="宋体" w:cs="Times New Roman"/>
                <w:sz w:val="18"/>
                <w:szCs w:val="18"/>
              </w:rPr>
            </w:pPr>
            <w:r>
              <w:rPr>
                <w:rFonts w:hint="eastAsia" w:ascii="宋体" w:hAnsi="宋体" w:eastAsia="宋体" w:cs="宋体"/>
                <w:sz w:val="18"/>
                <w:szCs w:val="18"/>
              </w:rPr>
              <w:t>资产盘活率</w:t>
            </w:r>
          </w:p>
        </w:tc>
        <w:tc>
          <w:tcPr>
            <w:tcW w:w="297" w:type="pct"/>
            <w:tcBorders>
              <w:top w:val="single" w:color="auto" w:sz="4" w:space="0"/>
              <w:left w:val="single" w:color="auto" w:sz="4" w:space="0"/>
              <w:bottom w:val="single" w:color="auto" w:sz="4" w:space="0"/>
              <w:right w:val="single" w:color="auto" w:sz="4" w:space="0"/>
            </w:tcBorders>
            <w:vAlign w:val="center"/>
          </w:tcPr>
          <w:p w14:paraId="01D3CBBA">
            <w:pPr>
              <w:widowControl/>
              <w:jc w:val="center"/>
              <w:rPr>
                <w:rFonts w:ascii="宋体" w:hAnsi="宋体" w:eastAsia="宋体" w:cs="宋体"/>
                <w:sz w:val="18"/>
                <w:szCs w:val="18"/>
              </w:rPr>
            </w:pPr>
            <w:r>
              <w:rPr>
                <w:rFonts w:ascii="宋体" w:hAnsi="宋体" w:eastAsia="宋体" w:cs="宋体"/>
                <w:sz w:val="18"/>
                <w:szCs w:val="18"/>
              </w:rPr>
              <w:t>3</w:t>
            </w:r>
          </w:p>
        </w:tc>
        <w:tc>
          <w:tcPr>
            <w:tcW w:w="680" w:type="pct"/>
            <w:tcBorders>
              <w:top w:val="single" w:color="auto" w:sz="4" w:space="0"/>
              <w:left w:val="nil"/>
              <w:bottom w:val="single" w:color="auto" w:sz="4" w:space="0"/>
              <w:right w:val="single" w:color="auto" w:sz="4" w:space="0"/>
            </w:tcBorders>
            <w:vAlign w:val="center"/>
          </w:tcPr>
          <w:p w14:paraId="46FFCF66">
            <w:pPr>
              <w:widowControl/>
              <w:jc w:val="center"/>
              <w:rPr>
                <w:rFonts w:ascii="宋体" w:hAnsi="宋体" w:eastAsia="宋体" w:cs="Times New Roman"/>
                <w:sz w:val="18"/>
                <w:szCs w:val="18"/>
              </w:rPr>
            </w:pPr>
            <w:r>
              <w:rPr>
                <w:rFonts w:hint="eastAsia" w:ascii="宋体" w:hAnsi="宋体" w:eastAsia="宋体" w:cs="宋体"/>
                <w:sz w:val="18"/>
                <w:szCs w:val="18"/>
              </w:rPr>
              <w:t>部门闲置一年以上的资产盘活情况</w:t>
            </w:r>
          </w:p>
        </w:tc>
        <w:tc>
          <w:tcPr>
            <w:tcW w:w="1632" w:type="pct"/>
            <w:tcBorders>
              <w:top w:val="single" w:color="auto" w:sz="4" w:space="0"/>
              <w:left w:val="nil"/>
              <w:bottom w:val="single" w:color="auto" w:sz="4" w:space="0"/>
              <w:right w:val="single" w:color="auto" w:sz="4" w:space="0"/>
            </w:tcBorders>
            <w:vAlign w:val="center"/>
          </w:tcPr>
          <w:p w14:paraId="2B2395E2">
            <w:pPr>
              <w:widowControl/>
              <w:jc w:val="center"/>
              <w:rPr>
                <w:rFonts w:ascii="宋体" w:hAnsi="宋体" w:eastAsia="宋体" w:cs="Times New Roman"/>
                <w:sz w:val="18"/>
                <w:szCs w:val="18"/>
              </w:rPr>
            </w:pPr>
            <w:r>
              <w:rPr>
                <w:rFonts w:hint="eastAsia" w:ascii="宋体" w:hAnsi="宋体" w:eastAsia="宋体" w:cs="宋体"/>
                <w:sz w:val="18"/>
                <w:szCs w:val="18"/>
              </w:rPr>
              <w:t>部门闲置资产占比变化率</w:t>
            </w:r>
            <w:r>
              <w:rPr>
                <w:rFonts w:ascii="宋体" w:hAnsi="宋体" w:eastAsia="宋体" w:cs="宋体"/>
                <w:sz w:val="18"/>
                <w:szCs w:val="18"/>
              </w:rPr>
              <w:t>=(</w:t>
            </w:r>
            <w:r>
              <w:rPr>
                <w:rFonts w:hint="eastAsia" w:ascii="宋体" w:hAnsi="宋体" w:eastAsia="宋体" w:cs="宋体"/>
                <w:sz w:val="18"/>
                <w:szCs w:val="18"/>
              </w:rPr>
              <w:t>本年闲置资产账面价值÷本年总资产账面价值</w:t>
            </w:r>
            <w:r>
              <w:rPr>
                <w:rFonts w:ascii="宋体" w:hAnsi="宋体" w:eastAsia="宋体" w:cs="宋体"/>
                <w:sz w:val="18"/>
                <w:szCs w:val="18"/>
              </w:rPr>
              <w:t>)</w:t>
            </w:r>
            <w:r>
              <w:rPr>
                <w:rFonts w:hint="eastAsia" w:ascii="宋体" w:hAnsi="宋体" w:eastAsia="宋体" w:cs="宋体"/>
                <w:sz w:val="18"/>
                <w:szCs w:val="18"/>
              </w:rPr>
              <w:t>÷</w:t>
            </w:r>
            <w:r>
              <w:rPr>
                <w:rFonts w:ascii="宋体" w:hAnsi="宋体" w:eastAsia="宋体" w:cs="宋体"/>
                <w:sz w:val="18"/>
                <w:szCs w:val="18"/>
              </w:rPr>
              <w:t>(</w:t>
            </w:r>
            <w:r>
              <w:rPr>
                <w:rFonts w:hint="eastAsia" w:ascii="宋体" w:hAnsi="宋体" w:eastAsia="宋体" w:cs="宋体"/>
                <w:sz w:val="18"/>
                <w:szCs w:val="18"/>
              </w:rPr>
              <w:t>上一年度闲置资产账面价值÷上一年度总资产账面价值</w:t>
            </w:r>
            <w:r>
              <w:rPr>
                <w:rFonts w:ascii="宋体" w:hAnsi="宋体" w:eastAsia="宋体" w:cs="宋体"/>
                <w:sz w:val="18"/>
                <w:szCs w:val="18"/>
              </w:rPr>
              <w:t>)</w:t>
            </w:r>
            <w:r>
              <w:rPr>
                <w:rFonts w:hint="eastAsia" w:ascii="宋体" w:hAnsi="宋体" w:eastAsia="宋体" w:cs="宋体"/>
                <w:sz w:val="18"/>
                <w:szCs w:val="18"/>
              </w:rPr>
              <w:t>×</w:t>
            </w:r>
            <w:r>
              <w:rPr>
                <w:rFonts w:ascii="宋体" w:hAnsi="宋体" w:eastAsia="宋体" w:cs="宋体"/>
                <w:sz w:val="18"/>
                <w:szCs w:val="18"/>
              </w:rPr>
              <w:t>100%</w:t>
            </w:r>
            <w:r>
              <w:rPr>
                <w:rFonts w:hint="eastAsia" w:ascii="宋体" w:hAnsi="宋体" w:eastAsia="宋体" w:cs="宋体"/>
                <w:sz w:val="18"/>
                <w:szCs w:val="18"/>
              </w:rPr>
              <w:t>，变化率在</w:t>
            </w:r>
            <w:r>
              <w:rPr>
                <w:rFonts w:ascii="宋体" w:hAnsi="宋体" w:eastAsia="宋体" w:cs="宋体"/>
                <w:sz w:val="18"/>
                <w:szCs w:val="18"/>
              </w:rPr>
              <w:t>60%</w:t>
            </w:r>
            <w:r>
              <w:rPr>
                <w:rFonts w:hint="eastAsia" w:ascii="宋体" w:hAnsi="宋体" w:eastAsia="宋体" w:cs="宋体"/>
                <w:sz w:val="18"/>
                <w:szCs w:val="18"/>
              </w:rPr>
              <w:t>以下的得</w:t>
            </w:r>
            <w:r>
              <w:rPr>
                <w:rFonts w:ascii="宋体" w:hAnsi="宋体" w:eastAsia="宋体" w:cs="宋体"/>
                <w:sz w:val="18"/>
                <w:szCs w:val="18"/>
              </w:rPr>
              <w:t>2.4</w:t>
            </w:r>
            <w:r>
              <w:rPr>
                <w:rFonts w:hint="eastAsia" w:ascii="宋体" w:hAnsi="宋体" w:eastAsia="宋体" w:cs="宋体"/>
                <w:sz w:val="18"/>
                <w:szCs w:val="18"/>
              </w:rPr>
              <w:t>分，</w:t>
            </w:r>
            <w:r>
              <w:rPr>
                <w:rFonts w:ascii="宋体" w:hAnsi="宋体" w:eastAsia="宋体" w:cs="宋体"/>
                <w:sz w:val="18"/>
                <w:szCs w:val="18"/>
              </w:rPr>
              <w:t>60%-80%</w:t>
            </w:r>
            <w:r>
              <w:rPr>
                <w:rFonts w:hint="eastAsia" w:ascii="宋体" w:hAnsi="宋体" w:eastAsia="宋体" w:cs="宋体"/>
                <w:sz w:val="18"/>
                <w:szCs w:val="18"/>
              </w:rPr>
              <w:t>的得</w:t>
            </w:r>
            <w:r>
              <w:rPr>
                <w:rFonts w:ascii="宋体" w:hAnsi="宋体" w:eastAsia="宋体" w:cs="宋体"/>
                <w:sz w:val="18"/>
                <w:szCs w:val="18"/>
              </w:rPr>
              <w:t>1.8</w:t>
            </w:r>
            <w:r>
              <w:rPr>
                <w:rFonts w:hint="eastAsia" w:ascii="宋体" w:hAnsi="宋体" w:eastAsia="宋体" w:cs="宋体"/>
                <w:sz w:val="18"/>
                <w:szCs w:val="18"/>
              </w:rPr>
              <w:t>分，</w:t>
            </w:r>
            <w:r>
              <w:rPr>
                <w:rFonts w:ascii="宋体" w:hAnsi="宋体" w:eastAsia="宋体" w:cs="宋体"/>
                <w:sz w:val="18"/>
                <w:szCs w:val="18"/>
              </w:rPr>
              <w:t>80-100%</w:t>
            </w:r>
            <w:r>
              <w:rPr>
                <w:rFonts w:hint="eastAsia" w:ascii="宋体" w:hAnsi="宋体" w:eastAsia="宋体" w:cs="宋体"/>
                <w:sz w:val="18"/>
                <w:szCs w:val="18"/>
              </w:rPr>
              <w:t>的得</w:t>
            </w:r>
            <w:r>
              <w:rPr>
                <w:rFonts w:ascii="宋体" w:hAnsi="宋体" w:eastAsia="宋体" w:cs="宋体"/>
                <w:sz w:val="18"/>
                <w:szCs w:val="18"/>
              </w:rPr>
              <w:t>1.2</w:t>
            </w:r>
            <w:r>
              <w:rPr>
                <w:rFonts w:hint="eastAsia" w:ascii="宋体" w:hAnsi="宋体" w:eastAsia="宋体" w:cs="宋体"/>
                <w:sz w:val="18"/>
                <w:szCs w:val="18"/>
              </w:rPr>
              <w:t>分，</w:t>
            </w:r>
            <w:r>
              <w:rPr>
                <w:rFonts w:ascii="宋体" w:hAnsi="宋体" w:eastAsia="宋体" w:cs="宋体"/>
                <w:sz w:val="18"/>
                <w:szCs w:val="18"/>
              </w:rPr>
              <w:t>100%</w:t>
            </w:r>
            <w:r>
              <w:rPr>
                <w:rFonts w:hint="eastAsia" w:ascii="宋体" w:hAnsi="宋体" w:eastAsia="宋体" w:cs="宋体"/>
                <w:sz w:val="18"/>
                <w:szCs w:val="18"/>
              </w:rPr>
              <w:t>以上的不得分。两年均无闲置资产或上年度有闲置资产评价年度无闲置资产的，该项指标得</w:t>
            </w:r>
            <w:r>
              <w:rPr>
                <w:rFonts w:ascii="宋体" w:hAnsi="宋体" w:eastAsia="宋体" w:cs="宋体"/>
                <w:sz w:val="18"/>
                <w:szCs w:val="18"/>
              </w:rPr>
              <w:t>3</w:t>
            </w:r>
            <w:r>
              <w:rPr>
                <w:rFonts w:hint="eastAsia" w:ascii="宋体" w:hAnsi="宋体" w:eastAsia="宋体" w:cs="宋体"/>
                <w:sz w:val="18"/>
                <w:szCs w:val="18"/>
              </w:rPr>
              <w:t>分。</w:t>
            </w:r>
          </w:p>
        </w:tc>
        <w:tc>
          <w:tcPr>
            <w:tcW w:w="255" w:type="pct"/>
            <w:tcBorders>
              <w:top w:val="nil"/>
              <w:left w:val="nil"/>
              <w:bottom w:val="single" w:color="auto" w:sz="4" w:space="0"/>
              <w:right w:val="nil"/>
            </w:tcBorders>
            <w:vAlign w:val="center"/>
          </w:tcPr>
          <w:p w14:paraId="2AD06C1F">
            <w:pPr>
              <w:widowControl/>
              <w:jc w:val="center"/>
              <w:rPr>
                <w:rFonts w:ascii="宋体" w:hAnsi="宋体" w:eastAsia="宋体" w:cs="宋体"/>
                <w:sz w:val="18"/>
                <w:szCs w:val="18"/>
              </w:rPr>
            </w:pPr>
            <w:r>
              <w:rPr>
                <w:rFonts w:ascii="宋体" w:hAnsi="宋体" w:eastAsia="宋体" w:cs="宋体"/>
                <w:sz w:val="18"/>
                <w:szCs w:val="18"/>
              </w:rPr>
              <w:t>3</w:t>
            </w:r>
          </w:p>
        </w:tc>
        <w:tc>
          <w:tcPr>
            <w:tcW w:w="297" w:type="pct"/>
            <w:tcBorders>
              <w:top w:val="nil"/>
              <w:left w:val="nil"/>
              <w:bottom w:val="single" w:color="auto" w:sz="4" w:space="0"/>
              <w:right w:val="single" w:color="auto" w:sz="4" w:space="0"/>
            </w:tcBorders>
            <w:vAlign w:val="center"/>
          </w:tcPr>
          <w:p w14:paraId="5C6182AE">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1555AF87">
        <w:tblPrEx>
          <w:tblCellMar>
            <w:top w:w="0" w:type="dxa"/>
            <w:left w:w="108" w:type="dxa"/>
            <w:bottom w:w="0" w:type="dxa"/>
            <w:right w:w="108" w:type="dxa"/>
          </w:tblCellMar>
        </w:tblPrEx>
        <w:trPr>
          <w:trHeight w:val="1185" w:hRule="atLeast"/>
        </w:trPr>
        <w:tc>
          <w:tcPr>
            <w:tcW w:w="404" w:type="pct"/>
            <w:vMerge w:val="continue"/>
            <w:tcBorders>
              <w:top w:val="single" w:color="auto" w:sz="4" w:space="0"/>
              <w:left w:val="single" w:color="auto" w:sz="4" w:space="0"/>
              <w:bottom w:val="single" w:color="000000" w:sz="4" w:space="0"/>
              <w:right w:val="single" w:color="auto" w:sz="4" w:space="0"/>
            </w:tcBorders>
            <w:vAlign w:val="center"/>
          </w:tcPr>
          <w:p w14:paraId="189B4546">
            <w:pPr>
              <w:widowControl/>
              <w:jc w:val="left"/>
              <w:rPr>
                <w:rFonts w:ascii="宋体" w:hAnsi="宋体" w:eastAsia="宋体" w:cs="Times New Roman"/>
                <w:b/>
                <w:bCs/>
                <w:sz w:val="18"/>
                <w:szCs w:val="18"/>
              </w:rPr>
            </w:pPr>
          </w:p>
        </w:tc>
        <w:tc>
          <w:tcPr>
            <w:tcW w:w="413" w:type="pct"/>
            <w:vMerge w:val="restart"/>
            <w:tcBorders>
              <w:top w:val="single" w:color="auto" w:sz="4" w:space="0"/>
              <w:left w:val="single" w:color="auto" w:sz="4" w:space="0"/>
              <w:bottom w:val="single" w:color="auto" w:sz="4" w:space="0"/>
              <w:right w:val="single" w:color="auto" w:sz="4" w:space="0"/>
            </w:tcBorders>
            <w:vAlign w:val="center"/>
          </w:tcPr>
          <w:p w14:paraId="3B5C28AF">
            <w:pPr>
              <w:widowControl/>
              <w:jc w:val="center"/>
              <w:rPr>
                <w:rFonts w:ascii="宋体" w:hAnsi="宋体" w:eastAsia="宋体" w:cs="Times New Roman"/>
                <w:b/>
                <w:bCs/>
                <w:sz w:val="18"/>
                <w:szCs w:val="18"/>
              </w:rPr>
            </w:pPr>
            <w:r>
              <w:rPr>
                <w:rFonts w:hint="eastAsia" w:ascii="宋体" w:hAnsi="宋体" w:eastAsia="宋体" w:cs="宋体"/>
                <w:b/>
                <w:bCs/>
                <w:sz w:val="18"/>
                <w:szCs w:val="18"/>
              </w:rPr>
              <w:t>采购管理</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6</w:t>
            </w:r>
            <w:r>
              <w:rPr>
                <w:rFonts w:hint="eastAsia" w:ascii="宋体" w:hAnsi="宋体" w:eastAsia="宋体" w:cs="宋体"/>
                <w:b/>
                <w:bCs/>
                <w:sz w:val="18"/>
                <w:szCs w:val="18"/>
              </w:rPr>
              <w:t>分）</w:t>
            </w:r>
          </w:p>
        </w:tc>
        <w:tc>
          <w:tcPr>
            <w:tcW w:w="1019" w:type="pct"/>
            <w:tcBorders>
              <w:top w:val="single" w:color="auto" w:sz="4" w:space="0"/>
              <w:left w:val="single" w:color="auto" w:sz="4" w:space="0"/>
              <w:bottom w:val="single" w:color="auto" w:sz="4" w:space="0"/>
              <w:right w:val="single" w:color="auto" w:sz="4" w:space="0"/>
            </w:tcBorders>
            <w:vAlign w:val="center"/>
          </w:tcPr>
          <w:p w14:paraId="2EECC2DC">
            <w:pPr>
              <w:widowControl/>
              <w:jc w:val="center"/>
              <w:rPr>
                <w:rFonts w:ascii="宋体" w:hAnsi="宋体" w:eastAsia="宋体" w:cs="Times New Roman"/>
                <w:sz w:val="18"/>
                <w:szCs w:val="18"/>
              </w:rPr>
            </w:pPr>
            <w:r>
              <w:rPr>
                <w:rFonts w:hint="eastAsia" w:ascii="宋体" w:hAnsi="宋体" w:eastAsia="宋体" w:cs="宋体"/>
                <w:sz w:val="18"/>
                <w:szCs w:val="18"/>
              </w:rPr>
              <w:t>支持中小企业发展</w:t>
            </w:r>
          </w:p>
        </w:tc>
        <w:tc>
          <w:tcPr>
            <w:tcW w:w="297" w:type="pct"/>
            <w:tcBorders>
              <w:top w:val="nil"/>
              <w:left w:val="nil"/>
              <w:bottom w:val="single" w:color="auto" w:sz="4" w:space="0"/>
              <w:right w:val="single" w:color="auto" w:sz="4" w:space="0"/>
            </w:tcBorders>
            <w:vAlign w:val="center"/>
          </w:tcPr>
          <w:p w14:paraId="1D3132C0">
            <w:pPr>
              <w:widowControl/>
              <w:jc w:val="center"/>
              <w:rPr>
                <w:rFonts w:ascii="宋体" w:hAnsi="宋体" w:eastAsia="宋体" w:cs="宋体"/>
                <w:sz w:val="18"/>
                <w:szCs w:val="18"/>
              </w:rPr>
            </w:pPr>
            <w:r>
              <w:rPr>
                <w:rFonts w:ascii="宋体" w:hAnsi="宋体" w:eastAsia="宋体" w:cs="宋体"/>
                <w:sz w:val="18"/>
                <w:szCs w:val="18"/>
              </w:rPr>
              <w:t>3</w:t>
            </w:r>
          </w:p>
        </w:tc>
        <w:tc>
          <w:tcPr>
            <w:tcW w:w="680" w:type="pct"/>
            <w:tcBorders>
              <w:top w:val="nil"/>
              <w:left w:val="nil"/>
              <w:bottom w:val="single" w:color="auto" w:sz="4" w:space="0"/>
              <w:right w:val="single" w:color="auto" w:sz="4" w:space="0"/>
            </w:tcBorders>
            <w:vAlign w:val="center"/>
          </w:tcPr>
          <w:p w14:paraId="704CB780">
            <w:pPr>
              <w:widowControl/>
              <w:jc w:val="center"/>
              <w:rPr>
                <w:rFonts w:ascii="宋体" w:hAnsi="宋体" w:eastAsia="宋体" w:cs="Times New Roman"/>
                <w:sz w:val="18"/>
                <w:szCs w:val="18"/>
              </w:rPr>
            </w:pPr>
            <w:r>
              <w:rPr>
                <w:rFonts w:hint="eastAsia" w:ascii="宋体" w:hAnsi="宋体" w:eastAsia="宋体" w:cs="宋体"/>
                <w:sz w:val="18"/>
                <w:szCs w:val="18"/>
              </w:rPr>
              <w:t>部门是否严格执行政府采购促进中小企业发展相关管理办法</w:t>
            </w:r>
          </w:p>
        </w:tc>
        <w:tc>
          <w:tcPr>
            <w:tcW w:w="1632" w:type="pct"/>
            <w:tcBorders>
              <w:top w:val="nil"/>
              <w:left w:val="nil"/>
              <w:bottom w:val="single" w:color="auto" w:sz="4" w:space="0"/>
              <w:right w:val="single" w:color="auto" w:sz="4" w:space="0"/>
            </w:tcBorders>
            <w:vAlign w:val="center"/>
          </w:tcPr>
          <w:p w14:paraId="178DDCEC">
            <w:pPr>
              <w:widowControl/>
              <w:jc w:val="center"/>
              <w:rPr>
                <w:rFonts w:ascii="宋体" w:hAnsi="宋体" w:eastAsia="宋体" w:cs="Times New Roman"/>
                <w:sz w:val="18"/>
                <w:szCs w:val="18"/>
              </w:rPr>
            </w:pPr>
            <w:r>
              <w:rPr>
                <w:rFonts w:hint="eastAsia" w:ascii="宋体" w:hAnsi="宋体" w:eastAsia="宋体" w:cs="宋体"/>
                <w:sz w:val="18"/>
                <w:szCs w:val="18"/>
              </w:rPr>
              <w:t>对适宜由中小企业提供的采购项目和采购包，预留采购份额专门面向中小企业采购，并在采购预算中单独列示，不符合要求的扣</w:t>
            </w:r>
            <w:r>
              <w:rPr>
                <w:rFonts w:ascii="宋体" w:hAnsi="宋体" w:eastAsia="宋体" w:cs="宋体"/>
                <w:sz w:val="18"/>
                <w:szCs w:val="18"/>
              </w:rPr>
              <w:t>3</w:t>
            </w:r>
            <w:r>
              <w:rPr>
                <w:rFonts w:hint="eastAsia" w:ascii="宋体" w:hAnsi="宋体" w:eastAsia="宋体" w:cs="宋体"/>
                <w:sz w:val="18"/>
                <w:szCs w:val="18"/>
              </w:rPr>
              <w:t>分。</w:t>
            </w:r>
          </w:p>
        </w:tc>
        <w:tc>
          <w:tcPr>
            <w:tcW w:w="255" w:type="pct"/>
            <w:tcBorders>
              <w:top w:val="nil"/>
              <w:left w:val="nil"/>
              <w:bottom w:val="single" w:color="auto" w:sz="4" w:space="0"/>
              <w:right w:val="nil"/>
            </w:tcBorders>
            <w:vAlign w:val="center"/>
          </w:tcPr>
          <w:p w14:paraId="2C54E02B">
            <w:pPr>
              <w:widowControl/>
              <w:jc w:val="center"/>
              <w:rPr>
                <w:rFonts w:ascii="宋体" w:hAnsi="宋体" w:eastAsia="宋体" w:cs="宋体"/>
                <w:sz w:val="18"/>
                <w:szCs w:val="18"/>
              </w:rPr>
            </w:pPr>
            <w:r>
              <w:rPr>
                <w:rFonts w:ascii="宋体" w:hAnsi="宋体" w:eastAsia="宋体" w:cs="宋体"/>
                <w:sz w:val="18"/>
                <w:szCs w:val="18"/>
              </w:rPr>
              <w:t>3</w:t>
            </w:r>
          </w:p>
        </w:tc>
        <w:tc>
          <w:tcPr>
            <w:tcW w:w="297" w:type="pct"/>
            <w:vMerge w:val="restart"/>
            <w:tcBorders>
              <w:top w:val="nil"/>
              <w:left w:val="nil"/>
              <w:bottom w:val="single" w:color="auto" w:sz="4" w:space="0"/>
              <w:right w:val="single" w:color="auto" w:sz="4" w:space="0"/>
            </w:tcBorders>
            <w:vAlign w:val="center"/>
          </w:tcPr>
          <w:p w14:paraId="6257693C">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67FC0BA4">
        <w:tblPrEx>
          <w:tblCellMar>
            <w:top w:w="0" w:type="dxa"/>
            <w:left w:w="108" w:type="dxa"/>
            <w:bottom w:w="0" w:type="dxa"/>
            <w:right w:w="108" w:type="dxa"/>
          </w:tblCellMar>
        </w:tblPrEx>
        <w:trPr>
          <w:trHeight w:val="930" w:hRule="atLeast"/>
        </w:trPr>
        <w:tc>
          <w:tcPr>
            <w:tcW w:w="404" w:type="pct"/>
            <w:vMerge w:val="continue"/>
            <w:tcBorders>
              <w:top w:val="nil"/>
              <w:left w:val="single" w:color="auto" w:sz="4" w:space="0"/>
              <w:bottom w:val="single" w:color="000000" w:sz="4" w:space="0"/>
              <w:right w:val="single" w:color="auto" w:sz="4" w:space="0"/>
            </w:tcBorders>
            <w:vAlign w:val="center"/>
          </w:tcPr>
          <w:p w14:paraId="031C883C">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1B6AB34A">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36DE432A">
            <w:pPr>
              <w:widowControl/>
              <w:jc w:val="center"/>
              <w:rPr>
                <w:rFonts w:ascii="宋体" w:hAnsi="宋体" w:eastAsia="宋体" w:cs="Times New Roman"/>
                <w:sz w:val="18"/>
                <w:szCs w:val="18"/>
              </w:rPr>
            </w:pPr>
            <w:r>
              <w:rPr>
                <w:rFonts w:hint="eastAsia" w:ascii="宋体" w:hAnsi="宋体" w:eastAsia="宋体" w:cs="宋体"/>
                <w:sz w:val="18"/>
                <w:szCs w:val="18"/>
              </w:rPr>
              <w:t>采购执行率</w:t>
            </w:r>
          </w:p>
        </w:tc>
        <w:tc>
          <w:tcPr>
            <w:tcW w:w="297" w:type="pct"/>
            <w:tcBorders>
              <w:top w:val="nil"/>
              <w:left w:val="nil"/>
              <w:bottom w:val="single" w:color="auto" w:sz="4" w:space="0"/>
              <w:right w:val="single" w:color="auto" w:sz="4" w:space="0"/>
            </w:tcBorders>
            <w:vAlign w:val="center"/>
          </w:tcPr>
          <w:p w14:paraId="62DCA07B">
            <w:pPr>
              <w:widowControl/>
              <w:jc w:val="center"/>
              <w:rPr>
                <w:rFonts w:ascii="宋体" w:hAnsi="宋体" w:eastAsia="宋体" w:cs="宋体"/>
                <w:sz w:val="18"/>
                <w:szCs w:val="18"/>
              </w:rPr>
            </w:pPr>
            <w:r>
              <w:rPr>
                <w:rFonts w:ascii="宋体" w:hAnsi="宋体" w:eastAsia="宋体" w:cs="宋体"/>
                <w:sz w:val="18"/>
                <w:szCs w:val="18"/>
              </w:rPr>
              <w:t>3</w:t>
            </w:r>
          </w:p>
        </w:tc>
        <w:tc>
          <w:tcPr>
            <w:tcW w:w="680" w:type="pct"/>
            <w:tcBorders>
              <w:top w:val="nil"/>
              <w:left w:val="nil"/>
              <w:bottom w:val="single" w:color="auto" w:sz="4" w:space="0"/>
              <w:right w:val="single" w:color="auto" w:sz="4" w:space="0"/>
            </w:tcBorders>
            <w:vAlign w:val="center"/>
          </w:tcPr>
          <w:p w14:paraId="4FDF622D">
            <w:pPr>
              <w:widowControl/>
              <w:jc w:val="center"/>
              <w:rPr>
                <w:rFonts w:ascii="宋体" w:hAnsi="宋体" w:eastAsia="宋体" w:cs="Times New Roman"/>
                <w:sz w:val="18"/>
                <w:szCs w:val="18"/>
              </w:rPr>
            </w:pPr>
            <w:r>
              <w:rPr>
                <w:rFonts w:hint="eastAsia" w:ascii="宋体" w:hAnsi="宋体" w:eastAsia="宋体" w:cs="宋体"/>
                <w:sz w:val="18"/>
                <w:szCs w:val="18"/>
              </w:rPr>
              <w:t>部门政府采购项目资金支付比例情况</w:t>
            </w:r>
          </w:p>
        </w:tc>
        <w:tc>
          <w:tcPr>
            <w:tcW w:w="1632" w:type="pct"/>
            <w:tcBorders>
              <w:top w:val="nil"/>
              <w:left w:val="nil"/>
              <w:bottom w:val="single" w:color="auto" w:sz="4" w:space="0"/>
              <w:right w:val="single" w:color="auto" w:sz="4" w:space="0"/>
            </w:tcBorders>
            <w:vAlign w:val="center"/>
          </w:tcPr>
          <w:p w14:paraId="19CC7F4E">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当年政府采购实际支付总金额÷（当年政府采购总预算数</w:t>
            </w:r>
            <w:r>
              <w:rPr>
                <w:rFonts w:ascii="宋体" w:hAnsi="宋体" w:eastAsia="宋体" w:cs="宋体"/>
                <w:sz w:val="18"/>
                <w:szCs w:val="18"/>
              </w:rPr>
              <w:t>-</w:t>
            </w:r>
            <w:r>
              <w:rPr>
                <w:rFonts w:hint="eastAsia" w:ascii="宋体" w:hAnsi="宋体" w:eastAsia="宋体" w:cs="宋体"/>
                <w:sz w:val="18"/>
                <w:szCs w:val="18"/>
              </w:rPr>
              <w:t>当年已完成采购项目节约金额）×</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3</w:t>
            </w:r>
            <w:r>
              <w:rPr>
                <w:rFonts w:hint="eastAsia" w:ascii="宋体" w:hAnsi="宋体" w:eastAsia="宋体" w:cs="宋体"/>
                <w:sz w:val="18"/>
                <w:szCs w:val="18"/>
              </w:rPr>
              <w:t>。</w:t>
            </w:r>
          </w:p>
        </w:tc>
        <w:tc>
          <w:tcPr>
            <w:tcW w:w="255" w:type="pct"/>
            <w:tcBorders>
              <w:top w:val="nil"/>
              <w:left w:val="nil"/>
              <w:bottom w:val="single" w:color="auto" w:sz="4" w:space="0"/>
              <w:right w:val="nil"/>
            </w:tcBorders>
            <w:vAlign w:val="center"/>
          </w:tcPr>
          <w:p w14:paraId="5B80055C">
            <w:pPr>
              <w:widowControl/>
              <w:jc w:val="center"/>
              <w:rPr>
                <w:rFonts w:ascii="宋体" w:hAnsi="宋体" w:eastAsia="宋体" w:cs="宋体"/>
                <w:sz w:val="18"/>
                <w:szCs w:val="18"/>
              </w:rPr>
            </w:pPr>
            <w:r>
              <w:rPr>
                <w:rFonts w:ascii="宋体" w:hAnsi="宋体" w:eastAsia="宋体" w:cs="宋体"/>
                <w:sz w:val="18"/>
                <w:szCs w:val="18"/>
              </w:rPr>
              <w:t>3</w:t>
            </w:r>
          </w:p>
        </w:tc>
        <w:tc>
          <w:tcPr>
            <w:tcW w:w="297" w:type="pct"/>
            <w:vMerge w:val="continue"/>
            <w:tcBorders>
              <w:top w:val="nil"/>
              <w:left w:val="nil"/>
              <w:bottom w:val="single" w:color="auto" w:sz="4" w:space="0"/>
              <w:right w:val="single" w:color="auto" w:sz="4" w:space="0"/>
            </w:tcBorders>
            <w:vAlign w:val="center"/>
          </w:tcPr>
          <w:p w14:paraId="729B69BB">
            <w:pPr>
              <w:widowControl/>
              <w:jc w:val="left"/>
              <w:rPr>
                <w:rFonts w:ascii="宋体" w:hAnsi="宋体" w:eastAsia="宋体" w:cs="Times New Roman"/>
                <w:sz w:val="18"/>
                <w:szCs w:val="18"/>
              </w:rPr>
            </w:pPr>
          </w:p>
        </w:tc>
      </w:tr>
      <w:tr w14:paraId="0CB590AE">
        <w:tblPrEx>
          <w:tblCellMar>
            <w:top w:w="0" w:type="dxa"/>
            <w:left w:w="108" w:type="dxa"/>
            <w:bottom w:w="0" w:type="dxa"/>
            <w:right w:w="108" w:type="dxa"/>
          </w:tblCellMar>
        </w:tblPrEx>
        <w:trPr>
          <w:trHeight w:val="2130" w:hRule="atLeast"/>
        </w:trPr>
        <w:tc>
          <w:tcPr>
            <w:tcW w:w="404" w:type="pct"/>
            <w:vMerge w:val="restart"/>
            <w:tcBorders>
              <w:top w:val="nil"/>
              <w:left w:val="single" w:color="auto" w:sz="4" w:space="0"/>
              <w:bottom w:val="single" w:color="auto" w:sz="4" w:space="0"/>
              <w:right w:val="single" w:color="auto" w:sz="4" w:space="0"/>
            </w:tcBorders>
            <w:vAlign w:val="center"/>
          </w:tcPr>
          <w:p w14:paraId="0BE5E3DA">
            <w:pPr>
              <w:widowControl/>
              <w:jc w:val="center"/>
              <w:rPr>
                <w:rFonts w:ascii="宋体" w:hAnsi="宋体" w:eastAsia="宋体" w:cs="Times New Roman"/>
                <w:b/>
                <w:bCs/>
                <w:sz w:val="18"/>
                <w:szCs w:val="18"/>
              </w:rPr>
            </w:pPr>
            <w:r>
              <w:rPr>
                <w:rFonts w:hint="eastAsia" w:ascii="宋体" w:hAnsi="宋体" w:eastAsia="宋体" w:cs="宋体"/>
                <w:b/>
                <w:bCs/>
                <w:sz w:val="18"/>
                <w:szCs w:val="18"/>
              </w:rPr>
              <w:t>项目绩效</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35</w:t>
            </w:r>
            <w:r>
              <w:rPr>
                <w:rFonts w:hint="eastAsia" w:ascii="宋体" w:hAnsi="宋体" w:eastAsia="宋体" w:cs="宋体"/>
                <w:b/>
                <w:bCs/>
                <w:sz w:val="18"/>
                <w:szCs w:val="18"/>
              </w:rPr>
              <w:t>分）</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14:paraId="2EC350F3">
            <w:pPr>
              <w:widowControl/>
              <w:jc w:val="center"/>
              <w:rPr>
                <w:rFonts w:ascii="宋体" w:hAnsi="宋体" w:eastAsia="宋体" w:cs="Times New Roman"/>
                <w:b/>
                <w:bCs/>
                <w:sz w:val="18"/>
                <w:szCs w:val="18"/>
              </w:rPr>
            </w:pPr>
            <w:r>
              <w:rPr>
                <w:rFonts w:hint="eastAsia" w:ascii="宋体" w:hAnsi="宋体" w:eastAsia="宋体" w:cs="宋体"/>
                <w:b/>
                <w:bCs/>
                <w:sz w:val="18"/>
                <w:szCs w:val="18"/>
              </w:rPr>
              <w:t>项目决策</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12</w:t>
            </w:r>
            <w:r>
              <w:rPr>
                <w:rFonts w:hint="eastAsia" w:ascii="宋体" w:hAnsi="宋体" w:eastAsia="宋体" w:cs="宋体"/>
                <w:b/>
                <w:bCs/>
                <w:sz w:val="18"/>
                <w:szCs w:val="18"/>
              </w:rPr>
              <w:t>分）</w:t>
            </w:r>
          </w:p>
        </w:tc>
        <w:tc>
          <w:tcPr>
            <w:tcW w:w="1019" w:type="pct"/>
            <w:tcBorders>
              <w:top w:val="single" w:color="auto" w:sz="4" w:space="0"/>
              <w:left w:val="single" w:color="auto" w:sz="4" w:space="0"/>
              <w:bottom w:val="single" w:color="auto" w:sz="4" w:space="0"/>
              <w:right w:val="single" w:color="auto" w:sz="4" w:space="0"/>
            </w:tcBorders>
            <w:vAlign w:val="center"/>
          </w:tcPr>
          <w:p w14:paraId="13ED50EE">
            <w:pPr>
              <w:widowControl/>
              <w:jc w:val="center"/>
              <w:rPr>
                <w:rFonts w:ascii="宋体" w:hAnsi="宋体" w:eastAsia="宋体" w:cs="Times New Roman"/>
                <w:sz w:val="18"/>
                <w:szCs w:val="18"/>
              </w:rPr>
            </w:pPr>
            <w:r>
              <w:rPr>
                <w:rFonts w:hint="eastAsia" w:ascii="宋体" w:hAnsi="宋体" w:eastAsia="宋体" w:cs="宋体"/>
                <w:sz w:val="18"/>
                <w:szCs w:val="18"/>
              </w:rPr>
              <w:t>决策程序</w:t>
            </w:r>
          </w:p>
        </w:tc>
        <w:tc>
          <w:tcPr>
            <w:tcW w:w="297" w:type="pct"/>
            <w:tcBorders>
              <w:top w:val="nil"/>
              <w:left w:val="nil"/>
              <w:bottom w:val="single" w:color="auto" w:sz="4" w:space="0"/>
              <w:right w:val="single" w:color="auto" w:sz="4" w:space="0"/>
            </w:tcBorders>
            <w:vAlign w:val="center"/>
          </w:tcPr>
          <w:p w14:paraId="5F089671">
            <w:pPr>
              <w:widowControl/>
              <w:jc w:val="center"/>
              <w:rPr>
                <w:rFonts w:ascii="宋体" w:hAnsi="宋体" w:eastAsia="宋体" w:cs="宋体"/>
                <w:sz w:val="18"/>
                <w:szCs w:val="18"/>
              </w:rPr>
            </w:pPr>
            <w:r>
              <w:rPr>
                <w:rFonts w:ascii="宋体" w:hAnsi="宋体" w:eastAsia="宋体" w:cs="宋体"/>
                <w:sz w:val="18"/>
                <w:szCs w:val="18"/>
              </w:rPr>
              <w:t>4</w:t>
            </w:r>
          </w:p>
        </w:tc>
        <w:tc>
          <w:tcPr>
            <w:tcW w:w="680" w:type="pct"/>
            <w:tcBorders>
              <w:top w:val="nil"/>
              <w:left w:val="nil"/>
              <w:bottom w:val="single" w:color="auto" w:sz="4" w:space="0"/>
              <w:right w:val="single" w:color="auto" w:sz="4" w:space="0"/>
            </w:tcBorders>
            <w:vAlign w:val="center"/>
          </w:tcPr>
          <w:p w14:paraId="68766094">
            <w:pPr>
              <w:widowControl/>
              <w:jc w:val="center"/>
              <w:rPr>
                <w:rFonts w:ascii="宋体" w:hAnsi="宋体" w:eastAsia="宋体" w:cs="Times New Roman"/>
                <w:sz w:val="18"/>
                <w:szCs w:val="18"/>
              </w:rPr>
            </w:pPr>
            <w:r>
              <w:rPr>
                <w:rFonts w:hint="eastAsia" w:ascii="宋体" w:hAnsi="宋体" w:eastAsia="宋体" w:cs="宋体"/>
                <w:sz w:val="18"/>
                <w:szCs w:val="18"/>
              </w:rPr>
              <w:t>部门预算项目设立是否按规定履行评估论证、申报程序</w:t>
            </w:r>
          </w:p>
        </w:tc>
        <w:tc>
          <w:tcPr>
            <w:tcW w:w="1632" w:type="pct"/>
            <w:tcBorders>
              <w:top w:val="nil"/>
              <w:left w:val="nil"/>
              <w:bottom w:val="single" w:color="auto" w:sz="4" w:space="0"/>
              <w:right w:val="single" w:color="auto" w:sz="4" w:space="0"/>
            </w:tcBorders>
            <w:vAlign w:val="center"/>
          </w:tcPr>
          <w:p w14:paraId="76A60FF9">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=4-</w:t>
            </w:r>
            <w:r>
              <w:rPr>
                <w:rFonts w:hint="eastAsia" w:ascii="宋体" w:hAnsi="宋体" w:eastAsia="宋体" w:cs="宋体"/>
                <w:sz w:val="18"/>
                <w:szCs w:val="18"/>
              </w:rPr>
              <w:t>部门未履行事前评估程序的部门预算阶段项目（含一次性项目）数量÷部门预算阶段项目（含一次性项目）总数×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4</w:t>
            </w:r>
            <w:r>
              <w:rPr>
                <w:rFonts w:hint="eastAsia" w:ascii="宋体" w:hAnsi="宋体" w:eastAsia="宋体" w:cs="宋体"/>
                <w:sz w:val="18"/>
                <w:szCs w:val="18"/>
              </w:rPr>
              <w:t>。抽评的部门预算阶段项目（含一次性项目）总数</w:t>
            </w:r>
            <w:r>
              <w:rPr>
                <w:rFonts w:ascii="宋体" w:hAnsi="宋体" w:eastAsia="宋体" w:cs="宋体"/>
                <w:sz w:val="18"/>
                <w:szCs w:val="18"/>
              </w:rPr>
              <w:t>10</w:t>
            </w:r>
            <w:r>
              <w:rPr>
                <w:rFonts w:hint="eastAsia" w:ascii="宋体" w:hAnsi="宋体" w:eastAsia="宋体" w:cs="宋体"/>
                <w:sz w:val="18"/>
                <w:szCs w:val="18"/>
              </w:rPr>
              <w:t>个以下的全部纳入，每增加</w:t>
            </w:r>
            <w:r>
              <w:rPr>
                <w:rFonts w:ascii="宋体" w:hAnsi="宋体" w:eastAsia="宋体" w:cs="宋体"/>
                <w:sz w:val="18"/>
                <w:szCs w:val="18"/>
              </w:rPr>
              <w:t>5</w:t>
            </w:r>
            <w:r>
              <w:rPr>
                <w:rFonts w:hint="eastAsia" w:ascii="宋体" w:hAnsi="宋体" w:eastAsia="宋体" w:cs="宋体"/>
                <w:sz w:val="18"/>
                <w:szCs w:val="18"/>
              </w:rPr>
              <w:t>个多纳入</w:t>
            </w:r>
            <w:r>
              <w:rPr>
                <w:rFonts w:ascii="宋体" w:hAnsi="宋体" w:eastAsia="宋体" w:cs="宋体"/>
                <w:sz w:val="18"/>
                <w:szCs w:val="18"/>
              </w:rPr>
              <w:t>1</w:t>
            </w:r>
            <w:r>
              <w:rPr>
                <w:rFonts w:hint="eastAsia" w:ascii="宋体" w:hAnsi="宋体" w:eastAsia="宋体" w:cs="宋体"/>
                <w:sz w:val="18"/>
                <w:szCs w:val="18"/>
              </w:rPr>
              <w:t>个，最多不超过</w:t>
            </w:r>
            <w:r>
              <w:rPr>
                <w:rFonts w:ascii="宋体" w:hAnsi="宋体" w:eastAsia="宋体" w:cs="宋体"/>
                <w:sz w:val="18"/>
                <w:szCs w:val="18"/>
              </w:rPr>
              <w:t>30</w:t>
            </w:r>
            <w:r>
              <w:rPr>
                <w:rFonts w:hint="eastAsia" w:ascii="宋体" w:hAnsi="宋体" w:eastAsia="宋体" w:cs="宋体"/>
                <w:sz w:val="18"/>
                <w:szCs w:val="18"/>
              </w:rPr>
              <w:t>个，下同。若无部门预算阶段项目（含一次性项目），则主要查看部门预算项目整体决策程序。</w:t>
            </w:r>
          </w:p>
        </w:tc>
        <w:tc>
          <w:tcPr>
            <w:tcW w:w="255" w:type="pct"/>
            <w:tcBorders>
              <w:top w:val="nil"/>
              <w:left w:val="nil"/>
              <w:bottom w:val="single" w:color="auto" w:sz="4" w:space="0"/>
              <w:right w:val="nil"/>
            </w:tcBorders>
            <w:vAlign w:val="center"/>
          </w:tcPr>
          <w:p w14:paraId="3E486524">
            <w:pPr>
              <w:widowControl/>
              <w:jc w:val="center"/>
              <w:rPr>
                <w:rFonts w:ascii="宋体" w:hAnsi="宋体" w:eastAsia="宋体" w:cs="宋体"/>
                <w:sz w:val="18"/>
                <w:szCs w:val="18"/>
              </w:rPr>
            </w:pPr>
            <w:r>
              <w:rPr>
                <w:rFonts w:ascii="宋体" w:hAnsi="宋体" w:eastAsia="宋体" w:cs="宋体"/>
                <w:sz w:val="18"/>
                <w:szCs w:val="18"/>
              </w:rPr>
              <w:t>4</w:t>
            </w:r>
          </w:p>
        </w:tc>
        <w:tc>
          <w:tcPr>
            <w:tcW w:w="297" w:type="pct"/>
            <w:tcBorders>
              <w:top w:val="nil"/>
              <w:left w:val="nil"/>
              <w:bottom w:val="single" w:color="auto" w:sz="4" w:space="0"/>
              <w:right w:val="single" w:color="auto" w:sz="4" w:space="0"/>
            </w:tcBorders>
            <w:vAlign w:val="center"/>
          </w:tcPr>
          <w:p w14:paraId="07FA8591">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471D623">
        <w:tblPrEx>
          <w:tblCellMar>
            <w:top w:w="0" w:type="dxa"/>
            <w:left w:w="108" w:type="dxa"/>
            <w:bottom w:w="0" w:type="dxa"/>
            <w:right w:w="108" w:type="dxa"/>
          </w:tblCellMar>
        </w:tblPrEx>
        <w:trPr>
          <w:trHeight w:val="1425"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457C78C6">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nil"/>
              <w:right w:val="single" w:color="auto" w:sz="4" w:space="0"/>
            </w:tcBorders>
            <w:vAlign w:val="center"/>
          </w:tcPr>
          <w:p w14:paraId="7171C498">
            <w:pPr>
              <w:widowControl/>
              <w:jc w:val="left"/>
              <w:rPr>
                <w:rFonts w:ascii="宋体" w:hAnsi="宋体" w:eastAsia="宋体" w:cs="Times New Roman"/>
                <w:b/>
                <w:bCs/>
                <w:sz w:val="18"/>
                <w:szCs w:val="18"/>
              </w:rPr>
            </w:pPr>
          </w:p>
        </w:tc>
        <w:tc>
          <w:tcPr>
            <w:tcW w:w="1019" w:type="pct"/>
            <w:tcBorders>
              <w:top w:val="single" w:color="auto" w:sz="4" w:space="0"/>
              <w:left w:val="nil"/>
              <w:bottom w:val="single" w:color="auto" w:sz="4" w:space="0"/>
              <w:right w:val="single" w:color="auto" w:sz="4" w:space="0"/>
            </w:tcBorders>
            <w:vAlign w:val="center"/>
          </w:tcPr>
          <w:p w14:paraId="2FA1BEAF">
            <w:pPr>
              <w:widowControl/>
              <w:jc w:val="center"/>
              <w:rPr>
                <w:rFonts w:ascii="宋体" w:hAnsi="宋体" w:eastAsia="宋体" w:cs="Times New Roman"/>
                <w:sz w:val="18"/>
                <w:szCs w:val="18"/>
              </w:rPr>
            </w:pPr>
            <w:r>
              <w:rPr>
                <w:rFonts w:hint="eastAsia" w:ascii="宋体" w:hAnsi="宋体" w:eastAsia="宋体" w:cs="宋体"/>
                <w:sz w:val="18"/>
                <w:szCs w:val="18"/>
              </w:rPr>
              <w:t>目标设置</w:t>
            </w:r>
          </w:p>
        </w:tc>
        <w:tc>
          <w:tcPr>
            <w:tcW w:w="297" w:type="pct"/>
            <w:tcBorders>
              <w:top w:val="single" w:color="auto" w:sz="4" w:space="0"/>
              <w:left w:val="nil"/>
              <w:bottom w:val="single" w:color="auto" w:sz="4" w:space="0"/>
              <w:right w:val="single" w:color="auto" w:sz="4" w:space="0"/>
            </w:tcBorders>
            <w:vAlign w:val="center"/>
          </w:tcPr>
          <w:p w14:paraId="3601424F">
            <w:pPr>
              <w:widowControl/>
              <w:jc w:val="center"/>
              <w:rPr>
                <w:rFonts w:ascii="宋体" w:hAnsi="宋体" w:eastAsia="宋体" w:cs="宋体"/>
                <w:sz w:val="18"/>
                <w:szCs w:val="18"/>
              </w:rPr>
            </w:pPr>
            <w:r>
              <w:rPr>
                <w:rFonts w:ascii="宋体" w:hAnsi="宋体" w:eastAsia="宋体" w:cs="宋体"/>
                <w:sz w:val="18"/>
                <w:szCs w:val="18"/>
              </w:rPr>
              <w:t>4</w:t>
            </w:r>
          </w:p>
        </w:tc>
        <w:tc>
          <w:tcPr>
            <w:tcW w:w="680" w:type="pct"/>
            <w:tcBorders>
              <w:top w:val="single" w:color="auto" w:sz="4" w:space="0"/>
              <w:left w:val="nil"/>
              <w:bottom w:val="single" w:color="auto" w:sz="4" w:space="0"/>
              <w:right w:val="single" w:color="auto" w:sz="4" w:space="0"/>
            </w:tcBorders>
            <w:vAlign w:val="center"/>
          </w:tcPr>
          <w:p w14:paraId="0D77386F">
            <w:pPr>
              <w:widowControl/>
              <w:jc w:val="center"/>
              <w:rPr>
                <w:rFonts w:ascii="宋体" w:hAnsi="宋体" w:eastAsia="宋体" w:cs="Times New Roman"/>
                <w:sz w:val="18"/>
                <w:szCs w:val="18"/>
              </w:rPr>
            </w:pPr>
            <w:r>
              <w:rPr>
                <w:rFonts w:hint="eastAsia" w:ascii="宋体" w:hAnsi="宋体" w:eastAsia="宋体" w:cs="宋体"/>
                <w:sz w:val="18"/>
                <w:szCs w:val="18"/>
              </w:rPr>
              <w:t>部门预算项目绩效目标与计划期内的任务量、预算安排的资金量匹配情况，绩效目标设置是否科学合理、规范完整、量化细化、预算匹配</w:t>
            </w:r>
          </w:p>
        </w:tc>
        <w:tc>
          <w:tcPr>
            <w:tcW w:w="1632" w:type="pct"/>
            <w:tcBorders>
              <w:top w:val="single" w:color="auto" w:sz="4" w:space="0"/>
              <w:left w:val="nil"/>
              <w:bottom w:val="single" w:color="auto" w:sz="4" w:space="0"/>
              <w:right w:val="single" w:color="auto" w:sz="4" w:space="0"/>
            </w:tcBorders>
            <w:vAlign w:val="center"/>
          </w:tcPr>
          <w:p w14:paraId="0D557144">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=4-</w:t>
            </w:r>
            <w:r>
              <w:rPr>
                <w:rFonts w:hint="eastAsia" w:ascii="宋体" w:hAnsi="宋体" w:eastAsia="宋体" w:cs="宋体"/>
                <w:sz w:val="18"/>
                <w:szCs w:val="18"/>
              </w:rPr>
              <w:t>绩效目标与计划期内的任务量、预算安排不相匹配的部门预算阶段项目（含一次性项目）数量÷部门预算阶段项目（含一次性项目）总数×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4</w:t>
            </w:r>
            <w:r>
              <w:rPr>
                <w:rFonts w:hint="eastAsia" w:ascii="宋体" w:hAnsi="宋体" w:eastAsia="宋体" w:cs="宋体"/>
                <w:sz w:val="18"/>
                <w:szCs w:val="18"/>
              </w:rPr>
              <w:t>。若无部门预算阶段项目（含一次性项目），则抽评涉及核心业务、资金量大的其他部门预算项目，下同。</w:t>
            </w:r>
          </w:p>
        </w:tc>
        <w:tc>
          <w:tcPr>
            <w:tcW w:w="255" w:type="pct"/>
            <w:tcBorders>
              <w:top w:val="single" w:color="auto" w:sz="4" w:space="0"/>
              <w:left w:val="nil"/>
              <w:bottom w:val="single" w:color="auto" w:sz="4" w:space="0"/>
              <w:right w:val="single" w:color="auto" w:sz="4" w:space="0"/>
            </w:tcBorders>
            <w:vAlign w:val="center"/>
          </w:tcPr>
          <w:p w14:paraId="6EAD684B">
            <w:pPr>
              <w:widowControl/>
              <w:jc w:val="center"/>
              <w:rPr>
                <w:rFonts w:ascii="宋体" w:hAnsi="宋体" w:eastAsia="宋体" w:cs="宋体"/>
                <w:sz w:val="18"/>
                <w:szCs w:val="18"/>
              </w:rPr>
            </w:pPr>
            <w:r>
              <w:rPr>
                <w:rFonts w:ascii="宋体" w:hAnsi="宋体" w:eastAsia="宋体" w:cs="宋体"/>
                <w:sz w:val="18"/>
                <w:szCs w:val="18"/>
              </w:rPr>
              <w:t>4</w:t>
            </w:r>
          </w:p>
        </w:tc>
        <w:tc>
          <w:tcPr>
            <w:tcW w:w="297" w:type="pct"/>
            <w:tcBorders>
              <w:top w:val="single" w:color="auto" w:sz="4" w:space="0"/>
              <w:left w:val="nil"/>
              <w:bottom w:val="single" w:color="auto" w:sz="4" w:space="0"/>
              <w:right w:val="single" w:color="auto" w:sz="4" w:space="0"/>
            </w:tcBorders>
            <w:vAlign w:val="center"/>
          </w:tcPr>
          <w:p w14:paraId="1257E935">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50F98EE6">
        <w:tblPrEx>
          <w:tblCellMar>
            <w:top w:w="0" w:type="dxa"/>
            <w:left w:w="108" w:type="dxa"/>
            <w:bottom w:w="0" w:type="dxa"/>
            <w:right w:w="108" w:type="dxa"/>
          </w:tblCellMar>
        </w:tblPrEx>
        <w:trPr>
          <w:trHeight w:val="1185" w:hRule="atLeast"/>
        </w:trPr>
        <w:tc>
          <w:tcPr>
            <w:tcW w:w="404" w:type="pct"/>
            <w:vMerge w:val="continue"/>
            <w:tcBorders>
              <w:top w:val="nil"/>
              <w:left w:val="single" w:color="auto" w:sz="4" w:space="0"/>
              <w:bottom w:val="single" w:color="auto" w:sz="4" w:space="0"/>
              <w:right w:val="single" w:color="auto" w:sz="4" w:space="0"/>
            </w:tcBorders>
            <w:vAlign w:val="center"/>
          </w:tcPr>
          <w:p w14:paraId="0EAD2419">
            <w:pPr>
              <w:widowControl/>
              <w:jc w:val="left"/>
              <w:rPr>
                <w:rFonts w:ascii="宋体" w:hAnsi="宋体" w:eastAsia="宋体" w:cs="Times New Roman"/>
                <w:b/>
                <w:bCs/>
                <w:sz w:val="18"/>
                <w:szCs w:val="18"/>
              </w:rPr>
            </w:pPr>
          </w:p>
        </w:tc>
        <w:tc>
          <w:tcPr>
            <w:tcW w:w="413" w:type="pct"/>
            <w:vMerge w:val="continue"/>
            <w:tcBorders>
              <w:top w:val="nil"/>
              <w:left w:val="single" w:color="auto" w:sz="4" w:space="0"/>
              <w:bottom w:val="nil"/>
              <w:right w:val="single" w:color="auto" w:sz="4" w:space="0"/>
            </w:tcBorders>
            <w:vAlign w:val="center"/>
          </w:tcPr>
          <w:p w14:paraId="4E80B1CF">
            <w:pPr>
              <w:widowControl/>
              <w:jc w:val="left"/>
              <w:rPr>
                <w:rFonts w:ascii="宋体" w:hAnsi="宋体" w:eastAsia="宋体" w:cs="Times New Roman"/>
                <w:b/>
                <w:bCs/>
                <w:sz w:val="18"/>
                <w:szCs w:val="18"/>
              </w:rPr>
            </w:pPr>
          </w:p>
        </w:tc>
        <w:tc>
          <w:tcPr>
            <w:tcW w:w="1019" w:type="pct"/>
            <w:tcBorders>
              <w:top w:val="nil"/>
              <w:left w:val="nil"/>
              <w:bottom w:val="single" w:color="auto" w:sz="4" w:space="0"/>
              <w:right w:val="single" w:color="auto" w:sz="4" w:space="0"/>
            </w:tcBorders>
            <w:vAlign w:val="center"/>
          </w:tcPr>
          <w:p w14:paraId="75969B2C">
            <w:pPr>
              <w:widowControl/>
              <w:jc w:val="center"/>
              <w:rPr>
                <w:rFonts w:ascii="宋体" w:hAnsi="宋体" w:eastAsia="宋体" w:cs="Times New Roman"/>
                <w:sz w:val="18"/>
                <w:szCs w:val="18"/>
              </w:rPr>
            </w:pPr>
            <w:r>
              <w:rPr>
                <w:rFonts w:hint="eastAsia" w:ascii="宋体" w:hAnsi="宋体" w:eastAsia="宋体" w:cs="宋体"/>
                <w:sz w:val="18"/>
                <w:szCs w:val="18"/>
              </w:rPr>
              <w:t>项目入库</w:t>
            </w:r>
          </w:p>
        </w:tc>
        <w:tc>
          <w:tcPr>
            <w:tcW w:w="297" w:type="pct"/>
            <w:tcBorders>
              <w:top w:val="nil"/>
              <w:left w:val="nil"/>
              <w:bottom w:val="single" w:color="auto" w:sz="4" w:space="0"/>
              <w:right w:val="single" w:color="auto" w:sz="4" w:space="0"/>
            </w:tcBorders>
            <w:vAlign w:val="center"/>
          </w:tcPr>
          <w:p w14:paraId="0CCA08F6">
            <w:pPr>
              <w:widowControl/>
              <w:jc w:val="center"/>
              <w:rPr>
                <w:rFonts w:ascii="宋体" w:hAnsi="宋体" w:eastAsia="宋体" w:cs="宋体"/>
                <w:sz w:val="18"/>
                <w:szCs w:val="18"/>
              </w:rPr>
            </w:pPr>
            <w:r>
              <w:rPr>
                <w:rFonts w:ascii="宋体" w:hAnsi="宋体" w:eastAsia="宋体" w:cs="宋体"/>
                <w:sz w:val="18"/>
                <w:szCs w:val="18"/>
              </w:rPr>
              <w:t>4</w:t>
            </w:r>
          </w:p>
        </w:tc>
        <w:tc>
          <w:tcPr>
            <w:tcW w:w="680" w:type="pct"/>
            <w:tcBorders>
              <w:top w:val="nil"/>
              <w:left w:val="nil"/>
              <w:bottom w:val="single" w:color="auto" w:sz="4" w:space="0"/>
              <w:right w:val="single" w:color="auto" w:sz="4" w:space="0"/>
            </w:tcBorders>
            <w:vAlign w:val="center"/>
          </w:tcPr>
          <w:p w14:paraId="5F07BCAD">
            <w:pPr>
              <w:widowControl/>
              <w:jc w:val="center"/>
              <w:rPr>
                <w:rFonts w:ascii="宋体" w:hAnsi="宋体" w:eastAsia="宋体" w:cs="Times New Roman"/>
                <w:sz w:val="18"/>
                <w:szCs w:val="18"/>
              </w:rPr>
            </w:pPr>
            <w:r>
              <w:rPr>
                <w:rFonts w:hint="eastAsia" w:ascii="宋体" w:hAnsi="宋体" w:eastAsia="宋体" w:cs="宋体"/>
                <w:sz w:val="18"/>
                <w:szCs w:val="18"/>
              </w:rPr>
              <w:t>部门预算项目是否在规定时间完成项目入库</w:t>
            </w:r>
          </w:p>
        </w:tc>
        <w:tc>
          <w:tcPr>
            <w:tcW w:w="1632" w:type="pct"/>
            <w:tcBorders>
              <w:top w:val="nil"/>
              <w:left w:val="nil"/>
              <w:bottom w:val="single" w:color="auto" w:sz="4" w:space="0"/>
              <w:right w:val="single" w:color="auto" w:sz="4" w:space="0"/>
            </w:tcBorders>
            <w:vAlign w:val="center"/>
          </w:tcPr>
          <w:p w14:paraId="54178047">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=4-</w:t>
            </w:r>
            <w:r>
              <w:rPr>
                <w:rFonts w:hint="eastAsia" w:ascii="宋体" w:hAnsi="宋体" w:eastAsia="宋体" w:cs="宋体"/>
                <w:sz w:val="18"/>
                <w:szCs w:val="18"/>
              </w:rPr>
              <w:t>规定时间未入财政库部门预算阶段项目（含一次性项目）数量÷最终安排部门预算阶段项目（含一次性项目）总数×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4</w:t>
            </w:r>
            <w:r>
              <w:rPr>
                <w:rFonts w:hint="eastAsia" w:ascii="宋体" w:hAnsi="宋体" w:eastAsia="宋体" w:cs="宋体"/>
                <w:sz w:val="18"/>
                <w:szCs w:val="18"/>
              </w:rPr>
              <w:t>。（默认满分）</w:t>
            </w:r>
          </w:p>
        </w:tc>
        <w:tc>
          <w:tcPr>
            <w:tcW w:w="255" w:type="pct"/>
            <w:tcBorders>
              <w:top w:val="nil"/>
              <w:left w:val="nil"/>
              <w:bottom w:val="single" w:color="auto" w:sz="4" w:space="0"/>
              <w:right w:val="single" w:color="auto" w:sz="4" w:space="0"/>
            </w:tcBorders>
            <w:vAlign w:val="center"/>
          </w:tcPr>
          <w:p w14:paraId="5E24FAFA">
            <w:pPr>
              <w:widowControl/>
              <w:jc w:val="center"/>
              <w:rPr>
                <w:rFonts w:ascii="宋体" w:hAnsi="宋体" w:eastAsia="宋体" w:cs="宋体"/>
                <w:sz w:val="18"/>
                <w:szCs w:val="18"/>
              </w:rPr>
            </w:pPr>
            <w:r>
              <w:rPr>
                <w:rFonts w:ascii="宋体" w:hAnsi="宋体" w:eastAsia="宋体" w:cs="宋体"/>
                <w:sz w:val="18"/>
                <w:szCs w:val="18"/>
              </w:rPr>
              <w:t>4</w:t>
            </w:r>
          </w:p>
        </w:tc>
        <w:tc>
          <w:tcPr>
            <w:tcW w:w="297" w:type="pct"/>
            <w:tcBorders>
              <w:top w:val="nil"/>
              <w:left w:val="nil"/>
              <w:bottom w:val="single" w:color="auto" w:sz="4" w:space="0"/>
              <w:right w:val="single" w:color="auto" w:sz="4" w:space="0"/>
            </w:tcBorders>
            <w:vAlign w:val="center"/>
          </w:tcPr>
          <w:p w14:paraId="6D8A5997">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68A9264">
        <w:tblPrEx>
          <w:tblCellMar>
            <w:top w:w="0" w:type="dxa"/>
            <w:left w:w="108" w:type="dxa"/>
            <w:bottom w:w="0" w:type="dxa"/>
            <w:right w:w="108" w:type="dxa"/>
          </w:tblCellMar>
        </w:tblPrEx>
        <w:trPr>
          <w:trHeight w:val="1140" w:hRule="atLeast"/>
        </w:trPr>
        <w:tc>
          <w:tcPr>
            <w:tcW w:w="404" w:type="pct"/>
            <w:vMerge w:val="continue"/>
            <w:tcBorders>
              <w:top w:val="nil"/>
              <w:left w:val="single" w:color="auto" w:sz="4" w:space="0"/>
              <w:bottom w:val="single" w:color="auto" w:sz="4" w:space="0"/>
              <w:right w:val="single" w:color="auto" w:sz="4" w:space="0"/>
            </w:tcBorders>
            <w:vAlign w:val="center"/>
          </w:tcPr>
          <w:p w14:paraId="6BDC3E48">
            <w:pPr>
              <w:widowControl/>
              <w:jc w:val="left"/>
              <w:rPr>
                <w:rFonts w:ascii="宋体" w:hAnsi="宋体" w:eastAsia="宋体" w:cs="Times New Roman"/>
                <w:b/>
                <w:bCs/>
                <w:sz w:val="18"/>
                <w:szCs w:val="18"/>
              </w:rPr>
            </w:pPr>
          </w:p>
        </w:tc>
        <w:tc>
          <w:tcPr>
            <w:tcW w:w="413" w:type="pct"/>
            <w:vMerge w:val="restart"/>
            <w:tcBorders>
              <w:top w:val="single" w:color="auto" w:sz="4" w:space="0"/>
              <w:left w:val="single" w:color="auto" w:sz="4" w:space="0"/>
              <w:bottom w:val="nil"/>
              <w:right w:val="single" w:color="auto" w:sz="4" w:space="0"/>
            </w:tcBorders>
            <w:vAlign w:val="center"/>
          </w:tcPr>
          <w:p w14:paraId="4012ECBC">
            <w:pPr>
              <w:widowControl/>
              <w:jc w:val="center"/>
              <w:rPr>
                <w:rFonts w:ascii="宋体" w:hAnsi="宋体" w:eastAsia="宋体" w:cs="Times New Roman"/>
                <w:b/>
                <w:bCs/>
                <w:sz w:val="18"/>
                <w:szCs w:val="18"/>
              </w:rPr>
            </w:pPr>
            <w:r>
              <w:rPr>
                <w:rFonts w:hint="eastAsia" w:ascii="宋体" w:hAnsi="宋体" w:eastAsia="宋体" w:cs="宋体"/>
                <w:b/>
                <w:bCs/>
                <w:sz w:val="18"/>
                <w:szCs w:val="18"/>
              </w:rPr>
              <w:t>项目执行</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15</w:t>
            </w:r>
            <w:r>
              <w:rPr>
                <w:rFonts w:hint="eastAsia" w:ascii="宋体" w:hAnsi="宋体" w:eastAsia="宋体" w:cs="宋体"/>
                <w:b/>
                <w:bCs/>
                <w:sz w:val="18"/>
                <w:szCs w:val="18"/>
              </w:rPr>
              <w:t>分）</w:t>
            </w:r>
          </w:p>
        </w:tc>
        <w:tc>
          <w:tcPr>
            <w:tcW w:w="1019" w:type="pct"/>
            <w:tcBorders>
              <w:top w:val="nil"/>
              <w:left w:val="nil"/>
              <w:bottom w:val="single" w:color="auto" w:sz="4" w:space="0"/>
              <w:right w:val="single" w:color="auto" w:sz="4" w:space="0"/>
            </w:tcBorders>
            <w:vAlign w:val="center"/>
          </w:tcPr>
          <w:p w14:paraId="66962541">
            <w:pPr>
              <w:widowControl/>
              <w:jc w:val="center"/>
              <w:rPr>
                <w:rFonts w:ascii="宋体" w:hAnsi="宋体" w:eastAsia="宋体" w:cs="Times New Roman"/>
                <w:sz w:val="18"/>
                <w:szCs w:val="18"/>
              </w:rPr>
            </w:pPr>
            <w:r>
              <w:rPr>
                <w:rFonts w:hint="eastAsia" w:ascii="宋体" w:hAnsi="宋体" w:eastAsia="宋体" w:cs="宋体"/>
                <w:sz w:val="18"/>
                <w:szCs w:val="18"/>
              </w:rPr>
              <w:t>执行同向</w:t>
            </w:r>
          </w:p>
        </w:tc>
        <w:tc>
          <w:tcPr>
            <w:tcW w:w="297" w:type="pct"/>
            <w:tcBorders>
              <w:top w:val="nil"/>
              <w:left w:val="nil"/>
              <w:bottom w:val="single" w:color="auto" w:sz="4" w:space="0"/>
              <w:right w:val="single" w:color="auto" w:sz="4" w:space="0"/>
            </w:tcBorders>
            <w:vAlign w:val="center"/>
          </w:tcPr>
          <w:p w14:paraId="096C4F01">
            <w:pPr>
              <w:widowControl/>
              <w:jc w:val="center"/>
              <w:rPr>
                <w:rFonts w:ascii="宋体" w:hAnsi="宋体" w:eastAsia="宋体" w:cs="宋体"/>
                <w:sz w:val="18"/>
                <w:szCs w:val="18"/>
              </w:rPr>
            </w:pPr>
            <w:r>
              <w:rPr>
                <w:rFonts w:ascii="宋体" w:hAnsi="宋体" w:eastAsia="宋体" w:cs="宋体"/>
                <w:sz w:val="18"/>
                <w:szCs w:val="18"/>
              </w:rPr>
              <w:t>5</w:t>
            </w:r>
          </w:p>
        </w:tc>
        <w:tc>
          <w:tcPr>
            <w:tcW w:w="680" w:type="pct"/>
            <w:tcBorders>
              <w:top w:val="nil"/>
              <w:left w:val="nil"/>
              <w:bottom w:val="single" w:color="auto" w:sz="4" w:space="0"/>
              <w:right w:val="single" w:color="auto" w:sz="4" w:space="0"/>
            </w:tcBorders>
            <w:vAlign w:val="center"/>
          </w:tcPr>
          <w:p w14:paraId="709E305B">
            <w:pPr>
              <w:widowControl/>
              <w:jc w:val="center"/>
              <w:rPr>
                <w:rFonts w:ascii="宋体" w:hAnsi="宋体" w:eastAsia="宋体" w:cs="Times New Roman"/>
                <w:sz w:val="18"/>
                <w:szCs w:val="18"/>
              </w:rPr>
            </w:pPr>
            <w:r>
              <w:rPr>
                <w:rFonts w:hint="eastAsia" w:ascii="宋体" w:hAnsi="宋体" w:eastAsia="宋体" w:cs="宋体"/>
                <w:sz w:val="18"/>
                <w:szCs w:val="18"/>
              </w:rPr>
              <w:t>部门预算项目实际列支内容是否与绩效目标设置方向相符</w:t>
            </w:r>
          </w:p>
        </w:tc>
        <w:tc>
          <w:tcPr>
            <w:tcW w:w="1632" w:type="pct"/>
            <w:tcBorders>
              <w:top w:val="nil"/>
              <w:left w:val="nil"/>
              <w:bottom w:val="single" w:color="auto" w:sz="4" w:space="0"/>
              <w:right w:val="single" w:color="auto" w:sz="4" w:space="0"/>
            </w:tcBorders>
            <w:vAlign w:val="center"/>
          </w:tcPr>
          <w:p w14:paraId="3866E74F">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=4-</w:t>
            </w:r>
            <w:r>
              <w:rPr>
                <w:rFonts w:hint="eastAsia" w:ascii="宋体" w:hAnsi="宋体" w:eastAsia="宋体" w:cs="宋体"/>
                <w:sz w:val="18"/>
                <w:szCs w:val="18"/>
              </w:rPr>
              <w:t>实际列支内容与绩效目标设置方向不相符的部门预算阶段项目（含一次性项目）数量÷部门预算阶段项目（含一次性项目）总数×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5</w:t>
            </w:r>
            <w:r>
              <w:rPr>
                <w:rFonts w:hint="eastAsia" w:ascii="宋体" w:hAnsi="宋体" w:eastAsia="宋体" w:cs="宋体"/>
                <w:sz w:val="18"/>
                <w:szCs w:val="18"/>
              </w:rPr>
              <w:t>。</w:t>
            </w:r>
          </w:p>
        </w:tc>
        <w:tc>
          <w:tcPr>
            <w:tcW w:w="255" w:type="pct"/>
            <w:tcBorders>
              <w:top w:val="nil"/>
              <w:left w:val="nil"/>
              <w:bottom w:val="single" w:color="auto" w:sz="4" w:space="0"/>
              <w:right w:val="single" w:color="auto" w:sz="4" w:space="0"/>
            </w:tcBorders>
            <w:vAlign w:val="center"/>
          </w:tcPr>
          <w:p w14:paraId="67805821">
            <w:pPr>
              <w:widowControl/>
              <w:jc w:val="center"/>
              <w:rPr>
                <w:rFonts w:ascii="宋体" w:hAnsi="宋体" w:eastAsia="宋体" w:cs="宋体"/>
                <w:sz w:val="18"/>
                <w:szCs w:val="18"/>
              </w:rPr>
            </w:pPr>
            <w:r>
              <w:rPr>
                <w:rFonts w:ascii="宋体" w:hAnsi="宋体" w:eastAsia="宋体" w:cs="宋体"/>
                <w:sz w:val="18"/>
                <w:szCs w:val="18"/>
              </w:rPr>
              <w:t>5</w:t>
            </w:r>
          </w:p>
        </w:tc>
        <w:tc>
          <w:tcPr>
            <w:tcW w:w="297" w:type="pct"/>
            <w:tcBorders>
              <w:top w:val="nil"/>
              <w:left w:val="nil"/>
              <w:bottom w:val="single" w:color="auto" w:sz="4" w:space="0"/>
              <w:right w:val="single" w:color="auto" w:sz="4" w:space="0"/>
            </w:tcBorders>
            <w:vAlign w:val="center"/>
          </w:tcPr>
          <w:p w14:paraId="013ABF01">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683AF63">
        <w:tblPrEx>
          <w:tblCellMar>
            <w:top w:w="0" w:type="dxa"/>
            <w:left w:w="108" w:type="dxa"/>
            <w:bottom w:w="0" w:type="dxa"/>
            <w:right w:w="108" w:type="dxa"/>
          </w:tblCellMar>
        </w:tblPrEx>
        <w:trPr>
          <w:trHeight w:val="1320" w:hRule="atLeast"/>
        </w:trPr>
        <w:tc>
          <w:tcPr>
            <w:tcW w:w="404" w:type="pct"/>
            <w:vMerge w:val="continue"/>
            <w:tcBorders>
              <w:top w:val="nil"/>
              <w:left w:val="single" w:color="auto" w:sz="4" w:space="0"/>
              <w:bottom w:val="single" w:color="auto" w:sz="4" w:space="0"/>
              <w:right w:val="single" w:color="auto" w:sz="4" w:space="0"/>
            </w:tcBorders>
            <w:vAlign w:val="center"/>
          </w:tcPr>
          <w:p w14:paraId="33E8C513">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nil"/>
              <w:right w:val="single" w:color="auto" w:sz="4" w:space="0"/>
            </w:tcBorders>
            <w:vAlign w:val="center"/>
          </w:tcPr>
          <w:p w14:paraId="10B19594">
            <w:pPr>
              <w:widowControl/>
              <w:jc w:val="left"/>
              <w:rPr>
                <w:rFonts w:ascii="宋体" w:hAnsi="宋体" w:eastAsia="宋体" w:cs="Times New Roman"/>
                <w:b/>
                <w:bCs/>
                <w:sz w:val="18"/>
                <w:szCs w:val="18"/>
              </w:rPr>
            </w:pPr>
          </w:p>
        </w:tc>
        <w:tc>
          <w:tcPr>
            <w:tcW w:w="1019" w:type="pct"/>
            <w:tcBorders>
              <w:top w:val="nil"/>
              <w:left w:val="nil"/>
              <w:bottom w:val="nil"/>
              <w:right w:val="single" w:color="auto" w:sz="4" w:space="0"/>
            </w:tcBorders>
            <w:vAlign w:val="center"/>
          </w:tcPr>
          <w:p w14:paraId="79A1D43D">
            <w:pPr>
              <w:widowControl/>
              <w:jc w:val="center"/>
              <w:rPr>
                <w:rFonts w:ascii="宋体" w:hAnsi="宋体" w:eastAsia="宋体" w:cs="Times New Roman"/>
                <w:sz w:val="18"/>
                <w:szCs w:val="18"/>
              </w:rPr>
            </w:pPr>
            <w:r>
              <w:rPr>
                <w:rFonts w:hint="eastAsia" w:ascii="宋体" w:hAnsi="宋体" w:eastAsia="宋体" w:cs="宋体"/>
                <w:sz w:val="18"/>
                <w:szCs w:val="18"/>
              </w:rPr>
              <w:t>项目调整</w:t>
            </w:r>
          </w:p>
        </w:tc>
        <w:tc>
          <w:tcPr>
            <w:tcW w:w="297" w:type="pct"/>
            <w:tcBorders>
              <w:top w:val="nil"/>
              <w:left w:val="nil"/>
              <w:bottom w:val="single" w:color="auto" w:sz="4" w:space="0"/>
              <w:right w:val="single" w:color="auto" w:sz="4" w:space="0"/>
            </w:tcBorders>
            <w:vAlign w:val="center"/>
          </w:tcPr>
          <w:p w14:paraId="7D2E9CF5">
            <w:pPr>
              <w:widowControl/>
              <w:jc w:val="center"/>
              <w:rPr>
                <w:rFonts w:ascii="宋体" w:hAnsi="宋体" w:eastAsia="宋体" w:cs="宋体"/>
                <w:sz w:val="18"/>
                <w:szCs w:val="18"/>
              </w:rPr>
            </w:pPr>
            <w:r>
              <w:rPr>
                <w:rFonts w:ascii="宋体" w:hAnsi="宋体" w:eastAsia="宋体" w:cs="宋体"/>
                <w:sz w:val="18"/>
                <w:szCs w:val="18"/>
              </w:rPr>
              <w:t>6</w:t>
            </w:r>
          </w:p>
        </w:tc>
        <w:tc>
          <w:tcPr>
            <w:tcW w:w="680" w:type="pct"/>
            <w:tcBorders>
              <w:top w:val="nil"/>
              <w:left w:val="nil"/>
              <w:bottom w:val="single" w:color="auto" w:sz="4" w:space="0"/>
              <w:right w:val="single" w:color="auto" w:sz="4" w:space="0"/>
            </w:tcBorders>
            <w:vAlign w:val="center"/>
          </w:tcPr>
          <w:p w14:paraId="0D42341A">
            <w:pPr>
              <w:widowControl/>
              <w:jc w:val="center"/>
              <w:rPr>
                <w:rFonts w:ascii="宋体" w:hAnsi="宋体" w:eastAsia="宋体" w:cs="Times New Roman"/>
                <w:sz w:val="18"/>
                <w:szCs w:val="18"/>
              </w:rPr>
            </w:pPr>
            <w:r>
              <w:rPr>
                <w:rFonts w:hint="eastAsia" w:ascii="宋体" w:hAnsi="宋体" w:eastAsia="宋体" w:cs="宋体"/>
                <w:sz w:val="18"/>
                <w:szCs w:val="18"/>
              </w:rPr>
              <w:t>部门预算项目是否采取对应调整措施</w:t>
            </w:r>
          </w:p>
        </w:tc>
        <w:tc>
          <w:tcPr>
            <w:tcW w:w="1632" w:type="pct"/>
            <w:tcBorders>
              <w:top w:val="nil"/>
              <w:left w:val="nil"/>
              <w:bottom w:val="single" w:color="auto" w:sz="4" w:space="0"/>
              <w:right w:val="single" w:color="auto" w:sz="4" w:space="0"/>
            </w:tcBorders>
            <w:vAlign w:val="center"/>
          </w:tcPr>
          <w:p w14:paraId="06C6D0EA">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=4-</w:t>
            </w:r>
            <w:r>
              <w:rPr>
                <w:rFonts w:hint="eastAsia" w:ascii="宋体" w:hAnsi="宋体" w:eastAsia="宋体" w:cs="宋体"/>
                <w:sz w:val="18"/>
                <w:szCs w:val="18"/>
              </w:rPr>
              <w:t>应采取未采取收回预算、调整目标等处置措施的部门预算阶段项目（含一次性项目）数量÷应采取收回预算、调整目标等处置措施的部门预算阶段项目（含一次性项目）总数×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6</w:t>
            </w:r>
            <w:r>
              <w:rPr>
                <w:rFonts w:hint="eastAsia" w:ascii="宋体" w:hAnsi="宋体" w:eastAsia="宋体" w:cs="宋体"/>
                <w:sz w:val="18"/>
                <w:szCs w:val="18"/>
              </w:rPr>
              <w:t>。</w:t>
            </w:r>
          </w:p>
        </w:tc>
        <w:tc>
          <w:tcPr>
            <w:tcW w:w="255" w:type="pct"/>
            <w:tcBorders>
              <w:top w:val="nil"/>
              <w:left w:val="nil"/>
              <w:bottom w:val="single" w:color="auto" w:sz="4" w:space="0"/>
              <w:right w:val="single" w:color="auto" w:sz="4" w:space="0"/>
            </w:tcBorders>
            <w:vAlign w:val="center"/>
          </w:tcPr>
          <w:p w14:paraId="32DE0DAC">
            <w:pPr>
              <w:widowControl/>
              <w:jc w:val="center"/>
              <w:rPr>
                <w:rFonts w:ascii="宋体" w:hAnsi="宋体" w:eastAsia="宋体" w:cs="宋体"/>
                <w:sz w:val="18"/>
                <w:szCs w:val="18"/>
              </w:rPr>
            </w:pPr>
            <w:r>
              <w:rPr>
                <w:rFonts w:ascii="宋体" w:hAnsi="宋体" w:eastAsia="宋体" w:cs="宋体"/>
                <w:sz w:val="18"/>
                <w:szCs w:val="18"/>
              </w:rPr>
              <w:t>6</w:t>
            </w:r>
          </w:p>
        </w:tc>
        <w:tc>
          <w:tcPr>
            <w:tcW w:w="297" w:type="pct"/>
            <w:tcBorders>
              <w:top w:val="nil"/>
              <w:left w:val="nil"/>
              <w:bottom w:val="single" w:color="auto" w:sz="4" w:space="0"/>
              <w:right w:val="single" w:color="auto" w:sz="4" w:space="0"/>
            </w:tcBorders>
            <w:vAlign w:val="center"/>
          </w:tcPr>
          <w:p w14:paraId="78BCEFDE">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06EA41E8">
        <w:tblPrEx>
          <w:tblCellMar>
            <w:top w:w="0" w:type="dxa"/>
            <w:left w:w="108" w:type="dxa"/>
            <w:bottom w:w="0" w:type="dxa"/>
            <w:right w:w="108" w:type="dxa"/>
          </w:tblCellMar>
        </w:tblPrEx>
        <w:trPr>
          <w:trHeight w:val="1095" w:hRule="atLeast"/>
        </w:trPr>
        <w:tc>
          <w:tcPr>
            <w:tcW w:w="404" w:type="pct"/>
            <w:vMerge w:val="continue"/>
            <w:tcBorders>
              <w:top w:val="nil"/>
              <w:left w:val="single" w:color="auto" w:sz="4" w:space="0"/>
              <w:bottom w:val="single" w:color="auto" w:sz="4" w:space="0"/>
              <w:right w:val="single" w:color="auto" w:sz="4" w:space="0"/>
            </w:tcBorders>
            <w:vAlign w:val="center"/>
          </w:tcPr>
          <w:p w14:paraId="6A81D97E">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53E4FCA7">
            <w:pPr>
              <w:widowControl/>
              <w:jc w:val="left"/>
              <w:rPr>
                <w:rFonts w:ascii="宋体" w:hAnsi="宋体" w:eastAsia="宋体" w:cs="Times New Roman"/>
                <w:b/>
                <w:bCs/>
                <w:sz w:val="18"/>
                <w:szCs w:val="18"/>
              </w:rPr>
            </w:pPr>
          </w:p>
        </w:tc>
        <w:tc>
          <w:tcPr>
            <w:tcW w:w="1019" w:type="pct"/>
            <w:tcBorders>
              <w:top w:val="single" w:color="auto" w:sz="4" w:space="0"/>
              <w:left w:val="nil"/>
              <w:bottom w:val="single" w:color="auto" w:sz="4" w:space="0"/>
              <w:right w:val="single" w:color="auto" w:sz="4" w:space="0"/>
            </w:tcBorders>
            <w:vAlign w:val="center"/>
          </w:tcPr>
          <w:p w14:paraId="7098897E">
            <w:pPr>
              <w:widowControl/>
              <w:jc w:val="center"/>
              <w:rPr>
                <w:rFonts w:ascii="宋体" w:hAnsi="宋体" w:eastAsia="宋体" w:cs="Times New Roman"/>
                <w:sz w:val="18"/>
                <w:szCs w:val="18"/>
              </w:rPr>
            </w:pPr>
            <w:r>
              <w:rPr>
                <w:rFonts w:hint="eastAsia" w:ascii="宋体" w:hAnsi="宋体" w:eastAsia="宋体" w:cs="宋体"/>
                <w:sz w:val="18"/>
                <w:szCs w:val="18"/>
              </w:rPr>
              <w:t>执行结果</w:t>
            </w:r>
          </w:p>
        </w:tc>
        <w:tc>
          <w:tcPr>
            <w:tcW w:w="297" w:type="pct"/>
            <w:tcBorders>
              <w:top w:val="nil"/>
              <w:left w:val="nil"/>
              <w:bottom w:val="single" w:color="auto" w:sz="4" w:space="0"/>
              <w:right w:val="single" w:color="auto" w:sz="4" w:space="0"/>
            </w:tcBorders>
            <w:vAlign w:val="center"/>
          </w:tcPr>
          <w:p w14:paraId="7B8B6326">
            <w:pPr>
              <w:widowControl/>
              <w:jc w:val="center"/>
              <w:rPr>
                <w:rFonts w:ascii="宋体" w:hAnsi="宋体" w:eastAsia="宋体" w:cs="宋体"/>
                <w:sz w:val="18"/>
                <w:szCs w:val="18"/>
              </w:rPr>
            </w:pPr>
            <w:r>
              <w:rPr>
                <w:rFonts w:ascii="宋体" w:hAnsi="宋体" w:eastAsia="宋体" w:cs="宋体"/>
                <w:sz w:val="18"/>
                <w:szCs w:val="18"/>
              </w:rPr>
              <w:t>4</w:t>
            </w:r>
          </w:p>
        </w:tc>
        <w:tc>
          <w:tcPr>
            <w:tcW w:w="680" w:type="pct"/>
            <w:tcBorders>
              <w:top w:val="nil"/>
              <w:left w:val="nil"/>
              <w:bottom w:val="single" w:color="auto" w:sz="4" w:space="0"/>
              <w:right w:val="single" w:color="auto" w:sz="4" w:space="0"/>
            </w:tcBorders>
            <w:vAlign w:val="center"/>
          </w:tcPr>
          <w:p w14:paraId="0289F4DD">
            <w:pPr>
              <w:widowControl/>
              <w:jc w:val="center"/>
              <w:rPr>
                <w:rFonts w:ascii="宋体" w:hAnsi="宋体" w:eastAsia="宋体" w:cs="Times New Roman"/>
                <w:sz w:val="18"/>
                <w:szCs w:val="18"/>
              </w:rPr>
            </w:pPr>
            <w:r>
              <w:rPr>
                <w:rFonts w:hint="eastAsia" w:ascii="宋体" w:hAnsi="宋体" w:eastAsia="宋体" w:cs="宋体"/>
                <w:sz w:val="18"/>
                <w:szCs w:val="18"/>
              </w:rPr>
              <w:t>部门预算项目预算执行情况</w:t>
            </w:r>
          </w:p>
        </w:tc>
        <w:tc>
          <w:tcPr>
            <w:tcW w:w="1632" w:type="pct"/>
            <w:tcBorders>
              <w:top w:val="nil"/>
              <w:left w:val="nil"/>
              <w:bottom w:val="single" w:color="auto" w:sz="4" w:space="0"/>
              <w:right w:val="single" w:color="auto" w:sz="4" w:space="0"/>
            </w:tcBorders>
            <w:vAlign w:val="center"/>
          </w:tcPr>
          <w:p w14:paraId="07D63BD5">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预算结余率小于</w:t>
            </w:r>
            <w:r>
              <w:rPr>
                <w:rFonts w:ascii="宋体" w:hAnsi="宋体" w:eastAsia="宋体" w:cs="宋体"/>
                <w:sz w:val="18"/>
                <w:szCs w:val="18"/>
              </w:rPr>
              <w:t>10%</w:t>
            </w:r>
            <w:r>
              <w:rPr>
                <w:rFonts w:hint="eastAsia" w:ascii="宋体" w:hAnsi="宋体" w:eastAsia="宋体" w:cs="宋体"/>
                <w:sz w:val="18"/>
                <w:szCs w:val="18"/>
              </w:rPr>
              <w:t>的常年项目数量÷部门预算常年项目总数×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2+</w:t>
            </w:r>
            <w:r>
              <w:rPr>
                <w:rFonts w:hint="eastAsia" w:ascii="宋体" w:hAnsi="宋体" w:eastAsia="宋体" w:cs="宋体"/>
                <w:sz w:val="18"/>
                <w:szCs w:val="18"/>
              </w:rPr>
              <w:t>预算结余率小于</w:t>
            </w:r>
            <w:r>
              <w:rPr>
                <w:rFonts w:ascii="宋体" w:hAnsi="宋体" w:eastAsia="宋体" w:cs="宋体"/>
                <w:sz w:val="18"/>
                <w:szCs w:val="18"/>
              </w:rPr>
              <w:t>10%</w:t>
            </w:r>
            <w:r>
              <w:rPr>
                <w:rFonts w:hint="eastAsia" w:ascii="宋体" w:hAnsi="宋体" w:eastAsia="宋体" w:cs="宋体"/>
                <w:sz w:val="18"/>
                <w:szCs w:val="18"/>
              </w:rPr>
              <w:t>的一次性项目和阶段项目数量÷部门预算一次性项目和阶段项目总数×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2</w:t>
            </w:r>
            <w:r>
              <w:rPr>
                <w:rFonts w:hint="eastAsia" w:ascii="宋体" w:hAnsi="宋体" w:eastAsia="宋体" w:cs="宋体"/>
                <w:sz w:val="18"/>
                <w:szCs w:val="18"/>
              </w:rPr>
              <w:t>。</w:t>
            </w:r>
          </w:p>
        </w:tc>
        <w:tc>
          <w:tcPr>
            <w:tcW w:w="255" w:type="pct"/>
            <w:tcBorders>
              <w:top w:val="nil"/>
              <w:left w:val="nil"/>
              <w:bottom w:val="single" w:color="auto" w:sz="4" w:space="0"/>
              <w:right w:val="single" w:color="auto" w:sz="4" w:space="0"/>
            </w:tcBorders>
            <w:vAlign w:val="center"/>
          </w:tcPr>
          <w:p w14:paraId="0EAD91DC">
            <w:pPr>
              <w:widowControl/>
              <w:jc w:val="center"/>
              <w:rPr>
                <w:rFonts w:ascii="宋体" w:hAnsi="宋体" w:eastAsia="宋体" w:cs="宋体"/>
                <w:sz w:val="18"/>
                <w:szCs w:val="18"/>
              </w:rPr>
            </w:pPr>
            <w:r>
              <w:rPr>
                <w:rFonts w:ascii="宋体" w:hAnsi="宋体" w:eastAsia="宋体" w:cs="宋体"/>
                <w:sz w:val="18"/>
                <w:szCs w:val="18"/>
              </w:rPr>
              <w:t>4</w:t>
            </w:r>
          </w:p>
        </w:tc>
        <w:tc>
          <w:tcPr>
            <w:tcW w:w="297" w:type="pct"/>
            <w:tcBorders>
              <w:top w:val="nil"/>
              <w:left w:val="nil"/>
              <w:bottom w:val="single" w:color="auto" w:sz="4" w:space="0"/>
              <w:right w:val="single" w:color="auto" w:sz="4" w:space="0"/>
            </w:tcBorders>
            <w:vAlign w:val="center"/>
          </w:tcPr>
          <w:p w14:paraId="610980D3">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5AE96EF6">
        <w:tblPrEx>
          <w:tblCellMar>
            <w:top w:w="0" w:type="dxa"/>
            <w:left w:w="108" w:type="dxa"/>
            <w:bottom w:w="0" w:type="dxa"/>
            <w:right w:w="108" w:type="dxa"/>
          </w:tblCellMar>
        </w:tblPrEx>
        <w:trPr>
          <w:trHeight w:val="1005" w:hRule="atLeast"/>
        </w:trPr>
        <w:tc>
          <w:tcPr>
            <w:tcW w:w="404" w:type="pct"/>
            <w:vMerge w:val="restart"/>
            <w:tcBorders>
              <w:top w:val="single" w:color="auto" w:sz="4" w:space="0"/>
              <w:left w:val="single" w:color="auto" w:sz="4" w:space="0"/>
              <w:bottom w:val="single" w:color="auto" w:sz="4" w:space="0"/>
              <w:right w:val="single" w:color="auto" w:sz="4" w:space="0"/>
            </w:tcBorders>
            <w:vAlign w:val="center"/>
          </w:tcPr>
          <w:p w14:paraId="366BDD16">
            <w:pPr>
              <w:widowControl/>
              <w:jc w:val="left"/>
              <w:rPr>
                <w:rFonts w:ascii="宋体" w:hAnsi="宋体" w:eastAsia="宋体" w:cs="Times New Roman"/>
                <w:b/>
                <w:bCs/>
                <w:sz w:val="18"/>
                <w:szCs w:val="18"/>
              </w:rPr>
            </w:pPr>
          </w:p>
        </w:tc>
        <w:tc>
          <w:tcPr>
            <w:tcW w:w="413" w:type="pct"/>
            <w:vMerge w:val="restart"/>
            <w:tcBorders>
              <w:top w:val="single" w:color="auto" w:sz="4" w:space="0"/>
              <w:left w:val="single" w:color="auto" w:sz="4" w:space="0"/>
              <w:bottom w:val="single" w:color="auto" w:sz="4" w:space="0"/>
              <w:right w:val="single" w:color="auto" w:sz="4" w:space="0"/>
            </w:tcBorders>
            <w:vAlign w:val="center"/>
          </w:tcPr>
          <w:p w14:paraId="4E237C4A">
            <w:pPr>
              <w:widowControl/>
              <w:jc w:val="center"/>
              <w:rPr>
                <w:rFonts w:ascii="宋体" w:hAnsi="宋体" w:eastAsia="宋体" w:cs="Times New Roman"/>
                <w:b/>
                <w:bCs/>
                <w:sz w:val="18"/>
                <w:szCs w:val="18"/>
              </w:rPr>
            </w:pPr>
            <w:r>
              <w:rPr>
                <w:rFonts w:hint="eastAsia" w:ascii="宋体" w:hAnsi="宋体" w:eastAsia="宋体" w:cs="宋体"/>
                <w:b/>
                <w:bCs/>
                <w:sz w:val="18"/>
                <w:szCs w:val="18"/>
              </w:rPr>
              <w:t>目标实现</w:t>
            </w:r>
            <w:r>
              <w:rPr>
                <w:rFonts w:ascii="宋体" w:hAnsi="宋体" w:eastAsia="宋体" w:cs="Times New Roman"/>
                <w:b/>
                <w:bCs/>
                <w:sz w:val="18"/>
                <w:szCs w:val="18"/>
              </w:rPr>
              <w:br w:type="textWrapping"/>
            </w:r>
            <w:r>
              <w:rPr>
                <w:rFonts w:hint="eastAsia" w:ascii="宋体" w:hAnsi="宋体" w:eastAsia="宋体" w:cs="宋体"/>
                <w:b/>
                <w:bCs/>
                <w:sz w:val="18"/>
                <w:szCs w:val="18"/>
              </w:rPr>
              <w:t>（</w:t>
            </w:r>
            <w:r>
              <w:rPr>
                <w:rFonts w:ascii="宋体" w:hAnsi="宋体" w:eastAsia="宋体" w:cs="宋体"/>
                <w:b/>
                <w:bCs/>
                <w:sz w:val="18"/>
                <w:szCs w:val="18"/>
              </w:rPr>
              <w:t>17</w:t>
            </w:r>
            <w:r>
              <w:rPr>
                <w:rFonts w:hint="eastAsia" w:ascii="宋体" w:hAnsi="宋体" w:eastAsia="宋体" w:cs="宋体"/>
                <w:b/>
                <w:bCs/>
                <w:sz w:val="18"/>
                <w:szCs w:val="18"/>
              </w:rPr>
              <w:t>分）</w:t>
            </w:r>
          </w:p>
        </w:tc>
        <w:tc>
          <w:tcPr>
            <w:tcW w:w="1019" w:type="pct"/>
            <w:tcBorders>
              <w:top w:val="single" w:color="auto" w:sz="4" w:space="0"/>
              <w:left w:val="single" w:color="auto" w:sz="4" w:space="0"/>
              <w:bottom w:val="single" w:color="auto" w:sz="4" w:space="0"/>
              <w:right w:val="single" w:color="auto" w:sz="4" w:space="0"/>
            </w:tcBorders>
            <w:vAlign w:val="center"/>
          </w:tcPr>
          <w:p w14:paraId="36D70424">
            <w:pPr>
              <w:widowControl/>
              <w:jc w:val="center"/>
              <w:rPr>
                <w:rFonts w:ascii="宋体" w:hAnsi="宋体" w:eastAsia="宋体" w:cs="Times New Roman"/>
                <w:sz w:val="18"/>
                <w:szCs w:val="18"/>
              </w:rPr>
            </w:pPr>
            <w:r>
              <w:rPr>
                <w:rFonts w:hint="eastAsia" w:ascii="宋体" w:hAnsi="宋体" w:eastAsia="宋体" w:cs="宋体"/>
                <w:sz w:val="18"/>
                <w:szCs w:val="18"/>
              </w:rPr>
              <w:t>目标完成</w:t>
            </w:r>
          </w:p>
        </w:tc>
        <w:tc>
          <w:tcPr>
            <w:tcW w:w="297" w:type="pct"/>
            <w:tcBorders>
              <w:top w:val="nil"/>
              <w:left w:val="nil"/>
              <w:bottom w:val="single" w:color="auto" w:sz="4" w:space="0"/>
              <w:right w:val="single" w:color="auto" w:sz="4" w:space="0"/>
            </w:tcBorders>
            <w:vAlign w:val="center"/>
          </w:tcPr>
          <w:p w14:paraId="21B6EB35">
            <w:pPr>
              <w:widowControl/>
              <w:jc w:val="center"/>
              <w:rPr>
                <w:rFonts w:ascii="宋体" w:hAnsi="宋体" w:eastAsia="宋体" w:cs="宋体"/>
                <w:sz w:val="18"/>
                <w:szCs w:val="18"/>
              </w:rPr>
            </w:pPr>
            <w:r>
              <w:rPr>
                <w:rFonts w:ascii="宋体" w:hAnsi="宋体" w:eastAsia="宋体" w:cs="宋体"/>
                <w:sz w:val="18"/>
                <w:szCs w:val="18"/>
              </w:rPr>
              <w:t>6</w:t>
            </w:r>
          </w:p>
        </w:tc>
        <w:tc>
          <w:tcPr>
            <w:tcW w:w="680" w:type="pct"/>
            <w:tcBorders>
              <w:top w:val="nil"/>
              <w:left w:val="nil"/>
              <w:bottom w:val="single" w:color="auto" w:sz="4" w:space="0"/>
              <w:right w:val="single" w:color="auto" w:sz="4" w:space="0"/>
            </w:tcBorders>
            <w:vAlign w:val="center"/>
          </w:tcPr>
          <w:p w14:paraId="034BB910">
            <w:pPr>
              <w:widowControl/>
              <w:jc w:val="center"/>
              <w:rPr>
                <w:rFonts w:ascii="宋体" w:hAnsi="宋体" w:eastAsia="宋体" w:cs="Times New Roman"/>
                <w:sz w:val="18"/>
                <w:szCs w:val="18"/>
              </w:rPr>
            </w:pPr>
            <w:r>
              <w:rPr>
                <w:rFonts w:hint="eastAsia" w:ascii="宋体" w:hAnsi="宋体" w:eastAsia="宋体" w:cs="宋体"/>
                <w:sz w:val="18"/>
                <w:szCs w:val="18"/>
              </w:rPr>
              <w:t>部门预算项目绩效目标数量指标完成情况</w:t>
            </w:r>
          </w:p>
        </w:tc>
        <w:tc>
          <w:tcPr>
            <w:tcW w:w="1632" w:type="pct"/>
            <w:tcBorders>
              <w:top w:val="nil"/>
              <w:left w:val="nil"/>
              <w:bottom w:val="single" w:color="auto" w:sz="4" w:space="0"/>
              <w:right w:val="single" w:color="auto" w:sz="4" w:space="0"/>
            </w:tcBorders>
            <w:vAlign w:val="center"/>
          </w:tcPr>
          <w:p w14:paraId="4554C079">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完成绩效目标数量指标的部门预算阶段项目（含一次性项目）数量÷部门预算阶段项目（含一次性项目）总数×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6</w:t>
            </w:r>
            <w:r>
              <w:rPr>
                <w:rFonts w:hint="eastAsia" w:ascii="宋体" w:hAnsi="宋体" w:eastAsia="宋体" w:cs="宋体"/>
                <w:sz w:val="18"/>
                <w:szCs w:val="18"/>
              </w:rPr>
              <w:t>。</w:t>
            </w:r>
          </w:p>
        </w:tc>
        <w:tc>
          <w:tcPr>
            <w:tcW w:w="255" w:type="pct"/>
            <w:tcBorders>
              <w:top w:val="nil"/>
              <w:left w:val="nil"/>
              <w:bottom w:val="single" w:color="auto" w:sz="4" w:space="0"/>
              <w:right w:val="single" w:color="auto" w:sz="4" w:space="0"/>
            </w:tcBorders>
            <w:vAlign w:val="center"/>
          </w:tcPr>
          <w:p w14:paraId="2C16E668">
            <w:pPr>
              <w:widowControl/>
              <w:jc w:val="center"/>
              <w:rPr>
                <w:rFonts w:ascii="宋体" w:hAnsi="宋体" w:eastAsia="宋体" w:cs="宋体"/>
                <w:sz w:val="18"/>
                <w:szCs w:val="18"/>
              </w:rPr>
            </w:pPr>
            <w:r>
              <w:rPr>
                <w:rFonts w:ascii="宋体" w:hAnsi="宋体" w:eastAsia="宋体" w:cs="宋体"/>
                <w:sz w:val="18"/>
                <w:szCs w:val="18"/>
              </w:rPr>
              <w:t>6</w:t>
            </w:r>
          </w:p>
        </w:tc>
        <w:tc>
          <w:tcPr>
            <w:tcW w:w="297" w:type="pct"/>
            <w:tcBorders>
              <w:top w:val="nil"/>
              <w:left w:val="nil"/>
              <w:bottom w:val="single" w:color="auto" w:sz="4" w:space="0"/>
              <w:right w:val="single" w:color="auto" w:sz="4" w:space="0"/>
            </w:tcBorders>
            <w:vAlign w:val="center"/>
          </w:tcPr>
          <w:p w14:paraId="4FA03DBB">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39E14775">
        <w:tblPrEx>
          <w:tblCellMar>
            <w:top w:w="0" w:type="dxa"/>
            <w:left w:w="108" w:type="dxa"/>
            <w:bottom w:w="0" w:type="dxa"/>
            <w:right w:w="108" w:type="dxa"/>
          </w:tblCellMar>
        </w:tblPrEx>
        <w:trPr>
          <w:trHeight w:val="1740"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075A702F">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3CF5BBA9">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47825094">
            <w:pPr>
              <w:widowControl/>
              <w:jc w:val="center"/>
              <w:rPr>
                <w:rFonts w:ascii="宋体" w:hAnsi="宋体" w:eastAsia="宋体" w:cs="Times New Roman"/>
                <w:sz w:val="18"/>
                <w:szCs w:val="18"/>
              </w:rPr>
            </w:pPr>
            <w:r>
              <w:rPr>
                <w:rFonts w:hint="eastAsia" w:ascii="宋体" w:hAnsi="宋体" w:eastAsia="宋体" w:cs="宋体"/>
                <w:sz w:val="18"/>
                <w:szCs w:val="18"/>
              </w:rPr>
              <w:t>目标偏离</w:t>
            </w:r>
          </w:p>
        </w:tc>
        <w:tc>
          <w:tcPr>
            <w:tcW w:w="297" w:type="pct"/>
            <w:tcBorders>
              <w:top w:val="single" w:color="auto" w:sz="4" w:space="0"/>
              <w:left w:val="single" w:color="auto" w:sz="4" w:space="0"/>
              <w:bottom w:val="single" w:color="auto" w:sz="4" w:space="0"/>
              <w:right w:val="single" w:color="auto" w:sz="4" w:space="0"/>
            </w:tcBorders>
            <w:vAlign w:val="center"/>
          </w:tcPr>
          <w:p w14:paraId="0E29DC63">
            <w:pPr>
              <w:widowControl/>
              <w:jc w:val="center"/>
              <w:rPr>
                <w:rFonts w:ascii="宋体" w:hAnsi="宋体" w:eastAsia="宋体" w:cs="宋体"/>
                <w:sz w:val="18"/>
                <w:szCs w:val="18"/>
              </w:rPr>
            </w:pPr>
            <w:r>
              <w:rPr>
                <w:rFonts w:ascii="宋体" w:hAnsi="宋体" w:eastAsia="宋体" w:cs="宋体"/>
                <w:sz w:val="18"/>
                <w:szCs w:val="18"/>
              </w:rPr>
              <w:t>6</w:t>
            </w:r>
          </w:p>
        </w:tc>
        <w:tc>
          <w:tcPr>
            <w:tcW w:w="680" w:type="pct"/>
            <w:tcBorders>
              <w:top w:val="single" w:color="auto" w:sz="4" w:space="0"/>
              <w:left w:val="single" w:color="auto" w:sz="4" w:space="0"/>
              <w:bottom w:val="single" w:color="auto" w:sz="4" w:space="0"/>
              <w:right w:val="single" w:color="auto" w:sz="4" w:space="0"/>
            </w:tcBorders>
            <w:vAlign w:val="center"/>
          </w:tcPr>
          <w:p w14:paraId="262D0D6A">
            <w:pPr>
              <w:widowControl/>
              <w:jc w:val="center"/>
              <w:rPr>
                <w:rFonts w:ascii="宋体" w:hAnsi="宋体" w:eastAsia="宋体" w:cs="Times New Roman"/>
                <w:sz w:val="18"/>
                <w:szCs w:val="18"/>
              </w:rPr>
            </w:pPr>
            <w:r>
              <w:rPr>
                <w:rFonts w:hint="eastAsia" w:ascii="宋体" w:hAnsi="宋体" w:eastAsia="宋体" w:cs="宋体"/>
                <w:sz w:val="18"/>
                <w:szCs w:val="18"/>
              </w:rPr>
              <w:t>部门预算项目绩效目标数量指标实现程度与预期目标的偏离情况</w:t>
            </w:r>
          </w:p>
        </w:tc>
        <w:tc>
          <w:tcPr>
            <w:tcW w:w="1632" w:type="pct"/>
            <w:tcBorders>
              <w:top w:val="single" w:color="auto" w:sz="4" w:space="0"/>
              <w:left w:val="single" w:color="auto" w:sz="4" w:space="0"/>
              <w:bottom w:val="single" w:color="auto" w:sz="4" w:space="0"/>
              <w:right w:val="single" w:color="auto" w:sz="4" w:space="0"/>
            </w:tcBorders>
            <w:vAlign w:val="center"/>
          </w:tcPr>
          <w:p w14:paraId="108D2549">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已完成预期指标值的数量指标中偏离度在</w:t>
            </w:r>
            <w:r>
              <w:rPr>
                <w:rFonts w:ascii="宋体" w:hAnsi="宋体" w:eastAsia="宋体" w:cs="宋体"/>
                <w:sz w:val="18"/>
                <w:szCs w:val="18"/>
              </w:rPr>
              <w:t>30%</w:t>
            </w:r>
            <w:r>
              <w:rPr>
                <w:rFonts w:hint="eastAsia" w:ascii="宋体" w:hAnsi="宋体" w:eastAsia="宋体" w:cs="宋体"/>
                <w:sz w:val="18"/>
                <w:szCs w:val="18"/>
              </w:rPr>
              <w:t>内的指标个数÷已完成预期指标值的数量指标个数×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6</w:t>
            </w:r>
            <w:r>
              <w:rPr>
                <w:rFonts w:hint="eastAsia" w:ascii="宋体" w:hAnsi="宋体" w:eastAsia="宋体" w:cs="宋体"/>
                <w:sz w:val="18"/>
                <w:szCs w:val="18"/>
              </w:rPr>
              <w:t>。偏离度</w:t>
            </w:r>
            <w:r>
              <w:rPr>
                <w:rFonts w:ascii="宋体" w:hAnsi="宋体" w:eastAsia="宋体" w:cs="宋体"/>
                <w:sz w:val="18"/>
                <w:szCs w:val="18"/>
              </w:rPr>
              <w:t>=|</w:t>
            </w:r>
            <w:r>
              <w:rPr>
                <w:rFonts w:hint="eastAsia" w:ascii="宋体" w:hAnsi="宋体" w:eastAsia="宋体" w:cs="宋体"/>
                <w:sz w:val="18"/>
                <w:szCs w:val="18"/>
              </w:rPr>
              <w:t>（绩效指标实际完成值</w:t>
            </w:r>
            <w:r>
              <w:rPr>
                <w:rFonts w:ascii="宋体" w:hAnsi="宋体" w:eastAsia="宋体" w:cs="宋体"/>
                <w:sz w:val="18"/>
                <w:szCs w:val="18"/>
              </w:rPr>
              <w:t>-</w:t>
            </w:r>
            <w:r>
              <w:rPr>
                <w:rFonts w:hint="eastAsia" w:ascii="宋体" w:hAnsi="宋体" w:eastAsia="宋体" w:cs="宋体"/>
                <w:sz w:val="18"/>
                <w:szCs w:val="18"/>
              </w:rPr>
              <w:t>设定预期指标值）÷设定预期指标值</w:t>
            </w:r>
            <w:r>
              <w:rPr>
                <w:rFonts w:ascii="宋体" w:hAnsi="宋体" w:eastAsia="宋体" w:cs="宋体"/>
                <w:sz w:val="18"/>
                <w:szCs w:val="18"/>
              </w:rPr>
              <w:t>|</w:t>
            </w:r>
            <w:r>
              <w:rPr>
                <w:rFonts w:hint="eastAsia" w:ascii="宋体" w:hAnsi="宋体" w:eastAsia="宋体" w:cs="宋体"/>
                <w:sz w:val="18"/>
                <w:szCs w:val="18"/>
              </w:rPr>
              <w:t>。部门预算阶段项目（含一次性项目）绩效目标实际完成值偏离预期指标</w:t>
            </w:r>
            <w:r>
              <w:rPr>
                <w:rFonts w:ascii="宋体" w:hAnsi="宋体" w:eastAsia="宋体" w:cs="宋体"/>
                <w:sz w:val="18"/>
                <w:szCs w:val="18"/>
              </w:rPr>
              <w:t>30%</w:t>
            </w:r>
            <w:r>
              <w:rPr>
                <w:rFonts w:hint="eastAsia" w:ascii="宋体" w:hAnsi="宋体" w:eastAsia="宋体" w:cs="宋体"/>
                <w:sz w:val="18"/>
                <w:szCs w:val="18"/>
              </w:rPr>
              <w:t>以上（含</w:t>
            </w:r>
            <w:r>
              <w:rPr>
                <w:rFonts w:ascii="宋体" w:hAnsi="宋体" w:eastAsia="宋体" w:cs="宋体"/>
                <w:sz w:val="18"/>
                <w:szCs w:val="18"/>
              </w:rPr>
              <w:t>30%</w:t>
            </w:r>
            <w:r>
              <w:rPr>
                <w:rFonts w:hint="eastAsia" w:ascii="宋体" w:hAnsi="宋体" w:eastAsia="宋体" w:cs="宋体"/>
                <w:sz w:val="18"/>
                <w:szCs w:val="18"/>
              </w:rPr>
              <w:t>）的，不计分。</w:t>
            </w:r>
          </w:p>
        </w:tc>
        <w:tc>
          <w:tcPr>
            <w:tcW w:w="255" w:type="pct"/>
            <w:tcBorders>
              <w:top w:val="single" w:color="auto" w:sz="4" w:space="0"/>
              <w:left w:val="single" w:color="auto" w:sz="4" w:space="0"/>
              <w:bottom w:val="single" w:color="auto" w:sz="4" w:space="0"/>
              <w:right w:val="single" w:color="auto" w:sz="4" w:space="0"/>
            </w:tcBorders>
            <w:vAlign w:val="center"/>
          </w:tcPr>
          <w:p w14:paraId="002E2E25">
            <w:pPr>
              <w:widowControl/>
              <w:jc w:val="center"/>
              <w:rPr>
                <w:rFonts w:ascii="宋体" w:hAnsi="宋体" w:eastAsia="宋体" w:cs="宋体"/>
                <w:sz w:val="18"/>
                <w:szCs w:val="18"/>
              </w:rPr>
            </w:pPr>
            <w:r>
              <w:rPr>
                <w:rFonts w:ascii="宋体" w:hAnsi="宋体" w:eastAsia="宋体" w:cs="宋体"/>
                <w:sz w:val="18"/>
                <w:szCs w:val="18"/>
              </w:rPr>
              <w:t>6</w:t>
            </w:r>
          </w:p>
        </w:tc>
        <w:tc>
          <w:tcPr>
            <w:tcW w:w="297" w:type="pct"/>
            <w:tcBorders>
              <w:top w:val="single" w:color="auto" w:sz="4" w:space="0"/>
              <w:left w:val="single" w:color="auto" w:sz="4" w:space="0"/>
              <w:bottom w:val="single" w:color="auto" w:sz="4" w:space="0"/>
              <w:right w:val="single" w:color="auto" w:sz="4" w:space="0"/>
            </w:tcBorders>
            <w:vAlign w:val="center"/>
          </w:tcPr>
          <w:p w14:paraId="4C61E989">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7B91E5A">
        <w:tblPrEx>
          <w:tblCellMar>
            <w:top w:w="0" w:type="dxa"/>
            <w:left w:w="108" w:type="dxa"/>
            <w:bottom w:w="0" w:type="dxa"/>
            <w:right w:w="108" w:type="dxa"/>
          </w:tblCellMar>
        </w:tblPrEx>
        <w:trPr>
          <w:trHeight w:val="1020"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35DD4F6A">
            <w:pPr>
              <w:widowControl/>
              <w:jc w:val="left"/>
              <w:rPr>
                <w:rFonts w:ascii="宋体" w:hAnsi="宋体" w:eastAsia="宋体" w:cs="Times New Roman"/>
                <w:b/>
                <w:bCs/>
                <w:sz w:val="18"/>
                <w:szCs w:val="18"/>
              </w:rPr>
            </w:pPr>
          </w:p>
        </w:tc>
        <w:tc>
          <w:tcPr>
            <w:tcW w:w="413" w:type="pct"/>
            <w:vMerge w:val="continue"/>
            <w:tcBorders>
              <w:top w:val="single" w:color="auto" w:sz="4" w:space="0"/>
              <w:left w:val="single" w:color="auto" w:sz="4" w:space="0"/>
              <w:bottom w:val="single" w:color="auto" w:sz="4" w:space="0"/>
              <w:right w:val="single" w:color="auto" w:sz="4" w:space="0"/>
            </w:tcBorders>
            <w:vAlign w:val="center"/>
          </w:tcPr>
          <w:p w14:paraId="36BE766B">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4BC9BBAF">
            <w:pPr>
              <w:widowControl/>
              <w:jc w:val="center"/>
              <w:rPr>
                <w:rFonts w:ascii="宋体" w:hAnsi="宋体" w:eastAsia="宋体" w:cs="Times New Roman"/>
                <w:sz w:val="18"/>
                <w:szCs w:val="18"/>
              </w:rPr>
            </w:pPr>
            <w:r>
              <w:rPr>
                <w:rFonts w:hint="eastAsia" w:ascii="宋体" w:hAnsi="宋体" w:eastAsia="宋体" w:cs="宋体"/>
                <w:sz w:val="18"/>
                <w:szCs w:val="18"/>
              </w:rPr>
              <w:t>实现效果</w:t>
            </w:r>
          </w:p>
        </w:tc>
        <w:tc>
          <w:tcPr>
            <w:tcW w:w="297" w:type="pct"/>
            <w:tcBorders>
              <w:top w:val="single" w:color="auto" w:sz="4" w:space="0"/>
              <w:left w:val="single" w:color="auto" w:sz="4" w:space="0"/>
              <w:bottom w:val="single" w:color="auto" w:sz="4" w:space="0"/>
              <w:right w:val="single" w:color="auto" w:sz="4" w:space="0"/>
            </w:tcBorders>
            <w:vAlign w:val="center"/>
          </w:tcPr>
          <w:p w14:paraId="0AAF3FF1">
            <w:pPr>
              <w:widowControl/>
              <w:jc w:val="center"/>
              <w:rPr>
                <w:rFonts w:ascii="宋体" w:hAnsi="宋体" w:eastAsia="宋体" w:cs="宋体"/>
                <w:sz w:val="18"/>
                <w:szCs w:val="18"/>
              </w:rPr>
            </w:pPr>
            <w:r>
              <w:rPr>
                <w:rFonts w:ascii="宋体" w:hAnsi="宋体" w:eastAsia="宋体" w:cs="宋体"/>
                <w:sz w:val="18"/>
                <w:szCs w:val="18"/>
              </w:rPr>
              <w:t>5</w:t>
            </w:r>
          </w:p>
        </w:tc>
        <w:tc>
          <w:tcPr>
            <w:tcW w:w="680" w:type="pct"/>
            <w:tcBorders>
              <w:top w:val="single" w:color="auto" w:sz="4" w:space="0"/>
              <w:left w:val="single" w:color="auto" w:sz="4" w:space="0"/>
              <w:bottom w:val="single" w:color="auto" w:sz="4" w:space="0"/>
              <w:right w:val="single" w:color="auto" w:sz="4" w:space="0"/>
            </w:tcBorders>
            <w:vAlign w:val="center"/>
          </w:tcPr>
          <w:p w14:paraId="1CC83157">
            <w:pPr>
              <w:widowControl/>
              <w:jc w:val="center"/>
              <w:rPr>
                <w:rFonts w:ascii="宋体" w:hAnsi="宋体" w:eastAsia="宋体" w:cs="Times New Roman"/>
                <w:sz w:val="18"/>
                <w:szCs w:val="18"/>
              </w:rPr>
            </w:pPr>
            <w:r>
              <w:rPr>
                <w:rFonts w:hint="eastAsia" w:ascii="宋体" w:hAnsi="宋体" w:eastAsia="宋体" w:cs="宋体"/>
                <w:sz w:val="18"/>
                <w:szCs w:val="18"/>
              </w:rPr>
              <w:t>部门预算项目绩效目标效益指标实施效果</w:t>
            </w:r>
          </w:p>
        </w:tc>
        <w:tc>
          <w:tcPr>
            <w:tcW w:w="1632" w:type="pct"/>
            <w:tcBorders>
              <w:top w:val="single" w:color="auto" w:sz="4" w:space="0"/>
              <w:left w:val="single" w:color="auto" w:sz="4" w:space="0"/>
              <w:bottom w:val="single" w:color="auto" w:sz="4" w:space="0"/>
              <w:right w:val="single" w:color="auto" w:sz="4" w:space="0"/>
            </w:tcBorders>
            <w:vAlign w:val="center"/>
          </w:tcPr>
          <w:p w14:paraId="20E0407B">
            <w:pPr>
              <w:widowControl/>
              <w:jc w:val="center"/>
              <w:rPr>
                <w:rFonts w:ascii="宋体" w:hAnsi="宋体" w:eastAsia="宋体" w:cs="Times New Roman"/>
                <w:sz w:val="18"/>
                <w:szCs w:val="18"/>
              </w:rPr>
            </w:pPr>
            <w:r>
              <w:rPr>
                <w:rFonts w:hint="eastAsia" w:ascii="宋体" w:hAnsi="宋体" w:eastAsia="宋体" w:cs="宋体"/>
                <w:sz w:val="18"/>
                <w:szCs w:val="18"/>
              </w:rPr>
              <w:t>该项指标得分</w:t>
            </w:r>
            <w:r>
              <w:rPr>
                <w:rFonts w:ascii="宋体" w:hAnsi="宋体" w:eastAsia="宋体" w:cs="宋体"/>
                <w:sz w:val="18"/>
                <w:szCs w:val="18"/>
              </w:rPr>
              <w:t>=</w:t>
            </w:r>
            <w:r>
              <w:rPr>
                <w:rFonts w:hint="eastAsia" w:ascii="宋体" w:hAnsi="宋体" w:eastAsia="宋体" w:cs="宋体"/>
                <w:sz w:val="18"/>
                <w:szCs w:val="18"/>
              </w:rPr>
              <w:t>完成绩效目标效益指标的部门预算阶段项目（含一次性项目）数量÷部门预算阶段项目（含一次性项目）总数×</w:t>
            </w:r>
            <w:r>
              <w:rPr>
                <w:rFonts w:ascii="宋体" w:hAnsi="宋体" w:eastAsia="宋体" w:cs="宋体"/>
                <w:sz w:val="18"/>
                <w:szCs w:val="18"/>
              </w:rPr>
              <w:t>100%</w:t>
            </w:r>
            <w:r>
              <w:rPr>
                <w:rFonts w:hint="eastAsia" w:ascii="宋体" w:hAnsi="宋体" w:eastAsia="宋体" w:cs="宋体"/>
                <w:sz w:val="18"/>
                <w:szCs w:val="18"/>
              </w:rPr>
              <w:t>×</w:t>
            </w:r>
            <w:r>
              <w:rPr>
                <w:rFonts w:ascii="宋体" w:hAnsi="宋体" w:eastAsia="宋体" w:cs="宋体"/>
                <w:sz w:val="18"/>
                <w:szCs w:val="18"/>
              </w:rPr>
              <w:t>5</w:t>
            </w:r>
            <w:r>
              <w:rPr>
                <w:rFonts w:hint="eastAsia" w:ascii="宋体" w:hAnsi="宋体" w:eastAsia="宋体" w:cs="宋体"/>
                <w:sz w:val="18"/>
                <w:szCs w:val="18"/>
              </w:rPr>
              <w:t>。</w:t>
            </w:r>
          </w:p>
        </w:tc>
        <w:tc>
          <w:tcPr>
            <w:tcW w:w="255" w:type="pct"/>
            <w:tcBorders>
              <w:top w:val="single" w:color="auto" w:sz="4" w:space="0"/>
              <w:left w:val="single" w:color="auto" w:sz="4" w:space="0"/>
              <w:bottom w:val="single" w:color="auto" w:sz="4" w:space="0"/>
              <w:right w:val="single" w:color="auto" w:sz="4" w:space="0"/>
            </w:tcBorders>
            <w:vAlign w:val="center"/>
          </w:tcPr>
          <w:p w14:paraId="7C0D8190">
            <w:pPr>
              <w:widowControl/>
              <w:jc w:val="center"/>
              <w:rPr>
                <w:rFonts w:ascii="宋体" w:hAnsi="宋体" w:eastAsia="宋体" w:cs="宋体"/>
                <w:sz w:val="18"/>
                <w:szCs w:val="18"/>
              </w:rPr>
            </w:pPr>
            <w:r>
              <w:rPr>
                <w:rFonts w:ascii="宋体" w:hAnsi="宋体" w:eastAsia="宋体" w:cs="宋体"/>
                <w:sz w:val="18"/>
                <w:szCs w:val="18"/>
              </w:rPr>
              <w:t>5</w:t>
            </w:r>
          </w:p>
        </w:tc>
        <w:tc>
          <w:tcPr>
            <w:tcW w:w="297" w:type="pct"/>
            <w:tcBorders>
              <w:top w:val="single" w:color="auto" w:sz="4" w:space="0"/>
              <w:left w:val="single" w:color="auto" w:sz="4" w:space="0"/>
              <w:bottom w:val="single" w:color="auto" w:sz="4" w:space="0"/>
              <w:right w:val="single" w:color="auto" w:sz="4" w:space="0"/>
            </w:tcBorders>
            <w:vAlign w:val="center"/>
          </w:tcPr>
          <w:p w14:paraId="1EDDFACF">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1D59B64F">
        <w:tblPrEx>
          <w:tblCellMar>
            <w:top w:w="0" w:type="dxa"/>
            <w:left w:w="108" w:type="dxa"/>
            <w:bottom w:w="0" w:type="dxa"/>
            <w:right w:w="108" w:type="dxa"/>
          </w:tblCellMar>
        </w:tblPrEx>
        <w:trPr>
          <w:trHeight w:val="780" w:hRule="atLeast"/>
        </w:trPr>
        <w:tc>
          <w:tcPr>
            <w:tcW w:w="404" w:type="pct"/>
            <w:vMerge w:val="restart"/>
            <w:tcBorders>
              <w:top w:val="single" w:color="auto" w:sz="4" w:space="0"/>
              <w:left w:val="single" w:color="auto" w:sz="4" w:space="0"/>
              <w:bottom w:val="single" w:color="000000" w:sz="4" w:space="0"/>
              <w:right w:val="single" w:color="auto" w:sz="4" w:space="0"/>
            </w:tcBorders>
            <w:vAlign w:val="center"/>
          </w:tcPr>
          <w:p w14:paraId="4D26F716">
            <w:pPr>
              <w:widowControl/>
              <w:jc w:val="center"/>
              <w:rPr>
                <w:rFonts w:ascii="宋体" w:hAnsi="宋体" w:eastAsia="宋体" w:cs="Times New Roman"/>
                <w:b/>
                <w:bCs/>
                <w:sz w:val="18"/>
                <w:szCs w:val="18"/>
              </w:rPr>
            </w:pPr>
            <w:r>
              <w:rPr>
                <w:rFonts w:hint="eastAsia" w:ascii="宋体" w:hAnsi="宋体" w:eastAsia="宋体" w:cs="宋体"/>
                <w:b/>
                <w:bCs/>
                <w:sz w:val="18"/>
                <w:szCs w:val="18"/>
              </w:rPr>
              <w:t>扣分项</w:t>
            </w:r>
          </w:p>
        </w:tc>
        <w:tc>
          <w:tcPr>
            <w:tcW w:w="413" w:type="pct"/>
            <w:vMerge w:val="restart"/>
            <w:tcBorders>
              <w:top w:val="single" w:color="auto" w:sz="4" w:space="0"/>
              <w:left w:val="single" w:color="auto" w:sz="4" w:space="0"/>
              <w:bottom w:val="single" w:color="auto" w:sz="4" w:space="0"/>
              <w:right w:val="single" w:color="auto" w:sz="4" w:space="0"/>
            </w:tcBorders>
            <w:vAlign w:val="center"/>
          </w:tcPr>
          <w:p w14:paraId="0F327000">
            <w:pPr>
              <w:widowControl/>
              <w:jc w:val="center"/>
              <w:rPr>
                <w:rFonts w:ascii="宋体" w:hAnsi="宋体" w:eastAsia="宋体" w:cs="Times New Roman"/>
                <w:b/>
                <w:bCs/>
                <w:sz w:val="18"/>
                <w:szCs w:val="18"/>
              </w:rPr>
            </w:pPr>
            <w:r>
              <w:rPr>
                <w:rFonts w:hint="eastAsia" w:ascii="宋体" w:hAnsi="宋体" w:eastAsia="宋体" w:cs="宋体"/>
                <w:b/>
                <w:bCs/>
                <w:sz w:val="18"/>
                <w:szCs w:val="18"/>
              </w:rPr>
              <w:t>财务管理</w:t>
            </w:r>
          </w:p>
        </w:tc>
        <w:tc>
          <w:tcPr>
            <w:tcW w:w="1019" w:type="pct"/>
            <w:tcBorders>
              <w:top w:val="single" w:color="auto" w:sz="4" w:space="0"/>
              <w:left w:val="single" w:color="auto" w:sz="4" w:space="0"/>
              <w:bottom w:val="single" w:color="auto" w:sz="4" w:space="0"/>
              <w:right w:val="single" w:color="auto" w:sz="4" w:space="0"/>
            </w:tcBorders>
            <w:vAlign w:val="center"/>
          </w:tcPr>
          <w:p w14:paraId="7D037028">
            <w:pPr>
              <w:widowControl/>
              <w:jc w:val="center"/>
              <w:rPr>
                <w:rFonts w:ascii="宋体" w:hAnsi="宋体" w:eastAsia="宋体" w:cs="Times New Roman"/>
                <w:sz w:val="18"/>
                <w:szCs w:val="18"/>
              </w:rPr>
            </w:pPr>
            <w:r>
              <w:rPr>
                <w:rFonts w:hint="eastAsia" w:ascii="宋体" w:hAnsi="宋体" w:eastAsia="宋体" w:cs="宋体"/>
                <w:sz w:val="18"/>
                <w:szCs w:val="18"/>
              </w:rPr>
              <w:t>财务管理制度</w:t>
            </w:r>
          </w:p>
        </w:tc>
        <w:tc>
          <w:tcPr>
            <w:tcW w:w="297" w:type="pct"/>
            <w:tcBorders>
              <w:top w:val="single" w:color="auto" w:sz="4" w:space="0"/>
              <w:left w:val="single" w:color="auto" w:sz="4" w:space="0"/>
              <w:bottom w:val="single" w:color="auto" w:sz="4" w:space="0"/>
              <w:right w:val="single" w:color="auto" w:sz="4" w:space="0"/>
            </w:tcBorders>
            <w:vAlign w:val="center"/>
          </w:tcPr>
          <w:p w14:paraId="4BBA4240">
            <w:pPr>
              <w:widowControl/>
              <w:jc w:val="center"/>
              <w:rPr>
                <w:rFonts w:ascii="宋体" w:hAnsi="宋体" w:eastAsia="宋体" w:cs="宋体"/>
                <w:sz w:val="18"/>
                <w:szCs w:val="18"/>
              </w:rPr>
            </w:pPr>
            <w:r>
              <w:rPr>
                <w:rFonts w:ascii="宋体" w:hAnsi="宋体" w:eastAsia="宋体" w:cs="宋体"/>
                <w:sz w:val="18"/>
                <w:szCs w:val="18"/>
              </w:rPr>
              <w:t>-</w:t>
            </w:r>
          </w:p>
        </w:tc>
        <w:tc>
          <w:tcPr>
            <w:tcW w:w="680" w:type="pct"/>
            <w:tcBorders>
              <w:top w:val="single" w:color="auto" w:sz="4" w:space="0"/>
              <w:left w:val="single" w:color="auto" w:sz="4" w:space="0"/>
              <w:bottom w:val="single" w:color="auto" w:sz="4" w:space="0"/>
              <w:right w:val="single" w:color="auto" w:sz="4" w:space="0"/>
            </w:tcBorders>
            <w:vAlign w:val="center"/>
          </w:tcPr>
          <w:p w14:paraId="1CB0D326">
            <w:pPr>
              <w:widowControl/>
              <w:jc w:val="center"/>
              <w:rPr>
                <w:rFonts w:ascii="宋体" w:hAnsi="宋体" w:eastAsia="宋体" w:cs="Times New Roman"/>
                <w:sz w:val="18"/>
                <w:szCs w:val="18"/>
              </w:rPr>
            </w:pPr>
            <w:r>
              <w:rPr>
                <w:rFonts w:hint="eastAsia" w:ascii="宋体" w:hAnsi="宋体" w:eastAsia="宋体" w:cs="宋体"/>
                <w:sz w:val="18"/>
                <w:szCs w:val="18"/>
              </w:rPr>
              <w:t>部门财务管理制度建立情况</w:t>
            </w:r>
          </w:p>
        </w:tc>
        <w:tc>
          <w:tcPr>
            <w:tcW w:w="1632" w:type="pct"/>
            <w:tcBorders>
              <w:top w:val="single" w:color="auto" w:sz="4" w:space="0"/>
              <w:left w:val="single" w:color="auto" w:sz="4" w:space="0"/>
              <w:bottom w:val="single" w:color="auto" w:sz="4" w:space="0"/>
              <w:right w:val="single" w:color="auto" w:sz="4" w:space="0"/>
            </w:tcBorders>
            <w:vAlign w:val="center"/>
          </w:tcPr>
          <w:p w14:paraId="78FD06BC">
            <w:pPr>
              <w:widowControl/>
              <w:jc w:val="center"/>
              <w:rPr>
                <w:rFonts w:ascii="宋体" w:hAnsi="宋体" w:eastAsia="宋体" w:cs="Times New Roman"/>
                <w:sz w:val="18"/>
                <w:szCs w:val="18"/>
              </w:rPr>
            </w:pPr>
            <w:r>
              <w:rPr>
                <w:rFonts w:hint="eastAsia" w:ascii="宋体" w:hAnsi="宋体" w:eastAsia="宋体" w:cs="宋体"/>
                <w:sz w:val="18"/>
                <w:szCs w:val="18"/>
              </w:rPr>
              <w:t>部门未制定内部财务管理制度等制度机制的</w:t>
            </w:r>
            <w:r>
              <w:rPr>
                <w:rFonts w:ascii="宋体" w:hAnsi="宋体" w:eastAsia="宋体" w:cs="宋体"/>
                <w:sz w:val="18"/>
                <w:szCs w:val="18"/>
              </w:rPr>
              <w:t>,</w:t>
            </w:r>
            <w:r>
              <w:rPr>
                <w:rFonts w:hint="eastAsia" w:ascii="宋体" w:hAnsi="宋体" w:eastAsia="宋体" w:cs="宋体"/>
                <w:sz w:val="18"/>
                <w:szCs w:val="18"/>
              </w:rPr>
              <w:t>财务管理制度未得到落实，发现一处扣</w:t>
            </w:r>
            <w:r>
              <w:rPr>
                <w:rFonts w:ascii="宋体" w:hAnsi="宋体" w:eastAsia="宋体" w:cs="宋体"/>
                <w:sz w:val="18"/>
                <w:szCs w:val="18"/>
              </w:rPr>
              <w:t>1</w:t>
            </w:r>
            <w:r>
              <w:rPr>
                <w:rFonts w:hint="eastAsia" w:ascii="宋体" w:hAnsi="宋体" w:eastAsia="宋体" w:cs="宋体"/>
                <w:sz w:val="18"/>
                <w:szCs w:val="18"/>
              </w:rPr>
              <w:t>分，扣完为止。</w:t>
            </w:r>
          </w:p>
        </w:tc>
        <w:tc>
          <w:tcPr>
            <w:tcW w:w="255" w:type="pct"/>
            <w:tcBorders>
              <w:top w:val="single" w:color="auto" w:sz="4" w:space="0"/>
              <w:left w:val="single" w:color="auto" w:sz="4" w:space="0"/>
              <w:bottom w:val="single" w:color="auto" w:sz="4" w:space="0"/>
              <w:right w:val="single" w:color="auto" w:sz="4" w:space="0"/>
            </w:tcBorders>
            <w:vAlign w:val="center"/>
          </w:tcPr>
          <w:p w14:paraId="1E39FE1B">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97" w:type="pct"/>
            <w:tcBorders>
              <w:top w:val="single" w:color="auto" w:sz="4" w:space="0"/>
              <w:left w:val="single" w:color="auto" w:sz="4" w:space="0"/>
              <w:bottom w:val="single" w:color="auto" w:sz="4" w:space="0"/>
              <w:right w:val="single" w:color="auto" w:sz="4" w:space="0"/>
            </w:tcBorders>
            <w:vAlign w:val="center"/>
          </w:tcPr>
          <w:p w14:paraId="0B456F32">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6E865280">
        <w:tblPrEx>
          <w:tblCellMar>
            <w:top w:w="0" w:type="dxa"/>
            <w:left w:w="108" w:type="dxa"/>
            <w:bottom w:w="0" w:type="dxa"/>
            <w:right w:w="108" w:type="dxa"/>
          </w:tblCellMar>
        </w:tblPrEx>
        <w:trPr>
          <w:trHeight w:val="780" w:hRule="atLeast"/>
        </w:trPr>
        <w:tc>
          <w:tcPr>
            <w:tcW w:w="404" w:type="pct"/>
            <w:vMerge w:val="continue"/>
            <w:tcBorders>
              <w:top w:val="nil"/>
              <w:left w:val="single" w:color="auto" w:sz="4" w:space="0"/>
              <w:bottom w:val="single" w:color="000000" w:sz="4" w:space="0"/>
              <w:right w:val="single" w:color="auto" w:sz="4" w:space="0"/>
            </w:tcBorders>
            <w:vAlign w:val="center"/>
          </w:tcPr>
          <w:p w14:paraId="7A2B764E">
            <w:pPr>
              <w:widowControl/>
              <w:jc w:val="left"/>
              <w:rPr>
                <w:rFonts w:ascii="宋体" w:hAnsi="宋体" w:eastAsia="宋体" w:cs="Times New Roman"/>
                <w:b/>
                <w:bCs/>
                <w:sz w:val="18"/>
                <w:szCs w:val="18"/>
              </w:rPr>
            </w:pPr>
          </w:p>
        </w:tc>
        <w:tc>
          <w:tcPr>
            <w:tcW w:w="413" w:type="pct"/>
            <w:vMerge w:val="continue"/>
            <w:tcBorders>
              <w:top w:val="nil"/>
              <w:left w:val="single" w:color="auto" w:sz="4" w:space="0"/>
              <w:bottom w:val="single" w:color="auto" w:sz="4" w:space="0"/>
              <w:right w:val="single" w:color="auto" w:sz="4" w:space="0"/>
            </w:tcBorders>
            <w:vAlign w:val="center"/>
          </w:tcPr>
          <w:p w14:paraId="5FAAD0A2">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0C250C8B">
            <w:pPr>
              <w:widowControl/>
              <w:jc w:val="center"/>
              <w:rPr>
                <w:rFonts w:ascii="宋体" w:hAnsi="宋体" w:eastAsia="宋体" w:cs="Times New Roman"/>
                <w:sz w:val="18"/>
                <w:szCs w:val="18"/>
              </w:rPr>
            </w:pPr>
            <w:r>
              <w:rPr>
                <w:rFonts w:hint="eastAsia" w:ascii="宋体" w:hAnsi="宋体" w:eastAsia="宋体" w:cs="宋体"/>
                <w:sz w:val="18"/>
                <w:szCs w:val="18"/>
              </w:rPr>
              <w:t>财务岗位设置</w:t>
            </w:r>
          </w:p>
        </w:tc>
        <w:tc>
          <w:tcPr>
            <w:tcW w:w="297" w:type="pct"/>
            <w:tcBorders>
              <w:top w:val="single" w:color="auto" w:sz="4" w:space="0"/>
              <w:left w:val="single" w:color="auto" w:sz="4" w:space="0"/>
              <w:bottom w:val="single" w:color="auto" w:sz="4" w:space="0"/>
              <w:right w:val="single" w:color="auto" w:sz="4" w:space="0"/>
            </w:tcBorders>
            <w:vAlign w:val="center"/>
          </w:tcPr>
          <w:p w14:paraId="56F364D1">
            <w:pPr>
              <w:widowControl/>
              <w:jc w:val="center"/>
              <w:rPr>
                <w:rFonts w:ascii="宋体" w:hAnsi="宋体" w:eastAsia="宋体" w:cs="宋体"/>
                <w:sz w:val="18"/>
                <w:szCs w:val="18"/>
              </w:rPr>
            </w:pPr>
            <w:r>
              <w:rPr>
                <w:rFonts w:ascii="宋体" w:hAnsi="宋体" w:eastAsia="宋体" w:cs="宋体"/>
                <w:sz w:val="18"/>
                <w:szCs w:val="18"/>
              </w:rPr>
              <w:t>-</w:t>
            </w:r>
          </w:p>
        </w:tc>
        <w:tc>
          <w:tcPr>
            <w:tcW w:w="680" w:type="pct"/>
            <w:tcBorders>
              <w:top w:val="single" w:color="auto" w:sz="4" w:space="0"/>
              <w:left w:val="single" w:color="auto" w:sz="4" w:space="0"/>
              <w:bottom w:val="single" w:color="auto" w:sz="4" w:space="0"/>
              <w:right w:val="single" w:color="auto" w:sz="4" w:space="0"/>
            </w:tcBorders>
            <w:vAlign w:val="center"/>
          </w:tcPr>
          <w:p w14:paraId="3499DA1E">
            <w:pPr>
              <w:widowControl/>
              <w:jc w:val="center"/>
              <w:rPr>
                <w:rFonts w:ascii="宋体" w:hAnsi="宋体" w:eastAsia="宋体" w:cs="Times New Roman"/>
                <w:sz w:val="18"/>
                <w:szCs w:val="18"/>
              </w:rPr>
            </w:pPr>
            <w:r>
              <w:rPr>
                <w:rFonts w:hint="eastAsia" w:ascii="宋体" w:hAnsi="宋体" w:eastAsia="宋体" w:cs="宋体"/>
                <w:sz w:val="18"/>
                <w:szCs w:val="18"/>
              </w:rPr>
              <w:t>部门财务岗位设置是否符合相关财务管理制度要求</w:t>
            </w:r>
          </w:p>
        </w:tc>
        <w:tc>
          <w:tcPr>
            <w:tcW w:w="1632" w:type="pct"/>
            <w:tcBorders>
              <w:top w:val="single" w:color="auto" w:sz="4" w:space="0"/>
              <w:left w:val="single" w:color="auto" w:sz="4" w:space="0"/>
              <w:bottom w:val="single" w:color="auto" w:sz="4" w:space="0"/>
              <w:right w:val="single" w:color="auto" w:sz="4" w:space="0"/>
            </w:tcBorders>
            <w:vAlign w:val="center"/>
          </w:tcPr>
          <w:p w14:paraId="4DD8824E">
            <w:pPr>
              <w:widowControl/>
              <w:jc w:val="center"/>
              <w:rPr>
                <w:rFonts w:ascii="宋体" w:hAnsi="宋体" w:eastAsia="宋体" w:cs="Times New Roman"/>
                <w:sz w:val="18"/>
                <w:szCs w:val="18"/>
              </w:rPr>
            </w:pPr>
            <w:r>
              <w:rPr>
                <w:rFonts w:hint="eastAsia" w:ascii="宋体" w:hAnsi="宋体" w:eastAsia="宋体" w:cs="宋体"/>
                <w:sz w:val="18"/>
                <w:szCs w:val="18"/>
              </w:rPr>
              <w:t>部门未合理设置财务工作岗位，职责权限不明确，未严格实行不相容岗位分离，发现一处扣</w:t>
            </w:r>
            <w:r>
              <w:rPr>
                <w:rFonts w:ascii="宋体" w:hAnsi="宋体" w:eastAsia="宋体" w:cs="宋体"/>
                <w:sz w:val="18"/>
                <w:szCs w:val="18"/>
              </w:rPr>
              <w:t>1</w:t>
            </w:r>
            <w:r>
              <w:rPr>
                <w:rFonts w:hint="eastAsia" w:ascii="宋体" w:hAnsi="宋体" w:eastAsia="宋体" w:cs="宋体"/>
                <w:sz w:val="18"/>
                <w:szCs w:val="18"/>
              </w:rPr>
              <w:t>分，扣完为止。</w:t>
            </w:r>
          </w:p>
        </w:tc>
        <w:tc>
          <w:tcPr>
            <w:tcW w:w="255" w:type="pct"/>
            <w:tcBorders>
              <w:top w:val="single" w:color="auto" w:sz="4" w:space="0"/>
              <w:left w:val="single" w:color="auto" w:sz="4" w:space="0"/>
              <w:bottom w:val="single" w:color="auto" w:sz="4" w:space="0"/>
              <w:right w:val="single" w:color="auto" w:sz="4" w:space="0"/>
            </w:tcBorders>
            <w:vAlign w:val="center"/>
          </w:tcPr>
          <w:p w14:paraId="7092E836">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97" w:type="pct"/>
            <w:tcBorders>
              <w:top w:val="single" w:color="auto" w:sz="4" w:space="0"/>
              <w:left w:val="single" w:color="auto" w:sz="4" w:space="0"/>
              <w:bottom w:val="single" w:color="auto" w:sz="4" w:space="0"/>
              <w:right w:val="single" w:color="auto" w:sz="4" w:space="0"/>
            </w:tcBorders>
            <w:vAlign w:val="center"/>
          </w:tcPr>
          <w:p w14:paraId="7D0BA666">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1882AC33">
        <w:tblPrEx>
          <w:tblCellMar>
            <w:top w:w="0" w:type="dxa"/>
            <w:left w:w="108" w:type="dxa"/>
            <w:bottom w:w="0" w:type="dxa"/>
            <w:right w:w="108" w:type="dxa"/>
          </w:tblCellMar>
        </w:tblPrEx>
        <w:trPr>
          <w:trHeight w:val="780" w:hRule="atLeast"/>
        </w:trPr>
        <w:tc>
          <w:tcPr>
            <w:tcW w:w="404" w:type="pct"/>
            <w:vMerge w:val="continue"/>
            <w:tcBorders>
              <w:top w:val="nil"/>
              <w:left w:val="single" w:color="auto" w:sz="4" w:space="0"/>
              <w:bottom w:val="single" w:color="000000" w:sz="4" w:space="0"/>
              <w:right w:val="single" w:color="auto" w:sz="4" w:space="0"/>
            </w:tcBorders>
            <w:vAlign w:val="center"/>
          </w:tcPr>
          <w:p w14:paraId="0AE30BAD">
            <w:pPr>
              <w:widowControl/>
              <w:jc w:val="left"/>
              <w:rPr>
                <w:rFonts w:ascii="宋体" w:hAnsi="宋体" w:eastAsia="宋体" w:cs="Times New Roman"/>
                <w:b/>
                <w:bCs/>
                <w:sz w:val="18"/>
                <w:szCs w:val="18"/>
              </w:rPr>
            </w:pPr>
          </w:p>
        </w:tc>
        <w:tc>
          <w:tcPr>
            <w:tcW w:w="413" w:type="pct"/>
            <w:vMerge w:val="continue"/>
            <w:tcBorders>
              <w:top w:val="nil"/>
              <w:left w:val="single" w:color="auto" w:sz="4" w:space="0"/>
              <w:bottom w:val="single" w:color="auto" w:sz="4" w:space="0"/>
              <w:right w:val="single" w:color="auto" w:sz="4" w:space="0"/>
            </w:tcBorders>
            <w:vAlign w:val="center"/>
          </w:tcPr>
          <w:p w14:paraId="070FA695">
            <w:pPr>
              <w:widowControl/>
              <w:jc w:val="left"/>
              <w:rPr>
                <w:rFonts w:ascii="宋体" w:hAnsi="宋体" w:eastAsia="宋体" w:cs="Times New Roman"/>
                <w:b/>
                <w:bCs/>
                <w:sz w:val="18"/>
                <w:szCs w:val="18"/>
              </w:rPr>
            </w:pPr>
          </w:p>
        </w:tc>
        <w:tc>
          <w:tcPr>
            <w:tcW w:w="1019" w:type="pct"/>
            <w:tcBorders>
              <w:top w:val="single" w:color="auto" w:sz="4" w:space="0"/>
              <w:left w:val="single" w:color="auto" w:sz="4" w:space="0"/>
              <w:bottom w:val="single" w:color="auto" w:sz="4" w:space="0"/>
              <w:right w:val="single" w:color="auto" w:sz="4" w:space="0"/>
            </w:tcBorders>
            <w:vAlign w:val="center"/>
          </w:tcPr>
          <w:p w14:paraId="4FB10F9A">
            <w:pPr>
              <w:widowControl/>
              <w:jc w:val="center"/>
              <w:rPr>
                <w:rFonts w:ascii="宋体" w:hAnsi="宋体" w:eastAsia="宋体" w:cs="Times New Roman"/>
                <w:sz w:val="18"/>
                <w:szCs w:val="18"/>
              </w:rPr>
            </w:pPr>
            <w:r>
              <w:rPr>
                <w:rFonts w:hint="eastAsia" w:ascii="宋体" w:hAnsi="宋体" w:eastAsia="宋体" w:cs="宋体"/>
                <w:sz w:val="18"/>
                <w:szCs w:val="18"/>
              </w:rPr>
              <w:t>资金使用规范</w:t>
            </w:r>
          </w:p>
        </w:tc>
        <w:tc>
          <w:tcPr>
            <w:tcW w:w="297" w:type="pct"/>
            <w:tcBorders>
              <w:top w:val="single" w:color="auto" w:sz="4" w:space="0"/>
              <w:left w:val="single" w:color="auto" w:sz="4" w:space="0"/>
              <w:bottom w:val="single" w:color="auto" w:sz="4" w:space="0"/>
              <w:right w:val="single" w:color="auto" w:sz="4" w:space="0"/>
            </w:tcBorders>
            <w:vAlign w:val="center"/>
          </w:tcPr>
          <w:p w14:paraId="6BD3DEF2">
            <w:pPr>
              <w:widowControl/>
              <w:jc w:val="center"/>
              <w:rPr>
                <w:rFonts w:ascii="宋体" w:hAnsi="宋体" w:eastAsia="宋体" w:cs="宋体"/>
                <w:sz w:val="18"/>
                <w:szCs w:val="18"/>
              </w:rPr>
            </w:pPr>
            <w:r>
              <w:rPr>
                <w:rFonts w:ascii="宋体" w:hAnsi="宋体" w:eastAsia="宋体" w:cs="宋体"/>
                <w:sz w:val="18"/>
                <w:szCs w:val="18"/>
              </w:rPr>
              <w:t>-</w:t>
            </w:r>
          </w:p>
        </w:tc>
        <w:tc>
          <w:tcPr>
            <w:tcW w:w="680" w:type="pct"/>
            <w:tcBorders>
              <w:top w:val="single" w:color="auto" w:sz="4" w:space="0"/>
              <w:left w:val="single" w:color="auto" w:sz="4" w:space="0"/>
              <w:bottom w:val="single" w:color="auto" w:sz="4" w:space="0"/>
              <w:right w:val="single" w:color="auto" w:sz="4" w:space="0"/>
            </w:tcBorders>
            <w:vAlign w:val="center"/>
          </w:tcPr>
          <w:p w14:paraId="1138FF86">
            <w:pPr>
              <w:widowControl/>
              <w:jc w:val="center"/>
              <w:rPr>
                <w:rFonts w:ascii="宋体" w:hAnsi="宋体" w:eastAsia="宋体" w:cs="Times New Roman"/>
                <w:sz w:val="18"/>
                <w:szCs w:val="18"/>
              </w:rPr>
            </w:pPr>
            <w:r>
              <w:rPr>
                <w:rFonts w:hint="eastAsia" w:ascii="宋体" w:hAnsi="宋体" w:eastAsia="宋体" w:cs="宋体"/>
                <w:sz w:val="18"/>
                <w:szCs w:val="18"/>
              </w:rPr>
              <w:t>部门资金使用是否符合相关财务管理制度规定</w:t>
            </w:r>
          </w:p>
        </w:tc>
        <w:tc>
          <w:tcPr>
            <w:tcW w:w="1632" w:type="pct"/>
            <w:tcBorders>
              <w:top w:val="single" w:color="auto" w:sz="4" w:space="0"/>
              <w:left w:val="single" w:color="auto" w:sz="4" w:space="0"/>
              <w:bottom w:val="single" w:color="auto" w:sz="4" w:space="0"/>
              <w:right w:val="single" w:color="auto" w:sz="4" w:space="0"/>
            </w:tcBorders>
            <w:vAlign w:val="center"/>
          </w:tcPr>
          <w:p w14:paraId="7A20021B">
            <w:pPr>
              <w:widowControl/>
              <w:jc w:val="center"/>
              <w:rPr>
                <w:rFonts w:ascii="宋体" w:hAnsi="宋体" w:eastAsia="宋体" w:cs="Times New Roman"/>
                <w:sz w:val="18"/>
                <w:szCs w:val="18"/>
              </w:rPr>
            </w:pPr>
            <w:r>
              <w:rPr>
                <w:rFonts w:hint="eastAsia" w:ascii="宋体" w:hAnsi="宋体" w:eastAsia="宋体" w:cs="宋体"/>
                <w:sz w:val="18"/>
                <w:szCs w:val="18"/>
              </w:rPr>
              <w:t>部门资金使用不符合相关财务管理制度规定的，发现一处扣</w:t>
            </w:r>
            <w:r>
              <w:rPr>
                <w:rFonts w:ascii="宋体" w:hAnsi="宋体" w:eastAsia="宋体" w:cs="宋体"/>
                <w:sz w:val="18"/>
                <w:szCs w:val="18"/>
              </w:rPr>
              <w:t>1</w:t>
            </w:r>
            <w:r>
              <w:rPr>
                <w:rFonts w:hint="eastAsia" w:ascii="宋体" w:hAnsi="宋体" w:eastAsia="宋体" w:cs="宋体"/>
                <w:sz w:val="18"/>
                <w:szCs w:val="18"/>
              </w:rPr>
              <w:t>分，扣完为止。</w:t>
            </w:r>
          </w:p>
        </w:tc>
        <w:tc>
          <w:tcPr>
            <w:tcW w:w="255" w:type="pct"/>
            <w:tcBorders>
              <w:top w:val="single" w:color="auto" w:sz="4" w:space="0"/>
              <w:left w:val="single" w:color="auto" w:sz="4" w:space="0"/>
              <w:bottom w:val="single" w:color="auto" w:sz="4" w:space="0"/>
              <w:right w:val="single" w:color="auto" w:sz="4" w:space="0"/>
            </w:tcBorders>
            <w:vAlign w:val="center"/>
          </w:tcPr>
          <w:p w14:paraId="4FA7699F">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97" w:type="pct"/>
            <w:tcBorders>
              <w:top w:val="single" w:color="auto" w:sz="4" w:space="0"/>
              <w:left w:val="single" w:color="auto" w:sz="4" w:space="0"/>
              <w:bottom w:val="single" w:color="auto" w:sz="4" w:space="0"/>
              <w:right w:val="single" w:color="auto" w:sz="4" w:space="0"/>
            </w:tcBorders>
            <w:vAlign w:val="center"/>
          </w:tcPr>
          <w:p w14:paraId="7ADE9E09">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C98E903">
        <w:tblPrEx>
          <w:tblCellMar>
            <w:top w:w="0" w:type="dxa"/>
            <w:left w:w="108" w:type="dxa"/>
            <w:bottom w:w="0" w:type="dxa"/>
            <w:right w:w="108" w:type="dxa"/>
          </w:tblCellMar>
        </w:tblPrEx>
        <w:trPr>
          <w:trHeight w:val="1159" w:hRule="atLeast"/>
        </w:trPr>
        <w:tc>
          <w:tcPr>
            <w:tcW w:w="404" w:type="pct"/>
            <w:vMerge w:val="restart"/>
            <w:tcBorders>
              <w:top w:val="nil"/>
              <w:left w:val="single" w:color="auto" w:sz="4" w:space="0"/>
              <w:right w:val="single" w:color="auto" w:sz="4" w:space="0"/>
            </w:tcBorders>
            <w:vAlign w:val="center"/>
          </w:tcPr>
          <w:p w14:paraId="6284C98B">
            <w:pPr>
              <w:widowControl/>
              <w:jc w:val="left"/>
              <w:rPr>
                <w:rFonts w:ascii="宋体" w:hAnsi="宋体" w:eastAsia="宋体" w:cs="Times New Roman"/>
                <w:b/>
                <w:bCs/>
                <w:sz w:val="18"/>
                <w:szCs w:val="18"/>
              </w:rPr>
            </w:pPr>
          </w:p>
        </w:tc>
        <w:tc>
          <w:tcPr>
            <w:tcW w:w="1433" w:type="pct"/>
            <w:gridSpan w:val="2"/>
            <w:tcBorders>
              <w:top w:val="single" w:color="auto" w:sz="4" w:space="0"/>
              <w:left w:val="single" w:color="auto" w:sz="4" w:space="0"/>
              <w:bottom w:val="single" w:color="auto" w:sz="4" w:space="0"/>
              <w:right w:val="single" w:color="auto" w:sz="4" w:space="0"/>
            </w:tcBorders>
            <w:vAlign w:val="center"/>
          </w:tcPr>
          <w:p w14:paraId="3A5CC401">
            <w:pPr>
              <w:widowControl/>
              <w:jc w:val="center"/>
              <w:rPr>
                <w:rFonts w:ascii="宋体" w:hAnsi="宋体" w:eastAsia="宋体" w:cs="Times New Roman"/>
                <w:sz w:val="18"/>
                <w:szCs w:val="18"/>
              </w:rPr>
            </w:pPr>
            <w:r>
              <w:rPr>
                <w:rFonts w:hint="eastAsia" w:ascii="宋体" w:hAnsi="宋体" w:eastAsia="宋体" w:cs="宋体"/>
                <w:sz w:val="18"/>
                <w:szCs w:val="18"/>
              </w:rPr>
              <w:t>预算绩效存在问题</w:t>
            </w:r>
          </w:p>
        </w:tc>
        <w:tc>
          <w:tcPr>
            <w:tcW w:w="297" w:type="pct"/>
            <w:tcBorders>
              <w:top w:val="single" w:color="auto" w:sz="4" w:space="0"/>
              <w:left w:val="single" w:color="auto" w:sz="4" w:space="0"/>
              <w:bottom w:val="single" w:color="auto" w:sz="4" w:space="0"/>
              <w:right w:val="single" w:color="auto" w:sz="4" w:space="0"/>
            </w:tcBorders>
            <w:vAlign w:val="center"/>
          </w:tcPr>
          <w:p w14:paraId="36A3789B">
            <w:pPr>
              <w:widowControl/>
              <w:jc w:val="center"/>
              <w:rPr>
                <w:rFonts w:ascii="宋体" w:hAnsi="宋体" w:eastAsia="宋体" w:cs="宋体"/>
                <w:sz w:val="18"/>
                <w:szCs w:val="18"/>
              </w:rPr>
            </w:pPr>
            <w:r>
              <w:rPr>
                <w:rFonts w:ascii="宋体" w:hAnsi="宋体" w:eastAsia="宋体" w:cs="宋体"/>
                <w:sz w:val="18"/>
                <w:szCs w:val="18"/>
              </w:rPr>
              <w:t>-</w:t>
            </w:r>
          </w:p>
        </w:tc>
        <w:tc>
          <w:tcPr>
            <w:tcW w:w="680" w:type="pct"/>
            <w:tcBorders>
              <w:top w:val="single" w:color="auto" w:sz="4" w:space="0"/>
              <w:left w:val="single" w:color="auto" w:sz="4" w:space="0"/>
              <w:bottom w:val="single" w:color="auto" w:sz="4" w:space="0"/>
              <w:right w:val="single" w:color="auto" w:sz="4" w:space="0"/>
            </w:tcBorders>
            <w:vAlign w:val="center"/>
          </w:tcPr>
          <w:p w14:paraId="7BA09FED">
            <w:pPr>
              <w:widowControl/>
              <w:jc w:val="center"/>
              <w:rPr>
                <w:rFonts w:ascii="宋体" w:hAnsi="宋体" w:eastAsia="宋体" w:cs="Times New Roman"/>
                <w:sz w:val="18"/>
                <w:szCs w:val="18"/>
              </w:rPr>
            </w:pPr>
            <w:r>
              <w:rPr>
                <w:rFonts w:hint="eastAsia" w:ascii="宋体" w:hAnsi="宋体" w:eastAsia="宋体" w:cs="宋体"/>
                <w:sz w:val="18"/>
                <w:szCs w:val="18"/>
              </w:rPr>
              <w:t>预算管理和绩效管理工作存在问题</w:t>
            </w:r>
          </w:p>
        </w:tc>
        <w:tc>
          <w:tcPr>
            <w:tcW w:w="1632" w:type="pct"/>
            <w:tcBorders>
              <w:top w:val="single" w:color="auto" w:sz="4" w:space="0"/>
              <w:left w:val="single" w:color="auto" w:sz="4" w:space="0"/>
              <w:bottom w:val="single" w:color="auto" w:sz="4" w:space="0"/>
              <w:right w:val="single" w:color="auto" w:sz="4" w:space="0"/>
            </w:tcBorders>
            <w:vAlign w:val="center"/>
          </w:tcPr>
          <w:p w14:paraId="4DAC4BE9">
            <w:pPr>
              <w:widowControl/>
              <w:jc w:val="center"/>
              <w:rPr>
                <w:rFonts w:ascii="宋体" w:hAnsi="宋体" w:eastAsia="宋体" w:cs="Times New Roman"/>
                <w:sz w:val="18"/>
                <w:szCs w:val="18"/>
              </w:rPr>
            </w:pPr>
            <w:r>
              <w:rPr>
                <w:rFonts w:hint="eastAsia" w:ascii="宋体" w:hAnsi="宋体" w:eastAsia="宋体" w:cs="宋体"/>
                <w:sz w:val="18"/>
                <w:szCs w:val="18"/>
              </w:rPr>
              <w:t>依据评价年度人大监督、巡视巡察、审计监督、财会监督等结果以及评价指标体系涉及的履职效果、预算管理、财务管理、资产管理、采购管理、项目绩效等方面出现的问题，每有一个问题点扣</w:t>
            </w:r>
            <w:r>
              <w:rPr>
                <w:rFonts w:ascii="宋体" w:hAnsi="宋体" w:eastAsia="宋体" w:cs="宋体"/>
                <w:sz w:val="18"/>
                <w:szCs w:val="18"/>
              </w:rPr>
              <w:t>1</w:t>
            </w:r>
            <w:r>
              <w:rPr>
                <w:rFonts w:hint="eastAsia" w:ascii="宋体" w:hAnsi="宋体" w:eastAsia="宋体" w:cs="宋体"/>
                <w:sz w:val="18"/>
                <w:szCs w:val="18"/>
              </w:rPr>
              <w:t>分，扣完为止。</w:t>
            </w:r>
          </w:p>
        </w:tc>
        <w:tc>
          <w:tcPr>
            <w:tcW w:w="255" w:type="pct"/>
            <w:tcBorders>
              <w:top w:val="single" w:color="auto" w:sz="4" w:space="0"/>
              <w:left w:val="single" w:color="auto" w:sz="4" w:space="0"/>
              <w:bottom w:val="single" w:color="auto" w:sz="4" w:space="0"/>
              <w:right w:val="single" w:color="auto" w:sz="4" w:space="0"/>
            </w:tcBorders>
            <w:vAlign w:val="center"/>
          </w:tcPr>
          <w:p w14:paraId="74805730">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97" w:type="pct"/>
            <w:tcBorders>
              <w:top w:val="single" w:color="auto" w:sz="4" w:space="0"/>
              <w:left w:val="single" w:color="auto" w:sz="4" w:space="0"/>
              <w:bottom w:val="single" w:color="auto" w:sz="4" w:space="0"/>
              <w:right w:val="single" w:color="auto" w:sz="4" w:space="0"/>
            </w:tcBorders>
            <w:vAlign w:val="center"/>
          </w:tcPr>
          <w:p w14:paraId="020A3BB0">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55769A3C">
        <w:tblPrEx>
          <w:tblCellMar>
            <w:top w:w="0" w:type="dxa"/>
            <w:left w:w="108" w:type="dxa"/>
            <w:bottom w:w="0" w:type="dxa"/>
            <w:right w:w="108" w:type="dxa"/>
          </w:tblCellMar>
        </w:tblPrEx>
        <w:trPr>
          <w:trHeight w:val="840" w:hRule="atLeast"/>
        </w:trPr>
        <w:tc>
          <w:tcPr>
            <w:tcW w:w="404" w:type="pct"/>
            <w:vMerge w:val="continue"/>
            <w:tcBorders>
              <w:top w:val="nil"/>
              <w:left w:val="single" w:color="auto" w:sz="4" w:space="0"/>
              <w:bottom w:val="single" w:color="000000" w:sz="4" w:space="0"/>
              <w:right w:val="single" w:color="auto" w:sz="4" w:space="0"/>
            </w:tcBorders>
            <w:vAlign w:val="center"/>
          </w:tcPr>
          <w:p w14:paraId="083F25CF">
            <w:pPr>
              <w:widowControl/>
              <w:jc w:val="left"/>
              <w:rPr>
                <w:rFonts w:ascii="宋体" w:hAnsi="宋体" w:eastAsia="宋体" w:cs="Times New Roman"/>
                <w:b/>
                <w:bCs/>
                <w:sz w:val="18"/>
                <w:szCs w:val="18"/>
              </w:rPr>
            </w:pPr>
          </w:p>
        </w:tc>
        <w:tc>
          <w:tcPr>
            <w:tcW w:w="1433" w:type="pct"/>
            <w:gridSpan w:val="2"/>
            <w:tcBorders>
              <w:top w:val="single" w:color="auto" w:sz="4" w:space="0"/>
              <w:left w:val="single" w:color="auto" w:sz="4" w:space="0"/>
              <w:bottom w:val="single" w:color="auto" w:sz="4" w:space="0"/>
              <w:right w:val="single" w:color="auto" w:sz="4" w:space="0"/>
            </w:tcBorders>
            <w:vAlign w:val="center"/>
          </w:tcPr>
          <w:p w14:paraId="221CB0DD">
            <w:pPr>
              <w:widowControl/>
              <w:jc w:val="center"/>
              <w:rPr>
                <w:rFonts w:ascii="宋体" w:hAnsi="宋体" w:eastAsia="宋体" w:cs="Times New Roman"/>
                <w:sz w:val="18"/>
                <w:szCs w:val="18"/>
              </w:rPr>
            </w:pPr>
            <w:r>
              <w:rPr>
                <w:rFonts w:hint="eastAsia" w:ascii="宋体" w:hAnsi="宋体" w:eastAsia="宋体" w:cs="宋体"/>
                <w:sz w:val="18"/>
                <w:szCs w:val="18"/>
              </w:rPr>
              <w:t>被评价部门配合度</w:t>
            </w:r>
          </w:p>
        </w:tc>
        <w:tc>
          <w:tcPr>
            <w:tcW w:w="297" w:type="pct"/>
            <w:tcBorders>
              <w:top w:val="single" w:color="auto" w:sz="4" w:space="0"/>
              <w:left w:val="single" w:color="auto" w:sz="4" w:space="0"/>
              <w:bottom w:val="single" w:color="auto" w:sz="4" w:space="0"/>
              <w:right w:val="single" w:color="auto" w:sz="4" w:space="0"/>
            </w:tcBorders>
            <w:vAlign w:val="center"/>
          </w:tcPr>
          <w:p w14:paraId="7A3CED87">
            <w:pPr>
              <w:widowControl/>
              <w:jc w:val="center"/>
              <w:rPr>
                <w:rFonts w:ascii="宋体" w:hAnsi="宋体" w:eastAsia="宋体" w:cs="宋体"/>
                <w:sz w:val="18"/>
                <w:szCs w:val="18"/>
              </w:rPr>
            </w:pPr>
            <w:r>
              <w:rPr>
                <w:rFonts w:ascii="宋体" w:hAnsi="宋体" w:eastAsia="宋体" w:cs="宋体"/>
                <w:sz w:val="18"/>
                <w:szCs w:val="18"/>
              </w:rPr>
              <w:t>-</w:t>
            </w:r>
          </w:p>
        </w:tc>
        <w:tc>
          <w:tcPr>
            <w:tcW w:w="680" w:type="pct"/>
            <w:tcBorders>
              <w:top w:val="single" w:color="auto" w:sz="4" w:space="0"/>
              <w:left w:val="single" w:color="auto" w:sz="4" w:space="0"/>
              <w:bottom w:val="single" w:color="auto" w:sz="4" w:space="0"/>
              <w:right w:val="single" w:color="auto" w:sz="4" w:space="0"/>
            </w:tcBorders>
            <w:vAlign w:val="center"/>
          </w:tcPr>
          <w:p w14:paraId="4CC0D700">
            <w:pPr>
              <w:widowControl/>
              <w:jc w:val="center"/>
              <w:rPr>
                <w:rFonts w:ascii="宋体" w:hAnsi="宋体" w:eastAsia="宋体" w:cs="Times New Roman"/>
                <w:sz w:val="18"/>
                <w:szCs w:val="18"/>
              </w:rPr>
            </w:pPr>
            <w:r>
              <w:rPr>
                <w:rFonts w:hint="eastAsia" w:ascii="宋体" w:hAnsi="宋体" w:eastAsia="宋体" w:cs="宋体"/>
                <w:sz w:val="18"/>
                <w:szCs w:val="18"/>
              </w:rPr>
              <w:t>被评价对象工作配合情况</w:t>
            </w:r>
          </w:p>
        </w:tc>
        <w:tc>
          <w:tcPr>
            <w:tcW w:w="1632" w:type="pct"/>
            <w:tcBorders>
              <w:top w:val="single" w:color="auto" w:sz="4" w:space="0"/>
              <w:left w:val="single" w:color="auto" w:sz="4" w:space="0"/>
              <w:bottom w:val="single" w:color="auto" w:sz="4" w:space="0"/>
              <w:right w:val="single" w:color="auto" w:sz="4" w:space="0"/>
            </w:tcBorders>
            <w:vAlign w:val="center"/>
          </w:tcPr>
          <w:p w14:paraId="376EA152">
            <w:pPr>
              <w:widowControl/>
              <w:jc w:val="center"/>
              <w:rPr>
                <w:rFonts w:ascii="宋体" w:hAnsi="宋体" w:eastAsia="宋体" w:cs="Times New Roman"/>
                <w:sz w:val="18"/>
                <w:szCs w:val="18"/>
              </w:rPr>
            </w:pPr>
            <w:r>
              <w:rPr>
                <w:rFonts w:hint="eastAsia" w:ascii="宋体" w:hAnsi="宋体" w:eastAsia="宋体" w:cs="宋体"/>
                <w:sz w:val="18"/>
                <w:szCs w:val="18"/>
              </w:rPr>
              <w:t>评价工作开展过程中，被评价对象拖延推诿、提交资料不及时等拒不配合评价工作的，每发现一次扣</w:t>
            </w:r>
            <w:r>
              <w:rPr>
                <w:rFonts w:ascii="宋体" w:hAnsi="宋体" w:eastAsia="宋体" w:cs="宋体"/>
                <w:sz w:val="18"/>
                <w:szCs w:val="18"/>
              </w:rPr>
              <w:t>1</w:t>
            </w:r>
            <w:r>
              <w:rPr>
                <w:rFonts w:hint="eastAsia" w:ascii="宋体" w:hAnsi="宋体" w:eastAsia="宋体" w:cs="宋体"/>
                <w:sz w:val="18"/>
                <w:szCs w:val="18"/>
              </w:rPr>
              <w:t>分，扣完为止。</w:t>
            </w:r>
          </w:p>
        </w:tc>
        <w:tc>
          <w:tcPr>
            <w:tcW w:w="255" w:type="pct"/>
            <w:tcBorders>
              <w:top w:val="single" w:color="auto" w:sz="4" w:space="0"/>
              <w:left w:val="single" w:color="auto" w:sz="4" w:space="0"/>
              <w:bottom w:val="single" w:color="auto" w:sz="4" w:space="0"/>
              <w:right w:val="single" w:color="auto" w:sz="4" w:space="0"/>
            </w:tcBorders>
            <w:vAlign w:val="center"/>
          </w:tcPr>
          <w:p w14:paraId="3F9D61D4">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97" w:type="pct"/>
            <w:tcBorders>
              <w:top w:val="single" w:color="auto" w:sz="4" w:space="0"/>
              <w:left w:val="single" w:color="auto" w:sz="4" w:space="0"/>
              <w:bottom w:val="single" w:color="auto" w:sz="4" w:space="0"/>
              <w:right w:val="single" w:color="auto" w:sz="4" w:space="0"/>
            </w:tcBorders>
            <w:vAlign w:val="center"/>
          </w:tcPr>
          <w:p w14:paraId="24524815">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171F415C">
        <w:tblPrEx>
          <w:tblCellMar>
            <w:top w:w="0" w:type="dxa"/>
            <w:left w:w="108" w:type="dxa"/>
            <w:bottom w:w="0" w:type="dxa"/>
            <w:right w:w="108" w:type="dxa"/>
          </w:tblCellMar>
        </w:tblPrEx>
        <w:trPr>
          <w:trHeight w:val="537" w:hRule="atLeast"/>
        </w:trPr>
        <w:tc>
          <w:tcPr>
            <w:tcW w:w="1837" w:type="pct"/>
            <w:gridSpan w:val="3"/>
            <w:tcBorders>
              <w:top w:val="single" w:color="auto" w:sz="4" w:space="0"/>
              <w:left w:val="single" w:color="auto" w:sz="4" w:space="0"/>
              <w:bottom w:val="single" w:color="auto" w:sz="4" w:space="0"/>
              <w:right w:val="single" w:color="auto" w:sz="4" w:space="0"/>
            </w:tcBorders>
            <w:noWrap/>
            <w:vAlign w:val="center"/>
          </w:tcPr>
          <w:p w14:paraId="6BECD629">
            <w:pPr>
              <w:widowControl/>
              <w:jc w:val="center"/>
              <w:rPr>
                <w:rFonts w:ascii="宋体" w:hAnsi="宋体" w:eastAsia="宋体" w:cs="Times New Roman"/>
                <w:color w:val="000000"/>
                <w:sz w:val="18"/>
                <w:szCs w:val="18"/>
              </w:rPr>
            </w:pPr>
            <w:r>
              <w:rPr>
                <w:rFonts w:hint="eastAsia" w:ascii="宋体" w:hAnsi="宋体" w:eastAsia="宋体" w:cs="宋体"/>
                <w:color w:val="000000"/>
                <w:sz w:val="18"/>
                <w:szCs w:val="18"/>
              </w:rPr>
              <w:t>分值</w:t>
            </w:r>
          </w:p>
        </w:tc>
        <w:tc>
          <w:tcPr>
            <w:tcW w:w="297" w:type="pct"/>
            <w:tcBorders>
              <w:top w:val="single" w:color="auto" w:sz="4" w:space="0"/>
              <w:left w:val="single" w:color="auto" w:sz="4" w:space="0"/>
              <w:bottom w:val="single" w:color="auto" w:sz="4" w:space="0"/>
              <w:right w:val="single" w:color="auto" w:sz="4" w:space="0"/>
            </w:tcBorders>
            <w:noWrap/>
            <w:vAlign w:val="center"/>
          </w:tcPr>
          <w:p w14:paraId="28F7B6B4">
            <w:pPr>
              <w:widowControl/>
              <w:jc w:val="center"/>
              <w:rPr>
                <w:rFonts w:ascii="宋体" w:hAnsi="宋体" w:eastAsia="宋体" w:cs="Times New Roman"/>
                <w:color w:val="000000"/>
                <w:sz w:val="18"/>
                <w:szCs w:val="18"/>
              </w:rPr>
            </w:pPr>
            <w:r>
              <w:rPr>
                <w:rFonts w:hint="eastAsia" w:ascii="宋体" w:hAnsi="宋体" w:eastAsia="宋体" w:cs="宋体"/>
                <w:color w:val="000000"/>
                <w:sz w:val="18"/>
                <w:szCs w:val="18"/>
              </w:rPr>
              <w:t>　</w:t>
            </w:r>
          </w:p>
        </w:tc>
        <w:tc>
          <w:tcPr>
            <w:tcW w:w="680" w:type="pct"/>
            <w:tcBorders>
              <w:top w:val="single" w:color="auto" w:sz="4" w:space="0"/>
              <w:left w:val="single" w:color="auto" w:sz="4" w:space="0"/>
              <w:bottom w:val="single" w:color="auto" w:sz="4" w:space="0"/>
              <w:right w:val="single" w:color="auto" w:sz="4" w:space="0"/>
            </w:tcBorders>
            <w:noWrap/>
            <w:vAlign w:val="center"/>
          </w:tcPr>
          <w:p w14:paraId="3AC08238">
            <w:pPr>
              <w:widowControl/>
              <w:jc w:val="center"/>
              <w:rPr>
                <w:rFonts w:ascii="宋体" w:hAnsi="宋体" w:eastAsia="宋体" w:cs="Times New Roman"/>
                <w:color w:val="000000"/>
                <w:sz w:val="18"/>
                <w:szCs w:val="18"/>
              </w:rPr>
            </w:pPr>
            <w:r>
              <w:rPr>
                <w:rFonts w:hint="eastAsia" w:ascii="宋体" w:hAnsi="宋体" w:eastAsia="宋体" w:cs="宋体"/>
                <w:color w:val="000000"/>
                <w:sz w:val="18"/>
                <w:szCs w:val="18"/>
              </w:rPr>
              <w:t>　</w:t>
            </w:r>
          </w:p>
        </w:tc>
        <w:tc>
          <w:tcPr>
            <w:tcW w:w="1632" w:type="pct"/>
            <w:tcBorders>
              <w:top w:val="single" w:color="auto" w:sz="4" w:space="0"/>
              <w:left w:val="single" w:color="auto" w:sz="4" w:space="0"/>
              <w:bottom w:val="single" w:color="auto" w:sz="4" w:space="0"/>
              <w:right w:val="single" w:color="auto" w:sz="4" w:space="0"/>
            </w:tcBorders>
            <w:noWrap/>
            <w:vAlign w:val="center"/>
          </w:tcPr>
          <w:p w14:paraId="66C00F89">
            <w:pPr>
              <w:widowControl/>
              <w:jc w:val="center"/>
              <w:rPr>
                <w:rFonts w:ascii="宋体" w:hAnsi="宋体" w:eastAsia="宋体" w:cs="Times New Roman"/>
                <w:color w:val="000000"/>
                <w:sz w:val="18"/>
                <w:szCs w:val="18"/>
              </w:rPr>
            </w:pPr>
            <w:r>
              <w:rPr>
                <w:rFonts w:hint="eastAsia" w:ascii="宋体" w:hAnsi="宋体" w:eastAsia="宋体" w:cs="宋体"/>
                <w:color w:val="000000"/>
                <w:sz w:val="18"/>
                <w:szCs w:val="18"/>
              </w:rPr>
              <w:t>　</w:t>
            </w:r>
          </w:p>
        </w:tc>
        <w:tc>
          <w:tcPr>
            <w:tcW w:w="255" w:type="pct"/>
            <w:tcBorders>
              <w:top w:val="single" w:color="auto" w:sz="4" w:space="0"/>
              <w:left w:val="single" w:color="auto" w:sz="4" w:space="0"/>
              <w:bottom w:val="single" w:color="auto" w:sz="4" w:space="0"/>
              <w:right w:val="single" w:color="auto" w:sz="4" w:space="0"/>
            </w:tcBorders>
            <w:noWrap/>
            <w:vAlign w:val="center"/>
          </w:tcPr>
          <w:p w14:paraId="208CA679">
            <w:pPr>
              <w:widowControl/>
              <w:jc w:val="center"/>
              <w:rPr>
                <w:rFonts w:ascii="宋体" w:hAnsi="宋体" w:eastAsia="宋体" w:cs="宋体"/>
                <w:color w:val="000000"/>
                <w:sz w:val="18"/>
                <w:szCs w:val="18"/>
              </w:rPr>
            </w:pPr>
            <w:r>
              <w:rPr>
                <w:rFonts w:ascii="宋体" w:hAnsi="宋体" w:eastAsia="宋体" w:cs="宋体"/>
                <w:color w:val="000000"/>
                <w:sz w:val="18"/>
                <w:szCs w:val="18"/>
              </w:rPr>
              <w:t>97.5</w:t>
            </w:r>
          </w:p>
        </w:tc>
        <w:tc>
          <w:tcPr>
            <w:tcW w:w="297" w:type="pct"/>
            <w:tcBorders>
              <w:top w:val="single" w:color="auto" w:sz="4" w:space="0"/>
              <w:left w:val="single" w:color="auto" w:sz="4" w:space="0"/>
              <w:bottom w:val="single" w:color="auto" w:sz="4" w:space="0"/>
              <w:right w:val="single" w:color="auto" w:sz="4" w:space="0"/>
            </w:tcBorders>
            <w:noWrap/>
            <w:vAlign w:val="center"/>
          </w:tcPr>
          <w:p w14:paraId="067799E3">
            <w:pPr>
              <w:widowControl/>
              <w:jc w:val="center"/>
              <w:rPr>
                <w:rFonts w:ascii="宋体" w:hAnsi="宋体" w:eastAsia="宋体" w:cs="Times New Roman"/>
                <w:color w:val="000000"/>
                <w:sz w:val="18"/>
                <w:szCs w:val="18"/>
              </w:rPr>
            </w:pPr>
            <w:r>
              <w:rPr>
                <w:rFonts w:hint="eastAsia" w:ascii="宋体" w:hAnsi="宋体" w:eastAsia="宋体" w:cs="宋体"/>
                <w:color w:val="000000"/>
                <w:sz w:val="18"/>
                <w:szCs w:val="18"/>
              </w:rPr>
              <w:t>　</w:t>
            </w:r>
          </w:p>
        </w:tc>
      </w:tr>
    </w:tbl>
    <w:p w14:paraId="5D5C2930">
      <w:pPr>
        <w:pStyle w:val="200"/>
        <w:spacing w:line="560" w:lineRule="exact"/>
        <w:ind w:firstLine="0"/>
        <w:rPr>
          <w:rFonts w:ascii="Times New Roman" w:cs="Times New Roman"/>
          <w:lang w:val="zh-CN"/>
        </w:rPr>
        <w:sectPr>
          <w:pgSz w:w="16838" w:h="11906" w:orient="landscape"/>
          <w:pgMar w:top="1440" w:right="1803" w:bottom="1440" w:left="1803" w:header="851" w:footer="1701" w:gutter="0"/>
          <w:pgNumType w:fmt="decimal"/>
          <w:cols w:space="1701" w:num="1"/>
        </w:sectPr>
      </w:pPr>
    </w:p>
    <w:p w14:paraId="36A92147">
      <w:pPr>
        <w:pStyle w:val="200"/>
        <w:spacing w:line="560" w:lineRule="exact"/>
        <w:ind w:left="0" w:leftChars="0" w:firstLine="0" w:firstLineChars="0"/>
        <w:rPr>
          <w:rFonts w:hint="eastAsia" w:ascii="黑体" w:hAnsi="黑体" w:eastAsia="黑体" w:cs="黑体"/>
          <w:shd w:val="clear" w:color="auto" w:fill="FFFFFF"/>
          <w:lang w:val="zh-CN"/>
        </w:rPr>
      </w:pPr>
      <w:r>
        <w:rPr>
          <w:rFonts w:hint="eastAsia" w:ascii="黑体" w:hAnsi="黑体" w:eastAsia="黑体" w:cs="黑体"/>
          <w:lang w:val="zh-CN"/>
        </w:rPr>
        <w:t>附表</w:t>
      </w:r>
      <w:r>
        <w:rPr>
          <w:rFonts w:hint="eastAsia" w:ascii="黑体" w:hAnsi="黑体" w:eastAsia="黑体" w:cs="黑体"/>
          <w:lang w:val="en-US" w:eastAsia="zh-CN"/>
        </w:rPr>
        <w:t>2</w:t>
      </w:r>
      <w:r>
        <w:rPr>
          <w:rFonts w:hint="eastAsia" w:ascii="黑体" w:hAnsi="黑体" w:eastAsia="黑体" w:cs="黑体"/>
          <w:lang w:val="zh-CN"/>
        </w:rPr>
        <w:t>：</w:t>
      </w:r>
      <w:r>
        <w:rPr>
          <w:rFonts w:hint="eastAsia" w:ascii="黑体" w:hAnsi="黑体" w:eastAsia="黑体" w:cs="黑体"/>
        </w:rPr>
        <w:t>部门预算项目支出绩效自评表（2024年度）</w:t>
      </w:r>
    </w:p>
    <w:tbl>
      <w:tblPr>
        <w:tblStyle w:val="35"/>
        <w:tblW w:w="5000" w:type="pct"/>
        <w:tblInd w:w="2" w:type="dxa"/>
        <w:tblLayout w:type="fixed"/>
        <w:tblCellMar>
          <w:top w:w="0" w:type="dxa"/>
          <w:left w:w="108" w:type="dxa"/>
          <w:bottom w:w="0" w:type="dxa"/>
          <w:right w:w="108" w:type="dxa"/>
        </w:tblCellMar>
      </w:tblPr>
      <w:tblGrid>
        <w:gridCol w:w="575"/>
        <w:gridCol w:w="1224"/>
        <w:gridCol w:w="1039"/>
        <w:gridCol w:w="1351"/>
        <w:gridCol w:w="399"/>
        <w:gridCol w:w="795"/>
        <w:gridCol w:w="577"/>
        <w:gridCol w:w="848"/>
        <w:gridCol w:w="641"/>
        <w:gridCol w:w="703"/>
        <w:gridCol w:w="1090"/>
      </w:tblGrid>
      <w:tr w14:paraId="28FC418E">
        <w:tblPrEx>
          <w:tblCellMar>
            <w:top w:w="0" w:type="dxa"/>
            <w:left w:w="108" w:type="dxa"/>
            <w:bottom w:w="0" w:type="dxa"/>
            <w:right w:w="108" w:type="dxa"/>
          </w:tblCellMar>
        </w:tblPrEx>
        <w:trPr>
          <w:trHeight w:val="546"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1B1E665D">
            <w:pPr>
              <w:widowControl/>
              <w:jc w:val="center"/>
              <w:rPr>
                <w:rFonts w:ascii="黑体" w:hAnsi="黑体" w:eastAsia="黑体" w:cs="Times New Roman"/>
                <w:b/>
                <w:bCs/>
                <w:sz w:val="30"/>
                <w:szCs w:val="30"/>
              </w:rPr>
            </w:pPr>
            <w:r>
              <w:rPr>
                <w:rFonts w:hint="eastAsia" w:ascii="黑体" w:hAnsi="黑体" w:eastAsia="黑体" w:cs="黑体"/>
                <w:b/>
                <w:bCs/>
                <w:sz w:val="30"/>
                <w:szCs w:val="30"/>
              </w:rPr>
              <w:t>部门预算项目支出绩效自评表（</w:t>
            </w:r>
            <w:r>
              <w:rPr>
                <w:rFonts w:ascii="黑体" w:hAnsi="黑体" w:eastAsia="黑体" w:cs="黑体"/>
                <w:b/>
                <w:bCs/>
                <w:sz w:val="30"/>
                <w:szCs w:val="30"/>
              </w:rPr>
              <w:t>2024</w:t>
            </w:r>
            <w:r>
              <w:rPr>
                <w:rFonts w:hint="eastAsia" w:ascii="黑体" w:hAnsi="黑体" w:eastAsia="黑体" w:cs="黑体"/>
                <w:b/>
                <w:bCs/>
                <w:sz w:val="30"/>
                <w:szCs w:val="30"/>
              </w:rPr>
              <w:t>年度）</w:t>
            </w:r>
          </w:p>
        </w:tc>
      </w:tr>
      <w:tr w14:paraId="0C7D636E">
        <w:tblPrEx>
          <w:tblCellMar>
            <w:top w:w="0" w:type="dxa"/>
            <w:left w:w="108" w:type="dxa"/>
            <w:bottom w:w="0" w:type="dxa"/>
            <w:right w:w="108" w:type="dxa"/>
          </w:tblCellMar>
        </w:tblPrEx>
        <w:trPr>
          <w:trHeight w:val="285" w:hRule="atLeast"/>
        </w:trPr>
        <w:tc>
          <w:tcPr>
            <w:tcW w:w="973" w:type="pct"/>
            <w:gridSpan w:val="2"/>
            <w:tcBorders>
              <w:top w:val="single" w:color="000000" w:sz="4" w:space="0"/>
              <w:left w:val="single" w:color="000000" w:sz="4" w:space="0"/>
              <w:bottom w:val="single" w:color="000000" w:sz="4" w:space="0"/>
              <w:right w:val="single" w:color="000000" w:sz="4" w:space="0"/>
            </w:tcBorders>
            <w:vAlign w:val="center"/>
          </w:tcPr>
          <w:p w14:paraId="0D33FB8A">
            <w:pPr>
              <w:widowControl/>
              <w:jc w:val="left"/>
              <w:rPr>
                <w:rFonts w:ascii="宋体" w:hAnsi="宋体" w:eastAsia="宋体" w:cs="Times New Roman"/>
                <w:sz w:val="18"/>
                <w:szCs w:val="18"/>
              </w:rPr>
            </w:pPr>
            <w:r>
              <w:rPr>
                <w:rFonts w:hint="eastAsia" w:ascii="宋体" w:hAnsi="宋体" w:eastAsia="宋体" w:cs="宋体"/>
                <w:sz w:val="18"/>
                <w:szCs w:val="18"/>
              </w:rPr>
              <w:t>项目名称</w:t>
            </w:r>
          </w:p>
        </w:tc>
        <w:tc>
          <w:tcPr>
            <w:tcW w:w="4026" w:type="pct"/>
            <w:gridSpan w:val="9"/>
            <w:tcBorders>
              <w:top w:val="single" w:color="000000" w:sz="4" w:space="0"/>
              <w:left w:val="nil"/>
              <w:bottom w:val="single" w:color="000000" w:sz="4" w:space="0"/>
              <w:right w:val="single" w:color="000000" w:sz="4" w:space="0"/>
            </w:tcBorders>
            <w:vAlign w:val="center"/>
          </w:tcPr>
          <w:p w14:paraId="5C3DD2A7">
            <w:pPr>
              <w:widowControl/>
              <w:jc w:val="left"/>
              <w:rPr>
                <w:rFonts w:ascii="宋体" w:hAnsi="宋体" w:eastAsia="宋体" w:cs="Times New Roman"/>
                <w:sz w:val="18"/>
                <w:szCs w:val="18"/>
              </w:rPr>
            </w:pPr>
            <w:r>
              <w:rPr>
                <w:rFonts w:ascii="宋体" w:hAnsi="宋体" w:eastAsia="宋体" w:cs="宋体"/>
                <w:sz w:val="18"/>
                <w:szCs w:val="18"/>
              </w:rPr>
              <w:t>51090424T000011124277-2024</w:t>
            </w:r>
            <w:r>
              <w:rPr>
                <w:rFonts w:hint="eastAsia" w:ascii="宋体" w:hAnsi="宋体" w:eastAsia="宋体" w:cs="宋体"/>
                <w:sz w:val="18"/>
                <w:szCs w:val="18"/>
              </w:rPr>
              <w:t>年免费印章及专家评审费</w:t>
            </w:r>
          </w:p>
        </w:tc>
      </w:tr>
      <w:tr w14:paraId="2018C7E3">
        <w:tblPrEx>
          <w:tblCellMar>
            <w:top w:w="0" w:type="dxa"/>
            <w:left w:w="108" w:type="dxa"/>
            <w:bottom w:w="0" w:type="dxa"/>
            <w:right w:w="108" w:type="dxa"/>
          </w:tblCellMar>
        </w:tblPrEx>
        <w:trPr>
          <w:trHeight w:val="514" w:hRule="atLeast"/>
        </w:trPr>
        <w:tc>
          <w:tcPr>
            <w:tcW w:w="973" w:type="pct"/>
            <w:gridSpan w:val="2"/>
            <w:tcBorders>
              <w:top w:val="single" w:color="000000" w:sz="4" w:space="0"/>
              <w:left w:val="single" w:color="000000" w:sz="4" w:space="0"/>
              <w:bottom w:val="single" w:color="000000" w:sz="4" w:space="0"/>
              <w:right w:val="single" w:color="000000" w:sz="4" w:space="0"/>
            </w:tcBorders>
            <w:vAlign w:val="center"/>
          </w:tcPr>
          <w:p w14:paraId="15F41FC7">
            <w:pPr>
              <w:widowControl/>
              <w:jc w:val="left"/>
              <w:rPr>
                <w:rFonts w:ascii="宋体" w:hAnsi="宋体" w:eastAsia="宋体" w:cs="Times New Roman"/>
                <w:sz w:val="18"/>
                <w:szCs w:val="18"/>
              </w:rPr>
            </w:pPr>
            <w:r>
              <w:rPr>
                <w:rFonts w:hint="eastAsia" w:ascii="宋体" w:hAnsi="宋体" w:eastAsia="宋体" w:cs="宋体"/>
                <w:sz w:val="18"/>
                <w:szCs w:val="18"/>
              </w:rPr>
              <w:t>主管部门</w:t>
            </w:r>
          </w:p>
        </w:tc>
        <w:tc>
          <w:tcPr>
            <w:tcW w:w="2251" w:type="pct"/>
            <w:gridSpan w:val="5"/>
            <w:tcBorders>
              <w:top w:val="single" w:color="000000" w:sz="4" w:space="0"/>
              <w:left w:val="nil"/>
              <w:bottom w:val="single" w:color="000000" w:sz="4" w:space="0"/>
              <w:right w:val="single" w:color="000000" w:sz="4" w:space="0"/>
            </w:tcBorders>
            <w:vAlign w:val="center"/>
          </w:tcPr>
          <w:p w14:paraId="6D9E2408">
            <w:pPr>
              <w:widowControl/>
              <w:jc w:val="left"/>
              <w:rPr>
                <w:rFonts w:ascii="宋体" w:hAnsi="宋体" w:eastAsia="宋体" w:cs="Times New Roman"/>
                <w:sz w:val="18"/>
                <w:szCs w:val="18"/>
              </w:rPr>
            </w:pPr>
            <w:r>
              <w:rPr>
                <w:rFonts w:hint="eastAsia" w:ascii="宋体" w:hAnsi="宋体" w:eastAsia="宋体" w:cs="宋体"/>
                <w:sz w:val="18"/>
                <w:szCs w:val="18"/>
              </w:rPr>
              <w:t>遂宁市安居区行政审批和数据局部门</w:t>
            </w:r>
          </w:p>
        </w:tc>
        <w:tc>
          <w:tcPr>
            <w:tcW w:w="458" w:type="pct"/>
            <w:tcBorders>
              <w:top w:val="nil"/>
              <w:left w:val="nil"/>
              <w:bottom w:val="nil"/>
              <w:right w:val="nil"/>
            </w:tcBorders>
            <w:vAlign w:val="center"/>
          </w:tcPr>
          <w:p w14:paraId="24606D43">
            <w:pPr>
              <w:widowControl/>
              <w:jc w:val="left"/>
              <w:rPr>
                <w:rFonts w:ascii="Courier New" w:hAnsi="Courier New" w:eastAsia="宋体" w:cs="Times New Roman"/>
                <w:sz w:val="18"/>
                <w:szCs w:val="18"/>
              </w:rPr>
            </w:pPr>
            <w:r>
              <w:rPr>
                <w:rFonts w:hint="eastAsia" w:ascii="Courier New" w:hAnsi="Courier New" w:eastAsia="宋体" w:cs="宋体"/>
                <w:sz w:val="18"/>
                <w:szCs w:val="18"/>
              </w:rPr>
              <w:t>实施单位</w:t>
            </w:r>
            <w:r>
              <w:rPr>
                <w:rFonts w:ascii="Courier New" w:hAnsi="Courier New" w:eastAsia="宋体" w:cs="Courier New"/>
                <w:sz w:val="18"/>
                <w:szCs w:val="18"/>
              </w:rPr>
              <w:t xml:space="preserve"> </w:t>
            </w:r>
            <w:r>
              <w:rPr>
                <w:rFonts w:hint="eastAsia" w:ascii="Courier New" w:hAnsi="Courier New" w:eastAsia="宋体" w:cs="宋体"/>
                <w:sz w:val="18"/>
                <w:szCs w:val="18"/>
              </w:rPr>
              <w:t>（盖章）</w:t>
            </w:r>
          </w:p>
        </w:tc>
        <w:tc>
          <w:tcPr>
            <w:tcW w:w="1316" w:type="pct"/>
            <w:gridSpan w:val="3"/>
            <w:tcBorders>
              <w:top w:val="single" w:color="000000" w:sz="4" w:space="0"/>
              <w:left w:val="single" w:color="000000" w:sz="4" w:space="0"/>
              <w:bottom w:val="single" w:color="000000" w:sz="4" w:space="0"/>
              <w:right w:val="single" w:color="000000" w:sz="4" w:space="0"/>
            </w:tcBorders>
            <w:vAlign w:val="center"/>
          </w:tcPr>
          <w:p w14:paraId="4C8238D5">
            <w:pPr>
              <w:widowControl/>
              <w:jc w:val="center"/>
              <w:rPr>
                <w:rFonts w:ascii="宋体" w:hAnsi="宋体" w:eastAsia="宋体" w:cs="Times New Roman"/>
                <w:sz w:val="18"/>
                <w:szCs w:val="18"/>
              </w:rPr>
            </w:pPr>
            <w:r>
              <w:rPr>
                <w:rFonts w:hint="eastAsia" w:ascii="宋体" w:hAnsi="宋体" w:eastAsia="宋体" w:cs="宋体"/>
                <w:sz w:val="18"/>
                <w:szCs w:val="18"/>
              </w:rPr>
              <w:t>遂宁市安居区行政审批和数据局</w:t>
            </w:r>
          </w:p>
        </w:tc>
      </w:tr>
      <w:tr w14:paraId="3BF1A44E">
        <w:tblPrEx>
          <w:tblCellMar>
            <w:top w:w="0" w:type="dxa"/>
            <w:left w:w="108" w:type="dxa"/>
            <w:bottom w:w="0" w:type="dxa"/>
            <w:right w:w="108" w:type="dxa"/>
          </w:tblCellMar>
        </w:tblPrEx>
        <w:trPr>
          <w:trHeight w:val="285" w:hRule="atLeast"/>
        </w:trPr>
        <w:tc>
          <w:tcPr>
            <w:tcW w:w="311" w:type="pct"/>
            <w:vMerge w:val="restart"/>
            <w:tcBorders>
              <w:top w:val="nil"/>
              <w:left w:val="single" w:color="000000" w:sz="4" w:space="0"/>
              <w:bottom w:val="single" w:color="000000" w:sz="4" w:space="0"/>
              <w:right w:val="single" w:color="000000" w:sz="4" w:space="0"/>
            </w:tcBorders>
            <w:vAlign w:val="center"/>
          </w:tcPr>
          <w:p w14:paraId="37D9598E">
            <w:pPr>
              <w:widowControl/>
              <w:jc w:val="left"/>
              <w:rPr>
                <w:rFonts w:ascii="宋体" w:hAnsi="宋体" w:eastAsia="宋体" w:cs="Times New Roman"/>
                <w:sz w:val="18"/>
                <w:szCs w:val="18"/>
              </w:rPr>
            </w:pPr>
            <w:r>
              <w:rPr>
                <w:rFonts w:hint="eastAsia" w:ascii="宋体" w:hAnsi="宋体" w:eastAsia="宋体" w:cs="宋体"/>
                <w:sz w:val="18"/>
                <w:szCs w:val="18"/>
              </w:rPr>
              <w:t>项目基本情况</w:t>
            </w:r>
          </w:p>
        </w:tc>
        <w:tc>
          <w:tcPr>
            <w:tcW w:w="662" w:type="pct"/>
            <w:vMerge w:val="restart"/>
            <w:tcBorders>
              <w:top w:val="nil"/>
              <w:left w:val="single" w:color="000000" w:sz="4" w:space="0"/>
              <w:bottom w:val="single" w:color="000000" w:sz="4" w:space="0"/>
              <w:right w:val="single" w:color="000000" w:sz="4" w:space="0"/>
            </w:tcBorders>
            <w:vAlign w:val="center"/>
          </w:tcPr>
          <w:p w14:paraId="17ED9AE7">
            <w:pPr>
              <w:widowControl/>
              <w:jc w:val="left"/>
              <w:rPr>
                <w:rFonts w:ascii="宋体" w:hAnsi="宋体" w:eastAsia="宋体" w:cs="Times New Roman"/>
                <w:sz w:val="18"/>
                <w:szCs w:val="18"/>
              </w:rPr>
            </w:pPr>
            <w:r>
              <w:rPr>
                <w:rFonts w:ascii="宋体" w:hAnsi="宋体" w:eastAsia="宋体" w:cs="宋体"/>
                <w:sz w:val="18"/>
                <w:szCs w:val="18"/>
              </w:rPr>
              <w:t>1.</w:t>
            </w:r>
            <w:r>
              <w:rPr>
                <w:rFonts w:hint="eastAsia" w:ascii="宋体" w:hAnsi="宋体" w:eastAsia="宋体" w:cs="宋体"/>
                <w:sz w:val="18"/>
                <w:szCs w:val="18"/>
              </w:rPr>
              <w:t>项目年度目标完成情况</w:t>
            </w:r>
          </w:p>
        </w:tc>
        <w:tc>
          <w:tcPr>
            <w:tcW w:w="2251" w:type="pct"/>
            <w:gridSpan w:val="5"/>
            <w:tcBorders>
              <w:top w:val="single" w:color="000000" w:sz="4" w:space="0"/>
              <w:left w:val="nil"/>
              <w:bottom w:val="single" w:color="000000" w:sz="4" w:space="0"/>
              <w:right w:val="single" w:color="000000" w:sz="4" w:space="0"/>
            </w:tcBorders>
            <w:vAlign w:val="center"/>
          </w:tcPr>
          <w:p w14:paraId="6BCBE2C9">
            <w:pPr>
              <w:widowControl/>
              <w:jc w:val="center"/>
              <w:rPr>
                <w:rFonts w:ascii="宋体" w:hAnsi="宋体" w:eastAsia="宋体" w:cs="Times New Roman"/>
                <w:sz w:val="18"/>
                <w:szCs w:val="18"/>
              </w:rPr>
            </w:pPr>
            <w:r>
              <w:rPr>
                <w:rFonts w:hint="eastAsia" w:ascii="宋体" w:hAnsi="宋体" w:eastAsia="宋体" w:cs="宋体"/>
                <w:sz w:val="18"/>
                <w:szCs w:val="18"/>
              </w:rPr>
              <w:t>项目年度目标</w:t>
            </w:r>
          </w:p>
        </w:tc>
        <w:tc>
          <w:tcPr>
            <w:tcW w:w="1775" w:type="pct"/>
            <w:gridSpan w:val="4"/>
            <w:tcBorders>
              <w:top w:val="single" w:color="000000" w:sz="4" w:space="0"/>
              <w:left w:val="nil"/>
              <w:bottom w:val="single" w:color="000000" w:sz="4" w:space="0"/>
              <w:right w:val="single" w:color="000000" w:sz="4" w:space="0"/>
            </w:tcBorders>
            <w:vAlign w:val="center"/>
          </w:tcPr>
          <w:p w14:paraId="7125B496">
            <w:pPr>
              <w:widowControl/>
              <w:jc w:val="center"/>
              <w:rPr>
                <w:rFonts w:ascii="Courier New" w:hAnsi="Courier New" w:eastAsia="宋体" w:cs="Times New Roman"/>
                <w:sz w:val="18"/>
                <w:szCs w:val="18"/>
              </w:rPr>
            </w:pPr>
            <w:r>
              <w:rPr>
                <w:rFonts w:hint="eastAsia" w:ascii="Courier New" w:hAnsi="Courier New" w:eastAsia="宋体" w:cs="宋体"/>
                <w:sz w:val="18"/>
                <w:szCs w:val="18"/>
              </w:rPr>
              <w:t>年度目标完成情况</w:t>
            </w:r>
          </w:p>
        </w:tc>
      </w:tr>
      <w:tr w14:paraId="094057B1">
        <w:tblPrEx>
          <w:tblCellMar>
            <w:top w:w="0" w:type="dxa"/>
            <w:left w:w="108" w:type="dxa"/>
            <w:bottom w:w="0" w:type="dxa"/>
            <w:right w:w="108" w:type="dxa"/>
          </w:tblCellMar>
        </w:tblPrEx>
        <w:trPr>
          <w:trHeight w:val="1080" w:hRule="atLeast"/>
        </w:trPr>
        <w:tc>
          <w:tcPr>
            <w:tcW w:w="311" w:type="pct"/>
            <w:vMerge w:val="continue"/>
            <w:tcBorders>
              <w:top w:val="nil"/>
              <w:left w:val="single" w:color="000000" w:sz="4" w:space="0"/>
              <w:bottom w:val="single" w:color="000000" w:sz="4" w:space="0"/>
              <w:right w:val="single" w:color="000000" w:sz="4" w:space="0"/>
            </w:tcBorders>
            <w:vAlign w:val="center"/>
          </w:tcPr>
          <w:p w14:paraId="2F630079">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60706A0D">
            <w:pPr>
              <w:widowControl/>
              <w:jc w:val="left"/>
              <w:rPr>
                <w:rFonts w:ascii="宋体" w:hAnsi="宋体" w:eastAsia="宋体" w:cs="Times New Roman"/>
                <w:sz w:val="18"/>
                <w:szCs w:val="18"/>
              </w:rPr>
            </w:pPr>
          </w:p>
        </w:tc>
        <w:tc>
          <w:tcPr>
            <w:tcW w:w="2251" w:type="pct"/>
            <w:gridSpan w:val="5"/>
            <w:tcBorders>
              <w:top w:val="single" w:color="000000" w:sz="4" w:space="0"/>
              <w:left w:val="nil"/>
              <w:bottom w:val="single" w:color="000000" w:sz="4" w:space="0"/>
              <w:right w:val="single" w:color="000000" w:sz="4" w:space="0"/>
            </w:tcBorders>
            <w:vAlign w:val="center"/>
          </w:tcPr>
          <w:p w14:paraId="7ECCCED4">
            <w:pPr>
              <w:widowControl/>
              <w:jc w:val="left"/>
              <w:rPr>
                <w:rFonts w:ascii="宋体" w:hAnsi="宋体" w:eastAsia="宋体" w:cs="Times New Roman"/>
                <w:sz w:val="18"/>
                <w:szCs w:val="18"/>
              </w:rPr>
            </w:pPr>
            <w:r>
              <w:rPr>
                <w:rFonts w:hint="eastAsia" w:ascii="宋体" w:hAnsi="宋体" w:eastAsia="宋体" w:cs="宋体"/>
                <w:sz w:val="18"/>
                <w:szCs w:val="18"/>
              </w:rPr>
              <w:t>为落实企业开办零费用为企业提供印章刻制服务，每套</w:t>
            </w:r>
            <w:r>
              <w:rPr>
                <w:rFonts w:ascii="宋体" w:hAnsi="宋体" w:eastAsia="宋体" w:cs="宋体"/>
                <w:sz w:val="18"/>
                <w:szCs w:val="18"/>
              </w:rPr>
              <w:t>290</w:t>
            </w:r>
            <w:r>
              <w:rPr>
                <w:rFonts w:hint="eastAsia" w:ascii="宋体" w:hAnsi="宋体" w:eastAsia="宋体" w:cs="宋体"/>
                <w:sz w:val="18"/>
                <w:szCs w:val="18"/>
              </w:rPr>
              <w:t>元。行政许可事项证照制作费及取水许可等需要聘请专家进行评审。交易中心支付全区集中采购目录内的项目的专家评审费。</w:t>
            </w:r>
          </w:p>
        </w:tc>
        <w:tc>
          <w:tcPr>
            <w:tcW w:w="1775" w:type="pct"/>
            <w:gridSpan w:val="4"/>
            <w:tcBorders>
              <w:top w:val="single" w:color="000000" w:sz="4" w:space="0"/>
              <w:left w:val="nil"/>
              <w:bottom w:val="single" w:color="000000" w:sz="4" w:space="0"/>
              <w:right w:val="single" w:color="000000" w:sz="4" w:space="0"/>
            </w:tcBorders>
            <w:vAlign w:val="center"/>
          </w:tcPr>
          <w:p w14:paraId="1C176247">
            <w:pPr>
              <w:widowControl/>
              <w:jc w:val="left"/>
              <w:rPr>
                <w:rFonts w:ascii="Courier New" w:hAnsi="Courier New" w:eastAsia="宋体" w:cs="Times New Roman"/>
                <w:sz w:val="18"/>
                <w:szCs w:val="18"/>
              </w:rPr>
            </w:pPr>
            <w:r>
              <w:rPr>
                <w:rFonts w:hint="eastAsia" w:ascii="Courier New" w:hAnsi="Courier New" w:eastAsia="宋体" w:cs="宋体"/>
                <w:sz w:val="18"/>
                <w:szCs w:val="18"/>
              </w:rPr>
              <w:t>落实企业开办零费用，为</w:t>
            </w:r>
            <w:r>
              <w:rPr>
                <w:rFonts w:ascii="Courier New" w:hAnsi="Courier New" w:eastAsia="宋体" w:cs="Courier New"/>
                <w:sz w:val="18"/>
                <w:szCs w:val="18"/>
              </w:rPr>
              <w:t>667</w:t>
            </w:r>
            <w:r>
              <w:rPr>
                <w:rFonts w:hint="eastAsia" w:ascii="Courier New" w:hAnsi="Courier New" w:eastAsia="宋体" w:cs="宋体"/>
                <w:sz w:val="18"/>
                <w:szCs w:val="18"/>
              </w:rPr>
              <w:t>户企业提供免费印章刻制服</w:t>
            </w:r>
            <w:r>
              <w:rPr>
                <w:rFonts w:ascii="Courier New" w:hAnsi="Courier New" w:eastAsia="宋体" w:cs="Courier New"/>
                <w:sz w:val="18"/>
                <w:szCs w:val="18"/>
              </w:rPr>
              <w:t>1318</w:t>
            </w:r>
            <w:r>
              <w:rPr>
                <w:rFonts w:hint="eastAsia" w:ascii="Courier New" w:hAnsi="Courier New" w:eastAsia="宋体" w:cs="宋体"/>
                <w:sz w:val="18"/>
                <w:szCs w:val="18"/>
              </w:rPr>
              <w:t>枚。支付全区集中采购项目专家评审费、行政许可事项证照制作费及取水许可等需要聘请专家进行评审费共计场次约</w:t>
            </w:r>
            <w:r>
              <w:rPr>
                <w:rFonts w:ascii="Courier New" w:hAnsi="Courier New" w:eastAsia="宋体" w:cs="Courier New"/>
                <w:sz w:val="18"/>
                <w:szCs w:val="18"/>
              </w:rPr>
              <w:t>80</w:t>
            </w:r>
            <w:r>
              <w:rPr>
                <w:rFonts w:hint="eastAsia" w:ascii="Courier New" w:hAnsi="Courier New" w:eastAsia="宋体" w:cs="宋体"/>
                <w:sz w:val="18"/>
                <w:szCs w:val="18"/>
              </w:rPr>
              <w:t>次。</w:t>
            </w:r>
          </w:p>
        </w:tc>
      </w:tr>
      <w:tr w14:paraId="6FE0773A">
        <w:tblPrEx>
          <w:tblCellMar>
            <w:top w:w="0" w:type="dxa"/>
            <w:left w:w="108" w:type="dxa"/>
            <w:bottom w:w="0" w:type="dxa"/>
            <w:right w:w="108" w:type="dxa"/>
          </w:tblCellMar>
        </w:tblPrEx>
        <w:trPr>
          <w:trHeight w:val="694" w:hRule="atLeast"/>
        </w:trPr>
        <w:tc>
          <w:tcPr>
            <w:tcW w:w="311" w:type="pct"/>
            <w:vMerge w:val="continue"/>
            <w:tcBorders>
              <w:top w:val="nil"/>
              <w:left w:val="single" w:color="000000" w:sz="4" w:space="0"/>
              <w:bottom w:val="single" w:color="000000" w:sz="4" w:space="0"/>
              <w:right w:val="single" w:color="000000" w:sz="4" w:space="0"/>
            </w:tcBorders>
            <w:vAlign w:val="center"/>
          </w:tcPr>
          <w:p w14:paraId="71C0AE4B">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65964EA1">
            <w:pPr>
              <w:widowControl/>
              <w:jc w:val="left"/>
              <w:rPr>
                <w:rFonts w:ascii="宋体" w:hAnsi="宋体" w:eastAsia="宋体" w:cs="Times New Roman"/>
                <w:sz w:val="18"/>
                <w:szCs w:val="18"/>
              </w:rPr>
            </w:pPr>
            <w:r>
              <w:rPr>
                <w:rFonts w:ascii="宋体" w:hAnsi="宋体" w:eastAsia="宋体" w:cs="宋体"/>
                <w:sz w:val="18"/>
                <w:szCs w:val="18"/>
              </w:rPr>
              <w:t>2.</w:t>
            </w:r>
            <w:r>
              <w:rPr>
                <w:rFonts w:hint="eastAsia" w:ascii="宋体" w:hAnsi="宋体" w:eastAsia="宋体" w:cs="宋体"/>
                <w:sz w:val="18"/>
                <w:szCs w:val="18"/>
              </w:rPr>
              <w:t>项目实施内容及过程概述</w:t>
            </w:r>
          </w:p>
        </w:tc>
        <w:tc>
          <w:tcPr>
            <w:tcW w:w="4026" w:type="pct"/>
            <w:gridSpan w:val="9"/>
            <w:tcBorders>
              <w:top w:val="single" w:color="000000" w:sz="4" w:space="0"/>
              <w:left w:val="nil"/>
              <w:bottom w:val="single" w:color="000000" w:sz="4" w:space="0"/>
              <w:right w:val="single" w:color="000000" w:sz="4" w:space="0"/>
            </w:tcBorders>
            <w:vAlign w:val="center"/>
          </w:tcPr>
          <w:p w14:paraId="12F18F80">
            <w:pPr>
              <w:widowControl/>
              <w:jc w:val="left"/>
              <w:rPr>
                <w:rFonts w:ascii="宋体" w:hAnsi="宋体" w:eastAsia="宋体" w:cs="Times New Roman"/>
                <w:sz w:val="18"/>
                <w:szCs w:val="18"/>
              </w:rPr>
            </w:pPr>
            <w:r>
              <w:rPr>
                <w:rFonts w:hint="eastAsia" w:ascii="宋体" w:hAnsi="宋体" w:eastAsia="宋体" w:cs="宋体"/>
                <w:sz w:val="18"/>
                <w:szCs w:val="18"/>
              </w:rPr>
              <w:t>落实企业开办零费用，为</w:t>
            </w:r>
            <w:r>
              <w:rPr>
                <w:rFonts w:ascii="宋体" w:hAnsi="宋体" w:eastAsia="宋体" w:cs="宋体"/>
                <w:sz w:val="18"/>
                <w:szCs w:val="18"/>
              </w:rPr>
              <w:t>667</w:t>
            </w:r>
            <w:r>
              <w:rPr>
                <w:rFonts w:hint="eastAsia" w:ascii="宋体" w:hAnsi="宋体" w:eastAsia="宋体" w:cs="宋体"/>
                <w:sz w:val="18"/>
                <w:szCs w:val="18"/>
              </w:rPr>
              <w:t>户企业提供免费印章刻制服</w:t>
            </w:r>
            <w:r>
              <w:rPr>
                <w:rFonts w:ascii="宋体" w:hAnsi="宋体" w:eastAsia="宋体" w:cs="宋体"/>
                <w:sz w:val="18"/>
                <w:szCs w:val="18"/>
              </w:rPr>
              <w:t>1318</w:t>
            </w:r>
            <w:r>
              <w:rPr>
                <w:rFonts w:hint="eastAsia" w:ascii="宋体" w:hAnsi="宋体" w:eastAsia="宋体" w:cs="宋体"/>
                <w:sz w:val="18"/>
                <w:szCs w:val="18"/>
              </w:rPr>
              <w:t>枚。支付全区集中采购项目专家评审费、行政许可事项证照制作费及取水许可等需要聘请专家进行评审费共计场次约</w:t>
            </w:r>
            <w:r>
              <w:rPr>
                <w:rFonts w:ascii="宋体" w:hAnsi="宋体" w:eastAsia="宋体" w:cs="宋体"/>
                <w:sz w:val="18"/>
                <w:szCs w:val="18"/>
              </w:rPr>
              <w:t>80</w:t>
            </w:r>
            <w:r>
              <w:rPr>
                <w:rFonts w:hint="eastAsia" w:ascii="宋体" w:hAnsi="宋体" w:eastAsia="宋体" w:cs="宋体"/>
                <w:sz w:val="18"/>
                <w:szCs w:val="18"/>
              </w:rPr>
              <w:t>次。</w:t>
            </w:r>
          </w:p>
        </w:tc>
      </w:tr>
      <w:tr w14:paraId="2E3EAAA9">
        <w:tblPrEx>
          <w:tblCellMar>
            <w:top w:w="0" w:type="dxa"/>
            <w:left w:w="108" w:type="dxa"/>
            <w:bottom w:w="0" w:type="dxa"/>
            <w:right w:w="108" w:type="dxa"/>
          </w:tblCellMar>
        </w:tblPrEx>
        <w:trPr>
          <w:trHeight w:val="360" w:hRule="atLeast"/>
        </w:trPr>
        <w:tc>
          <w:tcPr>
            <w:tcW w:w="311" w:type="pct"/>
            <w:vMerge w:val="restart"/>
            <w:tcBorders>
              <w:top w:val="nil"/>
              <w:left w:val="single" w:color="000000" w:sz="4" w:space="0"/>
              <w:bottom w:val="single" w:color="000000" w:sz="4" w:space="0"/>
              <w:right w:val="single" w:color="000000" w:sz="4" w:space="0"/>
            </w:tcBorders>
            <w:vAlign w:val="center"/>
          </w:tcPr>
          <w:p w14:paraId="777632E6">
            <w:pPr>
              <w:widowControl/>
              <w:jc w:val="center"/>
              <w:rPr>
                <w:rFonts w:ascii="宋体" w:hAnsi="宋体" w:eastAsia="宋体" w:cs="Times New Roman"/>
                <w:sz w:val="18"/>
                <w:szCs w:val="18"/>
              </w:rPr>
            </w:pPr>
            <w:r>
              <w:rPr>
                <w:rFonts w:hint="eastAsia" w:ascii="宋体" w:hAnsi="宋体" w:eastAsia="宋体" w:cs="宋体"/>
                <w:sz w:val="18"/>
                <w:szCs w:val="18"/>
              </w:rPr>
              <w:t>预算执行情况（</w:t>
            </w:r>
            <w:r>
              <w:rPr>
                <w:rFonts w:ascii="宋体" w:hAnsi="宋体" w:eastAsia="宋体" w:cs="宋体"/>
                <w:sz w:val="18"/>
                <w:szCs w:val="18"/>
              </w:rPr>
              <w:t>10</w:t>
            </w:r>
            <w:r>
              <w:rPr>
                <w:rFonts w:hint="eastAsia" w:ascii="宋体" w:hAnsi="宋体" w:eastAsia="宋体" w:cs="宋体"/>
                <w:sz w:val="18"/>
                <w:szCs w:val="18"/>
              </w:rPr>
              <w:t>分）</w:t>
            </w:r>
          </w:p>
        </w:tc>
        <w:tc>
          <w:tcPr>
            <w:tcW w:w="662" w:type="pct"/>
            <w:tcBorders>
              <w:top w:val="nil"/>
              <w:left w:val="nil"/>
              <w:bottom w:val="single" w:color="000000" w:sz="4" w:space="0"/>
              <w:right w:val="single" w:color="000000" w:sz="4" w:space="0"/>
            </w:tcBorders>
            <w:vAlign w:val="center"/>
          </w:tcPr>
          <w:p w14:paraId="3442371D">
            <w:pPr>
              <w:widowControl/>
              <w:jc w:val="center"/>
              <w:rPr>
                <w:rFonts w:ascii="宋体" w:hAnsi="宋体" w:eastAsia="宋体" w:cs="Times New Roman"/>
                <w:sz w:val="18"/>
                <w:szCs w:val="18"/>
              </w:rPr>
            </w:pPr>
            <w:r>
              <w:rPr>
                <w:rFonts w:hint="eastAsia" w:ascii="宋体" w:hAnsi="宋体" w:eastAsia="宋体" w:cs="宋体"/>
                <w:sz w:val="18"/>
                <w:szCs w:val="18"/>
              </w:rPr>
              <w:t>年度预算数（万元）</w:t>
            </w:r>
          </w:p>
        </w:tc>
        <w:tc>
          <w:tcPr>
            <w:tcW w:w="562" w:type="pct"/>
            <w:tcBorders>
              <w:top w:val="nil"/>
              <w:left w:val="nil"/>
              <w:bottom w:val="single" w:color="000000" w:sz="4" w:space="0"/>
              <w:right w:val="single" w:color="000000" w:sz="4" w:space="0"/>
            </w:tcBorders>
            <w:vAlign w:val="center"/>
          </w:tcPr>
          <w:p w14:paraId="7AAD3F3D">
            <w:pPr>
              <w:widowControl/>
              <w:jc w:val="center"/>
              <w:rPr>
                <w:rFonts w:ascii="宋体" w:hAnsi="宋体" w:eastAsia="宋体" w:cs="Times New Roman"/>
                <w:sz w:val="18"/>
                <w:szCs w:val="18"/>
              </w:rPr>
            </w:pPr>
            <w:r>
              <w:rPr>
                <w:rFonts w:hint="eastAsia" w:ascii="宋体" w:hAnsi="宋体" w:eastAsia="宋体" w:cs="宋体"/>
                <w:sz w:val="18"/>
                <w:szCs w:val="18"/>
              </w:rPr>
              <w:t>年初预算</w:t>
            </w:r>
          </w:p>
        </w:tc>
        <w:tc>
          <w:tcPr>
            <w:tcW w:w="730" w:type="pct"/>
            <w:tcBorders>
              <w:top w:val="nil"/>
              <w:left w:val="nil"/>
              <w:bottom w:val="single" w:color="000000" w:sz="4" w:space="0"/>
              <w:right w:val="single" w:color="000000" w:sz="4" w:space="0"/>
            </w:tcBorders>
            <w:vAlign w:val="center"/>
          </w:tcPr>
          <w:p w14:paraId="2859D0EE">
            <w:pPr>
              <w:widowControl/>
              <w:jc w:val="center"/>
              <w:rPr>
                <w:rFonts w:ascii="宋体" w:hAnsi="宋体" w:eastAsia="宋体" w:cs="Times New Roman"/>
                <w:sz w:val="18"/>
                <w:szCs w:val="18"/>
              </w:rPr>
            </w:pPr>
            <w:r>
              <w:rPr>
                <w:rFonts w:hint="eastAsia" w:ascii="宋体" w:hAnsi="宋体" w:eastAsia="宋体" w:cs="宋体"/>
                <w:sz w:val="18"/>
                <w:szCs w:val="18"/>
              </w:rPr>
              <w:t>调整后预算数</w:t>
            </w:r>
          </w:p>
        </w:tc>
        <w:tc>
          <w:tcPr>
            <w:tcW w:w="958" w:type="pct"/>
            <w:gridSpan w:val="3"/>
            <w:tcBorders>
              <w:top w:val="single" w:color="000000" w:sz="4" w:space="0"/>
              <w:left w:val="nil"/>
              <w:bottom w:val="single" w:color="000000" w:sz="4" w:space="0"/>
              <w:right w:val="single" w:color="000000" w:sz="4" w:space="0"/>
            </w:tcBorders>
            <w:vAlign w:val="center"/>
          </w:tcPr>
          <w:p w14:paraId="1370299C">
            <w:pPr>
              <w:widowControl/>
              <w:jc w:val="center"/>
              <w:rPr>
                <w:rFonts w:ascii="宋体" w:hAnsi="宋体" w:eastAsia="宋体" w:cs="Times New Roman"/>
                <w:sz w:val="18"/>
                <w:szCs w:val="18"/>
              </w:rPr>
            </w:pPr>
            <w:r>
              <w:rPr>
                <w:rFonts w:hint="eastAsia" w:ascii="宋体" w:hAnsi="宋体" w:eastAsia="宋体" w:cs="宋体"/>
                <w:sz w:val="18"/>
                <w:szCs w:val="18"/>
              </w:rPr>
              <w:t>预算执行数</w:t>
            </w:r>
          </w:p>
        </w:tc>
        <w:tc>
          <w:tcPr>
            <w:tcW w:w="458" w:type="pct"/>
            <w:tcBorders>
              <w:top w:val="nil"/>
              <w:left w:val="nil"/>
              <w:bottom w:val="single" w:color="000000" w:sz="4" w:space="0"/>
              <w:right w:val="single" w:color="000000" w:sz="4" w:space="0"/>
            </w:tcBorders>
            <w:vAlign w:val="center"/>
          </w:tcPr>
          <w:p w14:paraId="37C37AA5">
            <w:pPr>
              <w:widowControl/>
              <w:jc w:val="center"/>
              <w:rPr>
                <w:rFonts w:ascii="宋体" w:hAnsi="宋体" w:eastAsia="宋体" w:cs="Times New Roman"/>
                <w:sz w:val="18"/>
                <w:szCs w:val="18"/>
              </w:rPr>
            </w:pPr>
            <w:r>
              <w:rPr>
                <w:rFonts w:hint="eastAsia" w:ascii="宋体" w:hAnsi="宋体" w:eastAsia="宋体" w:cs="宋体"/>
                <w:sz w:val="18"/>
                <w:szCs w:val="18"/>
              </w:rPr>
              <w:t>预算执行率</w:t>
            </w:r>
          </w:p>
        </w:tc>
        <w:tc>
          <w:tcPr>
            <w:tcW w:w="346" w:type="pct"/>
            <w:tcBorders>
              <w:top w:val="nil"/>
              <w:left w:val="nil"/>
              <w:bottom w:val="single" w:color="000000" w:sz="4" w:space="0"/>
              <w:right w:val="single" w:color="000000" w:sz="4" w:space="0"/>
            </w:tcBorders>
            <w:vAlign w:val="center"/>
          </w:tcPr>
          <w:p w14:paraId="05871320">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380" w:type="pct"/>
            <w:tcBorders>
              <w:top w:val="nil"/>
              <w:left w:val="nil"/>
              <w:bottom w:val="single" w:color="000000" w:sz="4" w:space="0"/>
              <w:right w:val="single" w:color="000000" w:sz="4" w:space="0"/>
            </w:tcBorders>
            <w:vAlign w:val="center"/>
          </w:tcPr>
          <w:p w14:paraId="276C9988">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589" w:type="pct"/>
            <w:tcBorders>
              <w:top w:val="nil"/>
              <w:left w:val="nil"/>
              <w:bottom w:val="single" w:color="000000" w:sz="4" w:space="0"/>
              <w:right w:val="single" w:color="000000" w:sz="4" w:space="0"/>
            </w:tcBorders>
            <w:vAlign w:val="center"/>
          </w:tcPr>
          <w:p w14:paraId="26C97988">
            <w:pPr>
              <w:widowControl/>
              <w:jc w:val="center"/>
              <w:rPr>
                <w:rFonts w:ascii="宋体" w:hAnsi="宋体" w:eastAsia="宋体" w:cs="Times New Roman"/>
                <w:sz w:val="18"/>
                <w:szCs w:val="18"/>
              </w:rPr>
            </w:pPr>
            <w:r>
              <w:rPr>
                <w:rFonts w:hint="eastAsia" w:ascii="宋体" w:hAnsi="宋体" w:eastAsia="宋体" w:cs="宋体"/>
                <w:sz w:val="18"/>
                <w:szCs w:val="18"/>
              </w:rPr>
              <w:t>原因</w:t>
            </w:r>
          </w:p>
        </w:tc>
      </w:tr>
      <w:tr w14:paraId="619ACA66">
        <w:tblPrEx>
          <w:tblCellMar>
            <w:top w:w="0" w:type="dxa"/>
            <w:left w:w="108" w:type="dxa"/>
            <w:bottom w:w="0" w:type="dxa"/>
            <w:right w:w="108" w:type="dxa"/>
          </w:tblCellMar>
        </w:tblPrEx>
        <w:trPr>
          <w:trHeight w:val="345" w:hRule="atLeast"/>
        </w:trPr>
        <w:tc>
          <w:tcPr>
            <w:tcW w:w="311" w:type="pct"/>
            <w:vMerge w:val="continue"/>
            <w:tcBorders>
              <w:top w:val="nil"/>
              <w:left w:val="single" w:color="000000" w:sz="4" w:space="0"/>
              <w:bottom w:val="single" w:color="000000" w:sz="4" w:space="0"/>
              <w:right w:val="single" w:color="000000" w:sz="4" w:space="0"/>
            </w:tcBorders>
            <w:vAlign w:val="center"/>
          </w:tcPr>
          <w:p w14:paraId="1148A83F">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429351A5">
            <w:pPr>
              <w:widowControl/>
              <w:jc w:val="center"/>
              <w:rPr>
                <w:rFonts w:ascii="宋体" w:hAnsi="宋体" w:eastAsia="宋体" w:cs="Times New Roman"/>
                <w:sz w:val="18"/>
                <w:szCs w:val="18"/>
              </w:rPr>
            </w:pPr>
            <w:r>
              <w:rPr>
                <w:rFonts w:hint="eastAsia" w:ascii="宋体" w:hAnsi="宋体" w:eastAsia="宋体" w:cs="宋体"/>
                <w:sz w:val="18"/>
                <w:szCs w:val="18"/>
              </w:rPr>
              <w:t>总额</w:t>
            </w:r>
          </w:p>
        </w:tc>
        <w:tc>
          <w:tcPr>
            <w:tcW w:w="562" w:type="pct"/>
            <w:tcBorders>
              <w:top w:val="nil"/>
              <w:left w:val="nil"/>
              <w:bottom w:val="single" w:color="000000" w:sz="4" w:space="0"/>
              <w:right w:val="single" w:color="000000" w:sz="4" w:space="0"/>
            </w:tcBorders>
            <w:vAlign w:val="center"/>
          </w:tcPr>
          <w:p w14:paraId="5F29856A">
            <w:pPr>
              <w:widowControl/>
              <w:jc w:val="center"/>
              <w:rPr>
                <w:rFonts w:ascii="宋体" w:hAnsi="宋体" w:eastAsia="宋体" w:cs="宋体"/>
                <w:sz w:val="18"/>
                <w:szCs w:val="18"/>
              </w:rPr>
            </w:pPr>
            <w:r>
              <w:rPr>
                <w:rFonts w:ascii="宋体" w:hAnsi="宋体" w:eastAsia="宋体" w:cs="宋体"/>
                <w:sz w:val="18"/>
                <w:szCs w:val="18"/>
              </w:rPr>
              <w:t>30.00</w:t>
            </w:r>
          </w:p>
        </w:tc>
        <w:tc>
          <w:tcPr>
            <w:tcW w:w="730" w:type="pct"/>
            <w:tcBorders>
              <w:top w:val="nil"/>
              <w:left w:val="nil"/>
              <w:bottom w:val="single" w:color="000000" w:sz="4" w:space="0"/>
              <w:right w:val="single" w:color="000000" w:sz="4" w:space="0"/>
            </w:tcBorders>
            <w:vAlign w:val="center"/>
          </w:tcPr>
          <w:p w14:paraId="527606A8">
            <w:pPr>
              <w:widowControl/>
              <w:jc w:val="center"/>
              <w:rPr>
                <w:rFonts w:ascii="宋体" w:hAnsi="宋体" w:eastAsia="宋体" w:cs="宋体"/>
                <w:sz w:val="18"/>
                <w:szCs w:val="18"/>
              </w:rPr>
            </w:pPr>
            <w:r>
              <w:rPr>
                <w:rFonts w:ascii="宋体" w:hAnsi="宋体" w:eastAsia="宋体" w:cs="宋体"/>
                <w:sz w:val="18"/>
                <w:szCs w:val="18"/>
              </w:rPr>
              <w:t>7.91</w:t>
            </w:r>
          </w:p>
        </w:tc>
        <w:tc>
          <w:tcPr>
            <w:tcW w:w="958" w:type="pct"/>
            <w:gridSpan w:val="3"/>
            <w:tcBorders>
              <w:top w:val="single" w:color="000000" w:sz="4" w:space="0"/>
              <w:left w:val="nil"/>
              <w:bottom w:val="single" w:color="000000" w:sz="4" w:space="0"/>
              <w:right w:val="single" w:color="000000" w:sz="4" w:space="0"/>
            </w:tcBorders>
            <w:vAlign w:val="center"/>
          </w:tcPr>
          <w:p w14:paraId="2C154ECC">
            <w:pPr>
              <w:widowControl/>
              <w:jc w:val="center"/>
              <w:rPr>
                <w:rFonts w:ascii="宋体" w:hAnsi="宋体" w:eastAsia="宋体" w:cs="宋体"/>
                <w:sz w:val="18"/>
                <w:szCs w:val="18"/>
              </w:rPr>
            </w:pPr>
            <w:r>
              <w:rPr>
                <w:rFonts w:ascii="宋体" w:hAnsi="宋体" w:eastAsia="宋体" w:cs="宋体"/>
                <w:sz w:val="18"/>
                <w:szCs w:val="18"/>
              </w:rPr>
              <w:t>7.91</w:t>
            </w:r>
          </w:p>
        </w:tc>
        <w:tc>
          <w:tcPr>
            <w:tcW w:w="458" w:type="pct"/>
            <w:tcBorders>
              <w:top w:val="nil"/>
              <w:left w:val="nil"/>
              <w:bottom w:val="single" w:color="000000" w:sz="4" w:space="0"/>
              <w:right w:val="single" w:color="000000" w:sz="4" w:space="0"/>
            </w:tcBorders>
            <w:vAlign w:val="center"/>
          </w:tcPr>
          <w:p w14:paraId="41FA85DE">
            <w:pPr>
              <w:widowControl/>
              <w:jc w:val="center"/>
              <w:rPr>
                <w:rFonts w:ascii="宋体" w:hAnsi="宋体" w:eastAsia="宋体" w:cs="宋体"/>
                <w:sz w:val="18"/>
                <w:szCs w:val="18"/>
              </w:rPr>
            </w:pPr>
            <w:r>
              <w:rPr>
                <w:rFonts w:ascii="宋体" w:hAnsi="宋体" w:eastAsia="宋体" w:cs="宋体"/>
                <w:sz w:val="18"/>
                <w:szCs w:val="18"/>
              </w:rPr>
              <w:t>100.00%</w:t>
            </w:r>
          </w:p>
        </w:tc>
        <w:tc>
          <w:tcPr>
            <w:tcW w:w="346" w:type="pct"/>
            <w:tcBorders>
              <w:top w:val="nil"/>
              <w:left w:val="nil"/>
              <w:bottom w:val="single" w:color="000000" w:sz="4" w:space="0"/>
              <w:right w:val="single" w:color="000000" w:sz="4" w:space="0"/>
            </w:tcBorders>
            <w:vAlign w:val="center"/>
          </w:tcPr>
          <w:p w14:paraId="1F8DC5C5">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4A1AD444">
            <w:pPr>
              <w:widowControl/>
              <w:jc w:val="center"/>
              <w:rPr>
                <w:rFonts w:ascii="宋体" w:hAnsi="宋体" w:eastAsia="宋体" w:cs="宋体"/>
                <w:sz w:val="18"/>
                <w:szCs w:val="18"/>
              </w:rPr>
            </w:pPr>
            <w:r>
              <w:rPr>
                <w:rFonts w:ascii="宋体" w:hAnsi="宋体" w:eastAsia="宋体" w:cs="宋体"/>
                <w:sz w:val="18"/>
                <w:szCs w:val="18"/>
              </w:rPr>
              <w:t>5</w:t>
            </w:r>
          </w:p>
        </w:tc>
        <w:tc>
          <w:tcPr>
            <w:tcW w:w="589" w:type="pct"/>
            <w:vMerge w:val="restart"/>
            <w:tcBorders>
              <w:top w:val="nil"/>
              <w:left w:val="single" w:color="000000" w:sz="4" w:space="0"/>
              <w:bottom w:val="single" w:color="000000" w:sz="4" w:space="0"/>
              <w:right w:val="single" w:color="000000" w:sz="4" w:space="0"/>
            </w:tcBorders>
            <w:vAlign w:val="center"/>
          </w:tcPr>
          <w:p w14:paraId="4012B911">
            <w:pPr>
              <w:widowControl/>
              <w:jc w:val="left"/>
              <w:rPr>
                <w:rFonts w:ascii="Courier New" w:hAnsi="Courier New" w:eastAsia="宋体" w:cs="Times New Roman"/>
                <w:i/>
                <w:iCs/>
                <w:sz w:val="18"/>
                <w:szCs w:val="18"/>
              </w:rPr>
            </w:pPr>
            <w:r>
              <w:rPr>
                <w:rFonts w:hint="eastAsia" w:ascii="Courier New" w:hAnsi="Courier New" w:eastAsia="宋体" w:cs="宋体"/>
                <w:i/>
                <w:iCs/>
                <w:sz w:val="18"/>
                <w:szCs w:val="18"/>
              </w:rPr>
              <w:t>　</w:t>
            </w:r>
          </w:p>
        </w:tc>
      </w:tr>
      <w:tr w14:paraId="00FFF67F">
        <w:tblPrEx>
          <w:tblCellMar>
            <w:top w:w="0" w:type="dxa"/>
            <w:left w:w="108" w:type="dxa"/>
            <w:bottom w:w="0" w:type="dxa"/>
            <w:right w:w="108" w:type="dxa"/>
          </w:tblCellMar>
        </w:tblPrEx>
        <w:trPr>
          <w:trHeight w:val="390" w:hRule="atLeast"/>
        </w:trPr>
        <w:tc>
          <w:tcPr>
            <w:tcW w:w="311" w:type="pct"/>
            <w:vMerge w:val="continue"/>
            <w:tcBorders>
              <w:top w:val="nil"/>
              <w:left w:val="single" w:color="000000" w:sz="4" w:space="0"/>
              <w:bottom w:val="single" w:color="000000" w:sz="4" w:space="0"/>
              <w:right w:val="single" w:color="000000" w:sz="4" w:space="0"/>
            </w:tcBorders>
            <w:vAlign w:val="center"/>
          </w:tcPr>
          <w:p w14:paraId="0E067E4D">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05EBEEC1">
            <w:pPr>
              <w:widowControl/>
              <w:jc w:val="center"/>
              <w:rPr>
                <w:rFonts w:ascii="宋体" w:hAnsi="宋体" w:eastAsia="宋体" w:cs="Times New Roman"/>
                <w:sz w:val="18"/>
                <w:szCs w:val="18"/>
              </w:rPr>
            </w:pPr>
            <w:r>
              <w:rPr>
                <w:rFonts w:hint="eastAsia" w:ascii="宋体" w:hAnsi="宋体" w:eastAsia="宋体" w:cs="宋体"/>
                <w:sz w:val="18"/>
                <w:szCs w:val="18"/>
              </w:rPr>
              <w:t>其中：财政资金</w:t>
            </w:r>
          </w:p>
        </w:tc>
        <w:tc>
          <w:tcPr>
            <w:tcW w:w="562" w:type="pct"/>
            <w:tcBorders>
              <w:top w:val="nil"/>
              <w:left w:val="nil"/>
              <w:bottom w:val="single" w:color="000000" w:sz="4" w:space="0"/>
              <w:right w:val="single" w:color="000000" w:sz="4" w:space="0"/>
            </w:tcBorders>
            <w:vAlign w:val="center"/>
          </w:tcPr>
          <w:p w14:paraId="131923D6">
            <w:pPr>
              <w:widowControl/>
              <w:jc w:val="center"/>
              <w:rPr>
                <w:rFonts w:ascii="宋体" w:hAnsi="宋体" w:eastAsia="宋体" w:cs="宋体"/>
                <w:sz w:val="18"/>
                <w:szCs w:val="18"/>
              </w:rPr>
            </w:pPr>
            <w:r>
              <w:rPr>
                <w:rFonts w:ascii="宋体" w:hAnsi="宋体" w:eastAsia="宋体" w:cs="宋体"/>
                <w:sz w:val="18"/>
                <w:szCs w:val="18"/>
              </w:rPr>
              <w:t>30.00</w:t>
            </w:r>
          </w:p>
        </w:tc>
        <w:tc>
          <w:tcPr>
            <w:tcW w:w="730" w:type="pct"/>
            <w:tcBorders>
              <w:top w:val="nil"/>
              <w:left w:val="nil"/>
              <w:bottom w:val="single" w:color="000000" w:sz="4" w:space="0"/>
              <w:right w:val="single" w:color="000000" w:sz="4" w:space="0"/>
            </w:tcBorders>
            <w:vAlign w:val="center"/>
          </w:tcPr>
          <w:p w14:paraId="546DA7BD">
            <w:pPr>
              <w:widowControl/>
              <w:jc w:val="center"/>
              <w:rPr>
                <w:rFonts w:ascii="宋体" w:hAnsi="宋体" w:eastAsia="宋体" w:cs="宋体"/>
                <w:sz w:val="18"/>
                <w:szCs w:val="18"/>
              </w:rPr>
            </w:pPr>
            <w:r>
              <w:rPr>
                <w:rFonts w:ascii="宋体" w:hAnsi="宋体" w:eastAsia="宋体" w:cs="宋体"/>
                <w:sz w:val="18"/>
                <w:szCs w:val="18"/>
              </w:rPr>
              <w:t>7.91</w:t>
            </w:r>
          </w:p>
        </w:tc>
        <w:tc>
          <w:tcPr>
            <w:tcW w:w="958" w:type="pct"/>
            <w:gridSpan w:val="3"/>
            <w:tcBorders>
              <w:top w:val="single" w:color="000000" w:sz="4" w:space="0"/>
              <w:left w:val="nil"/>
              <w:bottom w:val="single" w:color="000000" w:sz="4" w:space="0"/>
              <w:right w:val="single" w:color="000000" w:sz="4" w:space="0"/>
            </w:tcBorders>
            <w:vAlign w:val="center"/>
          </w:tcPr>
          <w:p w14:paraId="386415A7">
            <w:pPr>
              <w:widowControl/>
              <w:jc w:val="center"/>
              <w:rPr>
                <w:rFonts w:ascii="宋体" w:hAnsi="宋体" w:eastAsia="宋体" w:cs="宋体"/>
                <w:sz w:val="18"/>
                <w:szCs w:val="18"/>
              </w:rPr>
            </w:pPr>
            <w:r>
              <w:rPr>
                <w:rFonts w:ascii="宋体" w:hAnsi="宋体" w:eastAsia="宋体" w:cs="宋体"/>
                <w:sz w:val="18"/>
                <w:szCs w:val="18"/>
              </w:rPr>
              <w:t>7.91</w:t>
            </w:r>
          </w:p>
        </w:tc>
        <w:tc>
          <w:tcPr>
            <w:tcW w:w="458" w:type="pct"/>
            <w:tcBorders>
              <w:top w:val="nil"/>
              <w:left w:val="nil"/>
              <w:bottom w:val="single" w:color="000000" w:sz="4" w:space="0"/>
              <w:right w:val="single" w:color="000000" w:sz="4" w:space="0"/>
            </w:tcBorders>
            <w:vAlign w:val="center"/>
          </w:tcPr>
          <w:p w14:paraId="3E82433D">
            <w:pPr>
              <w:widowControl/>
              <w:jc w:val="center"/>
              <w:rPr>
                <w:rFonts w:ascii="宋体" w:hAnsi="宋体" w:eastAsia="宋体" w:cs="宋体"/>
                <w:sz w:val="18"/>
                <w:szCs w:val="18"/>
              </w:rPr>
            </w:pPr>
            <w:r>
              <w:rPr>
                <w:rFonts w:ascii="宋体" w:hAnsi="宋体" w:eastAsia="宋体" w:cs="宋体"/>
                <w:sz w:val="18"/>
                <w:szCs w:val="18"/>
              </w:rPr>
              <w:t>100.00%</w:t>
            </w:r>
          </w:p>
        </w:tc>
        <w:tc>
          <w:tcPr>
            <w:tcW w:w="346" w:type="pct"/>
            <w:tcBorders>
              <w:top w:val="nil"/>
              <w:left w:val="nil"/>
              <w:bottom w:val="single" w:color="000000" w:sz="4" w:space="0"/>
              <w:right w:val="single" w:color="000000" w:sz="4" w:space="0"/>
            </w:tcBorders>
            <w:vAlign w:val="center"/>
          </w:tcPr>
          <w:p w14:paraId="541C9C8B">
            <w:pPr>
              <w:widowControl/>
              <w:jc w:val="center"/>
              <w:rPr>
                <w:rFonts w:ascii="宋体" w:hAnsi="宋体" w:eastAsia="宋体" w:cs="宋体"/>
                <w:sz w:val="18"/>
                <w:szCs w:val="18"/>
              </w:rPr>
            </w:pPr>
            <w:r>
              <w:rPr>
                <w:rFonts w:ascii="宋体" w:hAnsi="宋体" w:eastAsia="宋体" w:cs="宋体"/>
                <w:sz w:val="18"/>
                <w:szCs w:val="18"/>
              </w:rPr>
              <w:t>/</w:t>
            </w:r>
          </w:p>
        </w:tc>
        <w:tc>
          <w:tcPr>
            <w:tcW w:w="380" w:type="pct"/>
            <w:tcBorders>
              <w:top w:val="nil"/>
              <w:left w:val="nil"/>
              <w:bottom w:val="single" w:color="000000" w:sz="4" w:space="0"/>
              <w:right w:val="single" w:color="000000" w:sz="4" w:space="0"/>
            </w:tcBorders>
            <w:vAlign w:val="center"/>
          </w:tcPr>
          <w:p w14:paraId="4F7EAEA5">
            <w:pPr>
              <w:widowControl/>
              <w:jc w:val="center"/>
              <w:rPr>
                <w:rFonts w:ascii="宋体" w:hAnsi="宋体" w:eastAsia="宋体" w:cs="宋体"/>
                <w:sz w:val="18"/>
                <w:szCs w:val="18"/>
              </w:rPr>
            </w:pPr>
            <w:r>
              <w:rPr>
                <w:rFonts w:ascii="宋体" w:hAnsi="宋体" w:eastAsia="宋体" w:cs="宋体"/>
                <w:sz w:val="18"/>
                <w:szCs w:val="18"/>
              </w:rPr>
              <w:t>/</w:t>
            </w:r>
          </w:p>
        </w:tc>
        <w:tc>
          <w:tcPr>
            <w:tcW w:w="589" w:type="pct"/>
            <w:vMerge w:val="continue"/>
            <w:tcBorders>
              <w:top w:val="nil"/>
              <w:left w:val="single" w:color="000000" w:sz="4" w:space="0"/>
              <w:bottom w:val="single" w:color="000000" w:sz="4" w:space="0"/>
              <w:right w:val="single" w:color="000000" w:sz="4" w:space="0"/>
            </w:tcBorders>
            <w:vAlign w:val="center"/>
          </w:tcPr>
          <w:p w14:paraId="3FDB28B9">
            <w:pPr>
              <w:widowControl/>
              <w:jc w:val="left"/>
              <w:rPr>
                <w:rFonts w:ascii="Courier New" w:hAnsi="Courier New" w:eastAsia="宋体" w:cs="Times New Roman"/>
                <w:i/>
                <w:iCs/>
                <w:sz w:val="18"/>
                <w:szCs w:val="18"/>
              </w:rPr>
            </w:pPr>
          </w:p>
        </w:tc>
      </w:tr>
      <w:tr w14:paraId="4D200C37">
        <w:tblPrEx>
          <w:tblCellMar>
            <w:top w:w="0" w:type="dxa"/>
            <w:left w:w="108" w:type="dxa"/>
            <w:bottom w:w="0" w:type="dxa"/>
            <w:right w:w="108" w:type="dxa"/>
          </w:tblCellMar>
        </w:tblPrEx>
        <w:trPr>
          <w:trHeight w:val="409" w:hRule="atLeast"/>
        </w:trPr>
        <w:tc>
          <w:tcPr>
            <w:tcW w:w="311" w:type="pct"/>
            <w:vMerge w:val="continue"/>
            <w:tcBorders>
              <w:top w:val="nil"/>
              <w:left w:val="single" w:color="000000" w:sz="4" w:space="0"/>
              <w:bottom w:val="single" w:color="000000" w:sz="4" w:space="0"/>
              <w:right w:val="single" w:color="000000" w:sz="4" w:space="0"/>
            </w:tcBorders>
            <w:vAlign w:val="center"/>
          </w:tcPr>
          <w:p w14:paraId="041F2EC6">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43F11239">
            <w:pPr>
              <w:widowControl/>
              <w:jc w:val="center"/>
              <w:rPr>
                <w:rFonts w:ascii="宋体" w:hAnsi="宋体" w:eastAsia="宋体" w:cs="Times New Roman"/>
                <w:sz w:val="18"/>
                <w:szCs w:val="18"/>
              </w:rPr>
            </w:pPr>
            <w:r>
              <w:rPr>
                <w:rFonts w:hint="eastAsia" w:ascii="宋体" w:hAnsi="宋体" w:eastAsia="宋体" w:cs="宋体"/>
                <w:sz w:val="18"/>
                <w:szCs w:val="18"/>
              </w:rPr>
              <w:t>财政专户管理资金</w:t>
            </w:r>
          </w:p>
        </w:tc>
        <w:tc>
          <w:tcPr>
            <w:tcW w:w="562" w:type="pct"/>
            <w:tcBorders>
              <w:top w:val="nil"/>
              <w:left w:val="nil"/>
              <w:bottom w:val="single" w:color="000000" w:sz="4" w:space="0"/>
              <w:right w:val="single" w:color="000000" w:sz="4" w:space="0"/>
            </w:tcBorders>
            <w:vAlign w:val="center"/>
          </w:tcPr>
          <w:p w14:paraId="16F91EBD">
            <w:pPr>
              <w:widowControl/>
              <w:jc w:val="center"/>
              <w:rPr>
                <w:rFonts w:ascii="宋体" w:hAnsi="宋体" w:eastAsia="宋体" w:cs="宋体"/>
                <w:sz w:val="18"/>
                <w:szCs w:val="18"/>
              </w:rPr>
            </w:pPr>
            <w:r>
              <w:rPr>
                <w:rFonts w:ascii="宋体" w:hAnsi="宋体" w:eastAsia="宋体" w:cs="宋体"/>
                <w:sz w:val="18"/>
                <w:szCs w:val="18"/>
              </w:rPr>
              <w:t>0.00</w:t>
            </w:r>
          </w:p>
        </w:tc>
        <w:tc>
          <w:tcPr>
            <w:tcW w:w="730" w:type="pct"/>
            <w:tcBorders>
              <w:top w:val="nil"/>
              <w:left w:val="nil"/>
              <w:bottom w:val="single" w:color="000000" w:sz="4" w:space="0"/>
              <w:right w:val="single" w:color="000000" w:sz="4" w:space="0"/>
            </w:tcBorders>
            <w:vAlign w:val="center"/>
          </w:tcPr>
          <w:p w14:paraId="1535E0BF">
            <w:pPr>
              <w:widowControl/>
              <w:jc w:val="center"/>
              <w:rPr>
                <w:rFonts w:ascii="宋体" w:hAnsi="宋体" w:eastAsia="宋体" w:cs="宋体"/>
                <w:sz w:val="18"/>
                <w:szCs w:val="18"/>
              </w:rPr>
            </w:pPr>
            <w:r>
              <w:rPr>
                <w:rFonts w:ascii="宋体" w:hAnsi="宋体" w:eastAsia="宋体" w:cs="宋体"/>
                <w:sz w:val="18"/>
                <w:szCs w:val="18"/>
              </w:rPr>
              <w:t>0.00</w:t>
            </w:r>
          </w:p>
        </w:tc>
        <w:tc>
          <w:tcPr>
            <w:tcW w:w="958" w:type="pct"/>
            <w:gridSpan w:val="3"/>
            <w:tcBorders>
              <w:top w:val="single" w:color="000000" w:sz="4" w:space="0"/>
              <w:left w:val="nil"/>
              <w:bottom w:val="single" w:color="000000" w:sz="4" w:space="0"/>
              <w:right w:val="single" w:color="000000" w:sz="4" w:space="0"/>
            </w:tcBorders>
            <w:vAlign w:val="center"/>
          </w:tcPr>
          <w:p w14:paraId="11EE699D">
            <w:pPr>
              <w:widowControl/>
              <w:jc w:val="center"/>
              <w:rPr>
                <w:rFonts w:ascii="宋体" w:hAnsi="宋体" w:eastAsia="宋体" w:cs="宋体"/>
                <w:sz w:val="18"/>
                <w:szCs w:val="18"/>
              </w:rPr>
            </w:pPr>
            <w:r>
              <w:rPr>
                <w:rFonts w:ascii="宋体" w:hAnsi="宋体" w:eastAsia="宋体" w:cs="宋体"/>
                <w:sz w:val="18"/>
                <w:szCs w:val="18"/>
              </w:rPr>
              <w:t>0.00</w:t>
            </w:r>
          </w:p>
        </w:tc>
        <w:tc>
          <w:tcPr>
            <w:tcW w:w="458" w:type="pct"/>
            <w:tcBorders>
              <w:top w:val="nil"/>
              <w:left w:val="nil"/>
              <w:bottom w:val="single" w:color="000000" w:sz="4" w:space="0"/>
              <w:right w:val="single" w:color="000000" w:sz="4" w:space="0"/>
            </w:tcBorders>
            <w:vAlign w:val="center"/>
          </w:tcPr>
          <w:p w14:paraId="77298E91">
            <w:pPr>
              <w:widowControl/>
              <w:jc w:val="center"/>
              <w:rPr>
                <w:rFonts w:ascii="宋体" w:hAnsi="宋体" w:eastAsia="宋体" w:cs="宋体"/>
                <w:sz w:val="18"/>
                <w:szCs w:val="18"/>
              </w:rPr>
            </w:pPr>
            <w:r>
              <w:rPr>
                <w:rFonts w:ascii="宋体" w:hAnsi="宋体" w:eastAsia="宋体" w:cs="宋体"/>
                <w:sz w:val="18"/>
                <w:szCs w:val="18"/>
              </w:rPr>
              <w:t>0.00%</w:t>
            </w:r>
          </w:p>
        </w:tc>
        <w:tc>
          <w:tcPr>
            <w:tcW w:w="346" w:type="pct"/>
            <w:tcBorders>
              <w:top w:val="nil"/>
              <w:left w:val="nil"/>
              <w:bottom w:val="single" w:color="000000" w:sz="4" w:space="0"/>
              <w:right w:val="single" w:color="000000" w:sz="4" w:space="0"/>
            </w:tcBorders>
            <w:vAlign w:val="center"/>
          </w:tcPr>
          <w:p w14:paraId="0156A8A2">
            <w:pPr>
              <w:widowControl/>
              <w:jc w:val="center"/>
              <w:rPr>
                <w:rFonts w:ascii="宋体" w:hAnsi="宋体" w:eastAsia="宋体" w:cs="宋体"/>
                <w:sz w:val="18"/>
                <w:szCs w:val="18"/>
              </w:rPr>
            </w:pPr>
            <w:r>
              <w:rPr>
                <w:rFonts w:ascii="宋体" w:hAnsi="宋体" w:eastAsia="宋体" w:cs="宋体"/>
                <w:sz w:val="18"/>
                <w:szCs w:val="18"/>
              </w:rPr>
              <w:t>/</w:t>
            </w:r>
          </w:p>
        </w:tc>
        <w:tc>
          <w:tcPr>
            <w:tcW w:w="380" w:type="pct"/>
            <w:tcBorders>
              <w:top w:val="nil"/>
              <w:left w:val="nil"/>
              <w:bottom w:val="single" w:color="000000" w:sz="4" w:space="0"/>
              <w:right w:val="single" w:color="000000" w:sz="4" w:space="0"/>
            </w:tcBorders>
            <w:vAlign w:val="center"/>
          </w:tcPr>
          <w:p w14:paraId="4840A51A">
            <w:pPr>
              <w:widowControl/>
              <w:jc w:val="center"/>
              <w:rPr>
                <w:rFonts w:ascii="宋体" w:hAnsi="宋体" w:eastAsia="宋体" w:cs="宋体"/>
                <w:sz w:val="18"/>
                <w:szCs w:val="18"/>
              </w:rPr>
            </w:pPr>
            <w:r>
              <w:rPr>
                <w:rFonts w:ascii="宋体" w:hAnsi="宋体" w:eastAsia="宋体" w:cs="宋体"/>
                <w:sz w:val="18"/>
                <w:szCs w:val="18"/>
              </w:rPr>
              <w:t>/</w:t>
            </w:r>
          </w:p>
        </w:tc>
        <w:tc>
          <w:tcPr>
            <w:tcW w:w="589" w:type="pct"/>
            <w:vMerge w:val="continue"/>
            <w:tcBorders>
              <w:top w:val="nil"/>
              <w:left w:val="single" w:color="000000" w:sz="4" w:space="0"/>
              <w:bottom w:val="single" w:color="000000" w:sz="4" w:space="0"/>
              <w:right w:val="single" w:color="000000" w:sz="4" w:space="0"/>
            </w:tcBorders>
            <w:vAlign w:val="center"/>
          </w:tcPr>
          <w:p w14:paraId="00CE2AB0">
            <w:pPr>
              <w:widowControl/>
              <w:jc w:val="left"/>
              <w:rPr>
                <w:rFonts w:ascii="Courier New" w:hAnsi="Courier New" w:eastAsia="宋体" w:cs="Times New Roman"/>
                <w:i/>
                <w:iCs/>
                <w:sz w:val="18"/>
                <w:szCs w:val="18"/>
              </w:rPr>
            </w:pPr>
          </w:p>
        </w:tc>
      </w:tr>
      <w:tr w14:paraId="7DD6E409">
        <w:tblPrEx>
          <w:tblCellMar>
            <w:top w:w="0" w:type="dxa"/>
            <w:left w:w="108" w:type="dxa"/>
            <w:bottom w:w="0" w:type="dxa"/>
            <w:right w:w="108" w:type="dxa"/>
          </w:tblCellMar>
        </w:tblPrEx>
        <w:trPr>
          <w:trHeight w:val="360" w:hRule="atLeast"/>
        </w:trPr>
        <w:tc>
          <w:tcPr>
            <w:tcW w:w="311" w:type="pct"/>
            <w:vMerge w:val="continue"/>
            <w:tcBorders>
              <w:top w:val="nil"/>
              <w:left w:val="single" w:color="000000" w:sz="4" w:space="0"/>
              <w:bottom w:val="single" w:color="000000" w:sz="4" w:space="0"/>
              <w:right w:val="single" w:color="000000" w:sz="4" w:space="0"/>
            </w:tcBorders>
            <w:vAlign w:val="center"/>
          </w:tcPr>
          <w:p w14:paraId="136698C5">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3B70A5C8">
            <w:pPr>
              <w:widowControl/>
              <w:jc w:val="center"/>
              <w:rPr>
                <w:rFonts w:ascii="宋体" w:hAnsi="宋体" w:eastAsia="宋体" w:cs="Times New Roman"/>
                <w:sz w:val="18"/>
                <w:szCs w:val="18"/>
              </w:rPr>
            </w:pPr>
            <w:r>
              <w:rPr>
                <w:rFonts w:hint="eastAsia" w:ascii="宋体" w:hAnsi="宋体" w:eastAsia="宋体" w:cs="宋体"/>
                <w:sz w:val="18"/>
                <w:szCs w:val="18"/>
              </w:rPr>
              <w:t>单位资金</w:t>
            </w:r>
          </w:p>
        </w:tc>
        <w:tc>
          <w:tcPr>
            <w:tcW w:w="562" w:type="pct"/>
            <w:tcBorders>
              <w:top w:val="nil"/>
              <w:left w:val="nil"/>
              <w:bottom w:val="single" w:color="000000" w:sz="4" w:space="0"/>
              <w:right w:val="single" w:color="000000" w:sz="4" w:space="0"/>
            </w:tcBorders>
            <w:vAlign w:val="center"/>
          </w:tcPr>
          <w:p w14:paraId="52B52B80">
            <w:pPr>
              <w:widowControl/>
              <w:jc w:val="center"/>
              <w:rPr>
                <w:rFonts w:ascii="宋体" w:hAnsi="宋体" w:eastAsia="宋体" w:cs="宋体"/>
                <w:sz w:val="18"/>
                <w:szCs w:val="18"/>
              </w:rPr>
            </w:pPr>
            <w:r>
              <w:rPr>
                <w:rFonts w:ascii="宋体" w:hAnsi="宋体" w:eastAsia="宋体" w:cs="宋体"/>
                <w:sz w:val="18"/>
                <w:szCs w:val="18"/>
              </w:rPr>
              <w:t>0.00</w:t>
            </w:r>
          </w:p>
        </w:tc>
        <w:tc>
          <w:tcPr>
            <w:tcW w:w="730" w:type="pct"/>
            <w:tcBorders>
              <w:top w:val="nil"/>
              <w:left w:val="nil"/>
              <w:bottom w:val="single" w:color="000000" w:sz="4" w:space="0"/>
              <w:right w:val="single" w:color="000000" w:sz="4" w:space="0"/>
            </w:tcBorders>
            <w:vAlign w:val="center"/>
          </w:tcPr>
          <w:p w14:paraId="684C6337">
            <w:pPr>
              <w:widowControl/>
              <w:jc w:val="center"/>
              <w:rPr>
                <w:rFonts w:ascii="宋体" w:hAnsi="宋体" w:eastAsia="宋体" w:cs="宋体"/>
                <w:sz w:val="18"/>
                <w:szCs w:val="18"/>
              </w:rPr>
            </w:pPr>
            <w:r>
              <w:rPr>
                <w:rFonts w:ascii="宋体" w:hAnsi="宋体" w:eastAsia="宋体" w:cs="宋体"/>
                <w:sz w:val="18"/>
                <w:szCs w:val="18"/>
              </w:rPr>
              <w:t>0.00</w:t>
            </w:r>
          </w:p>
        </w:tc>
        <w:tc>
          <w:tcPr>
            <w:tcW w:w="958" w:type="pct"/>
            <w:gridSpan w:val="3"/>
            <w:tcBorders>
              <w:top w:val="single" w:color="000000" w:sz="4" w:space="0"/>
              <w:left w:val="nil"/>
              <w:bottom w:val="single" w:color="000000" w:sz="4" w:space="0"/>
              <w:right w:val="single" w:color="000000" w:sz="4" w:space="0"/>
            </w:tcBorders>
            <w:vAlign w:val="center"/>
          </w:tcPr>
          <w:p w14:paraId="3A5D50C5">
            <w:pPr>
              <w:widowControl/>
              <w:jc w:val="center"/>
              <w:rPr>
                <w:rFonts w:ascii="宋体" w:hAnsi="宋体" w:eastAsia="宋体" w:cs="宋体"/>
                <w:sz w:val="18"/>
                <w:szCs w:val="18"/>
              </w:rPr>
            </w:pPr>
            <w:r>
              <w:rPr>
                <w:rFonts w:ascii="宋体" w:hAnsi="宋体" w:eastAsia="宋体" w:cs="宋体"/>
                <w:sz w:val="18"/>
                <w:szCs w:val="18"/>
              </w:rPr>
              <w:t>0.00</w:t>
            </w:r>
          </w:p>
        </w:tc>
        <w:tc>
          <w:tcPr>
            <w:tcW w:w="458" w:type="pct"/>
            <w:tcBorders>
              <w:top w:val="nil"/>
              <w:left w:val="nil"/>
              <w:bottom w:val="single" w:color="000000" w:sz="4" w:space="0"/>
              <w:right w:val="single" w:color="000000" w:sz="4" w:space="0"/>
            </w:tcBorders>
            <w:vAlign w:val="center"/>
          </w:tcPr>
          <w:p w14:paraId="3B561AE6">
            <w:pPr>
              <w:widowControl/>
              <w:jc w:val="center"/>
              <w:rPr>
                <w:rFonts w:ascii="宋体" w:hAnsi="宋体" w:eastAsia="宋体" w:cs="宋体"/>
                <w:sz w:val="18"/>
                <w:szCs w:val="18"/>
              </w:rPr>
            </w:pPr>
            <w:r>
              <w:rPr>
                <w:rFonts w:ascii="宋体" w:hAnsi="宋体" w:eastAsia="宋体" w:cs="宋体"/>
                <w:sz w:val="18"/>
                <w:szCs w:val="18"/>
              </w:rPr>
              <w:t>0.00%</w:t>
            </w:r>
          </w:p>
        </w:tc>
        <w:tc>
          <w:tcPr>
            <w:tcW w:w="346" w:type="pct"/>
            <w:tcBorders>
              <w:top w:val="nil"/>
              <w:left w:val="nil"/>
              <w:bottom w:val="single" w:color="000000" w:sz="4" w:space="0"/>
              <w:right w:val="single" w:color="000000" w:sz="4" w:space="0"/>
            </w:tcBorders>
            <w:vAlign w:val="center"/>
          </w:tcPr>
          <w:p w14:paraId="5860984D">
            <w:pPr>
              <w:widowControl/>
              <w:jc w:val="center"/>
              <w:rPr>
                <w:rFonts w:ascii="宋体" w:hAnsi="宋体" w:eastAsia="宋体" w:cs="宋体"/>
                <w:sz w:val="18"/>
                <w:szCs w:val="18"/>
              </w:rPr>
            </w:pPr>
            <w:r>
              <w:rPr>
                <w:rFonts w:ascii="宋体" w:hAnsi="宋体" w:eastAsia="宋体" w:cs="宋体"/>
                <w:sz w:val="18"/>
                <w:szCs w:val="18"/>
              </w:rPr>
              <w:t>/</w:t>
            </w:r>
          </w:p>
        </w:tc>
        <w:tc>
          <w:tcPr>
            <w:tcW w:w="380" w:type="pct"/>
            <w:tcBorders>
              <w:top w:val="nil"/>
              <w:left w:val="nil"/>
              <w:bottom w:val="single" w:color="000000" w:sz="4" w:space="0"/>
              <w:right w:val="single" w:color="000000" w:sz="4" w:space="0"/>
            </w:tcBorders>
            <w:vAlign w:val="center"/>
          </w:tcPr>
          <w:p w14:paraId="5D2BB11C">
            <w:pPr>
              <w:widowControl/>
              <w:jc w:val="center"/>
              <w:rPr>
                <w:rFonts w:ascii="宋体" w:hAnsi="宋体" w:eastAsia="宋体" w:cs="宋体"/>
                <w:sz w:val="18"/>
                <w:szCs w:val="18"/>
              </w:rPr>
            </w:pPr>
            <w:r>
              <w:rPr>
                <w:rFonts w:ascii="宋体" w:hAnsi="宋体" w:eastAsia="宋体" w:cs="宋体"/>
                <w:sz w:val="18"/>
                <w:szCs w:val="18"/>
              </w:rPr>
              <w:t>/</w:t>
            </w:r>
          </w:p>
        </w:tc>
        <w:tc>
          <w:tcPr>
            <w:tcW w:w="589" w:type="pct"/>
            <w:vMerge w:val="continue"/>
            <w:tcBorders>
              <w:top w:val="nil"/>
              <w:left w:val="single" w:color="000000" w:sz="4" w:space="0"/>
              <w:bottom w:val="single" w:color="000000" w:sz="4" w:space="0"/>
              <w:right w:val="single" w:color="000000" w:sz="4" w:space="0"/>
            </w:tcBorders>
            <w:vAlign w:val="center"/>
          </w:tcPr>
          <w:p w14:paraId="492590E1">
            <w:pPr>
              <w:widowControl/>
              <w:jc w:val="left"/>
              <w:rPr>
                <w:rFonts w:ascii="Courier New" w:hAnsi="Courier New" w:eastAsia="宋体" w:cs="Times New Roman"/>
                <w:i/>
                <w:iCs/>
                <w:sz w:val="18"/>
                <w:szCs w:val="18"/>
              </w:rPr>
            </w:pPr>
          </w:p>
        </w:tc>
      </w:tr>
      <w:tr w14:paraId="6B7DC25D">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5031340F">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37CF134D">
            <w:pPr>
              <w:widowControl/>
              <w:jc w:val="center"/>
              <w:rPr>
                <w:rFonts w:ascii="宋体" w:hAnsi="宋体" w:eastAsia="宋体" w:cs="Times New Roman"/>
                <w:sz w:val="18"/>
                <w:szCs w:val="18"/>
              </w:rPr>
            </w:pPr>
            <w:r>
              <w:rPr>
                <w:rFonts w:hint="eastAsia" w:ascii="宋体" w:hAnsi="宋体" w:eastAsia="宋体" w:cs="宋体"/>
                <w:sz w:val="18"/>
                <w:szCs w:val="18"/>
              </w:rPr>
              <w:t>其他资金</w:t>
            </w:r>
          </w:p>
        </w:tc>
        <w:tc>
          <w:tcPr>
            <w:tcW w:w="562" w:type="pct"/>
            <w:tcBorders>
              <w:top w:val="nil"/>
              <w:left w:val="nil"/>
              <w:bottom w:val="single" w:color="000000" w:sz="4" w:space="0"/>
              <w:right w:val="single" w:color="000000" w:sz="4" w:space="0"/>
            </w:tcBorders>
            <w:vAlign w:val="center"/>
          </w:tcPr>
          <w:p w14:paraId="61A40C1B">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730" w:type="pct"/>
            <w:tcBorders>
              <w:top w:val="nil"/>
              <w:left w:val="nil"/>
              <w:bottom w:val="single" w:color="000000" w:sz="4" w:space="0"/>
              <w:right w:val="single" w:color="000000" w:sz="4" w:space="0"/>
            </w:tcBorders>
            <w:vAlign w:val="center"/>
          </w:tcPr>
          <w:p w14:paraId="08FAA90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958" w:type="pct"/>
            <w:gridSpan w:val="3"/>
            <w:tcBorders>
              <w:top w:val="single" w:color="000000" w:sz="4" w:space="0"/>
              <w:left w:val="nil"/>
              <w:bottom w:val="single" w:color="000000" w:sz="4" w:space="0"/>
              <w:right w:val="single" w:color="000000" w:sz="4" w:space="0"/>
            </w:tcBorders>
            <w:vAlign w:val="center"/>
          </w:tcPr>
          <w:p w14:paraId="46A0F0D9">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458" w:type="pct"/>
            <w:tcBorders>
              <w:top w:val="nil"/>
              <w:left w:val="nil"/>
              <w:bottom w:val="single" w:color="000000" w:sz="4" w:space="0"/>
              <w:right w:val="single" w:color="000000" w:sz="4" w:space="0"/>
            </w:tcBorders>
            <w:vAlign w:val="center"/>
          </w:tcPr>
          <w:p w14:paraId="281027BA">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2458254B">
            <w:pPr>
              <w:widowControl/>
              <w:jc w:val="center"/>
              <w:rPr>
                <w:rFonts w:ascii="宋体" w:hAnsi="宋体" w:eastAsia="宋体" w:cs="宋体"/>
                <w:sz w:val="18"/>
                <w:szCs w:val="18"/>
              </w:rPr>
            </w:pPr>
            <w:r>
              <w:rPr>
                <w:rFonts w:ascii="宋体" w:hAnsi="宋体" w:eastAsia="宋体" w:cs="宋体"/>
                <w:sz w:val="18"/>
                <w:szCs w:val="18"/>
              </w:rPr>
              <w:t>/</w:t>
            </w:r>
          </w:p>
        </w:tc>
        <w:tc>
          <w:tcPr>
            <w:tcW w:w="380" w:type="pct"/>
            <w:tcBorders>
              <w:top w:val="nil"/>
              <w:left w:val="nil"/>
              <w:bottom w:val="single" w:color="000000" w:sz="4" w:space="0"/>
              <w:right w:val="single" w:color="000000" w:sz="4" w:space="0"/>
            </w:tcBorders>
            <w:vAlign w:val="center"/>
          </w:tcPr>
          <w:p w14:paraId="1E11564C">
            <w:pPr>
              <w:widowControl/>
              <w:jc w:val="center"/>
              <w:rPr>
                <w:rFonts w:ascii="宋体" w:hAnsi="宋体" w:eastAsia="宋体" w:cs="宋体"/>
                <w:sz w:val="18"/>
                <w:szCs w:val="18"/>
              </w:rPr>
            </w:pPr>
            <w:r>
              <w:rPr>
                <w:rFonts w:ascii="宋体" w:hAnsi="宋体" w:eastAsia="宋体" w:cs="宋体"/>
                <w:sz w:val="18"/>
                <w:szCs w:val="18"/>
              </w:rPr>
              <w:t>/</w:t>
            </w:r>
          </w:p>
        </w:tc>
        <w:tc>
          <w:tcPr>
            <w:tcW w:w="589" w:type="pct"/>
            <w:vMerge w:val="continue"/>
            <w:tcBorders>
              <w:top w:val="nil"/>
              <w:left w:val="single" w:color="000000" w:sz="4" w:space="0"/>
              <w:bottom w:val="single" w:color="000000" w:sz="4" w:space="0"/>
              <w:right w:val="single" w:color="000000" w:sz="4" w:space="0"/>
            </w:tcBorders>
            <w:vAlign w:val="center"/>
          </w:tcPr>
          <w:p w14:paraId="2AEE726B">
            <w:pPr>
              <w:widowControl/>
              <w:jc w:val="left"/>
              <w:rPr>
                <w:rFonts w:ascii="Courier New" w:hAnsi="Courier New" w:eastAsia="宋体" w:cs="Times New Roman"/>
                <w:i/>
                <w:iCs/>
                <w:sz w:val="18"/>
                <w:szCs w:val="18"/>
              </w:rPr>
            </w:pPr>
          </w:p>
        </w:tc>
      </w:tr>
      <w:tr w14:paraId="0928B999">
        <w:tblPrEx>
          <w:tblCellMar>
            <w:top w:w="0" w:type="dxa"/>
            <w:left w:w="108" w:type="dxa"/>
            <w:bottom w:w="0" w:type="dxa"/>
            <w:right w:w="108" w:type="dxa"/>
          </w:tblCellMar>
        </w:tblPrEx>
        <w:trPr>
          <w:trHeight w:val="454" w:hRule="atLeast"/>
        </w:trPr>
        <w:tc>
          <w:tcPr>
            <w:tcW w:w="311" w:type="pct"/>
            <w:vMerge w:val="restart"/>
            <w:tcBorders>
              <w:top w:val="nil"/>
              <w:left w:val="single" w:color="000000" w:sz="4" w:space="0"/>
              <w:bottom w:val="single" w:color="000000" w:sz="4" w:space="0"/>
              <w:right w:val="single" w:color="000000" w:sz="4" w:space="0"/>
            </w:tcBorders>
            <w:vAlign w:val="center"/>
          </w:tcPr>
          <w:p w14:paraId="7C7EF505">
            <w:pPr>
              <w:widowControl/>
              <w:jc w:val="center"/>
              <w:rPr>
                <w:rFonts w:ascii="宋体" w:hAnsi="宋体" w:eastAsia="宋体" w:cs="Times New Roman"/>
                <w:sz w:val="18"/>
                <w:szCs w:val="18"/>
              </w:rPr>
            </w:pPr>
            <w:r>
              <w:rPr>
                <w:rFonts w:hint="eastAsia" w:ascii="宋体" w:hAnsi="宋体" w:eastAsia="宋体" w:cs="宋体"/>
                <w:sz w:val="18"/>
                <w:szCs w:val="18"/>
              </w:rPr>
              <w:t>绩效指标（</w:t>
            </w:r>
            <w:r>
              <w:rPr>
                <w:rFonts w:ascii="宋体" w:hAnsi="宋体" w:eastAsia="宋体" w:cs="宋体"/>
                <w:sz w:val="18"/>
                <w:szCs w:val="18"/>
              </w:rPr>
              <w:t>90</w:t>
            </w:r>
            <w:r>
              <w:rPr>
                <w:rFonts w:hint="eastAsia" w:ascii="宋体" w:hAnsi="宋体" w:eastAsia="宋体" w:cs="宋体"/>
                <w:sz w:val="18"/>
                <w:szCs w:val="18"/>
              </w:rPr>
              <w:t>分）</w:t>
            </w:r>
          </w:p>
        </w:tc>
        <w:tc>
          <w:tcPr>
            <w:tcW w:w="662" w:type="pct"/>
            <w:tcBorders>
              <w:top w:val="nil"/>
              <w:left w:val="nil"/>
              <w:bottom w:val="single" w:color="000000" w:sz="4" w:space="0"/>
              <w:right w:val="single" w:color="000000" w:sz="4" w:space="0"/>
            </w:tcBorders>
            <w:vAlign w:val="center"/>
          </w:tcPr>
          <w:p w14:paraId="16AEDEBC">
            <w:pPr>
              <w:widowControl/>
              <w:jc w:val="center"/>
              <w:rPr>
                <w:rFonts w:ascii="宋体" w:hAnsi="宋体" w:eastAsia="宋体" w:cs="Times New Roman"/>
                <w:sz w:val="18"/>
                <w:szCs w:val="18"/>
              </w:rPr>
            </w:pPr>
            <w:r>
              <w:rPr>
                <w:rFonts w:hint="eastAsia" w:ascii="宋体" w:hAnsi="宋体" w:eastAsia="宋体" w:cs="宋体"/>
                <w:sz w:val="18"/>
                <w:szCs w:val="18"/>
              </w:rPr>
              <w:t>一级指标</w:t>
            </w:r>
          </w:p>
        </w:tc>
        <w:tc>
          <w:tcPr>
            <w:tcW w:w="562" w:type="pct"/>
            <w:tcBorders>
              <w:top w:val="nil"/>
              <w:left w:val="nil"/>
              <w:bottom w:val="single" w:color="000000" w:sz="4" w:space="0"/>
              <w:right w:val="single" w:color="000000" w:sz="4" w:space="0"/>
            </w:tcBorders>
            <w:vAlign w:val="center"/>
          </w:tcPr>
          <w:p w14:paraId="50ACEDDB">
            <w:pPr>
              <w:widowControl/>
              <w:jc w:val="center"/>
              <w:rPr>
                <w:rFonts w:ascii="宋体" w:hAnsi="宋体" w:eastAsia="宋体" w:cs="Times New Roman"/>
                <w:sz w:val="18"/>
                <w:szCs w:val="18"/>
              </w:rPr>
            </w:pPr>
            <w:r>
              <w:rPr>
                <w:rFonts w:hint="eastAsia" w:ascii="宋体" w:hAnsi="宋体" w:eastAsia="宋体" w:cs="宋体"/>
                <w:sz w:val="18"/>
                <w:szCs w:val="18"/>
              </w:rPr>
              <w:t>二级指标</w:t>
            </w:r>
          </w:p>
        </w:tc>
        <w:tc>
          <w:tcPr>
            <w:tcW w:w="730" w:type="pct"/>
            <w:tcBorders>
              <w:top w:val="nil"/>
              <w:left w:val="nil"/>
              <w:bottom w:val="single" w:color="000000" w:sz="4" w:space="0"/>
              <w:right w:val="single" w:color="000000" w:sz="4" w:space="0"/>
            </w:tcBorders>
            <w:vAlign w:val="center"/>
          </w:tcPr>
          <w:p w14:paraId="22EA12F5">
            <w:pPr>
              <w:widowControl/>
              <w:jc w:val="center"/>
              <w:rPr>
                <w:rFonts w:ascii="宋体" w:hAnsi="宋体" w:eastAsia="宋体" w:cs="Times New Roman"/>
                <w:sz w:val="18"/>
                <w:szCs w:val="18"/>
              </w:rPr>
            </w:pPr>
            <w:r>
              <w:rPr>
                <w:rFonts w:hint="eastAsia" w:ascii="宋体" w:hAnsi="宋体" w:eastAsia="宋体" w:cs="宋体"/>
                <w:sz w:val="18"/>
                <w:szCs w:val="18"/>
              </w:rPr>
              <w:t>三级指标</w:t>
            </w:r>
          </w:p>
        </w:tc>
        <w:tc>
          <w:tcPr>
            <w:tcW w:w="215" w:type="pct"/>
            <w:tcBorders>
              <w:top w:val="nil"/>
              <w:left w:val="nil"/>
              <w:bottom w:val="single" w:color="000000" w:sz="4" w:space="0"/>
              <w:right w:val="single" w:color="000000" w:sz="4" w:space="0"/>
            </w:tcBorders>
            <w:vAlign w:val="center"/>
          </w:tcPr>
          <w:p w14:paraId="12EA00CC">
            <w:pPr>
              <w:widowControl/>
              <w:jc w:val="center"/>
              <w:rPr>
                <w:rFonts w:ascii="宋体" w:hAnsi="宋体" w:eastAsia="宋体" w:cs="Times New Roman"/>
                <w:sz w:val="18"/>
                <w:szCs w:val="18"/>
              </w:rPr>
            </w:pPr>
            <w:r>
              <w:rPr>
                <w:rFonts w:hint="eastAsia" w:ascii="宋体" w:hAnsi="宋体" w:eastAsia="宋体" w:cs="宋体"/>
                <w:sz w:val="18"/>
                <w:szCs w:val="18"/>
              </w:rPr>
              <w:t>指标性质</w:t>
            </w:r>
          </w:p>
        </w:tc>
        <w:tc>
          <w:tcPr>
            <w:tcW w:w="430" w:type="pct"/>
            <w:tcBorders>
              <w:top w:val="nil"/>
              <w:left w:val="nil"/>
              <w:bottom w:val="single" w:color="000000" w:sz="4" w:space="0"/>
              <w:right w:val="single" w:color="000000" w:sz="4" w:space="0"/>
            </w:tcBorders>
            <w:vAlign w:val="center"/>
          </w:tcPr>
          <w:p w14:paraId="5BF50F15">
            <w:pPr>
              <w:widowControl/>
              <w:jc w:val="center"/>
              <w:rPr>
                <w:rFonts w:ascii="宋体" w:hAnsi="宋体" w:eastAsia="宋体" w:cs="Times New Roman"/>
                <w:sz w:val="18"/>
                <w:szCs w:val="18"/>
              </w:rPr>
            </w:pPr>
            <w:r>
              <w:rPr>
                <w:rFonts w:hint="eastAsia" w:ascii="宋体" w:hAnsi="宋体" w:eastAsia="宋体" w:cs="宋体"/>
                <w:sz w:val="18"/>
                <w:szCs w:val="18"/>
              </w:rPr>
              <w:t>指标值</w:t>
            </w:r>
          </w:p>
        </w:tc>
        <w:tc>
          <w:tcPr>
            <w:tcW w:w="312" w:type="pct"/>
            <w:tcBorders>
              <w:top w:val="nil"/>
              <w:left w:val="nil"/>
              <w:bottom w:val="single" w:color="000000" w:sz="4" w:space="0"/>
              <w:right w:val="single" w:color="000000" w:sz="4" w:space="0"/>
            </w:tcBorders>
            <w:vAlign w:val="center"/>
          </w:tcPr>
          <w:p w14:paraId="66B8C2AD">
            <w:pPr>
              <w:widowControl/>
              <w:jc w:val="center"/>
              <w:rPr>
                <w:rFonts w:ascii="宋体" w:hAnsi="宋体" w:eastAsia="宋体" w:cs="Times New Roman"/>
                <w:sz w:val="18"/>
                <w:szCs w:val="18"/>
              </w:rPr>
            </w:pPr>
            <w:r>
              <w:rPr>
                <w:rFonts w:hint="eastAsia" w:ascii="宋体" w:hAnsi="宋体" w:eastAsia="宋体" w:cs="宋体"/>
                <w:sz w:val="18"/>
                <w:szCs w:val="18"/>
              </w:rPr>
              <w:t>度量单位</w:t>
            </w:r>
          </w:p>
        </w:tc>
        <w:tc>
          <w:tcPr>
            <w:tcW w:w="458" w:type="pct"/>
            <w:tcBorders>
              <w:top w:val="nil"/>
              <w:left w:val="nil"/>
              <w:bottom w:val="single" w:color="000000" w:sz="4" w:space="0"/>
              <w:right w:val="single" w:color="000000" w:sz="4" w:space="0"/>
            </w:tcBorders>
            <w:vAlign w:val="center"/>
          </w:tcPr>
          <w:p w14:paraId="4C06510C">
            <w:pPr>
              <w:widowControl/>
              <w:jc w:val="center"/>
              <w:rPr>
                <w:rFonts w:ascii="宋体" w:hAnsi="宋体" w:eastAsia="宋体" w:cs="Times New Roman"/>
                <w:sz w:val="18"/>
                <w:szCs w:val="18"/>
              </w:rPr>
            </w:pPr>
            <w:r>
              <w:rPr>
                <w:rFonts w:hint="eastAsia" w:ascii="宋体" w:hAnsi="宋体" w:eastAsia="宋体" w:cs="宋体"/>
                <w:sz w:val="18"/>
                <w:szCs w:val="18"/>
              </w:rPr>
              <w:t>完成值</w:t>
            </w:r>
          </w:p>
        </w:tc>
        <w:tc>
          <w:tcPr>
            <w:tcW w:w="346" w:type="pct"/>
            <w:tcBorders>
              <w:top w:val="nil"/>
              <w:left w:val="nil"/>
              <w:bottom w:val="single" w:color="000000" w:sz="4" w:space="0"/>
              <w:right w:val="single" w:color="000000" w:sz="4" w:space="0"/>
            </w:tcBorders>
            <w:vAlign w:val="center"/>
          </w:tcPr>
          <w:p w14:paraId="53CC9B85">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380" w:type="pct"/>
            <w:tcBorders>
              <w:top w:val="nil"/>
              <w:left w:val="nil"/>
              <w:bottom w:val="single" w:color="000000" w:sz="4" w:space="0"/>
              <w:right w:val="single" w:color="000000" w:sz="4" w:space="0"/>
            </w:tcBorders>
            <w:vAlign w:val="center"/>
          </w:tcPr>
          <w:p w14:paraId="34CA611E">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589" w:type="pct"/>
            <w:tcBorders>
              <w:top w:val="nil"/>
              <w:left w:val="nil"/>
              <w:bottom w:val="single" w:color="000000" w:sz="4" w:space="0"/>
              <w:right w:val="single" w:color="000000" w:sz="4" w:space="0"/>
            </w:tcBorders>
            <w:vAlign w:val="center"/>
          </w:tcPr>
          <w:p w14:paraId="36BB4B60">
            <w:pPr>
              <w:widowControl/>
              <w:jc w:val="center"/>
              <w:rPr>
                <w:rFonts w:ascii="宋体" w:hAnsi="宋体" w:eastAsia="宋体" w:cs="Times New Roman"/>
                <w:sz w:val="18"/>
                <w:szCs w:val="18"/>
              </w:rPr>
            </w:pPr>
            <w:r>
              <w:rPr>
                <w:rFonts w:hint="eastAsia" w:ascii="宋体" w:hAnsi="宋体" w:eastAsia="宋体" w:cs="宋体"/>
                <w:sz w:val="18"/>
                <w:szCs w:val="18"/>
              </w:rPr>
              <w:t>未完成原因分析</w:t>
            </w:r>
          </w:p>
        </w:tc>
      </w:tr>
      <w:tr w14:paraId="4A34AE2C">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68F78F1D">
            <w:pPr>
              <w:widowControl/>
              <w:jc w:val="left"/>
              <w:rPr>
                <w:rFonts w:ascii="宋体" w:hAnsi="宋体" w:eastAsia="宋体" w:cs="Times New Roman"/>
                <w:sz w:val="18"/>
                <w:szCs w:val="18"/>
              </w:rPr>
            </w:pPr>
          </w:p>
        </w:tc>
        <w:tc>
          <w:tcPr>
            <w:tcW w:w="662" w:type="pct"/>
            <w:vMerge w:val="restart"/>
            <w:tcBorders>
              <w:top w:val="nil"/>
              <w:left w:val="single" w:color="000000" w:sz="4" w:space="0"/>
              <w:bottom w:val="single" w:color="000000" w:sz="4" w:space="0"/>
              <w:right w:val="single" w:color="000000" w:sz="4" w:space="0"/>
            </w:tcBorders>
            <w:vAlign w:val="center"/>
          </w:tcPr>
          <w:p w14:paraId="55460ECC">
            <w:pPr>
              <w:widowControl/>
              <w:jc w:val="center"/>
              <w:rPr>
                <w:rFonts w:ascii="宋体" w:hAnsi="宋体" w:eastAsia="宋体" w:cs="Times New Roman"/>
                <w:sz w:val="18"/>
                <w:szCs w:val="18"/>
              </w:rPr>
            </w:pPr>
            <w:r>
              <w:rPr>
                <w:rFonts w:hint="eastAsia" w:ascii="宋体" w:hAnsi="宋体" w:eastAsia="宋体" w:cs="宋体"/>
                <w:sz w:val="18"/>
                <w:szCs w:val="18"/>
              </w:rPr>
              <w:t>产出指标</w:t>
            </w:r>
          </w:p>
        </w:tc>
        <w:tc>
          <w:tcPr>
            <w:tcW w:w="562" w:type="pct"/>
            <w:vMerge w:val="restart"/>
            <w:tcBorders>
              <w:top w:val="nil"/>
              <w:left w:val="single" w:color="000000" w:sz="4" w:space="0"/>
              <w:bottom w:val="single" w:color="000000" w:sz="4" w:space="0"/>
              <w:right w:val="single" w:color="000000" w:sz="4" w:space="0"/>
            </w:tcBorders>
            <w:vAlign w:val="center"/>
          </w:tcPr>
          <w:p w14:paraId="7D6CC2C9">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730" w:type="pct"/>
            <w:tcBorders>
              <w:top w:val="nil"/>
              <w:left w:val="nil"/>
              <w:bottom w:val="single" w:color="000000" w:sz="4" w:space="0"/>
              <w:right w:val="single" w:color="000000" w:sz="4" w:space="0"/>
            </w:tcBorders>
            <w:vAlign w:val="center"/>
          </w:tcPr>
          <w:p w14:paraId="4033C150">
            <w:pPr>
              <w:widowControl/>
              <w:jc w:val="center"/>
              <w:rPr>
                <w:rFonts w:ascii="宋体" w:hAnsi="宋体" w:eastAsia="宋体" w:cs="Times New Roman"/>
                <w:sz w:val="18"/>
                <w:szCs w:val="18"/>
              </w:rPr>
            </w:pPr>
            <w:r>
              <w:rPr>
                <w:rFonts w:hint="eastAsia" w:ascii="宋体" w:hAnsi="宋体" w:eastAsia="宋体" w:cs="宋体"/>
                <w:sz w:val="18"/>
                <w:szCs w:val="18"/>
              </w:rPr>
              <w:t>专家评审次数（包含专家交通费、劳务费</w:t>
            </w:r>
          </w:p>
        </w:tc>
        <w:tc>
          <w:tcPr>
            <w:tcW w:w="215" w:type="pct"/>
            <w:tcBorders>
              <w:top w:val="nil"/>
              <w:left w:val="nil"/>
              <w:bottom w:val="single" w:color="000000" w:sz="4" w:space="0"/>
              <w:right w:val="single" w:color="000000" w:sz="4" w:space="0"/>
            </w:tcBorders>
            <w:vAlign w:val="center"/>
          </w:tcPr>
          <w:p w14:paraId="10C2CE0F">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39526709">
            <w:pPr>
              <w:widowControl/>
              <w:jc w:val="center"/>
              <w:rPr>
                <w:rFonts w:ascii="宋体" w:hAnsi="宋体" w:eastAsia="宋体" w:cs="宋体"/>
                <w:sz w:val="18"/>
                <w:szCs w:val="18"/>
              </w:rPr>
            </w:pPr>
            <w:r>
              <w:rPr>
                <w:rFonts w:ascii="宋体" w:hAnsi="宋体" w:eastAsia="宋体" w:cs="宋体"/>
                <w:sz w:val="18"/>
                <w:szCs w:val="18"/>
              </w:rPr>
              <w:t>80</w:t>
            </w:r>
          </w:p>
        </w:tc>
        <w:tc>
          <w:tcPr>
            <w:tcW w:w="312" w:type="pct"/>
            <w:tcBorders>
              <w:top w:val="nil"/>
              <w:left w:val="nil"/>
              <w:bottom w:val="single" w:color="000000" w:sz="4" w:space="0"/>
              <w:right w:val="single" w:color="000000" w:sz="4" w:space="0"/>
            </w:tcBorders>
            <w:vAlign w:val="center"/>
          </w:tcPr>
          <w:p w14:paraId="7D65B8C2">
            <w:pPr>
              <w:widowControl/>
              <w:jc w:val="center"/>
              <w:rPr>
                <w:rFonts w:ascii="宋体" w:hAnsi="宋体" w:eastAsia="宋体" w:cs="Times New Roman"/>
                <w:sz w:val="18"/>
                <w:szCs w:val="18"/>
              </w:rPr>
            </w:pPr>
            <w:r>
              <w:rPr>
                <w:rFonts w:hint="eastAsia" w:ascii="宋体" w:hAnsi="宋体" w:eastAsia="宋体" w:cs="宋体"/>
                <w:sz w:val="18"/>
                <w:szCs w:val="18"/>
              </w:rPr>
              <w:t>场次</w:t>
            </w:r>
          </w:p>
        </w:tc>
        <w:tc>
          <w:tcPr>
            <w:tcW w:w="458" w:type="pct"/>
            <w:tcBorders>
              <w:top w:val="nil"/>
              <w:left w:val="nil"/>
              <w:bottom w:val="single" w:color="000000" w:sz="4" w:space="0"/>
              <w:right w:val="single" w:color="000000" w:sz="4" w:space="0"/>
            </w:tcBorders>
            <w:vAlign w:val="center"/>
          </w:tcPr>
          <w:p w14:paraId="185EA88A">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40DFDB20">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34BA46D8">
            <w:pPr>
              <w:widowControl/>
              <w:jc w:val="center"/>
              <w:rPr>
                <w:rFonts w:ascii="宋体" w:hAnsi="宋体" w:eastAsia="宋体" w:cs="宋体"/>
                <w:sz w:val="18"/>
                <w:szCs w:val="18"/>
              </w:rPr>
            </w:pPr>
            <w:r>
              <w:rPr>
                <w:rFonts w:ascii="宋体" w:hAnsi="宋体" w:eastAsia="宋体" w:cs="宋体"/>
                <w:sz w:val="18"/>
                <w:szCs w:val="18"/>
              </w:rPr>
              <w:t>15</w:t>
            </w:r>
          </w:p>
        </w:tc>
        <w:tc>
          <w:tcPr>
            <w:tcW w:w="589" w:type="pct"/>
            <w:tcBorders>
              <w:top w:val="nil"/>
              <w:left w:val="nil"/>
              <w:bottom w:val="single" w:color="000000" w:sz="4" w:space="0"/>
              <w:right w:val="single" w:color="000000" w:sz="4" w:space="0"/>
            </w:tcBorders>
            <w:vAlign w:val="center"/>
          </w:tcPr>
          <w:p w14:paraId="259917FC">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268DC319">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41888689">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34AF800C">
            <w:pPr>
              <w:widowControl/>
              <w:jc w:val="left"/>
              <w:rPr>
                <w:rFonts w:ascii="宋体" w:hAnsi="宋体" w:eastAsia="宋体" w:cs="Times New Roman"/>
                <w:sz w:val="18"/>
                <w:szCs w:val="18"/>
              </w:rPr>
            </w:pPr>
          </w:p>
        </w:tc>
        <w:tc>
          <w:tcPr>
            <w:tcW w:w="562" w:type="pct"/>
            <w:vMerge w:val="continue"/>
            <w:tcBorders>
              <w:top w:val="nil"/>
              <w:left w:val="single" w:color="000000" w:sz="4" w:space="0"/>
              <w:bottom w:val="single" w:color="000000" w:sz="4" w:space="0"/>
              <w:right w:val="single" w:color="000000" w:sz="4" w:space="0"/>
            </w:tcBorders>
            <w:vAlign w:val="center"/>
          </w:tcPr>
          <w:p w14:paraId="58923D5C">
            <w:pPr>
              <w:widowControl/>
              <w:jc w:val="left"/>
              <w:rPr>
                <w:rFonts w:ascii="宋体" w:hAnsi="宋体" w:eastAsia="宋体" w:cs="Times New Roman"/>
                <w:sz w:val="18"/>
                <w:szCs w:val="18"/>
              </w:rPr>
            </w:pPr>
          </w:p>
        </w:tc>
        <w:tc>
          <w:tcPr>
            <w:tcW w:w="730" w:type="pct"/>
            <w:tcBorders>
              <w:top w:val="nil"/>
              <w:left w:val="nil"/>
              <w:bottom w:val="single" w:color="000000" w:sz="4" w:space="0"/>
              <w:right w:val="single" w:color="000000" w:sz="4" w:space="0"/>
            </w:tcBorders>
            <w:vAlign w:val="center"/>
          </w:tcPr>
          <w:p w14:paraId="4C1A3349">
            <w:pPr>
              <w:widowControl/>
              <w:jc w:val="center"/>
              <w:rPr>
                <w:rFonts w:ascii="宋体" w:hAnsi="宋体" w:eastAsia="宋体" w:cs="Times New Roman"/>
                <w:sz w:val="18"/>
                <w:szCs w:val="18"/>
              </w:rPr>
            </w:pPr>
            <w:r>
              <w:rPr>
                <w:rFonts w:hint="eastAsia" w:ascii="宋体" w:hAnsi="宋体" w:eastAsia="宋体" w:cs="宋体"/>
                <w:sz w:val="18"/>
                <w:szCs w:val="18"/>
              </w:rPr>
              <w:t>业刻制印章</w:t>
            </w:r>
          </w:p>
        </w:tc>
        <w:tc>
          <w:tcPr>
            <w:tcW w:w="215" w:type="pct"/>
            <w:tcBorders>
              <w:top w:val="nil"/>
              <w:left w:val="nil"/>
              <w:bottom w:val="single" w:color="000000" w:sz="4" w:space="0"/>
              <w:right w:val="single" w:color="000000" w:sz="4" w:space="0"/>
            </w:tcBorders>
            <w:vAlign w:val="center"/>
          </w:tcPr>
          <w:p w14:paraId="0B980956">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4677E7C5">
            <w:pPr>
              <w:widowControl/>
              <w:jc w:val="center"/>
              <w:rPr>
                <w:rFonts w:ascii="宋体" w:hAnsi="宋体" w:eastAsia="宋体" w:cs="宋体"/>
                <w:sz w:val="18"/>
                <w:szCs w:val="18"/>
              </w:rPr>
            </w:pPr>
            <w:r>
              <w:rPr>
                <w:rFonts w:ascii="宋体" w:hAnsi="宋体" w:eastAsia="宋体" w:cs="宋体"/>
                <w:sz w:val="18"/>
                <w:szCs w:val="18"/>
              </w:rPr>
              <w:t>1200</w:t>
            </w:r>
          </w:p>
        </w:tc>
        <w:tc>
          <w:tcPr>
            <w:tcW w:w="312" w:type="pct"/>
            <w:tcBorders>
              <w:top w:val="nil"/>
              <w:left w:val="nil"/>
              <w:bottom w:val="single" w:color="000000" w:sz="4" w:space="0"/>
              <w:right w:val="single" w:color="000000" w:sz="4" w:space="0"/>
            </w:tcBorders>
            <w:vAlign w:val="center"/>
          </w:tcPr>
          <w:p w14:paraId="08FD50A9">
            <w:pPr>
              <w:widowControl/>
              <w:jc w:val="center"/>
              <w:rPr>
                <w:rFonts w:ascii="宋体" w:hAnsi="宋体" w:eastAsia="宋体" w:cs="Times New Roman"/>
                <w:sz w:val="18"/>
                <w:szCs w:val="18"/>
              </w:rPr>
            </w:pPr>
            <w:r>
              <w:rPr>
                <w:rFonts w:hint="eastAsia" w:ascii="宋体" w:hAnsi="宋体" w:eastAsia="宋体" w:cs="宋体"/>
                <w:sz w:val="18"/>
                <w:szCs w:val="18"/>
              </w:rPr>
              <w:t>套</w:t>
            </w:r>
          </w:p>
        </w:tc>
        <w:tc>
          <w:tcPr>
            <w:tcW w:w="458" w:type="pct"/>
            <w:tcBorders>
              <w:top w:val="nil"/>
              <w:left w:val="nil"/>
              <w:bottom w:val="single" w:color="000000" w:sz="4" w:space="0"/>
              <w:right w:val="single" w:color="000000" w:sz="4" w:space="0"/>
            </w:tcBorders>
            <w:vAlign w:val="center"/>
          </w:tcPr>
          <w:p w14:paraId="505C6C1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3E4F1EA0">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548010EC">
            <w:pPr>
              <w:widowControl/>
              <w:jc w:val="center"/>
              <w:rPr>
                <w:rFonts w:ascii="宋体" w:hAnsi="宋体" w:eastAsia="宋体" w:cs="宋体"/>
                <w:sz w:val="18"/>
                <w:szCs w:val="18"/>
              </w:rPr>
            </w:pPr>
            <w:r>
              <w:rPr>
                <w:rFonts w:ascii="宋体" w:hAnsi="宋体" w:eastAsia="宋体" w:cs="宋体"/>
                <w:sz w:val="18"/>
                <w:szCs w:val="18"/>
              </w:rPr>
              <w:t>8</w:t>
            </w:r>
          </w:p>
        </w:tc>
        <w:tc>
          <w:tcPr>
            <w:tcW w:w="589" w:type="pct"/>
            <w:tcBorders>
              <w:top w:val="nil"/>
              <w:left w:val="nil"/>
              <w:bottom w:val="single" w:color="000000" w:sz="4" w:space="0"/>
              <w:right w:val="single" w:color="000000" w:sz="4" w:space="0"/>
            </w:tcBorders>
            <w:vAlign w:val="center"/>
          </w:tcPr>
          <w:p w14:paraId="574E837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4AF8494D">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51C649A8">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4DD8E408">
            <w:pPr>
              <w:widowControl/>
              <w:jc w:val="left"/>
              <w:rPr>
                <w:rFonts w:ascii="宋体" w:hAnsi="宋体" w:eastAsia="宋体" w:cs="Times New Roman"/>
                <w:sz w:val="18"/>
                <w:szCs w:val="18"/>
              </w:rPr>
            </w:pPr>
          </w:p>
        </w:tc>
        <w:tc>
          <w:tcPr>
            <w:tcW w:w="562" w:type="pct"/>
            <w:tcBorders>
              <w:top w:val="nil"/>
              <w:left w:val="nil"/>
              <w:bottom w:val="single" w:color="000000" w:sz="4" w:space="0"/>
              <w:right w:val="single" w:color="000000" w:sz="4" w:space="0"/>
            </w:tcBorders>
            <w:vAlign w:val="center"/>
          </w:tcPr>
          <w:p w14:paraId="0ABFBEAD">
            <w:pPr>
              <w:widowControl/>
              <w:jc w:val="center"/>
              <w:rPr>
                <w:rFonts w:ascii="宋体" w:hAnsi="宋体" w:eastAsia="宋体" w:cs="Times New Roman"/>
                <w:sz w:val="18"/>
                <w:szCs w:val="18"/>
              </w:rPr>
            </w:pPr>
            <w:r>
              <w:rPr>
                <w:rFonts w:hint="eastAsia" w:ascii="宋体" w:hAnsi="宋体" w:eastAsia="宋体" w:cs="宋体"/>
                <w:sz w:val="18"/>
                <w:szCs w:val="18"/>
              </w:rPr>
              <w:t>质量指标</w:t>
            </w:r>
          </w:p>
        </w:tc>
        <w:tc>
          <w:tcPr>
            <w:tcW w:w="730" w:type="pct"/>
            <w:tcBorders>
              <w:top w:val="nil"/>
              <w:left w:val="nil"/>
              <w:bottom w:val="single" w:color="000000" w:sz="4" w:space="0"/>
              <w:right w:val="single" w:color="000000" w:sz="4" w:space="0"/>
            </w:tcBorders>
            <w:vAlign w:val="center"/>
          </w:tcPr>
          <w:p w14:paraId="4AB4B7D9">
            <w:pPr>
              <w:widowControl/>
              <w:jc w:val="center"/>
              <w:rPr>
                <w:rFonts w:ascii="宋体" w:hAnsi="宋体" w:eastAsia="宋体" w:cs="Times New Roman"/>
                <w:sz w:val="18"/>
                <w:szCs w:val="18"/>
              </w:rPr>
            </w:pPr>
            <w:r>
              <w:rPr>
                <w:rFonts w:hint="eastAsia" w:ascii="宋体" w:hAnsi="宋体" w:eastAsia="宋体" w:cs="宋体"/>
                <w:sz w:val="18"/>
                <w:szCs w:val="18"/>
              </w:rPr>
              <w:t>印章刻制完整性</w:t>
            </w:r>
          </w:p>
        </w:tc>
        <w:tc>
          <w:tcPr>
            <w:tcW w:w="215" w:type="pct"/>
            <w:tcBorders>
              <w:top w:val="nil"/>
              <w:left w:val="nil"/>
              <w:bottom w:val="single" w:color="000000" w:sz="4" w:space="0"/>
              <w:right w:val="single" w:color="000000" w:sz="4" w:space="0"/>
            </w:tcBorders>
            <w:vAlign w:val="center"/>
          </w:tcPr>
          <w:p w14:paraId="19B482AA">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6DC2EF3D">
            <w:pPr>
              <w:widowControl/>
              <w:jc w:val="center"/>
              <w:rPr>
                <w:rFonts w:ascii="宋体" w:hAnsi="宋体" w:eastAsia="宋体" w:cs="宋体"/>
                <w:sz w:val="18"/>
                <w:szCs w:val="18"/>
              </w:rPr>
            </w:pPr>
            <w:r>
              <w:rPr>
                <w:rFonts w:ascii="宋体" w:hAnsi="宋体" w:eastAsia="宋体" w:cs="宋体"/>
                <w:sz w:val="18"/>
                <w:szCs w:val="18"/>
              </w:rPr>
              <w:t>100</w:t>
            </w:r>
          </w:p>
        </w:tc>
        <w:tc>
          <w:tcPr>
            <w:tcW w:w="312" w:type="pct"/>
            <w:tcBorders>
              <w:top w:val="nil"/>
              <w:left w:val="nil"/>
              <w:bottom w:val="single" w:color="000000" w:sz="4" w:space="0"/>
              <w:right w:val="single" w:color="000000" w:sz="4" w:space="0"/>
            </w:tcBorders>
            <w:vAlign w:val="center"/>
          </w:tcPr>
          <w:p w14:paraId="3A55253D">
            <w:pPr>
              <w:widowControl/>
              <w:jc w:val="center"/>
              <w:rPr>
                <w:rFonts w:ascii="宋体" w:hAnsi="宋体" w:eastAsia="宋体" w:cs="宋体"/>
                <w:sz w:val="18"/>
                <w:szCs w:val="18"/>
              </w:rPr>
            </w:pPr>
            <w:r>
              <w:rPr>
                <w:rFonts w:ascii="宋体" w:hAnsi="宋体" w:eastAsia="宋体" w:cs="宋体"/>
                <w:sz w:val="18"/>
                <w:szCs w:val="18"/>
              </w:rPr>
              <w:t>%</w:t>
            </w:r>
          </w:p>
        </w:tc>
        <w:tc>
          <w:tcPr>
            <w:tcW w:w="458" w:type="pct"/>
            <w:tcBorders>
              <w:top w:val="nil"/>
              <w:left w:val="nil"/>
              <w:bottom w:val="single" w:color="000000" w:sz="4" w:space="0"/>
              <w:right w:val="single" w:color="000000" w:sz="4" w:space="0"/>
            </w:tcBorders>
            <w:vAlign w:val="center"/>
          </w:tcPr>
          <w:p w14:paraId="74E09575">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7752CBBE">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5E7BF652">
            <w:pPr>
              <w:widowControl/>
              <w:jc w:val="center"/>
              <w:rPr>
                <w:rFonts w:ascii="宋体" w:hAnsi="宋体" w:eastAsia="宋体" w:cs="宋体"/>
                <w:sz w:val="18"/>
                <w:szCs w:val="18"/>
              </w:rPr>
            </w:pPr>
            <w:r>
              <w:rPr>
                <w:rFonts w:ascii="宋体" w:hAnsi="宋体" w:eastAsia="宋体" w:cs="宋体"/>
                <w:sz w:val="18"/>
                <w:szCs w:val="18"/>
              </w:rPr>
              <w:t>15</w:t>
            </w:r>
          </w:p>
        </w:tc>
        <w:tc>
          <w:tcPr>
            <w:tcW w:w="589" w:type="pct"/>
            <w:tcBorders>
              <w:top w:val="nil"/>
              <w:left w:val="nil"/>
              <w:bottom w:val="single" w:color="000000" w:sz="4" w:space="0"/>
              <w:right w:val="single" w:color="000000" w:sz="4" w:space="0"/>
            </w:tcBorders>
            <w:vAlign w:val="center"/>
          </w:tcPr>
          <w:p w14:paraId="52C50053">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0738FD5D">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73B705BB">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36041231">
            <w:pPr>
              <w:widowControl/>
              <w:jc w:val="left"/>
              <w:rPr>
                <w:rFonts w:ascii="宋体" w:hAnsi="宋体" w:eastAsia="宋体" w:cs="Times New Roman"/>
                <w:sz w:val="18"/>
                <w:szCs w:val="18"/>
              </w:rPr>
            </w:pPr>
          </w:p>
        </w:tc>
        <w:tc>
          <w:tcPr>
            <w:tcW w:w="562" w:type="pct"/>
            <w:tcBorders>
              <w:top w:val="nil"/>
              <w:left w:val="nil"/>
              <w:bottom w:val="single" w:color="000000" w:sz="4" w:space="0"/>
              <w:right w:val="single" w:color="000000" w:sz="4" w:space="0"/>
            </w:tcBorders>
            <w:vAlign w:val="center"/>
          </w:tcPr>
          <w:p w14:paraId="221B78DF">
            <w:pPr>
              <w:widowControl/>
              <w:jc w:val="center"/>
              <w:rPr>
                <w:rFonts w:ascii="宋体" w:hAnsi="宋体" w:eastAsia="宋体" w:cs="Times New Roman"/>
                <w:sz w:val="18"/>
                <w:szCs w:val="18"/>
              </w:rPr>
            </w:pPr>
            <w:r>
              <w:rPr>
                <w:rFonts w:hint="eastAsia" w:ascii="宋体" w:hAnsi="宋体" w:eastAsia="宋体" w:cs="宋体"/>
                <w:sz w:val="18"/>
                <w:szCs w:val="18"/>
              </w:rPr>
              <w:t>时效指标</w:t>
            </w:r>
          </w:p>
        </w:tc>
        <w:tc>
          <w:tcPr>
            <w:tcW w:w="730" w:type="pct"/>
            <w:tcBorders>
              <w:top w:val="nil"/>
              <w:left w:val="nil"/>
              <w:bottom w:val="single" w:color="000000" w:sz="4" w:space="0"/>
              <w:right w:val="single" w:color="000000" w:sz="4" w:space="0"/>
            </w:tcBorders>
            <w:vAlign w:val="center"/>
          </w:tcPr>
          <w:p w14:paraId="02604883">
            <w:pPr>
              <w:widowControl/>
              <w:jc w:val="center"/>
              <w:rPr>
                <w:rFonts w:ascii="宋体" w:hAnsi="宋体" w:eastAsia="宋体" w:cs="Times New Roman"/>
                <w:sz w:val="18"/>
                <w:szCs w:val="18"/>
              </w:rPr>
            </w:pPr>
            <w:r>
              <w:rPr>
                <w:rFonts w:hint="eastAsia" w:ascii="宋体" w:hAnsi="宋体" w:eastAsia="宋体" w:cs="宋体"/>
                <w:sz w:val="18"/>
                <w:szCs w:val="18"/>
              </w:rPr>
              <w:t>完成时效</w:t>
            </w:r>
          </w:p>
        </w:tc>
        <w:tc>
          <w:tcPr>
            <w:tcW w:w="215" w:type="pct"/>
            <w:tcBorders>
              <w:top w:val="nil"/>
              <w:left w:val="nil"/>
              <w:bottom w:val="single" w:color="000000" w:sz="4" w:space="0"/>
              <w:right w:val="single" w:color="000000" w:sz="4" w:space="0"/>
            </w:tcBorders>
            <w:vAlign w:val="center"/>
          </w:tcPr>
          <w:p w14:paraId="0E86189C">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59AF3EAA">
            <w:pPr>
              <w:widowControl/>
              <w:jc w:val="center"/>
              <w:rPr>
                <w:rFonts w:ascii="宋体" w:hAnsi="宋体" w:eastAsia="宋体" w:cs="宋体"/>
                <w:sz w:val="18"/>
                <w:szCs w:val="18"/>
              </w:rPr>
            </w:pPr>
            <w:r>
              <w:rPr>
                <w:rFonts w:ascii="宋体" w:hAnsi="宋体" w:eastAsia="宋体" w:cs="宋体"/>
                <w:sz w:val="18"/>
                <w:szCs w:val="18"/>
              </w:rPr>
              <w:t>1</w:t>
            </w:r>
          </w:p>
        </w:tc>
        <w:tc>
          <w:tcPr>
            <w:tcW w:w="312" w:type="pct"/>
            <w:tcBorders>
              <w:top w:val="nil"/>
              <w:left w:val="nil"/>
              <w:bottom w:val="single" w:color="000000" w:sz="4" w:space="0"/>
              <w:right w:val="single" w:color="000000" w:sz="4" w:space="0"/>
            </w:tcBorders>
            <w:vAlign w:val="center"/>
          </w:tcPr>
          <w:p w14:paraId="30ADB50C">
            <w:pPr>
              <w:widowControl/>
              <w:jc w:val="center"/>
              <w:rPr>
                <w:rFonts w:ascii="宋体" w:hAnsi="宋体" w:eastAsia="宋体" w:cs="Times New Roman"/>
                <w:sz w:val="18"/>
                <w:szCs w:val="18"/>
              </w:rPr>
            </w:pPr>
            <w:r>
              <w:rPr>
                <w:rFonts w:hint="eastAsia" w:ascii="宋体" w:hAnsi="宋体" w:eastAsia="宋体" w:cs="宋体"/>
                <w:sz w:val="18"/>
                <w:szCs w:val="18"/>
              </w:rPr>
              <w:t>年</w:t>
            </w:r>
          </w:p>
        </w:tc>
        <w:tc>
          <w:tcPr>
            <w:tcW w:w="458" w:type="pct"/>
            <w:tcBorders>
              <w:top w:val="nil"/>
              <w:left w:val="nil"/>
              <w:bottom w:val="single" w:color="000000" w:sz="4" w:space="0"/>
              <w:right w:val="single" w:color="000000" w:sz="4" w:space="0"/>
            </w:tcBorders>
            <w:vAlign w:val="center"/>
          </w:tcPr>
          <w:p w14:paraId="61CB0E5B">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3E3B95C2">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1A61096C">
            <w:pPr>
              <w:widowControl/>
              <w:jc w:val="center"/>
              <w:rPr>
                <w:rFonts w:ascii="宋体" w:hAnsi="宋体" w:eastAsia="宋体" w:cs="宋体"/>
                <w:sz w:val="18"/>
                <w:szCs w:val="18"/>
              </w:rPr>
            </w:pPr>
            <w:r>
              <w:rPr>
                <w:rFonts w:ascii="宋体" w:hAnsi="宋体" w:eastAsia="宋体" w:cs="宋体"/>
                <w:sz w:val="18"/>
                <w:szCs w:val="18"/>
              </w:rPr>
              <w:t>10</w:t>
            </w:r>
          </w:p>
        </w:tc>
        <w:tc>
          <w:tcPr>
            <w:tcW w:w="589" w:type="pct"/>
            <w:tcBorders>
              <w:top w:val="nil"/>
              <w:left w:val="nil"/>
              <w:bottom w:val="single" w:color="000000" w:sz="4" w:space="0"/>
              <w:right w:val="single" w:color="000000" w:sz="4" w:space="0"/>
            </w:tcBorders>
            <w:vAlign w:val="center"/>
          </w:tcPr>
          <w:p w14:paraId="7DC830CA">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6507F12E">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66ED3177">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1B150ED2">
            <w:pPr>
              <w:widowControl/>
              <w:jc w:val="center"/>
              <w:rPr>
                <w:rFonts w:ascii="宋体" w:hAnsi="宋体" w:eastAsia="宋体" w:cs="Times New Roman"/>
                <w:sz w:val="18"/>
                <w:szCs w:val="18"/>
              </w:rPr>
            </w:pPr>
            <w:r>
              <w:rPr>
                <w:rFonts w:hint="eastAsia" w:ascii="宋体" w:hAnsi="宋体" w:eastAsia="宋体" w:cs="宋体"/>
                <w:sz w:val="18"/>
                <w:szCs w:val="18"/>
              </w:rPr>
              <w:t>效益指标</w:t>
            </w:r>
          </w:p>
        </w:tc>
        <w:tc>
          <w:tcPr>
            <w:tcW w:w="562" w:type="pct"/>
            <w:tcBorders>
              <w:top w:val="nil"/>
              <w:left w:val="nil"/>
              <w:bottom w:val="single" w:color="000000" w:sz="4" w:space="0"/>
              <w:right w:val="single" w:color="000000" w:sz="4" w:space="0"/>
            </w:tcBorders>
            <w:vAlign w:val="center"/>
          </w:tcPr>
          <w:p w14:paraId="4BD56EDE">
            <w:pPr>
              <w:widowControl/>
              <w:jc w:val="center"/>
              <w:rPr>
                <w:rFonts w:ascii="宋体" w:hAnsi="宋体" w:eastAsia="宋体" w:cs="Times New Roman"/>
                <w:sz w:val="18"/>
                <w:szCs w:val="18"/>
              </w:rPr>
            </w:pPr>
            <w:r>
              <w:rPr>
                <w:rFonts w:hint="eastAsia" w:ascii="宋体" w:hAnsi="宋体" w:eastAsia="宋体" w:cs="宋体"/>
                <w:sz w:val="18"/>
                <w:szCs w:val="18"/>
              </w:rPr>
              <w:t>社会效益指标</w:t>
            </w:r>
          </w:p>
        </w:tc>
        <w:tc>
          <w:tcPr>
            <w:tcW w:w="730" w:type="pct"/>
            <w:tcBorders>
              <w:top w:val="nil"/>
              <w:left w:val="nil"/>
              <w:bottom w:val="single" w:color="000000" w:sz="4" w:space="0"/>
              <w:right w:val="single" w:color="000000" w:sz="4" w:space="0"/>
            </w:tcBorders>
            <w:vAlign w:val="center"/>
          </w:tcPr>
          <w:p w14:paraId="4C1975F3">
            <w:pPr>
              <w:widowControl/>
              <w:jc w:val="center"/>
              <w:rPr>
                <w:rFonts w:ascii="宋体" w:hAnsi="宋体" w:eastAsia="宋体" w:cs="Times New Roman"/>
                <w:sz w:val="18"/>
                <w:szCs w:val="18"/>
              </w:rPr>
            </w:pPr>
            <w:r>
              <w:rPr>
                <w:rFonts w:hint="eastAsia" w:ascii="宋体" w:hAnsi="宋体" w:eastAsia="宋体" w:cs="宋体"/>
                <w:sz w:val="18"/>
                <w:szCs w:val="18"/>
              </w:rPr>
              <w:t>降低了企业开办成本，企业满意度提高。</w:t>
            </w:r>
          </w:p>
        </w:tc>
        <w:tc>
          <w:tcPr>
            <w:tcW w:w="215" w:type="pct"/>
            <w:tcBorders>
              <w:top w:val="nil"/>
              <w:left w:val="nil"/>
              <w:bottom w:val="single" w:color="000000" w:sz="4" w:space="0"/>
              <w:right w:val="single" w:color="000000" w:sz="4" w:space="0"/>
            </w:tcBorders>
            <w:vAlign w:val="center"/>
          </w:tcPr>
          <w:p w14:paraId="600C961F">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71297AEB">
            <w:pPr>
              <w:widowControl/>
              <w:jc w:val="center"/>
              <w:rPr>
                <w:rFonts w:ascii="宋体" w:hAnsi="宋体" w:eastAsia="宋体" w:cs="宋体"/>
                <w:sz w:val="18"/>
                <w:szCs w:val="18"/>
              </w:rPr>
            </w:pPr>
            <w:r>
              <w:rPr>
                <w:rFonts w:ascii="宋体" w:hAnsi="宋体" w:eastAsia="宋体" w:cs="宋体"/>
                <w:sz w:val="18"/>
                <w:szCs w:val="18"/>
              </w:rPr>
              <w:t>98</w:t>
            </w:r>
          </w:p>
        </w:tc>
        <w:tc>
          <w:tcPr>
            <w:tcW w:w="312" w:type="pct"/>
            <w:tcBorders>
              <w:top w:val="nil"/>
              <w:left w:val="nil"/>
              <w:bottom w:val="single" w:color="000000" w:sz="4" w:space="0"/>
              <w:right w:val="single" w:color="000000" w:sz="4" w:space="0"/>
            </w:tcBorders>
            <w:vAlign w:val="center"/>
          </w:tcPr>
          <w:p w14:paraId="2B742C20">
            <w:pPr>
              <w:widowControl/>
              <w:jc w:val="center"/>
              <w:rPr>
                <w:rFonts w:ascii="宋体" w:hAnsi="宋体" w:eastAsia="宋体" w:cs="宋体"/>
                <w:sz w:val="18"/>
                <w:szCs w:val="18"/>
              </w:rPr>
            </w:pPr>
            <w:r>
              <w:rPr>
                <w:rFonts w:ascii="宋体" w:hAnsi="宋体" w:eastAsia="宋体" w:cs="宋体"/>
                <w:sz w:val="18"/>
                <w:szCs w:val="18"/>
              </w:rPr>
              <w:t>%</w:t>
            </w:r>
          </w:p>
        </w:tc>
        <w:tc>
          <w:tcPr>
            <w:tcW w:w="458" w:type="pct"/>
            <w:tcBorders>
              <w:top w:val="nil"/>
              <w:left w:val="nil"/>
              <w:bottom w:val="single" w:color="000000" w:sz="4" w:space="0"/>
              <w:right w:val="single" w:color="000000" w:sz="4" w:space="0"/>
            </w:tcBorders>
            <w:vAlign w:val="center"/>
          </w:tcPr>
          <w:p w14:paraId="29A7396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17C727EE">
            <w:pPr>
              <w:widowControl/>
              <w:jc w:val="center"/>
              <w:rPr>
                <w:rFonts w:ascii="宋体" w:hAnsi="宋体" w:eastAsia="宋体" w:cs="宋体"/>
                <w:sz w:val="18"/>
                <w:szCs w:val="18"/>
              </w:rPr>
            </w:pPr>
            <w:r>
              <w:rPr>
                <w:rFonts w:ascii="宋体" w:hAnsi="宋体" w:eastAsia="宋体" w:cs="宋体"/>
                <w:sz w:val="18"/>
                <w:szCs w:val="18"/>
              </w:rPr>
              <w:t>20</w:t>
            </w:r>
          </w:p>
        </w:tc>
        <w:tc>
          <w:tcPr>
            <w:tcW w:w="380" w:type="pct"/>
            <w:tcBorders>
              <w:top w:val="nil"/>
              <w:left w:val="nil"/>
              <w:bottom w:val="single" w:color="000000" w:sz="4" w:space="0"/>
              <w:right w:val="single" w:color="000000" w:sz="4" w:space="0"/>
            </w:tcBorders>
            <w:vAlign w:val="center"/>
          </w:tcPr>
          <w:p w14:paraId="3491CE3C">
            <w:pPr>
              <w:widowControl/>
              <w:jc w:val="center"/>
              <w:rPr>
                <w:rFonts w:ascii="宋体" w:hAnsi="宋体" w:eastAsia="宋体" w:cs="宋体"/>
                <w:sz w:val="18"/>
                <w:szCs w:val="18"/>
              </w:rPr>
            </w:pPr>
            <w:r>
              <w:rPr>
                <w:rFonts w:ascii="宋体" w:hAnsi="宋体" w:eastAsia="宋体" w:cs="宋体"/>
                <w:sz w:val="18"/>
                <w:szCs w:val="18"/>
              </w:rPr>
              <w:t>10</w:t>
            </w:r>
          </w:p>
        </w:tc>
        <w:tc>
          <w:tcPr>
            <w:tcW w:w="589" w:type="pct"/>
            <w:tcBorders>
              <w:top w:val="nil"/>
              <w:left w:val="nil"/>
              <w:bottom w:val="single" w:color="000000" w:sz="4" w:space="0"/>
              <w:right w:val="single" w:color="000000" w:sz="4" w:space="0"/>
            </w:tcBorders>
            <w:vAlign w:val="center"/>
          </w:tcPr>
          <w:p w14:paraId="02E4338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7206CD31">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31DCAC74">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2A0D7CEA">
            <w:pPr>
              <w:widowControl/>
              <w:jc w:val="center"/>
              <w:rPr>
                <w:rFonts w:ascii="宋体" w:hAnsi="宋体" w:eastAsia="宋体" w:cs="Times New Roman"/>
                <w:sz w:val="18"/>
                <w:szCs w:val="18"/>
              </w:rPr>
            </w:pPr>
            <w:r>
              <w:rPr>
                <w:rFonts w:hint="eastAsia" w:ascii="宋体" w:hAnsi="宋体" w:eastAsia="宋体" w:cs="宋体"/>
                <w:sz w:val="18"/>
                <w:szCs w:val="18"/>
              </w:rPr>
              <w:t>满意度指标</w:t>
            </w:r>
          </w:p>
        </w:tc>
        <w:tc>
          <w:tcPr>
            <w:tcW w:w="562" w:type="pct"/>
            <w:tcBorders>
              <w:top w:val="nil"/>
              <w:left w:val="nil"/>
              <w:bottom w:val="single" w:color="000000" w:sz="4" w:space="0"/>
              <w:right w:val="single" w:color="000000" w:sz="4" w:space="0"/>
            </w:tcBorders>
            <w:vAlign w:val="center"/>
          </w:tcPr>
          <w:p w14:paraId="20D28E81">
            <w:pPr>
              <w:widowControl/>
              <w:jc w:val="center"/>
              <w:rPr>
                <w:rFonts w:ascii="宋体" w:hAnsi="宋体" w:eastAsia="宋体" w:cs="Times New Roman"/>
                <w:sz w:val="18"/>
                <w:szCs w:val="18"/>
              </w:rPr>
            </w:pPr>
            <w:r>
              <w:rPr>
                <w:rFonts w:hint="eastAsia" w:ascii="宋体" w:hAnsi="宋体" w:eastAsia="宋体" w:cs="宋体"/>
                <w:sz w:val="18"/>
                <w:szCs w:val="18"/>
              </w:rPr>
              <w:t>服务对象满意度指标</w:t>
            </w:r>
          </w:p>
        </w:tc>
        <w:tc>
          <w:tcPr>
            <w:tcW w:w="730" w:type="pct"/>
            <w:tcBorders>
              <w:top w:val="nil"/>
              <w:left w:val="nil"/>
              <w:bottom w:val="single" w:color="000000" w:sz="4" w:space="0"/>
              <w:right w:val="single" w:color="000000" w:sz="4" w:space="0"/>
            </w:tcBorders>
            <w:vAlign w:val="center"/>
          </w:tcPr>
          <w:p w14:paraId="3E52DA36">
            <w:pPr>
              <w:widowControl/>
              <w:jc w:val="center"/>
              <w:rPr>
                <w:rFonts w:ascii="宋体" w:hAnsi="宋体" w:eastAsia="宋体" w:cs="Times New Roman"/>
                <w:sz w:val="18"/>
                <w:szCs w:val="18"/>
              </w:rPr>
            </w:pPr>
            <w:r>
              <w:rPr>
                <w:rFonts w:hint="eastAsia" w:ascii="宋体" w:hAnsi="宋体" w:eastAsia="宋体" w:cs="宋体"/>
                <w:sz w:val="18"/>
                <w:szCs w:val="18"/>
              </w:rPr>
              <w:t>企业满意度提高</w:t>
            </w:r>
          </w:p>
        </w:tc>
        <w:tc>
          <w:tcPr>
            <w:tcW w:w="215" w:type="pct"/>
            <w:tcBorders>
              <w:top w:val="nil"/>
              <w:left w:val="nil"/>
              <w:bottom w:val="single" w:color="000000" w:sz="4" w:space="0"/>
              <w:right w:val="single" w:color="000000" w:sz="4" w:space="0"/>
            </w:tcBorders>
            <w:vAlign w:val="center"/>
          </w:tcPr>
          <w:p w14:paraId="3636A415">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0700259C">
            <w:pPr>
              <w:widowControl/>
              <w:jc w:val="center"/>
              <w:rPr>
                <w:rFonts w:ascii="宋体" w:hAnsi="宋体" w:eastAsia="宋体" w:cs="宋体"/>
                <w:sz w:val="18"/>
                <w:szCs w:val="18"/>
              </w:rPr>
            </w:pPr>
            <w:r>
              <w:rPr>
                <w:rFonts w:ascii="宋体" w:hAnsi="宋体" w:eastAsia="宋体" w:cs="宋体"/>
                <w:sz w:val="18"/>
                <w:szCs w:val="18"/>
              </w:rPr>
              <w:t>98</w:t>
            </w:r>
          </w:p>
        </w:tc>
        <w:tc>
          <w:tcPr>
            <w:tcW w:w="312" w:type="pct"/>
            <w:tcBorders>
              <w:top w:val="nil"/>
              <w:left w:val="nil"/>
              <w:bottom w:val="single" w:color="000000" w:sz="4" w:space="0"/>
              <w:right w:val="single" w:color="000000" w:sz="4" w:space="0"/>
            </w:tcBorders>
            <w:vAlign w:val="center"/>
          </w:tcPr>
          <w:p w14:paraId="20F7B406">
            <w:pPr>
              <w:widowControl/>
              <w:jc w:val="center"/>
              <w:rPr>
                <w:rFonts w:ascii="宋体" w:hAnsi="宋体" w:eastAsia="宋体" w:cs="宋体"/>
                <w:sz w:val="18"/>
                <w:szCs w:val="18"/>
              </w:rPr>
            </w:pPr>
            <w:r>
              <w:rPr>
                <w:rFonts w:ascii="宋体" w:hAnsi="宋体" w:eastAsia="宋体" w:cs="宋体"/>
                <w:sz w:val="18"/>
                <w:szCs w:val="18"/>
              </w:rPr>
              <w:t>%</w:t>
            </w:r>
          </w:p>
        </w:tc>
        <w:tc>
          <w:tcPr>
            <w:tcW w:w="458" w:type="pct"/>
            <w:tcBorders>
              <w:top w:val="nil"/>
              <w:left w:val="nil"/>
              <w:bottom w:val="single" w:color="000000" w:sz="4" w:space="0"/>
              <w:right w:val="single" w:color="000000" w:sz="4" w:space="0"/>
            </w:tcBorders>
            <w:vAlign w:val="center"/>
          </w:tcPr>
          <w:p w14:paraId="7B3DB6EC">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44BC75ED">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7D2E9CE2">
            <w:pPr>
              <w:widowControl/>
              <w:jc w:val="center"/>
              <w:rPr>
                <w:rFonts w:ascii="宋体" w:hAnsi="宋体" w:eastAsia="宋体" w:cs="宋体"/>
                <w:sz w:val="18"/>
                <w:szCs w:val="18"/>
              </w:rPr>
            </w:pPr>
            <w:r>
              <w:rPr>
                <w:rFonts w:ascii="宋体" w:hAnsi="宋体" w:eastAsia="宋体" w:cs="宋体"/>
                <w:sz w:val="18"/>
                <w:szCs w:val="18"/>
              </w:rPr>
              <w:t>10</w:t>
            </w:r>
          </w:p>
        </w:tc>
        <w:tc>
          <w:tcPr>
            <w:tcW w:w="589" w:type="pct"/>
            <w:tcBorders>
              <w:top w:val="nil"/>
              <w:left w:val="nil"/>
              <w:bottom w:val="single" w:color="000000" w:sz="4" w:space="0"/>
              <w:right w:val="single" w:color="000000" w:sz="4" w:space="0"/>
            </w:tcBorders>
            <w:vAlign w:val="center"/>
          </w:tcPr>
          <w:p w14:paraId="32725426">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1E2B3A98">
        <w:tblPrEx>
          <w:tblCellMar>
            <w:top w:w="0" w:type="dxa"/>
            <w:left w:w="108" w:type="dxa"/>
            <w:bottom w:w="0" w:type="dxa"/>
            <w:right w:w="108" w:type="dxa"/>
          </w:tblCellMar>
        </w:tblPrEx>
        <w:trPr>
          <w:trHeight w:val="679" w:hRule="atLeast"/>
        </w:trPr>
        <w:tc>
          <w:tcPr>
            <w:tcW w:w="311" w:type="pct"/>
            <w:vMerge w:val="continue"/>
            <w:tcBorders>
              <w:top w:val="nil"/>
              <w:left w:val="single" w:color="000000" w:sz="4" w:space="0"/>
              <w:bottom w:val="single" w:color="000000" w:sz="4" w:space="0"/>
              <w:right w:val="single" w:color="000000" w:sz="4" w:space="0"/>
            </w:tcBorders>
            <w:vAlign w:val="center"/>
          </w:tcPr>
          <w:p w14:paraId="01B4506E">
            <w:pPr>
              <w:widowControl/>
              <w:jc w:val="left"/>
              <w:rPr>
                <w:rFonts w:ascii="宋体" w:hAnsi="宋体" w:eastAsia="宋体" w:cs="Times New Roman"/>
                <w:sz w:val="18"/>
                <w:szCs w:val="18"/>
              </w:rPr>
            </w:pPr>
          </w:p>
        </w:tc>
        <w:tc>
          <w:tcPr>
            <w:tcW w:w="662" w:type="pct"/>
            <w:vMerge w:val="restart"/>
            <w:tcBorders>
              <w:top w:val="nil"/>
              <w:left w:val="single" w:color="000000" w:sz="4" w:space="0"/>
              <w:bottom w:val="single" w:color="000000" w:sz="4" w:space="0"/>
              <w:right w:val="single" w:color="000000" w:sz="4" w:space="0"/>
            </w:tcBorders>
            <w:vAlign w:val="center"/>
          </w:tcPr>
          <w:p w14:paraId="4B03A979">
            <w:pPr>
              <w:widowControl/>
              <w:jc w:val="center"/>
              <w:rPr>
                <w:rFonts w:ascii="宋体" w:hAnsi="宋体" w:eastAsia="宋体" w:cs="Times New Roman"/>
                <w:sz w:val="18"/>
                <w:szCs w:val="18"/>
              </w:rPr>
            </w:pPr>
            <w:r>
              <w:rPr>
                <w:rFonts w:hint="eastAsia" w:ascii="宋体" w:hAnsi="宋体" w:eastAsia="宋体" w:cs="宋体"/>
                <w:sz w:val="18"/>
                <w:szCs w:val="18"/>
              </w:rPr>
              <w:t>成本指标</w:t>
            </w:r>
          </w:p>
        </w:tc>
        <w:tc>
          <w:tcPr>
            <w:tcW w:w="562" w:type="pct"/>
            <w:vMerge w:val="restart"/>
            <w:tcBorders>
              <w:top w:val="nil"/>
              <w:left w:val="single" w:color="000000" w:sz="4" w:space="0"/>
              <w:bottom w:val="single" w:color="000000" w:sz="4" w:space="0"/>
              <w:right w:val="single" w:color="000000" w:sz="4" w:space="0"/>
            </w:tcBorders>
            <w:vAlign w:val="center"/>
          </w:tcPr>
          <w:p w14:paraId="0AA5DDC1">
            <w:pPr>
              <w:widowControl/>
              <w:jc w:val="center"/>
              <w:rPr>
                <w:rFonts w:ascii="宋体" w:hAnsi="宋体" w:eastAsia="宋体" w:cs="Times New Roman"/>
                <w:sz w:val="18"/>
                <w:szCs w:val="18"/>
              </w:rPr>
            </w:pPr>
            <w:r>
              <w:rPr>
                <w:rFonts w:hint="eastAsia" w:ascii="宋体" w:hAnsi="宋体" w:eastAsia="宋体" w:cs="宋体"/>
                <w:sz w:val="18"/>
                <w:szCs w:val="18"/>
              </w:rPr>
              <w:t>经济成本指标</w:t>
            </w:r>
          </w:p>
        </w:tc>
        <w:tc>
          <w:tcPr>
            <w:tcW w:w="730" w:type="pct"/>
            <w:tcBorders>
              <w:top w:val="nil"/>
              <w:left w:val="nil"/>
              <w:bottom w:val="single" w:color="000000" w:sz="4" w:space="0"/>
              <w:right w:val="single" w:color="000000" w:sz="4" w:space="0"/>
            </w:tcBorders>
            <w:vAlign w:val="center"/>
          </w:tcPr>
          <w:p w14:paraId="1A7F2566">
            <w:pPr>
              <w:widowControl/>
              <w:jc w:val="center"/>
              <w:rPr>
                <w:rFonts w:ascii="宋体" w:hAnsi="宋体" w:eastAsia="宋体" w:cs="Times New Roman"/>
                <w:sz w:val="18"/>
                <w:szCs w:val="18"/>
              </w:rPr>
            </w:pPr>
            <w:r>
              <w:rPr>
                <w:rFonts w:hint="eastAsia" w:ascii="宋体" w:hAnsi="宋体" w:eastAsia="宋体" w:cs="宋体"/>
                <w:sz w:val="18"/>
                <w:szCs w:val="18"/>
              </w:rPr>
              <w:t>专家评审费</w:t>
            </w:r>
          </w:p>
        </w:tc>
        <w:tc>
          <w:tcPr>
            <w:tcW w:w="215" w:type="pct"/>
            <w:tcBorders>
              <w:top w:val="nil"/>
              <w:left w:val="nil"/>
              <w:bottom w:val="single" w:color="000000" w:sz="4" w:space="0"/>
              <w:right w:val="single" w:color="000000" w:sz="4" w:space="0"/>
            </w:tcBorders>
            <w:vAlign w:val="center"/>
          </w:tcPr>
          <w:p w14:paraId="14D56038">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6273BD92">
            <w:pPr>
              <w:widowControl/>
              <w:jc w:val="center"/>
              <w:rPr>
                <w:rFonts w:ascii="宋体" w:hAnsi="宋体" w:eastAsia="宋体" w:cs="宋体"/>
                <w:sz w:val="18"/>
                <w:szCs w:val="18"/>
              </w:rPr>
            </w:pPr>
            <w:r>
              <w:rPr>
                <w:rFonts w:ascii="宋体" w:hAnsi="宋体" w:eastAsia="宋体" w:cs="宋体"/>
                <w:sz w:val="18"/>
                <w:szCs w:val="18"/>
              </w:rPr>
              <w:t>0.3</w:t>
            </w:r>
          </w:p>
        </w:tc>
        <w:tc>
          <w:tcPr>
            <w:tcW w:w="312" w:type="pct"/>
            <w:tcBorders>
              <w:top w:val="nil"/>
              <w:left w:val="nil"/>
              <w:bottom w:val="single" w:color="000000" w:sz="4" w:space="0"/>
              <w:right w:val="single" w:color="000000" w:sz="4" w:space="0"/>
            </w:tcBorders>
            <w:vAlign w:val="center"/>
          </w:tcPr>
          <w:p w14:paraId="230D15AD">
            <w:pPr>
              <w:widowControl/>
              <w:jc w:val="center"/>
              <w:rPr>
                <w:rFonts w:ascii="宋体" w:hAnsi="宋体" w:eastAsia="宋体" w:cs="Times New Roman"/>
                <w:sz w:val="18"/>
                <w:szCs w:val="18"/>
              </w:rPr>
            </w:pPr>
            <w:r>
              <w:rPr>
                <w:rFonts w:hint="eastAsia" w:ascii="宋体" w:hAnsi="宋体" w:eastAsia="宋体" w:cs="宋体"/>
                <w:sz w:val="18"/>
                <w:szCs w:val="18"/>
              </w:rPr>
              <w:t>万元</w:t>
            </w:r>
            <w:r>
              <w:rPr>
                <w:rFonts w:ascii="宋体" w:hAnsi="宋体" w:eastAsia="宋体" w:cs="宋体"/>
                <w:sz w:val="18"/>
                <w:szCs w:val="18"/>
              </w:rPr>
              <w:t>/</w:t>
            </w:r>
            <w:r>
              <w:rPr>
                <w:rFonts w:hint="eastAsia" w:ascii="宋体" w:hAnsi="宋体" w:eastAsia="宋体" w:cs="宋体"/>
                <w:sz w:val="18"/>
                <w:szCs w:val="18"/>
              </w:rPr>
              <w:t>场</w:t>
            </w:r>
          </w:p>
        </w:tc>
        <w:tc>
          <w:tcPr>
            <w:tcW w:w="458" w:type="pct"/>
            <w:tcBorders>
              <w:top w:val="nil"/>
              <w:left w:val="nil"/>
              <w:bottom w:val="single" w:color="000000" w:sz="4" w:space="0"/>
              <w:right w:val="single" w:color="000000" w:sz="4" w:space="0"/>
            </w:tcBorders>
            <w:vAlign w:val="center"/>
          </w:tcPr>
          <w:p w14:paraId="40BD25B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461D4CC3">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401E6D88">
            <w:pPr>
              <w:widowControl/>
              <w:jc w:val="center"/>
              <w:rPr>
                <w:rFonts w:ascii="宋体" w:hAnsi="宋体" w:eastAsia="宋体" w:cs="宋体"/>
                <w:sz w:val="18"/>
                <w:szCs w:val="18"/>
              </w:rPr>
            </w:pPr>
            <w:r>
              <w:rPr>
                <w:rFonts w:ascii="宋体" w:hAnsi="宋体" w:eastAsia="宋体" w:cs="宋体"/>
                <w:sz w:val="18"/>
                <w:szCs w:val="18"/>
              </w:rPr>
              <w:t>10</w:t>
            </w:r>
          </w:p>
        </w:tc>
        <w:tc>
          <w:tcPr>
            <w:tcW w:w="589" w:type="pct"/>
            <w:tcBorders>
              <w:top w:val="nil"/>
              <w:left w:val="nil"/>
              <w:bottom w:val="single" w:color="000000" w:sz="4" w:space="0"/>
              <w:right w:val="single" w:color="000000" w:sz="4" w:space="0"/>
            </w:tcBorders>
            <w:vAlign w:val="center"/>
          </w:tcPr>
          <w:p w14:paraId="78A8AE83">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71B15CF0">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3CF69F45">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3654AFAB">
            <w:pPr>
              <w:widowControl/>
              <w:jc w:val="left"/>
              <w:rPr>
                <w:rFonts w:ascii="宋体" w:hAnsi="宋体" w:eastAsia="宋体" w:cs="Times New Roman"/>
                <w:sz w:val="18"/>
                <w:szCs w:val="18"/>
              </w:rPr>
            </w:pPr>
          </w:p>
        </w:tc>
        <w:tc>
          <w:tcPr>
            <w:tcW w:w="562" w:type="pct"/>
            <w:vMerge w:val="continue"/>
            <w:tcBorders>
              <w:top w:val="nil"/>
              <w:left w:val="single" w:color="000000" w:sz="4" w:space="0"/>
              <w:bottom w:val="single" w:color="000000" w:sz="4" w:space="0"/>
              <w:right w:val="single" w:color="000000" w:sz="4" w:space="0"/>
            </w:tcBorders>
            <w:vAlign w:val="center"/>
          </w:tcPr>
          <w:p w14:paraId="717505F6">
            <w:pPr>
              <w:widowControl/>
              <w:jc w:val="left"/>
              <w:rPr>
                <w:rFonts w:ascii="宋体" w:hAnsi="宋体" w:eastAsia="宋体" w:cs="Times New Roman"/>
                <w:sz w:val="18"/>
                <w:szCs w:val="18"/>
              </w:rPr>
            </w:pPr>
          </w:p>
        </w:tc>
        <w:tc>
          <w:tcPr>
            <w:tcW w:w="730" w:type="pct"/>
            <w:tcBorders>
              <w:top w:val="nil"/>
              <w:left w:val="nil"/>
              <w:bottom w:val="single" w:color="000000" w:sz="4" w:space="0"/>
              <w:right w:val="single" w:color="000000" w:sz="4" w:space="0"/>
            </w:tcBorders>
            <w:vAlign w:val="center"/>
          </w:tcPr>
          <w:p w14:paraId="23DE3BDE">
            <w:pPr>
              <w:widowControl/>
              <w:jc w:val="center"/>
              <w:rPr>
                <w:rFonts w:ascii="宋体" w:hAnsi="宋体" w:eastAsia="宋体" w:cs="Times New Roman"/>
                <w:sz w:val="18"/>
                <w:szCs w:val="18"/>
              </w:rPr>
            </w:pPr>
            <w:r>
              <w:rPr>
                <w:rFonts w:hint="eastAsia" w:ascii="宋体" w:hAnsi="宋体" w:eastAsia="宋体" w:cs="宋体"/>
                <w:sz w:val="18"/>
                <w:szCs w:val="18"/>
              </w:rPr>
              <w:t>印章刻制成本</w:t>
            </w:r>
          </w:p>
        </w:tc>
        <w:tc>
          <w:tcPr>
            <w:tcW w:w="215" w:type="pct"/>
            <w:tcBorders>
              <w:top w:val="nil"/>
              <w:left w:val="nil"/>
              <w:bottom w:val="single" w:color="000000" w:sz="4" w:space="0"/>
              <w:right w:val="single" w:color="000000" w:sz="4" w:space="0"/>
            </w:tcBorders>
            <w:vAlign w:val="center"/>
          </w:tcPr>
          <w:p w14:paraId="384A23CE">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30" w:type="pct"/>
            <w:tcBorders>
              <w:top w:val="nil"/>
              <w:left w:val="nil"/>
              <w:bottom w:val="single" w:color="000000" w:sz="4" w:space="0"/>
              <w:right w:val="single" w:color="000000" w:sz="4" w:space="0"/>
            </w:tcBorders>
            <w:vAlign w:val="center"/>
          </w:tcPr>
          <w:p w14:paraId="7F0F2D83">
            <w:pPr>
              <w:widowControl/>
              <w:jc w:val="center"/>
              <w:rPr>
                <w:rFonts w:ascii="宋体" w:hAnsi="宋体" w:eastAsia="宋体" w:cs="宋体"/>
                <w:sz w:val="18"/>
                <w:szCs w:val="18"/>
              </w:rPr>
            </w:pPr>
            <w:r>
              <w:rPr>
                <w:rFonts w:ascii="宋体" w:hAnsi="宋体" w:eastAsia="宋体" w:cs="宋体"/>
                <w:sz w:val="18"/>
                <w:szCs w:val="18"/>
              </w:rPr>
              <w:t>290</w:t>
            </w:r>
          </w:p>
        </w:tc>
        <w:tc>
          <w:tcPr>
            <w:tcW w:w="312" w:type="pct"/>
            <w:tcBorders>
              <w:top w:val="nil"/>
              <w:left w:val="nil"/>
              <w:bottom w:val="single" w:color="000000" w:sz="4" w:space="0"/>
              <w:right w:val="single" w:color="000000" w:sz="4" w:space="0"/>
            </w:tcBorders>
            <w:vAlign w:val="center"/>
          </w:tcPr>
          <w:p w14:paraId="1EAD9E1D">
            <w:pPr>
              <w:widowControl/>
              <w:jc w:val="center"/>
              <w:rPr>
                <w:rFonts w:ascii="宋体" w:hAnsi="宋体" w:eastAsia="宋体" w:cs="Times New Roman"/>
                <w:sz w:val="18"/>
                <w:szCs w:val="18"/>
              </w:rPr>
            </w:pPr>
            <w:r>
              <w:rPr>
                <w:rFonts w:hint="eastAsia" w:ascii="宋体" w:hAnsi="宋体" w:eastAsia="宋体" w:cs="宋体"/>
                <w:sz w:val="18"/>
                <w:szCs w:val="18"/>
              </w:rPr>
              <w:t>元</w:t>
            </w:r>
            <w:r>
              <w:rPr>
                <w:rFonts w:ascii="宋体" w:hAnsi="宋体" w:eastAsia="宋体" w:cs="宋体"/>
                <w:sz w:val="18"/>
                <w:szCs w:val="18"/>
              </w:rPr>
              <w:t>/</w:t>
            </w:r>
            <w:r>
              <w:rPr>
                <w:rFonts w:hint="eastAsia" w:ascii="宋体" w:hAnsi="宋体" w:eastAsia="宋体" w:cs="宋体"/>
                <w:sz w:val="18"/>
                <w:szCs w:val="18"/>
              </w:rPr>
              <w:t>套</w:t>
            </w:r>
          </w:p>
        </w:tc>
        <w:tc>
          <w:tcPr>
            <w:tcW w:w="458" w:type="pct"/>
            <w:tcBorders>
              <w:top w:val="nil"/>
              <w:left w:val="nil"/>
              <w:bottom w:val="single" w:color="000000" w:sz="4" w:space="0"/>
              <w:right w:val="single" w:color="000000" w:sz="4" w:space="0"/>
            </w:tcBorders>
            <w:vAlign w:val="center"/>
          </w:tcPr>
          <w:p w14:paraId="55857A11">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46" w:type="pct"/>
            <w:tcBorders>
              <w:top w:val="nil"/>
              <w:left w:val="nil"/>
              <w:bottom w:val="single" w:color="000000" w:sz="4" w:space="0"/>
              <w:right w:val="single" w:color="000000" w:sz="4" w:space="0"/>
            </w:tcBorders>
            <w:vAlign w:val="center"/>
          </w:tcPr>
          <w:p w14:paraId="091298B9">
            <w:pPr>
              <w:widowControl/>
              <w:jc w:val="center"/>
              <w:rPr>
                <w:rFonts w:ascii="宋体" w:hAnsi="宋体" w:eastAsia="宋体" w:cs="宋体"/>
                <w:sz w:val="18"/>
                <w:szCs w:val="18"/>
              </w:rPr>
            </w:pPr>
            <w:r>
              <w:rPr>
                <w:rFonts w:ascii="宋体" w:hAnsi="宋体" w:eastAsia="宋体" w:cs="宋体"/>
                <w:sz w:val="18"/>
                <w:szCs w:val="18"/>
              </w:rPr>
              <w:t>10</w:t>
            </w:r>
          </w:p>
        </w:tc>
        <w:tc>
          <w:tcPr>
            <w:tcW w:w="380" w:type="pct"/>
            <w:tcBorders>
              <w:top w:val="nil"/>
              <w:left w:val="nil"/>
              <w:bottom w:val="single" w:color="000000" w:sz="4" w:space="0"/>
              <w:right w:val="single" w:color="000000" w:sz="4" w:space="0"/>
            </w:tcBorders>
            <w:vAlign w:val="center"/>
          </w:tcPr>
          <w:p w14:paraId="0269F206">
            <w:pPr>
              <w:widowControl/>
              <w:jc w:val="center"/>
              <w:rPr>
                <w:rFonts w:ascii="宋体" w:hAnsi="宋体" w:eastAsia="宋体" w:cs="宋体"/>
                <w:sz w:val="18"/>
                <w:szCs w:val="18"/>
              </w:rPr>
            </w:pPr>
            <w:r>
              <w:rPr>
                <w:rFonts w:ascii="宋体" w:hAnsi="宋体" w:eastAsia="宋体" w:cs="宋体"/>
                <w:sz w:val="18"/>
                <w:szCs w:val="18"/>
              </w:rPr>
              <w:t>10</w:t>
            </w:r>
          </w:p>
        </w:tc>
        <w:tc>
          <w:tcPr>
            <w:tcW w:w="589" w:type="pct"/>
            <w:tcBorders>
              <w:top w:val="nil"/>
              <w:left w:val="nil"/>
              <w:bottom w:val="single" w:color="000000" w:sz="4" w:space="0"/>
              <w:right w:val="single" w:color="000000" w:sz="4" w:space="0"/>
            </w:tcBorders>
            <w:vAlign w:val="center"/>
          </w:tcPr>
          <w:p w14:paraId="22360A8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67418C90">
        <w:tblPrEx>
          <w:tblCellMar>
            <w:top w:w="0" w:type="dxa"/>
            <w:left w:w="108" w:type="dxa"/>
            <w:bottom w:w="0" w:type="dxa"/>
            <w:right w:w="108" w:type="dxa"/>
          </w:tblCellMar>
        </w:tblPrEx>
        <w:trPr>
          <w:trHeight w:val="285" w:hRule="atLeast"/>
        </w:trPr>
        <w:tc>
          <w:tcPr>
            <w:tcW w:w="3683" w:type="pct"/>
            <w:gridSpan w:val="8"/>
            <w:tcBorders>
              <w:top w:val="single" w:color="000000" w:sz="4" w:space="0"/>
              <w:left w:val="single" w:color="000000" w:sz="4" w:space="0"/>
              <w:bottom w:val="single" w:color="000000" w:sz="4" w:space="0"/>
              <w:right w:val="single" w:color="000000" w:sz="4" w:space="0"/>
            </w:tcBorders>
            <w:vAlign w:val="center"/>
          </w:tcPr>
          <w:p w14:paraId="7CCAB535">
            <w:pPr>
              <w:widowControl/>
              <w:jc w:val="center"/>
              <w:rPr>
                <w:rFonts w:ascii="宋体" w:hAnsi="宋体" w:eastAsia="宋体" w:cs="Times New Roman"/>
                <w:sz w:val="18"/>
                <w:szCs w:val="18"/>
              </w:rPr>
            </w:pPr>
            <w:r>
              <w:rPr>
                <w:rFonts w:hint="eastAsia" w:ascii="宋体" w:hAnsi="宋体" w:eastAsia="宋体" w:cs="宋体"/>
                <w:sz w:val="18"/>
                <w:szCs w:val="18"/>
              </w:rPr>
              <w:t>合计</w:t>
            </w:r>
          </w:p>
        </w:tc>
        <w:tc>
          <w:tcPr>
            <w:tcW w:w="346" w:type="pct"/>
            <w:tcBorders>
              <w:top w:val="nil"/>
              <w:left w:val="nil"/>
              <w:bottom w:val="single" w:color="000000" w:sz="4" w:space="0"/>
              <w:right w:val="single" w:color="000000" w:sz="4" w:space="0"/>
            </w:tcBorders>
            <w:vAlign w:val="center"/>
          </w:tcPr>
          <w:p w14:paraId="4FA10530">
            <w:pPr>
              <w:widowControl/>
              <w:jc w:val="center"/>
              <w:rPr>
                <w:rFonts w:ascii="宋体" w:hAnsi="宋体" w:eastAsia="宋体" w:cs="宋体"/>
                <w:sz w:val="18"/>
                <w:szCs w:val="18"/>
              </w:rPr>
            </w:pPr>
            <w:r>
              <w:rPr>
                <w:rFonts w:ascii="宋体" w:hAnsi="宋体" w:eastAsia="宋体" w:cs="宋体"/>
                <w:sz w:val="18"/>
                <w:szCs w:val="18"/>
              </w:rPr>
              <w:t>100</w:t>
            </w:r>
          </w:p>
        </w:tc>
        <w:tc>
          <w:tcPr>
            <w:tcW w:w="380" w:type="pct"/>
            <w:tcBorders>
              <w:top w:val="nil"/>
              <w:left w:val="nil"/>
              <w:bottom w:val="single" w:color="000000" w:sz="4" w:space="0"/>
              <w:right w:val="single" w:color="000000" w:sz="4" w:space="0"/>
            </w:tcBorders>
            <w:vAlign w:val="center"/>
          </w:tcPr>
          <w:p w14:paraId="27B641C3">
            <w:pPr>
              <w:widowControl/>
              <w:jc w:val="center"/>
              <w:rPr>
                <w:rFonts w:ascii="宋体" w:hAnsi="宋体" w:eastAsia="宋体" w:cs="宋体"/>
                <w:sz w:val="18"/>
                <w:szCs w:val="18"/>
              </w:rPr>
            </w:pPr>
            <w:r>
              <w:rPr>
                <w:rFonts w:ascii="宋体" w:hAnsi="宋体" w:eastAsia="宋体" w:cs="宋体"/>
                <w:sz w:val="18"/>
                <w:szCs w:val="18"/>
              </w:rPr>
              <w:t>93</w:t>
            </w:r>
          </w:p>
        </w:tc>
        <w:tc>
          <w:tcPr>
            <w:tcW w:w="589" w:type="pct"/>
            <w:tcBorders>
              <w:top w:val="nil"/>
              <w:left w:val="nil"/>
              <w:bottom w:val="single" w:color="000000" w:sz="4" w:space="0"/>
              <w:right w:val="single" w:color="000000" w:sz="4" w:space="0"/>
            </w:tcBorders>
            <w:vAlign w:val="center"/>
          </w:tcPr>
          <w:p w14:paraId="21425421">
            <w:pPr>
              <w:widowControl/>
              <w:jc w:val="left"/>
              <w:rPr>
                <w:rFonts w:ascii="宋体" w:hAnsi="宋体" w:eastAsia="宋体" w:cs="Times New Roman"/>
                <w:sz w:val="18"/>
                <w:szCs w:val="18"/>
              </w:rPr>
            </w:pPr>
            <w:r>
              <w:rPr>
                <w:rFonts w:hint="eastAsia" w:ascii="宋体" w:hAnsi="宋体" w:eastAsia="宋体" w:cs="宋体"/>
                <w:sz w:val="18"/>
                <w:szCs w:val="18"/>
              </w:rPr>
              <w:t>　</w:t>
            </w:r>
          </w:p>
        </w:tc>
      </w:tr>
      <w:tr w14:paraId="4703B0F4">
        <w:tblPrEx>
          <w:tblCellMar>
            <w:top w:w="0" w:type="dxa"/>
            <w:left w:w="108" w:type="dxa"/>
            <w:bottom w:w="0" w:type="dxa"/>
            <w:right w:w="108" w:type="dxa"/>
          </w:tblCellMar>
        </w:tblPrEx>
        <w:trPr>
          <w:trHeight w:val="739" w:hRule="atLeast"/>
        </w:trPr>
        <w:tc>
          <w:tcPr>
            <w:tcW w:w="311" w:type="pct"/>
            <w:tcBorders>
              <w:top w:val="nil"/>
              <w:left w:val="single" w:color="000000" w:sz="4" w:space="0"/>
              <w:bottom w:val="single" w:color="000000" w:sz="4" w:space="0"/>
              <w:right w:val="single" w:color="000000" w:sz="4" w:space="0"/>
            </w:tcBorders>
            <w:vAlign w:val="center"/>
          </w:tcPr>
          <w:p w14:paraId="7D7B7CE2">
            <w:pPr>
              <w:widowControl/>
              <w:jc w:val="center"/>
              <w:rPr>
                <w:rFonts w:ascii="宋体" w:hAnsi="宋体" w:eastAsia="宋体" w:cs="Times New Roman"/>
                <w:sz w:val="18"/>
                <w:szCs w:val="18"/>
              </w:rPr>
            </w:pPr>
            <w:r>
              <w:rPr>
                <w:rFonts w:hint="eastAsia" w:ascii="宋体" w:hAnsi="宋体" w:eastAsia="宋体" w:cs="宋体"/>
                <w:sz w:val="18"/>
                <w:szCs w:val="18"/>
              </w:rPr>
              <w:t>评价结论</w:t>
            </w:r>
          </w:p>
        </w:tc>
        <w:tc>
          <w:tcPr>
            <w:tcW w:w="4688" w:type="pct"/>
            <w:gridSpan w:val="10"/>
            <w:tcBorders>
              <w:top w:val="single" w:color="000000" w:sz="4" w:space="0"/>
              <w:left w:val="nil"/>
              <w:bottom w:val="single" w:color="000000" w:sz="4" w:space="0"/>
              <w:right w:val="single" w:color="000000" w:sz="4" w:space="0"/>
            </w:tcBorders>
            <w:vAlign w:val="center"/>
          </w:tcPr>
          <w:p w14:paraId="0E02A852">
            <w:pPr>
              <w:widowControl/>
              <w:jc w:val="left"/>
              <w:rPr>
                <w:rFonts w:ascii="宋体" w:hAnsi="宋体" w:eastAsia="宋体" w:cs="Times New Roman"/>
                <w:sz w:val="18"/>
                <w:szCs w:val="18"/>
              </w:rPr>
            </w:pPr>
            <w:r>
              <w:rPr>
                <w:rFonts w:hint="eastAsia" w:ascii="宋体" w:hAnsi="宋体" w:eastAsia="宋体" w:cs="宋体"/>
                <w:sz w:val="18"/>
                <w:szCs w:val="18"/>
              </w:rPr>
              <w:t>经过对项目资料、财务资料及台账等资料的分析，逐项进行自我评价，并结合社会评估得分，最终项目综合得分为</w:t>
            </w:r>
            <w:r>
              <w:rPr>
                <w:rFonts w:ascii="宋体" w:hAnsi="宋体" w:eastAsia="宋体" w:cs="宋体"/>
                <w:sz w:val="18"/>
                <w:szCs w:val="18"/>
              </w:rPr>
              <w:t>93</w:t>
            </w:r>
            <w:r>
              <w:rPr>
                <w:rFonts w:hint="eastAsia" w:ascii="宋体" w:hAnsi="宋体" w:eastAsia="宋体" w:cs="宋体"/>
                <w:sz w:val="18"/>
                <w:szCs w:val="18"/>
              </w:rPr>
              <w:t>分。通过大力实施“营商环境优化提升年”行动，持续深化行政审批制度改革、持续提升政务服务水平，为安居高质量发展提供“加速度”。由“政府买单”为新开办企业免费刻制</w:t>
            </w:r>
            <w:r>
              <w:rPr>
                <w:rFonts w:ascii="宋体" w:hAnsi="宋体" w:eastAsia="宋体" w:cs="宋体"/>
                <w:sz w:val="18"/>
                <w:szCs w:val="18"/>
              </w:rPr>
              <w:t>1</w:t>
            </w:r>
            <w:r>
              <w:rPr>
                <w:rFonts w:hint="eastAsia" w:ascii="宋体" w:hAnsi="宋体" w:eastAsia="宋体" w:cs="宋体"/>
                <w:sz w:val="18"/>
                <w:szCs w:val="18"/>
              </w:rPr>
              <w:t>套印章，真正实现了企业开办“零费用”。完成全区集中采购目录内的项目成交金额</w:t>
            </w:r>
            <w:r>
              <w:rPr>
                <w:rFonts w:ascii="宋体" w:hAnsi="宋体" w:eastAsia="宋体" w:cs="宋体"/>
                <w:sz w:val="18"/>
                <w:szCs w:val="18"/>
              </w:rPr>
              <w:t>2781.65</w:t>
            </w:r>
            <w:r>
              <w:rPr>
                <w:rFonts w:hint="eastAsia" w:ascii="宋体" w:hAnsi="宋体" w:eastAsia="宋体" w:cs="宋体"/>
                <w:sz w:val="18"/>
                <w:szCs w:val="18"/>
              </w:rPr>
              <w:t>万元，节约财政资金</w:t>
            </w:r>
            <w:r>
              <w:rPr>
                <w:rFonts w:ascii="宋体" w:hAnsi="宋体" w:eastAsia="宋体" w:cs="宋体"/>
                <w:sz w:val="18"/>
                <w:szCs w:val="18"/>
              </w:rPr>
              <w:t>243.33</w:t>
            </w:r>
            <w:r>
              <w:rPr>
                <w:rFonts w:hint="eastAsia" w:ascii="宋体" w:hAnsi="宋体" w:eastAsia="宋体" w:cs="宋体"/>
                <w:sz w:val="18"/>
                <w:szCs w:val="18"/>
              </w:rPr>
              <w:t>万元。</w:t>
            </w:r>
          </w:p>
        </w:tc>
      </w:tr>
      <w:tr w14:paraId="40B54958">
        <w:tblPrEx>
          <w:tblCellMar>
            <w:top w:w="0" w:type="dxa"/>
            <w:left w:w="108" w:type="dxa"/>
            <w:bottom w:w="0" w:type="dxa"/>
            <w:right w:w="108" w:type="dxa"/>
          </w:tblCellMar>
        </w:tblPrEx>
        <w:trPr>
          <w:trHeight w:val="574" w:hRule="atLeast"/>
        </w:trPr>
        <w:tc>
          <w:tcPr>
            <w:tcW w:w="311" w:type="pct"/>
            <w:tcBorders>
              <w:top w:val="nil"/>
              <w:left w:val="single" w:color="000000" w:sz="4" w:space="0"/>
              <w:bottom w:val="single" w:color="000000" w:sz="4" w:space="0"/>
              <w:right w:val="single" w:color="000000" w:sz="4" w:space="0"/>
            </w:tcBorders>
            <w:vAlign w:val="center"/>
          </w:tcPr>
          <w:p w14:paraId="3F0E230C">
            <w:pPr>
              <w:widowControl/>
              <w:jc w:val="center"/>
              <w:rPr>
                <w:rFonts w:ascii="宋体" w:hAnsi="宋体" w:eastAsia="宋体" w:cs="Times New Roman"/>
                <w:sz w:val="18"/>
                <w:szCs w:val="18"/>
              </w:rPr>
            </w:pPr>
            <w:r>
              <w:rPr>
                <w:rFonts w:hint="eastAsia" w:ascii="宋体" w:hAnsi="宋体" w:eastAsia="宋体" w:cs="宋体"/>
                <w:sz w:val="18"/>
                <w:szCs w:val="18"/>
              </w:rPr>
              <w:t>存在问题</w:t>
            </w:r>
          </w:p>
        </w:tc>
        <w:tc>
          <w:tcPr>
            <w:tcW w:w="4688" w:type="pct"/>
            <w:gridSpan w:val="10"/>
            <w:tcBorders>
              <w:top w:val="single" w:color="000000" w:sz="4" w:space="0"/>
              <w:left w:val="nil"/>
              <w:bottom w:val="single" w:color="000000" w:sz="4" w:space="0"/>
              <w:right w:val="single" w:color="000000" w:sz="4" w:space="0"/>
            </w:tcBorders>
            <w:vAlign w:val="center"/>
          </w:tcPr>
          <w:p w14:paraId="0C3C876A">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563390EF">
        <w:tblPrEx>
          <w:tblCellMar>
            <w:top w:w="0" w:type="dxa"/>
            <w:left w:w="108" w:type="dxa"/>
            <w:bottom w:w="0" w:type="dxa"/>
            <w:right w:w="108" w:type="dxa"/>
          </w:tblCellMar>
        </w:tblPrEx>
        <w:trPr>
          <w:trHeight w:val="634" w:hRule="atLeast"/>
        </w:trPr>
        <w:tc>
          <w:tcPr>
            <w:tcW w:w="311" w:type="pct"/>
            <w:tcBorders>
              <w:top w:val="nil"/>
              <w:left w:val="single" w:color="000000" w:sz="4" w:space="0"/>
              <w:bottom w:val="single" w:color="000000" w:sz="4" w:space="0"/>
              <w:right w:val="single" w:color="000000" w:sz="4" w:space="0"/>
            </w:tcBorders>
            <w:vAlign w:val="center"/>
          </w:tcPr>
          <w:p w14:paraId="5188C637">
            <w:pPr>
              <w:widowControl/>
              <w:jc w:val="center"/>
              <w:rPr>
                <w:rFonts w:ascii="宋体" w:hAnsi="宋体" w:eastAsia="宋体" w:cs="Times New Roman"/>
                <w:sz w:val="18"/>
                <w:szCs w:val="18"/>
              </w:rPr>
            </w:pPr>
            <w:r>
              <w:rPr>
                <w:rFonts w:hint="eastAsia" w:ascii="宋体" w:hAnsi="宋体" w:eastAsia="宋体" w:cs="宋体"/>
                <w:sz w:val="18"/>
                <w:szCs w:val="18"/>
              </w:rPr>
              <w:t>改进措施</w:t>
            </w:r>
          </w:p>
        </w:tc>
        <w:tc>
          <w:tcPr>
            <w:tcW w:w="4688" w:type="pct"/>
            <w:gridSpan w:val="10"/>
            <w:tcBorders>
              <w:top w:val="single" w:color="000000" w:sz="4" w:space="0"/>
              <w:left w:val="nil"/>
              <w:bottom w:val="single" w:color="000000" w:sz="4" w:space="0"/>
              <w:right w:val="single" w:color="000000" w:sz="4" w:space="0"/>
            </w:tcBorders>
            <w:vAlign w:val="center"/>
          </w:tcPr>
          <w:p w14:paraId="2B026DBF">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0BBCBA4E">
        <w:tblPrEx>
          <w:tblCellMar>
            <w:top w:w="0" w:type="dxa"/>
            <w:left w:w="108" w:type="dxa"/>
            <w:bottom w:w="0" w:type="dxa"/>
            <w:right w:w="108" w:type="dxa"/>
          </w:tblCellMar>
        </w:tblPrEx>
        <w:trPr>
          <w:trHeight w:val="285" w:hRule="atLeast"/>
        </w:trPr>
        <w:tc>
          <w:tcPr>
            <w:tcW w:w="2482" w:type="pct"/>
            <w:gridSpan w:val="5"/>
            <w:tcBorders>
              <w:top w:val="single" w:color="000000" w:sz="4" w:space="0"/>
              <w:left w:val="single" w:color="000000" w:sz="4" w:space="0"/>
              <w:bottom w:val="single" w:color="000000" w:sz="4" w:space="0"/>
              <w:right w:val="single" w:color="000000" w:sz="4" w:space="0"/>
            </w:tcBorders>
            <w:vAlign w:val="center"/>
          </w:tcPr>
          <w:p w14:paraId="20CBA70D">
            <w:pPr>
              <w:widowControl/>
              <w:jc w:val="left"/>
              <w:rPr>
                <w:rFonts w:ascii="Courier New" w:hAnsi="Courier New" w:eastAsia="宋体" w:cs="Times New Roman"/>
                <w:sz w:val="18"/>
                <w:szCs w:val="18"/>
              </w:rPr>
            </w:pPr>
            <w:r>
              <w:rPr>
                <w:rFonts w:hint="eastAsia" w:ascii="Courier New" w:hAnsi="Courier New" w:eastAsia="宋体" w:cs="宋体"/>
                <w:sz w:val="18"/>
                <w:szCs w:val="18"/>
              </w:rPr>
              <w:t>项目负责人：蒙晓萍</w:t>
            </w:r>
          </w:p>
        </w:tc>
        <w:tc>
          <w:tcPr>
            <w:tcW w:w="2517" w:type="pct"/>
            <w:gridSpan w:val="6"/>
            <w:tcBorders>
              <w:top w:val="single" w:color="000000" w:sz="4" w:space="0"/>
              <w:left w:val="nil"/>
              <w:bottom w:val="single" w:color="000000" w:sz="4" w:space="0"/>
              <w:right w:val="single" w:color="000000" w:sz="4" w:space="0"/>
            </w:tcBorders>
            <w:vAlign w:val="center"/>
          </w:tcPr>
          <w:p w14:paraId="73991CA2">
            <w:pPr>
              <w:widowControl/>
              <w:jc w:val="left"/>
              <w:rPr>
                <w:rFonts w:ascii="Courier New" w:hAnsi="Courier New" w:eastAsia="宋体" w:cs="Times New Roman"/>
                <w:sz w:val="18"/>
                <w:szCs w:val="18"/>
              </w:rPr>
            </w:pPr>
            <w:r>
              <w:rPr>
                <w:rFonts w:hint="eastAsia" w:ascii="Courier New" w:hAnsi="Courier New" w:eastAsia="宋体" w:cs="宋体"/>
                <w:sz w:val="18"/>
                <w:szCs w:val="18"/>
              </w:rPr>
              <w:t>财务负责人：谭春乔</w:t>
            </w:r>
          </w:p>
        </w:tc>
      </w:tr>
    </w:tbl>
    <w:p w14:paraId="12636BFC">
      <w:pPr>
        <w:pStyle w:val="200"/>
        <w:ind w:left="632" w:firstLine="632"/>
        <w:rPr>
          <w:rFonts w:ascii="Times New Roman" w:eastAsia="黑体" w:cs="Times New Roman"/>
          <w:shd w:val="clear" w:color="auto" w:fill="FFFFFF"/>
          <w:lang w:val="zh-CN"/>
        </w:rPr>
      </w:pPr>
    </w:p>
    <w:p w14:paraId="6215F1A2">
      <w:pPr>
        <w:pStyle w:val="200"/>
        <w:ind w:left="632" w:firstLine="632"/>
        <w:rPr>
          <w:rFonts w:ascii="Times New Roman" w:eastAsia="黑体" w:cs="Times New Roman"/>
          <w:shd w:val="clear" w:color="auto" w:fill="FFFFFF"/>
          <w:lang w:val="zh-CN"/>
        </w:rPr>
      </w:pPr>
    </w:p>
    <w:tbl>
      <w:tblPr>
        <w:tblStyle w:val="35"/>
        <w:tblW w:w="5000" w:type="pct"/>
        <w:tblInd w:w="2" w:type="dxa"/>
        <w:tblLayout w:type="fixed"/>
        <w:tblCellMar>
          <w:top w:w="0" w:type="dxa"/>
          <w:left w:w="108" w:type="dxa"/>
          <w:bottom w:w="0" w:type="dxa"/>
          <w:right w:w="108" w:type="dxa"/>
        </w:tblCellMar>
      </w:tblPr>
      <w:tblGrid>
        <w:gridCol w:w="574"/>
        <w:gridCol w:w="1152"/>
        <w:gridCol w:w="978"/>
        <w:gridCol w:w="1281"/>
        <w:gridCol w:w="397"/>
        <w:gridCol w:w="911"/>
        <w:gridCol w:w="756"/>
        <w:gridCol w:w="1065"/>
        <w:gridCol w:w="688"/>
        <w:gridCol w:w="625"/>
        <w:gridCol w:w="815"/>
      </w:tblGrid>
      <w:tr w14:paraId="46B52E72">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26E30C10">
            <w:pPr>
              <w:widowControl/>
              <w:jc w:val="center"/>
              <w:rPr>
                <w:rFonts w:ascii="黑体" w:hAnsi="黑体" w:eastAsia="黑体" w:cs="Times New Roman"/>
                <w:b/>
                <w:bCs/>
                <w:sz w:val="30"/>
                <w:szCs w:val="30"/>
              </w:rPr>
            </w:pPr>
            <w:r>
              <w:rPr>
                <w:rFonts w:hint="eastAsia" w:ascii="黑体" w:hAnsi="黑体" w:eastAsia="黑体" w:cs="黑体"/>
                <w:b/>
                <w:bCs/>
                <w:sz w:val="30"/>
                <w:szCs w:val="30"/>
              </w:rPr>
              <w:t>部门预算项目支出绩效自评表（</w:t>
            </w:r>
            <w:r>
              <w:rPr>
                <w:rFonts w:ascii="黑体" w:hAnsi="黑体" w:eastAsia="黑体" w:cs="黑体"/>
                <w:b/>
                <w:bCs/>
                <w:sz w:val="30"/>
                <w:szCs w:val="30"/>
              </w:rPr>
              <w:t>2024</w:t>
            </w:r>
            <w:r>
              <w:rPr>
                <w:rFonts w:hint="eastAsia" w:ascii="黑体" w:hAnsi="黑体" w:eastAsia="黑体" w:cs="黑体"/>
                <w:b/>
                <w:bCs/>
                <w:sz w:val="30"/>
                <w:szCs w:val="30"/>
              </w:rPr>
              <w:t>年度）</w:t>
            </w:r>
          </w:p>
        </w:tc>
      </w:tr>
      <w:tr w14:paraId="2CBFF90D">
        <w:tblPrEx>
          <w:tblCellMar>
            <w:top w:w="0" w:type="dxa"/>
            <w:left w:w="108" w:type="dxa"/>
            <w:bottom w:w="0" w:type="dxa"/>
            <w:right w:w="108" w:type="dxa"/>
          </w:tblCellMar>
        </w:tblPrEx>
        <w:trPr>
          <w:trHeight w:val="285" w:hRule="atLeast"/>
        </w:trPr>
        <w:tc>
          <w:tcPr>
            <w:tcW w:w="933" w:type="pct"/>
            <w:gridSpan w:val="2"/>
            <w:tcBorders>
              <w:top w:val="single" w:color="000000" w:sz="4" w:space="0"/>
              <w:left w:val="single" w:color="000000" w:sz="4" w:space="0"/>
              <w:bottom w:val="single" w:color="000000" w:sz="4" w:space="0"/>
              <w:right w:val="single" w:color="000000" w:sz="4" w:space="0"/>
            </w:tcBorders>
            <w:vAlign w:val="center"/>
          </w:tcPr>
          <w:p w14:paraId="2D6D1B82">
            <w:pPr>
              <w:widowControl/>
              <w:jc w:val="left"/>
              <w:rPr>
                <w:rFonts w:ascii="宋体" w:hAnsi="宋体" w:eastAsia="宋体" w:cs="Times New Roman"/>
                <w:sz w:val="18"/>
                <w:szCs w:val="18"/>
              </w:rPr>
            </w:pPr>
            <w:r>
              <w:rPr>
                <w:rFonts w:hint="eastAsia" w:ascii="宋体" w:hAnsi="宋体" w:eastAsia="宋体" w:cs="宋体"/>
                <w:sz w:val="18"/>
                <w:szCs w:val="18"/>
              </w:rPr>
              <w:t>项目名称</w:t>
            </w:r>
          </w:p>
        </w:tc>
        <w:tc>
          <w:tcPr>
            <w:tcW w:w="4066" w:type="pct"/>
            <w:gridSpan w:val="9"/>
            <w:tcBorders>
              <w:top w:val="single" w:color="000000" w:sz="4" w:space="0"/>
              <w:left w:val="nil"/>
              <w:bottom w:val="single" w:color="000000" w:sz="4" w:space="0"/>
              <w:right w:val="single" w:color="000000" w:sz="4" w:space="0"/>
            </w:tcBorders>
            <w:vAlign w:val="center"/>
          </w:tcPr>
          <w:p w14:paraId="70BB352C">
            <w:pPr>
              <w:widowControl/>
              <w:jc w:val="left"/>
              <w:rPr>
                <w:rFonts w:ascii="宋体" w:hAnsi="宋体" w:eastAsia="宋体" w:cs="Times New Roman"/>
                <w:sz w:val="18"/>
                <w:szCs w:val="18"/>
              </w:rPr>
            </w:pPr>
            <w:r>
              <w:rPr>
                <w:rFonts w:ascii="宋体" w:hAnsi="宋体" w:eastAsia="宋体" w:cs="宋体"/>
                <w:sz w:val="18"/>
                <w:szCs w:val="18"/>
              </w:rPr>
              <w:t>51090424T000011124315-2024</w:t>
            </w:r>
            <w:r>
              <w:rPr>
                <w:rFonts w:hint="eastAsia" w:ascii="宋体" w:hAnsi="宋体" w:eastAsia="宋体" w:cs="宋体"/>
                <w:sz w:val="18"/>
                <w:szCs w:val="18"/>
              </w:rPr>
              <w:t>年办事大厅运转运行费</w:t>
            </w:r>
          </w:p>
        </w:tc>
      </w:tr>
      <w:tr w14:paraId="1F458E49">
        <w:tblPrEx>
          <w:tblCellMar>
            <w:top w:w="0" w:type="dxa"/>
            <w:left w:w="108" w:type="dxa"/>
            <w:bottom w:w="0" w:type="dxa"/>
            <w:right w:w="108" w:type="dxa"/>
          </w:tblCellMar>
        </w:tblPrEx>
        <w:trPr>
          <w:trHeight w:val="514" w:hRule="atLeast"/>
        </w:trPr>
        <w:tc>
          <w:tcPr>
            <w:tcW w:w="933" w:type="pct"/>
            <w:gridSpan w:val="2"/>
            <w:tcBorders>
              <w:top w:val="single" w:color="000000" w:sz="4" w:space="0"/>
              <w:left w:val="single" w:color="000000" w:sz="4" w:space="0"/>
              <w:bottom w:val="single" w:color="000000" w:sz="4" w:space="0"/>
              <w:right w:val="single" w:color="000000" w:sz="4" w:space="0"/>
            </w:tcBorders>
            <w:vAlign w:val="center"/>
          </w:tcPr>
          <w:p w14:paraId="65796CB1">
            <w:pPr>
              <w:widowControl/>
              <w:jc w:val="left"/>
              <w:rPr>
                <w:rFonts w:ascii="宋体" w:hAnsi="宋体" w:eastAsia="宋体" w:cs="Times New Roman"/>
                <w:sz w:val="18"/>
                <w:szCs w:val="18"/>
              </w:rPr>
            </w:pPr>
            <w:r>
              <w:rPr>
                <w:rFonts w:hint="eastAsia" w:ascii="宋体" w:hAnsi="宋体" w:eastAsia="宋体" w:cs="宋体"/>
                <w:sz w:val="18"/>
                <w:szCs w:val="18"/>
              </w:rPr>
              <w:t>主管部门</w:t>
            </w:r>
          </w:p>
        </w:tc>
        <w:tc>
          <w:tcPr>
            <w:tcW w:w="2338" w:type="pct"/>
            <w:gridSpan w:val="5"/>
            <w:tcBorders>
              <w:top w:val="single" w:color="000000" w:sz="4" w:space="0"/>
              <w:left w:val="nil"/>
              <w:bottom w:val="single" w:color="000000" w:sz="4" w:space="0"/>
              <w:right w:val="single" w:color="000000" w:sz="4" w:space="0"/>
            </w:tcBorders>
            <w:vAlign w:val="center"/>
          </w:tcPr>
          <w:p w14:paraId="708FA568">
            <w:pPr>
              <w:widowControl/>
              <w:jc w:val="left"/>
              <w:rPr>
                <w:rFonts w:ascii="宋体" w:hAnsi="宋体" w:eastAsia="宋体" w:cs="Times New Roman"/>
                <w:sz w:val="18"/>
                <w:szCs w:val="18"/>
              </w:rPr>
            </w:pPr>
            <w:r>
              <w:rPr>
                <w:rFonts w:hint="eastAsia" w:ascii="宋体" w:hAnsi="宋体" w:eastAsia="宋体" w:cs="宋体"/>
                <w:sz w:val="18"/>
                <w:szCs w:val="18"/>
              </w:rPr>
              <w:t>遂宁市安居区行政审批和数据局部门</w:t>
            </w:r>
          </w:p>
        </w:tc>
        <w:tc>
          <w:tcPr>
            <w:tcW w:w="576" w:type="pct"/>
            <w:tcBorders>
              <w:top w:val="nil"/>
              <w:left w:val="nil"/>
              <w:bottom w:val="nil"/>
              <w:right w:val="nil"/>
            </w:tcBorders>
            <w:vAlign w:val="center"/>
          </w:tcPr>
          <w:p w14:paraId="273DE76A">
            <w:pPr>
              <w:widowControl/>
              <w:jc w:val="left"/>
              <w:rPr>
                <w:rFonts w:ascii="Courier New" w:hAnsi="Courier New" w:eastAsia="宋体" w:cs="Times New Roman"/>
                <w:sz w:val="18"/>
                <w:szCs w:val="18"/>
              </w:rPr>
            </w:pPr>
            <w:r>
              <w:rPr>
                <w:rFonts w:hint="eastAsia" w:ascii="Courier New" w:hAnsi="Courier New" w:eastAsia="宋体" w:cs="宋体"/>
                <w:sz w:val="18"/>
                <w:szCs w:val="18"/>
              </w:rPr>
              <w:t>实施单位</w:t>
            </w:r>
            <w:r>
              <w:rPr>
                <w:rFonts w:ascii="Courier New" w:hAnsi="Courier New" w:eastAsia="宋体" w:cs="Courier New"/>
                <w:sz w:val="18"/>
                <w:szCs w:val="18"/>
              </w:rPr>
              <w:t xml:space="preserve"> </w:t>
            </w:r>
            <w:r>
              <w:rPr>
                <w:rFonts w:hint="eastAsia" w:ascii="Courier New" w:hAnsi="Courier New" w:eastAsia="宋体" w:cs="宋体"/>
                <w:sz w:val="18"/>
                <w:szCs w:val="18"/>
              </w:rPr>
              <w:t>（盖章）</w:t>
            </w:r>
          </w:p>
        </w:tc>
        <w:tc>
          <w:tcPr>
            <w:tcW w:w="1151" w:type="pct"/>
            <w:gridSpan w:val="3"/>
            <w:tcBorders>
              <w:top w:val="single" w:color="000000" w:sz="4" w:space="0"/>
              <w:left w:val="single" w:color="000000" w:sz="4" w:space="0"/>
              <w:bottom w:val="single" w:color="000000" w:sz="4" w:space="0"/>
              <w:right w:val="single" w:color="000000" w:sz="4" w:space="0"/>
            </w:tcBorders>
            <w:vAlign w:val="center"/>
          </w:tcPr>
          <w:p w14:paraId="435D8F4B">
            <w:pPr>
              <w:widowControl/>
              <w:jc w:val="center"/>
              <w:rPr>
                <w:rFonts w:ascii="宋体" w:hAnsi="宋体" w:eastAsia="宋体" w:cs="Times New Roman"/>
                <w:sz w:val="18"/>
                <w:szCs w:val="18"/>
              </w:rPr>
            </w:pPr>
            <w:r>
              <w:rPr>
                <w:rFonts w:hint="eastAsia" w:ascii="宋体" w:hAnsi="宋体" w:eastAsia="宋体" w:cs="宋体"/>
                <w:sz w:val="18"/>
                <w:szCs w:val="18"/>
              </w:rPr>
              <w:t>遂宁市安居区行政审批和数据局</w:t>
            </w:r>
          </w:p>
        </w:tc>
      </w:tr>
      <w:tr w14:paraId="7B0D997D">
        <w:tblPrEx>
          <w:tblCellMar>
            <w:top w:w="0" w:type="dxa"/>
            <w:left w:w="108" w:type="dxa"/>
            <w:bottom w:w="0" w:type="dxa"/>
            <w:right w:w="108" w:type="dxa"/>
          </w:tblCellMar>
        </w:tblPrEx>
        <w:trPr>
          <w:trHeight w:val="285" w:hRule="atLeast"/>
        </w:trPr>
        <w:tc>
          <w:tcPr>
            <w:tcW w:w="310" w:type="pct"/>
            <w:vMerge w:val="restart"/>
            <w:tcBorders>
              <w:top w:val="nil"/>
              <w:left w:val="single" w:color="000000" w:sz="4" w:space="0"/>
              <w:bottom w:val="single" w:color="000000" w:sz="4" w:space="0"/>
              <w:right w:val="single" w:color="000000" w:sz="4" w:space="0"/>
            </w:tcBorders>
            <w:vAlign w:val="center"/>
          </w:tcPr>
          <w:p w14:paraId="62CC3E4B">
            <w:pPr>
              <w:widowControl/>
              <w:jc w:val="left"/>
              <w:rPr>
                <w:rFonts w:ascii="宋体" w:hAnsi="宋体" w:eastAsia="宋体" w:cs="Times New Roman"/>
                <w:sz w:val="18"/>
                <w:szCs w:val="18"/>
              </w:rPr>
            </w:pPr>
            <w:r>
              <w:rPr>
                <w:rFonts w:hint="eastAsia" w:ascii="宋体" w:hAnsi="宋体" w:eastAsia="宋体" w:cs="宋体"/>
                <w:sz w:val="18"/>
                <w:szCs w:val="18"/>
              </w:rPr>
              <w:t>项目基本情况</w:t>
            </w:r>
          </w:p>
        </w:tc>
        <w:tc>
          <w:tcPr>
            <w:tcW w:w="623" w:type="pct"/>
            <w:vMerge w:val="restart"/>
            <w:tcBorders>
              <w:top w:val="nil"/>
              <w:left w:val="single" w:color="000000" w:sz="4" w:space="0"/>
              <w:bottom w:val="single" w:color="000000" w:sz="4" w:space="0"/>
              <w:right w:val="single" w:color="000000" w:sz="4" w:space="0"/>
            </w:tcBorders>
            <w:vAlign w:val="center"/>
          </w:tcPr>
          <w:p w14:paraId="78EA95F4">
            <w:pPr>
              <w:widowControl/>
              <w:jc w:val="left"/>
              <w:rPr>
                <w:rFonts w:ascii="宋体" w:hAnsi="宋体" w:eastAsia="宋体" w:cs="Times New Roman"/>
                <w:sz w:val="18"/>
                <w:szCs w:val="18"/>
              </w:rPr>
            </w:pPr>
            <w:r>
              <w:rPr>
                <w:rFonts w:ascii="宋体" w:hAnsi="宋体" w:eastAsia="宋体" w:cs="宋体"/>
                <w:sz w:val="18"/>
                <w:szCs w:val="18"/>
              </w:rPr>
              <w:t>1.</w:t>
            </w:r>
            <w:r>
              <w:rPr>
                <w:rFonts w:hint="eastAsia" w:ascii="宋体" w:hAnsi="宋体" w:eastAsia="宋体" w:cs="宋体"/>
                <w:sz w:val="18"/>
                <w:szCs w:val="18"/>
              </w:rPr>
              <w:t>项目年度目标完成情况</w:t>
            </w:r>
          </w:p>
        </w:tc>
        <w:tc>
          <w:tcPr>
            <w:tcW w:w="2338" w:type="pct"/>
            <w:gridSpan w:val="5"/>
            <w:tcBorders>
              <w:top w:val="single" w:color="000000" w:sz="4" w:space="0"/>
              <w:left w:val="nil"/>
              <w:bottom w:val="single" w:color="000000" w:sz="4" w:space="0"/>
              <w:right w:val="single" w:color="000000" w:sz="4" w:space="0"/>
            </w:tcBorders>
            <w:vAlign w:val="center"/>
          </w:tcPr>
          <w:p w14:paraId="0C4F9757">
            <w:pPr>
              <w:widowControl/>
              <w:jc w:val="center"/>
              <w:rPr>
                <w:rFonts w:ascii="宋体" w:hAnsi="宋体" w:eastAsia="宋体" w:cs="Times New Roman"/>
                <w:sz w:val="18"/>
                <w:szCs w:val="18"/>
              </w:rPr>
            </w:pPr>
            <w:r>
              <w:rPr>
                <w:rFonts w:hint="eastAsia" w:ascii="宋体" w:hAnsi="宋体" w:eastAsia="宋体" w:cs="宋体"/>
                <w:sz w:val="18"/>
                <w:szCs w:val="18"/>
              </w:rPr>
              <w:t>项目年度目标</w:t>
            </w:r>
          </w:p>
        </w:tc>
        <w:tc>
          <w:tcPr>
            <w:tcW w:w="1727" w:type="pct"/>
            <w:gridSpan w:val="4"/>
            <w:tcBorders>
              <w:top w:val="single" w:color="000000" w:sz="4" w:space="0"/>
              <w:left w:val="nil"/>
              <w:bottom w:val="single" w:color="000000" w:sz="4" w:space="0"/>
              <w:right w:val="single" w:color="000000" w:sz="4" w:space="0"/>
            </w:tcBorders>
            <w:vAlign w:val="center"/>
          </w:tcPr>
          <w:p w14:paraId="0A162A6E">
            <w:pPr>
              <w:widowControl/>
              <w:jc w:val="center"/>
              <w:rPr>
                <w:rFonts w:ascii="Courier New" w:hAnsi="Courier New" w:eastAsia="宋体" w:cs="Times New Roman"/>
                <w:sz w:val="18"/>
                <w:szCs w:val="18"/>
              </w:rPr>
            </w:pPr>
            <w:r>
              <w:rPr>
                <w:rFonts w:hint="eastAsia" w:ascii="Courier New" w:hAnsi="Courier New" w:eastAsia="宋体" w:cs="宋体"/>
                <w:sz w:val="18"/>
                <w:szCs w:val="18"/>
              </w:rPr>
              <w:t>年度目标完成情况</w:t>
            </w:r>
          </w:p>
        </w:tc>
      </w:tr>
      <w:tr w14:paraId="4EBCB337">
        <w:tblPrEx>
          <w:tblCellMar>
            <w:top w:w="0" w:type="dxa"/>
            <w:left w:w="108" w:type="dxa"/>
            <w:bottom w:w="0" w:type="dxa"/>
            <w:right w:w="108" w:type="dxa"/>
          </w:tblCellMar>
        </w:tblPrEx>
        <w:trPr>
          <w:trHeight w:val="709" w:hRule="atLeast"/>
        </w:trPr>
        <w:tc>
          <w:tcPr>
            <w:tcW w:w="310" w:type="pct"/>
            <w:vMerge w:val="continue"/>
            <w:tcBorders>
              <w:top w:val="nil"/>
              <w:left w:val="single" w:color="000000" w:sz="4" w:space="0"/>
              <w:bottom w:val="single" w:color="000000" w:sz="4" w:space="0"/>
              <w:right w:val="single" w:color="000000" w:sz="4" w:space="0"/>
            </w:tcBorders>
            <w:vAlign w:val="center"/>
          </w:tcPr>
          <w:p w14:paraId="787D9551">
            <w:pPr>
              <w:widowControl/>
              <w:jc w:val="left"/>
              <w:rPr>
                <w:rFonts w:ascii="宋体" w:hAnsi="宋体" w:eastAsia="宋体" w:cs="Times New Roman"/>
                <w:sz w:val="18"/>
                <w:szCs w:val="18"/>
              </w:rPr>
            </w:pPr>
          </w:p>
        </w:tc>
        <w:tc>
          <w:tcPr>
            <w:tcW w:w="623" w:type="pct"/>
            <w:vMerge w:val="continue"/>
            <w:tcBorders>
              <w:top w:val="nil"/>
              <w:left w:val="single" w:color="000000" w:sz="4" w:space="0"/>
              <w:bottom w:val="single" w:color="000000" w:sz="4" w:space="0"/>
              <w:right w:val="single" w:color="000000" w:sz="4" w:space="0"/>
            </w:tcBorders>
            <w:vAlign w:val="center"/>
          </w:tcPr>
          <w:p w14:paraId="666FBDA9">
            <w:pPr>
              <w:widowControl/>
              <w:jc w:val="left"/>
              <w:rPr>
                <w:rFonts w:ascii="宋体" w:hAnsi="宋体" w:eastAsia="宋体" w:cs="Times New Roman"/>
                <w:sz w:val="18"/>
                <w:szCs w:val="18"/>
              </w:rPr>
            </w:pPr>
          </w:p>
        </w:tc>
        <w:tc>
          <w:tcPr>
            <w:tcW w:w="2338" w:type="pct"/>
            <w:gridSpan w:val="5"/>
            <w:tcBorders>
              <w:top w:val="single" w:color="000000" w:sz="4" w:space="0"/>
              <w:left w:val="nil"/>
              <w:bottom w:val="single" w:color="000000" w:sz="4" w:space="0"/>
              <w:right w:val="single" w:color="000000" w:sz="4" w:space="0"/>
            </w:tcBorders>
            <w:vAlign w:val="center"/>
          </w:tcPr>
          <w:p w14:paraId="7C0CAC66">
            <w:pPr>
              <w:widowControl/>
              <w:jc w:val="left"/>
              <w:rPr>
                <w:rFonts w:ascii="宋体" w:hAnsi="宋体" w:eastAsia="宋体" w:cs="Times New Roman"/>
                <w:sz w:val="18"/>
                <w:szCs w:val="18"/>
              </w:rPr>
            </w:pPr>
            <w:r>
              <w:rPr>
                <w:rFonts w:hint="eastAsia" w:ascii="宋体" w:hAnsi="宋体" w:eastAsia="宋体" w:cs="宋体"/>
                <w:sz w:val="18"/>
                <w:szCs w:val="18"/>
              </w:rPr>
              <w:t>保障政务服务综合大楼水电费、维修维护费、广告宣传费、办公耗材费、免费复印耗材费用等。</w:t>
            </w:r>
          </w:p>
        </w:tc>
        <w:tc>
          <w:tcPr>
            <w:tcW w:w="1727" w:type="pct"/>
            <w:gridSpan w:val="4"/>
            <w:tcBorders>
              <w:top w:val="single" w:color="000000" w:sz="4" w:space="0"/>
              <w:left w:val="nil"/>
              <w:bottom w:val="single" w:color="000000" w:sz="4" w:space="0"/>
              <w:right w:val="single" w:color="000000" w:sz="4" w:space="0"/>
            </w:tcBorders>
            <w:vAlign w:val="center"/>
          </w:tcPr>
          <w:p w14:paraId="2F6281E9">
            <w:pPr>
              <w:widowControl/>
              <w:jc w:val="left"/>
              <w:rPr>
                <w:rFonts w:ascii="Courier New" w:hAnsi="Courier New" w:eastAsia="宋体" w:cs="Times New Roman"/>
                <w:sz w:val="18"/>
                <w:szCs w:val="18"/>
              </w:rPr>
            </w:pPr>
            <w:r>
              <w:rPr>
                <w:rFonts w:hint="eastAsia" w:ascii="Courier New" w:hAnsi="Courier New" w:eastAsia="宋体" w:cs="宋体"/>
                <w:sz w:val="18"/>
                <w:szCs w:val="18"/>
              </w:rPr>
              <w:t>保障了政务服务综合大楼</w:t>
            </w:r>
            <w:r>
              <w:rPr>
                <w:rFonts w:ascii="Courier New" w:hAnsi="Courier New" w:eastAsia="宋体" w:cs="Courier New"/>
                <w:sz w:val="18"/>
                <w:szCs w:val="18"/>
              </w:rPr>
              <w:t>1-4</w:t>
            </w:r>
            <w:r>
              <w:rPr>
                <w:rFonts w:hint="eastAsia" w:ascii="Courier New" w:hAnsi="Courier New" w:eastAsia="宋体" w:cs="宋体"/>
                <w:sz w:val="18"/>
                <w:szCs w:val="18"/>
              </w:rPr>
              <w:t>层水电费、办公耗材费、广告宣传、维修维护、免费服务区等方面的日常运转支出。</w:t>
            </w:r>
          </w:p>
        </w:tc>
      </w:tr>
      <w:tr w14:paraId="70F15186">
        <w:tblPrEx>
          <w:tblCellMar>
            <w:top w:w="0" w:type="dxa"/>
            <w:left w:w="108" w:type="dxa"/>
            <w:bottom w:w="0" w:type="dxa"/>
            <w:right w:w="108" w:type="dxa"/>
          </w:tblCellMar>
        </w:tblPrEx>
        <w:trPr>
          <w:trHeight w:val="694" w:hRule="atLeast"/>
        </w:trPr>
        <w:tc>
          <w:tcPr>
            <w:tcW w:w="310" w:type="pct"/>
            <w:vMerge w:val="continue"/>
            <w:tcBorders>
              <w:top w:val="nil"/>
              <w:left w:val="single" w:color="000000" w:sz="4" w:space="0"/>
              <w:bottom w:val="single" w:color="000000" w:sz="4" w:space="0"/>
              <w:right w:val="single" w:color="000000" w:sz="4" w:space="0"/>
            </w:tcBorders>
            <w:vAlign w:val="center"/>
          </w:tcPr>
          <w:p w14:paraId="12C783D5">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3F5FE1C3">
            <w:pPr>
              <w:widowControl/>
              <w:jc w:val="left"/>
              <w:rPr>
                <w:rFonts w:ascii="宋体" w:hAnsi="宋体" w:eastAsia="宋体" w:cs="Times New Roman"/>
                <w:sz w:val="18"/>
                <w:szCs w:val="18"/>
              </w:rPr>
            </w:pPr>
            <w:r>
              <w:rPr>
                <w:rFonts w:ascii="宋体" w:hAnsi="宋体" w:eastAsia="宋体" w:cs="宋体"/>
                <w:sz w:val="18"/>
                <w:szCs w:val="18"/>
              </w:rPr>
              <w:t>2.</w:t>
            </w:r>
            <w:r>
              <w:rPr>
                <w:rFonts w:hint="eastAsia" w:ascii="宋体" w:hAnsi="宋体" w:eastAsia="宋体" w:cs="宋体"/>
                <w:sz w:val="18"/>
                <w:szCs w:val="18"/>
              </w:rPr>
              <w:t>项目实施内容及过程概述</w:t>
            </w:r>
          </w:p>
        </w:tc>
        <w:tc>
          <w:tcPr>
            <w:tcW w:w="4066" w:type="pct"/>
            <w:gridSpan w:val="9"/>
            <w:tcBorders>
              <w:top w:val="single" w:color="000000" w:sz="4" w:space="0"/>
              <w:left w:val="nil"/>
              <w:bottom w:val="single" w:color="000000" w:sz="4" w:space="0"/>
              <w:right w:val="single" w:color="000000" w:sz="4" w:space="0"/>
            </w:tcBorders>
            <w:vAlign w:val="center"/>
          </w:tcPr>
          <w:p w14:paraId="6A5ED330">
            <w:pPr>
              <w:widowControl/>
              <w:jc w:val="left"/>
              <w:rPr>
                <w:rFonts w:ascii="宋体" w:hAnsi="宋体" w:eastAsia="宋体" w:cs="Times New Roman"/>
                <w:sz w:val="18"/>
                <w:szCs w:val="18"/>
              </w:rPr>
            </w:pPr>
            <w:r>
              <w:rPr>
                <w:rFonts w:hint="eastAsia" w:ascii="宋体" w:hAnsi="宋体" w:eastAsia="宋体" w:cs="宋体"/>
                <w:sz w:val="18"/>
                <w:szCs w:val="18"/>
              </w:rPr>
              <w:t>通过项目实施为群众提供了舒适的办事环境，解决群众的后顾之忧，提高为民办事的效率，群众满意度得到了提高。</w:t>
            </w:r>
          </w:p>
        </w:tc>
      </w:tr>
      <w:tr w14:paraId="04588FF7">
        <w:tblPrEx>
          <w:tblCellMar>
            <w:top w:w="0" w:type="dxa"/>
            <w:left w:w="108" w:type="dxa"/>
            <w:bottom w:w="0" w:type="dxa"/>
            <w:right w:w="108" w:type="dxa"/>
          </w:tblCellMar>
        </w:tblPrEx>
        <w:trPr>
          <w:trHeight w:val="360" w:hRule="atLeast"/>
        </w:trPr>
        <w:tc>
          <w:tcPr>
            <w:tcW w:w="310" w:type="pct"/>
            <w:vMerge w:val="restart"/>
            <w:tcBorders>
              <w:top w:val="nil"/>
              <w:left w:val="single" w:color="000000" w:sz="4" w:space="0"/>
              <w:bottom w:val="single" w:color="000000" w:sz="4" w:space="0"/>
              <w:right w:val="single" w:color="000000" w:sz="4" w:space="0"/>
            </w:tcBorders>
            <w:vAlign w:val="center"/>
          </w:tcPr>
          <w:p w14:paraId="60A96C4A">
            <w:pPr>
              <w:widowControl/>
              <w:jc w:val="center"/>
              <w:rPr>
                <w:rFonts w:ascii="宋体" w:hAnsi="宋体" w:eastAsia="宋体" w:cs="Times New Roman"/>
                <w:sz w:val="18"/>
                <w:szCs w:val="18"/>
              </w:rPr>
            </w:pPr>
            <w:r>
              <w:rPr>
                <w:rFonts w:hint="eastAsia" w:ascii="宋体" w:hAnsi="宋体" w:eastAsia="宋体" w:cs="宋体"/>
                <w:sz w:val="18"/>
                <w:szCs w:val="18"/>
              </w:rPr>
              <w:t>预算执行情况（</w:t>
            </w:r>
            <w:r>
              <w:rPr>
                <w:rFonts w:ascii="宋体" w:hAnsi="宋体" w:eastAsia="宋体" w:cs="宋体"/>
                <w:sz w:val="18"/>
                <w:szCs w:val="18"/>
              </w:rPr>
              <w:t>10</w:t>
            </w:r>
            <w:r>
              <w:rPr>
                <w:rFonts w:hint="eastAsia" w:ascii="宋体" w:hAnsi="宋体" w:eastAsia="宋体" w:cs="宋体"/>
                <w:sz w:val="18"/>
                <w:szCs w:val="18"/>
              </w:rPr>
              <w:t>分）</w:t>
            </w:r>
          </w:p>
        </w:tc>
        <w:tc>
          <w:tcPr>
            <w:tcW w:w="623" w:type="pct"/>
            <w:tcBorders>
              <w:top w:val="nil"/>
              <w:left w:val="nil"/>
              <w:bottom w:val="single" w:color="000000" w:sz="4" w:space="0"/>
              <w:right w:val="single" w:color="000000" w:sz="4" w:space="0"/>
            </w:tcBorders>
            <w:vAlign w:val="center"/>
          </w:tcPr>
          <w:p w14:paraId="583DEA8C">
            <w:pPr>
              <w:widowControl/>
              <w:jc w:val="center"/>
              <w:rPr>
                <w:rFonts w:ascii="宋体" w:hAnsi="宋体" w:eastAsia="宋体" w:cs="Times New Roman"/>
                <w:sz w:val="18"/>
                <w:szCs w:val="18"/>
              </w:rPr>
            </w:pPr>
            <w:r>
              <w:rPr>
                <w:rFonts w:hint="eastAsia" w:ascii="宋体" w:hAnsi="宋体" w:eastAsia="宋体" w:cs="宋体"/>
                <w:sz w:val="18"/>
                <w:szCs w:val="18"/>
              </w:rPr>
              <w:t>年度预算数（万元）</w:t>
            </w:r>
          </w:p>
        </w:tc>
        <w:tc>
          <w:tcPr>
            <w:tcW w:w="529" w:type="pct"/>
            <w:tcBorders>
              <w:top w:val="nil"/>
              <w:left w:val="nil"/>
              <w:bottom w:val="single" w:color="000000" w:sz="4" w:space="0"/>
              <w:right w:val="single" w:color="000000" w:sz="4" w:space="0"/>
            </w:tcBorders>
            <w:vAlign w:val="center"/>
          </w:tcPr>
          <w:p w14:paraId="57700EE8">
            <w:pPr>
              <w:widowControl/>
              <w:jc w:val="center"/>
              <w:rPr>
                <w:rFonts w:ascii="宋体" w:hAnsi="宋体" w:eastAsia="宋体" w:cs="Times New Roman"/>
                <w:sz w:val="18"/>
                <w:szCs w:val="18"/>
              </w:rPr>
            </w:pPr>
            <w:r>
              <w:rPr>
                <w:rFonts w:hint="eastAsia" w:ascii="宋体" w:hAnsi="宋体" w:eastAsia="宋体" w:cs="宋体"/>
                <w:sz w:val="18"/>
                <w:szCs w:val="18"/>
              </w:rPr>
              <w:t>年初预算</w:t>
            </w:r>
          </w:p>
        </w:tc>
        <w:tc>
          <w:tcPr>
            <w:tcW w:w="693" w:type="pct"/>
            <w:tcBorders>
              <w:top w:val="nil"/>
              <w:left w:val="nil"/>
              <w:bottom w:val="single" w:color="000000" w:sz="4" w:space="0"/>
              <w:right w:val="single" w:color="000000" w:sz="4" w:space="0"/>
            </w:tcBorders>
            <w:vAlign w:val="center"/>
          </w:tcPr>
          <w:p w14:paraId="27806FA1">
            <w:pPr>
              <w:widowControl/>
              <w:jc w:val="center"/>
              <w:rPr>
                <w:rFonts w:ascii="宋体" w:hAnsi="宋体" w:eastAsia="宋体" w:cs="Times New Roman"/>
                <w:sz w:val="18"/>
                <w:szCs w:val="18"/>
              </w:rPr>
            </w:pPr>
            <w:r>
              <w:rPr>
                <w:rFonts w:hint="eastAsia" w:ascii="宋体" w:hAnsi="宋体" w:eastAsia="宋体" w:cs="宋体"/>
                <w:sz w:val="18"/>
                <w:szCs w:val="18"/>
              </w:rPr>
              <w:t>调整后预算数</w:t>
            </w:r>
          </w:p>
        </w:tc>
        <w:tc>
          <w:tcPr>
            <w:tcW w:w="1116" w:type="pct"/>
            <w:gridSpan w:val="3"/>
            <w:tcBorders>
              <w:top w:val="single" w:color="000000" w:sz="4" w:space="0"/>
              <w:left w:val="nil"/>
              <w:bottom w:val="single" w:color="000000" w:sz="4" w:space="0"/>
              <w:right w:val="single" w:color="000000" w:sz="4" w:space="0"/>
            </w:tcBorders>
            <w:vAlign w:val="center"/>
          </w:tcPr>
          <w:p w14:paraId="69E0D33F">
            <w:pPr>
              <w:widowControl/>
              <w:jc w:val="center"/>
              <w:rPr>
                <w:rFonts w:ascii="宋体" w:hAnsi="宋体" w:eastAsia="宋体" w:cs="Times New Roman"/>
                <w:sz w:val="18"/>
                <w:szCs w:val="18"/>
              </w:rPr>
            </w:pPr>
            <w:r>
              <w:rPr>
                <w:rFonts w:hint="eastAsia" w:ascii="宋体" w:hAnsi="宋体" w:eastAsia="宋体" w:cs="宋体"/>
                <w:sz w:val="18"/>
                <w:szCs w:val="18"/>
              </w:rPr>
              <w:t>预算执行数</w:t>
            </w:r>
          </w:p>
        </w:tc>
        <w:tc>
          <w:tcPr>
            <w:tcW w:w="576" w:type="pct"/>
            <w:tcBorders>
              <w:top w:val="nil"/>
              <w:left w:val="nil"/>
              <w:bottom w:val="single" w:color="000000" w:sz="4" w:space="0"/>
              <w:right w:val="single" w:color="000000" w:sz="4" w:space="0"/>
            </w:tcBorders>
            <w:vAlign w:val="center"/>
          </w:tcPr>
          <w:p w14:paraId="672240FC">
            <w:pPr>
              <w:widowControl/>
              <w:jc w:val="center"/>
              <w:rPr>
                <w:rFonts w:ascii="宋体" w:hAnsi="宋体" w:eastAsia="宋体" w:cs="Times New Roman"/>
                <w:sz w:val="18"/>
                <w:szCs w:val="18"/>
              </w:rPr>
            </w:pPr>
            <w:r>
              <w:rPr>
                <w:rFonts w:hint="eastAsia" w:ascii="宋体" w:hAnsi="宋体" w:eastAsia="宋体" w:cs="宋体"/>
                <w:sz w:val="18"/>
                <w:szCs w:val="18"/>
              </w:rPr>
              <w:t>预算执行率</w:t>
            </w:r>
          </w:p>
        </w:tc>
        <w:tc>
          <w:tcPr>
            <w:tcW w:w="372" w:type="pct"/>
            <w:tcBorders>
              <w:top w:val="nil"/>
              <w:left w:val="nil"/>
              <w:bottom w:val="single" w:color="000000" w:sz="4" w:space="0"/>
              <w:right w:val="single" w:color="000000" w:sz="4" w:space="0"/>
            </w:tcBorders>
            <w:vAlign w:val="center"/>
          </w:tcPr>
          <w:p w14:paraId="21C90D7B">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338" w:type="pct"/>
            <w:tcBorders>
              <w:top w:val="nil"/>
              <w:left w:val="nil"/>
              <w:bottom w:val="single" w:color="000000" w:sz="4" w:space="0"/>
              <w:right w:val="single" w:color="000000" w:sz="4" w:space="0"/>
            </w:tcBorders>
            <w:vAlign w:val="center"/>
          </w:tcPr>
          <w:p w14:paraId="441A4BAE">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440" w:type="pct"/>
            <w:tcBorders>
              <w:top w:val="nil"/>
              <w:left w:val="nil"/>
              <w:bottom w:val="single" w:color="000000" w:sz="4" w:space="0"/>
              <w:right w:val="single" w:color="000000" w:sz="4" w:space="0"/>
            </w:tcBorders>
            <w:vAlign w:val="center"/>
          </w:tcPr>
          <w:p w14:paraId="1868009F">
            <w:pPr>
              <w:widowControl/>
              <w:jc w:val="center"/>
              <w:rPr>
                <w:rFonts w:ascii="宋体" w:hAnsi="宋体" w:eastAsia="宋体" w:cs="Times New Roman"/>
                <w:sz w:val="18"/>
                <w:szCs w:val="18"/>
              </w:rPr>
            </w:pPr>
            <w:r>
              <w:rPr>
                <w:rFonts w:hint="eastAsia" w:ascii="宋体" w:hAnsi="宋体" w:eastAsia="宋体" w:cs="宋体"/>
                <w:sz w:val="18"/>
                <w:szCs w:val="18"/>
              </w:rPr>
              <w:t>原因</w:t>
            </w:r>
          </w:p>
        </w:tc>
      </w:tr>
      <w:tr w14:paraId="35727A93">
        <w:tblPrEx>
          <w:tblCellMar>
            <w:top w:w="0" w:type="dxa"/>
            <w:left w:w="108" w:type="dxa"/>
            <w:bottom w:w="0" w:type="dxa"/>
            <w:right w:w="108" w:type="dxa"/>
          </w:tblCellMar>
        </w:tblPrEx>
        <w:trPr>
          <w:trHeight w:val="345" w:hRule="atLeast"/>
        </w:trPr>
        <w:tc>
          <w:tcPr>
            <w:tcW w:w="310" w:type="pct"/>
            <w:vMerge w:val="continue"/>
            <w:tcBorders>
              <w:top w:val="nil"/>
              <w:left w:val="single" w:color="000000" w:sz="4" w:space="0"/>
              <w:bottom w:val="single" w:color="000000" w:sz="4" w:space="0"/>
              <w:right w:val="single" w:color="000000" w:sz="4" w:space="0"/>
            </w:tcBorders>
            <w:vAlign w:val="center"/>
          </w:tcPr>
          <w:p w14:paraId="62951841">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030507CA">
            <w:pPr>
              <w:widowControl/>
              <w:jc w:val="center"/>
              <w:rPr>
                <w:rFonts w:ascii="宋体" w:hAnsi="宋体" w:eastAsia="宋体" w:cs="Times New Roman"/>
                <w:sz w:val="18"/>
                <w:szCs w:val="18"/>
              </w:rPr>
            </w:pPr>
            <w:r>
              <w:rPr>
                <w:rFonts w:hint="eastAsia" w:ascii="宋体" w:hAnsi="宋体" w:eastAsia="宋体" w:cs="宋体"/>
                <w:sz w:val="18"/>
                <w:szCs w:val="18"/>
              </w:rPr>
              <w:t>总额</w:t>
            </w:r>
          </w:p>
        </w:tc>
        <w:tc>
          <w:tcPr>
            <w:tcW w:w="529" w:type="pct"/>
            <w:tcBorders>
              <w:top w:val="nil"/>
              <w:left w:val="nil"/>
              <w:bottom w:val="single" w:color="000000" w:sz="4" w:space="0"/>
              <w:right w:val="single" w:color="000000" w:sz="4" w:space="0"/>
            </w:tcBorders>
            <w:vAlign w:val="center"/>
          </w:tcPr>
          <w:p w14:paraId="75E03C49">
            <w:pPr>
              <w:widowControl/>
              <w:jc w:val="center"/>
              <w:rPr>
                <w:rFonts w:ascii="宋体" w:hAnsi="宋体" w:eastAsia="宋体" w:cs="宋体"/>
                <w:sz w:val="18"/>
                <w:szCs w:val="18"/>
              </w:rPr>
            </w:pPr>
            <w:r>
              <w:rPr>
                <w:rFonts w:ascii="宋体" w:hAnsi="宋体" w:eastAsia="宋体" w:cs="宋体"/>
                <w:sz w:val="18"/>
                <w:szCs w:val="18"/>
              </w:rPr>
              <w:t>130.00</w:t>
            </w:r>
          </w:p>
        </w:tc>
        <w:tc>
          <w:tcPr>
            <w:tcW w:w="693" w:type="pct"/>
            <w:tcBorders>
              <w:top w:val="nil"/>
              <w:left w:val="nil"/>
              <w:bottom w:val="single" w:color="000000" w:sz="4" w:space="0"/>
              <w:right w:val="single" w:color="000000" w:sz="4" w:space="0"/>
            </w:tcBorders>
            <w:vAlign w:val="center"/>
          </w:tcPr>
          <w:p w14:paraId="4BA3D24A">
            <w:pPr>
              <w:widowControl/>
              <w:jc w:val="center"/>
              <w:rPr>
                <w:rFonts w:ascii="宋体" w:hAnsi="宋体" w:eastAsia="宋体" w:cs="宋体"/>
                <w:sz w:val="18"/>
                <w:szCs w:val="18"/>
              </w:rPr>
            </w:pPr>
            <w:r>
              <w:rPr>
                <w:rFonts w:ascii="宋体" w:hAnsi="宋体" w:eastAsia="宋体" w:cs="宋体"/>
                <w:sz w:val="18"/>
                <w:szCs w:val="18"/>
              </w:rPr>
              <w:t>128.27</w:t>
            </w:r>
          </w:p>
        </w:tc>
        <w:tc>
          <w:tcPr>
            <w:tcW w:w="1116" w:type="pct"/>
            <w:gridSpan w:val="3"/>
            <w:tcBorders>
              <w:top w:val="single" w:color="000000" w:sz="4" w:space="0"/>
              <w:left w:val="nil"/>
              <w:bottom w:val="single" w:color="000000" w:sz="4" w:space="0"/>
              <w:right w:val="single" w:color="000000" w:sz="4" w:space="0"/>
            </w:tcBorders>
            <w:vAlign w:val="center"/>
          </w:tcPr>
          <w:p w14:paraId="0FA972BC">
            <w:pPr>
              <w:widowControl/>
              <w:jc w:val="center"/>
              <w:rPr>
                <w:rFonts w:ascii="宋体" w:hAnsi="宋体" w:eastAsia="宋体" w:cs="宋体"/>
                <w:sz w:val="18"/>
                <w:szCs w:val="18"/>
              </w:rPr>
            </w:pPr>
            <w:r>
              <w:rPr>
                <w:rFonts w:ascii="宋体" w:hAnsi="宋体" w:eastAsia="宋体" w:cs="宋体"/>
                <w:sz w:val="18"/>
                <w:szCs w:val="18"/>
              </w:rPr>
              <w:t>128.27</w:t>
            </w:r>
          </w:p>
        </w:tc>
        <w:tc>
          <w:tcPr>
            <w:tcW w:w="576" w:type="pct"/>
            <w:tcBorders>
              <w:top w:val="nil"/>
              <w:left w:val="nil"/>
              <w:bottom w:val="single" w:color="000000" w:sz="4" w:space="0"/>
              <w:right w:val="single" w:color="000000" w:sz="4" w:space="0"/>
            </w:tcBorders>
            <w:vAlign w:val="center"/>
          </w:tcPr>
          <w:p w14:paraId="75E2AA52">
            <w:pPr>
              <w:widowControl/>
              <w:jc w:val="center"/>
              <w:rPr>
                <w:rFonts w:ascii="宋体" w:hAnsi="宋体" w:eastAsia="宋体" w:cs="宋体"/>
                <w:sz w:val="18"/>
                <w:szCs w:val="18"/>
              </w:rPr>
            </w:pPr>
            <w:r>
              <w:rPr>
                <w:rFonts w:ascii="宋体" w:hAnsi="宋体" w:eastAsia="宋体" w:cs="宋体"/>
                <w:sz w:val="18"/>
                <w:szCs w:val="18"/>
              </w:rPr>
              <w:t>100.00%</w:t>
            </w:r>
          </w:p>
        </w:tc>
        <w:tc>
          <w:tcPr>
            <w:tcW w:w="372" w:type="pct"/>
            <w:tcBorders>
              <w:top w:val="nil"/>
              <w:left w:val="nil"/>
              <w:bottom w:val="single" w:color="000000" w:sz="4" w:space="0"/>
              <w:right w:val="single" w:color="000000" w:sz="4" w:space="0"/>
            </w:tcBorders>
            <w:vAlign w:val="center"/>
          </w:tcPr>
          <w:p w14:paraId="53BC4537">
            <w:pPr>
              <w:widowControl/>
              <w:jc w:val="center"/>
              <w:rPr>
                <w:rFonts w:ascii="宋体" w:hAnsi="宋体" w:eastAsia="宋体" w:cs="宋体"/>
                <w:sz w:val="18"/>
                <w:szCs w:val="18"/>
              </w:rPr>
            </w:pPr>
            <w:r>
              <w:rPr>
                <w:rFonts w:ascii="宋体" w:hAnsi="宋体" w:eastAsia="宋体" w:cs="宋体"/>
                <w:sz w:val="18"/>
                <w:szCs w:val="18"/>
              </w:rPr>
              <w:t>10</w:t>
            </w:r>
          </w:p>
        </w:tc>
        <w:tc>
          <w:tcPr>
            <w:tcW w:w="338" w:type="pct"/>
            <w:tcBorders>
              <w:top w:val="nil"/>
              <w:left w:val="nil"/>
              <w:bottom w:val="single" w:color="000000" w:sz="4" w:space="0"/>
              <w:right w:val="single" w:color="000000" w:sz="4" w:space="0"/>
            </w:tcBorders>
            <w:vAlign w:val="center"/>
          </w:tcPr>
          <w:p w14:paraId="59078859">
            <w:pPr>
              <w:widowControl/>
              <w:jc w:val="center"/>
              <w:rPr>
                <w:rFonts w:ascii="宋体" w:hAnsi="宋体" w:eastAsia="宋体" w:cs="宋体"/>
                <w:sz w:val="18"/>
                <w:szCs w:val="18"/>
              </w:rPr>
            </w:pPr>
            <w:r>
              <w:rPr>
                <w:rFonts w:ascii="宋体" w:hAnsi="宋体" w:eastAsia="宋体" w:cs="宋体"/>
                <w:sz w:val="18"/>
                <w:szCs w:val="18"/>
              </w:rPr>
              <w:t>9</w:t>
            </w:r>
          </w:p>
        </w:tc>
        <w:tc>
          <w:tcPr>
            <w:tcW w:w="440" w:type="pct"/>
            <w:vMerge w:val="restart"/>
            <w:tcBorders>
              <w:top w:val="nil"/>
              <w:left w:val="single" w:color="000000" w:sz="4" w:space="0"/>
              <w:bottom w:val="single" w:color="000000" w:sz="4" w:space="0"/>
              <w:right w:val="single" w:color="000000" w:sz="4" w:space="0"/>
            </w:tcBorders>
            <w:vAlign w:val="center"/>
          </w:tcPr>
          <w:p w14:paraId="6EF96D8B">
            <w:pPr>
              <w:widowControl/>
              <w:jc w:val="left"/>
              <w:rPr>
                <w:rFonts w:ascii="Courier New" w:hAnsi="Courier New" w:eastAsia="宋体" w:cs="Times New Roman"/>
                <w:i/>
                <w:iCs/>
                <w:sz w:val="18"/>
                <w:szCs w:val="18"/>
              </w:rPr>
            </w:pPr>
            <w:r>
              <w:rPr>
                <w:rFonts w:hint="eastAsia" w:ascii="Courier New" w:hAnsi="Courier New" w:eastAsia="宋体" w:cs="宋体"/>
                <w:i/>
                <w:iCs/>
                <w:sz w:val="18"/>
                <w:szCs w:val="18"/>
              </w:rPr>
              <w:t>　</w:t>
            </w:r>
          </w:p>
        </w:tc>
      </w:tr>
      <w:tr w14:paraId="4A8401C8">
        <w:tblPrEx>
          <w:tblCellMar>
            <w:top w:w="0" w:type="dxa"/>
            <w:left w:w="108" w:type="dxa"/>
            <w:bottom w:w="0" w:type="dxa"/>
            <w:right w:w="108" w:type="dxa"/>
          </w:tblCellMar>
        </w:tblPrEx>
        <w:trPr>
          <w:trHeight w:val="390" w:hRule="atLeast"/>
        </w:trPr>
        <w:tc>
          <w:tcPr>
            <w:tcW w:w="310" w:type="pct"/>
            <w:vMerge w:val="continue"/>
            <w:tcBorders>
              <w:top w:val="nil"/>
              <w:left w:val="single" w:color="000000" w:sz="4" w:space="0"/>
              <w:bottom w:val="single" w:color="000000" w:sz="4" w:space="0"/>
              <w:right w:val="single" w:color="000000" w:sz="4" w:space="0"/>
            </w:tcBorders>
            <w:vAlign w:val="center"/>
          </w:tcPr>
          <w:p w14:paraId="575F2AE3">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36D1B8A0">
            <w:pPr>
              <w:widowControl/>
              <w:jc w:val="center"/>
              <w:rPr>
                <w:rFonts w:ascii="宋体" w:hAnsi="宋体" w:eastAsia="宋体" w:cs="Times New Roman"/>
                <w:sz w:val="18"/>
                <w:szCs w:val="18"/>
              </w:rPr>
            </w:pPr>
            <w:r>
              <w:rPr>
                <w:rFonts w:hint="eastAsia" w:ascii="宋体" w:hAnsi="宋体" w:eastAsia="宋体" w:cs="宋体"/>
                <w:sz w:val="18"/>
                <w:szCs w:val="18"/>
              </w:rPr>
              <w:t>其中：财政资金</w:t>
            </w:r>
          </w:p>
        </w:tc>
        <w:tc>
          <w:tcPr>
            <w:tcW w:w="529" w:type="pct"/>
            <w:tcBorders>
              <w:top w:val="nil"/>
              <w:left w:val="nil"/>
              <w:bottom w:val="single" w:color="000000" w:sz="4" w:space="0"/>
              <w:right w:val="single" w:color="000000" w:sz="4" w:space="0"/>
            </w:tcBorders>
            <w:vAlign w:val="center"/>
          </w:tcPr>
          <w:p w14:paraId="0279D3DD">
            <w:pPr>
              <w:widowControl/>
              <w:jc w:val="center"/>
              <w:rPr>
                <w:rFonts w:ascii="宋体" w:hAnsi="宋体" w:eastAsia="宋体" w:cs="宋体"/>
                <w:sz w:val="18"/>
                <w:szCs w:val="18"/>
              </w:rPr>
            </w:pPr>
            <w:r>
              <w:rPr>
                <w:rFonts w:ascii="宋体" w:hAnsi="宋体" w:eastAsia="宋体" w:cs="宋体"/>
                <w:sz w:val="18"/>
                <w:szCs w:val="18"/>
              </w:rPr>
              <w:t>130.00</w:t>
            </w:r>
          </w:p>
        </w:tc>
        <w:tc>
          <w:tcPr>
            <w:tcW w:w="693" w:type="pct"/>
            <w:tcBorders>
              <w:top w:val="nil"/>
              <w:left w:val="nil"/>
              <w:bottom w:val="single" w:color="000000" w:sz="4" w:space="0"/>
              <w:right w:val="single" w:color="000000" w:sz="4" w:space="0"/>
            </w:tcBorders>
            <w:vAlign w:val="center"/>
          </w:tcPr>
          <w:p w14:paraId="11DD0E1E">
            <w:pPr>
              <w:widowControl/>
              <w:jc w:val="center"/>
              <w:rPr>
                <w:rFonts w:ascii="宋体" w:hAnsi="宋体" w:eastAsia="宋体" w:cs="宋体"/>
                <w:sz w:val="18"/>
                <w:szCs w:val="18"/>
              </w:rPr>
            </w:pPr>
            <w:r>
              <w:rPr>
                <w:rFonts w:ascii="宋体" w:hAnsi="宋体" w:eastAsia="宋体" w:cs="宋体"/>
                <w:sz w:val="18"/>
                <w:szCs w:val="18"/>
              </w:rPr>
              <w:t>128.27</w:t>
            </w:r>
          </w:p>
        </w:tc>
        <w:tc>
          <w:tcPr>
            <w:tcW w:w="1116" w:type="pct"/>
            <w:gridSpan w:val="3"/>
            <w:tcBorders>
              <w:top w:val="single" w:color="000000" w:sz="4" w:space="0"/>
              <w:left w:val="nil"/>
              <w:bottom w:val="single" w:color="000000" w:sz="4" w:space="0"/>
              <w:right w:val="single" w:color="000000" w:sz="4" w:space="0"/>
            </w:tcBorders>
            <w:vAlign w:val="center"/>
          </w:tcPr>
          <w:p w14:paraId="4FE78C76">
            <w:pPr>
              <w:widowControl/>
              <w:jc w:val="center"/>
              <w:rPr>
                <w:rFonts w:ascii="宋体" w:hAnsi="宋体" w:eastAsia="宋体" w:cs="宋体"/>
                <w:sz w:val="18"/>
                <w:szCs w:val="18"/>
              </w:rPr>
            </w:pPr>
            <w:r>
              <w:rPr>
                <w:rFonts w:ascii="宋体" w:hAnsi="宋体" w:eastAsia="宋体" w:cs="宋体"/>
                <w:sz w:val="18"/>
                <w:szCs w:val="18"/>
              </w:rPr>
              <w:t>128.27</w:t>
            </w:r>
          </w:p>
        </w:tc>
        <w:tc>
          <w:tcPr>
            <w:tcW w:w="576" w:type="pct"/>
            <w:tcBorders>
              <w:top w:val="nil"/>
              <w:left w:val="nil"/>
              <w:bottom w:val="single" w:color="000000" w:sz="4" w:space="0"/>
              <w:right w:val="single" w:color="000000" w:sz="4" w:space="0"/>
            </w:tcBorders>
            <w:vAlign w:val="center"/>
          </w:tcPr>
          <w:p w14:paraId="265DED1E">
            <w:pPr>
              <w:widowControl/>
              <w:jc w:val="center"/>
              <w:rPr>
                <w:rFonts w:ascii="宋体" w:hAnsi="宋体" w:eastAsia="宋体" w:cs="宋体"/>
                <w:sz w:val="18"/>
                <w:szCs w:val="18"/>
              </w:rPr>
            </w:pPr>
            <w:r>
              <w:rPr>
                <w:rFonts w:ascii="宋体" w:hAnsi="宋体" w:eastAsia="宋体" w:cs="宋体"/>
                <w:sz w:val="18"/>
                <w:szCs w:val="18"/>
              </w:rPr>
              <w:t>100.00%</w:t>
            </w:r>
          </w:p>
        </w:tc>
        <w:tc>
          <w:tcPr>
            <w:tcW w:w="372" w:type="pct"/>
            <w:tcBorders>
              <w:top w:val="nil"/>
              <w:left w:val="nil"/>
              <w:bottom w:val="single" w:color="000000" w:sz="4" w:space="0"/>
              <w:right w:val="single" w:color="000000" w:sz="4" w:space="0"/>
            </w:tcBorders>
            <w:vAlign w:val="center"/>
          </w:tcPr>
          <w:p w14:paraId="4F432624">
            <w:pPr>
              <w:widowControl/>
              <w:jc w:val="center"/>
              <w:rPr>
                <w:rFonts w:ascii="宋体" w:hAnsi="宋体" w:eastAsia="宋体" w:cs="宋体"/>
                <w:sz w:val="18"/>
                <w:szCs w:val="18"/>
              </w:rPr>
            </w:pPr>
            <w:r>
              <w:rPr>
                <w:rFonts w:ascii="宋体" w:hAnsi="宋体" w:eastAsia="宋体" w:cs="宋体"/>
                <w:sz w:val="18"/>
                <w:szCs w:val="18"/>
              </w:rPr>
              <w:t>/</w:t>
            </w:r>
          </w:p>
        </w:tc>
        <w:tc>
          <w:tcPr>
            <w:tcW w:w="338" w:type="pct"/>
            <w:tcBorders>
              <w:top w:val="nil"/>
              <w:left w:val="nil"/>
              <w:bottom w:val="single" w:color="000000" w:sz="4" w:space="0"/>
              <w:right w:val="single" w:color="000000" w:sz="4" w:space="0"/>
            </w:tcBorders>
            <w:vAlign w:val="center"/>
          </w:tcPr>
          <w:p w14:paraId="26B94FBB">
            <w:pPr>
              <w:widowControl/>
              <w:jc w:val="center"/>
              <w:rPr>
                <w:rFonts w:ascii="宋体" w:hAnsi="宋体" w:eastAsia="宋体" w:cs="宋体"/>
                <w:sz w:val="18"/>
                <w:szCs w:val="18"/>
              </w:rPr>
            </w:pPr>
            <w:r>
              <w:rPr>
                <w:rFonts w:ascii="宋体" w:hAnsi="宋体" w:eastAsia="宋体" w:cs="宋体"/>
                <w:sz w:val="18"/>
                <w:szCs w:val="18"/>
              </w:rPr>
              <w:t>/</w:t>
            </w:r>
          </w:p>
        </w:tc>
        <w:tc>
          <w:tcPr>
            <w:tcW w:w="440" w:type="pct"/>
            <w:vMerge w:val="continue"/>
            <w:tcBorders>
              <w:top w:val="nil"/>
              <w:left w:val="single" w:color="000000" w:sz="4" w:space="0"/>
              <w:bottom w:val="single" w:color="000000" w:sz="4" w:space="0"/>
              <w:right w:val="single" w:color="000000" w:sz="4" w:space="0"/>
            </w:tcBorders>
            <w:vAlign w:val="center"/>
          </w:tcPr>
          <w:p w14:paraId="721FDCFA">
            <w:pPr>
              <w:widowControl/>
              <w:jc w:val="left"/>
              <w:rPr>
                <w:rFonts w:ascii="Courier New" w:hAnsi="Courier New" w:eastAsia="宋体" w:cs="Times New Roman"/>
                <w:i/>
                <w:iCs/>
                <w:sz w:val="18"/>
                <w:szCs w:val="18"/>
              </w:rPr>
            </w:pPr>
          </w:p>
        </w:tc>
      </w:tr>
      <w:tr w14:paraId="636EAA06">
        <w:tblPrEx>
          <w:tblCellMar>
            <w:top w:w="0" w:type="dxa"/>
            <w:left w:w="108" w:type="dxa"/>
            <w:bottom w:w="0" w:type="dxa"/>
            <w:right w:w="108" w:type="dxa"/>
          </w:tblCellMar>
        </w:tblPrEx>
        <w:trPr>
          <w:trHeight w:val="409" w:hRule="atLeast"/>
        </w:trPr>
        <w:tc>
          <w:tcPr>
            <w:tcW w:w="310" w:type="pct"/>
            <w:vMerge w:val="continue"/>
            <w:tcBorders>
              <w:top w:val="nil"/>
              <w:left w:val="single" w:color="000000" w:sz="4" w:space="0"/>
              <w:bottom w:val="single" w:color="000000" w:sz="4" w:space="0"/>
              <w:right w:val="single" w:color="000000" w:sz="4" w:space="0"/>
            </w:tcBorders>
            <w:vAlign w:val="center"/>
          </w:tcPr>
          <w:p w14:paraId="35DAABC4">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0FB67688">
            <w:pPr>
              <w:widowControl/>
              <w:jc w:val="center"/>
              <w:rPr>
                <w:rFonts w:ascii="宋体" w:hAnsi="宋体" w:eastAsia="宋体" w:cs="Times New Roman"/>
                <w:sz w:val="18"/>
                <w:szCs w:val="18"/>
              </w:rPr>
            </w:pPr>
            <w:r>
              <w:rPr>
                <w:rFonts w:hint="eastAsia" w:ascii="宋体" w:hAnsi="宋体" w:eastAsia="宋体" w:cs="宋体"/>
                <w:sz w:val="18"/>
                <w:szCs w:val="18"/>
              </w:rPr>
              <w:t>财政专户管理资金</w:t>
            </w:r>
          </w:p>
        </w:tc>
        <w:tc>
          <w:tcPr>
            <w:tcW w:w="529" w:type="pct"/>
            <w:tcBorders>
              <w:top w:val="nil"/>
              <w:left w:val="nil"/>
              <w:bottom w:val="single" w:color="000000" w:sz="4" w:space="0"/>
              <w:right w:val="single" w:color="000000" w:sz="4" w:space="0"/>
            </w:tcBorders>
            <w:vAlign w:val="center"/>
          </w:tcPr>
          <w:p w14:paraId="1A122899">
            <w:pPr>
              <w:widowControl/>
              <w:jc w:val="center"/>
              <w:rPr>
                <w:rFonts w:ascii="宋体" w:hAnsi="宋体" w:eastAsia="宋体" w:cs="宋体"/>
                <w:sz w:val="18"/>
                <w:szCs w:val="18"/>
              </w:rPr>
            </w:pPr>
            <w:r>
              <w:rPr>
                <w:rFonts w:ascii="宋体" w:hAnsi="宋体" w:eastAsia="宋体" w:cs="宋体"/>
                <w:sz w:val="18"/>
                <w:szCs w:val="18"/>
              </w:rPr>
              <w:t>0.00</w:t>
            </w:r>
          </w:p>
        </w:tc>
        <w:tc>
          <w:tcPr>
            <w:tcW w:w="693" w:type="pct"/>
            <w:tcBorders>
              <w:top w:val="nil"/>
              <w:left w:val="nil"/>
              <w:bottom w:val="single" w:color="000000" w:sz="4" w:space="0"/>
              <w:right w:val="single" w:color="000000" w:sz="4" w:space="0"/>
            </w:tcBorders>
            <w:vAlign w:val="center"/>
          </w:tcPr>
          <w:p w14:paraId="4BA5C382">
            <w:pPr>
              <w:widowControl/>
              <w:jc w:val="center"/>
              <w:rPr>
                <w:rFonts w:ascii="宋体" w:hAnsi="宋体" w:eastAsia="宋体" w:cs="宋体"/>
                <w:sz w:val="18"/>
                <w:szCs w:val="18"/>
              </w:rPr>
            </w:pPr>
            <w:r>
              <w:rPr>
                <w:rFonts w:ascii="宋体" w:hAnsi="宋体" w:eastAsia="宋体" w:cs="宋体"/>
                <w:sz w:val="18"/>
                <w:szCs w:val="18"/>
              </w:rPr>
              <w:t>0.00</w:t>
            </w:r>
          </w:p>
        </w:tc>
        <w:tc>
          <w:tcPr>
            <w:tcW w:w="1116" w:type="pct"/>
            <w:gridSpan w:val="3"/>
            <w:tcBorders>
              <w:top w:val="single" w:color="000000" w:sz="4" w:space="0"/>
              <w:left w:val="nil"/>
              <w:bottom w:val="single" w:color="000000" w:sz="4" w:space="0"/>
              <w:right w:val="single" w:color="000000" w:sz="4" w:space="0"/>
            </w:tcBorders>
            <w:vAlign w:val="center"/>
          </w:tcPr>
          <w:p w14:paraId="1A681F17">
            <w:pPr>
              <w:widowControl/>
              <w:jc w:val="center"/>
              <w:rPr>
                <w:rFonts w:ascii="宋体" w:hAnsi="宋体" w:eastAsia="宋体" w:cs="宋体"/>
                <w:sz w:val="18"/>
                <w:szCs w:val="18"/>
              </w:rPr>
            </w:pPr>
            <w:r>
              <w:rPr>
                <w:rFonts w:ascii="宋体" w:hAnsi="宋体" w:eastAsia="宋体" w:cs="宋体"/>
                <w:sz w:val="18"/>
                <w:szCs w:val="18"/>
              </w:rPr>
              <w:t>0.00</w:t>
            </w:r>
          </w:p>
        </w:tc>
        <w:tc>
          <w:tcPr>
            <w:tcW w:w="576" w:type="pct"/>
            <w:tcBorders>
              <w:top w:val="nil"/>
              <w:left w:val="nil"/>
              <w:bottom w:val="single" w:color="000000" w:sz="4" w:space="0"/>
              <w:right w:val="single" w:color="000000" w:sz="4" w:space="0"/>
            </w:tcBorders>
            <w:vAlign w:val="center"/>
          </w:tcPr>
          <w:p w14:paraId="1CF88A45">
            <w:pPr>
              <w:widowControl/>
              <w:jc w:val="center"/>
              <w:rPr>
                <w:rFonts w:ascii="宋体" w:hAnsi="宋体" w:eastAsia="宋体" w:cs="宋体"/>
                <w:sz w:val="18"/>
                <w:szCs w:val="18"/>
              </w:rPr>
            </w:pPr>
            <w:r>
              <w:rPr>
                <w:rFonts w:ascii="宋体" w:hAnsi="宋体" w:eastAsia="宋体" w:cs="宋体"/>
                <w:sz w:val="18"/>
                <w:szCs w:val="18"/>
              </w:rPr>
              <w:t>0.00%</w:t>
            </w:r>
          </w:p>
        </w:tc>
        <w:tc>
          <w:tcPr>
            <w:tcW w:w="372" w:type="pct"/>
            <w:tcBorders>
              <w:top w:val="nil"/>
              <w:left w:val="nil"/>
              <w:bottom w:val="single" w:color="000000" w:sz="4" w:space="0"/>
              <w:right w:val="single" w:color="000000" w:sz="4" w:space="0"/>
            </w:tcBorders>
            <w:vAlign w:val="center"/>
          </w:tcPr>
          <w:p w14:paraId="36173895">
            <w:pPr>
              <w:widowControl/>
              <w:jc w:val="center"/>
              <w:rPr>
                <w:rFonts w:ascii="宋体" w:hAnsi="宋体" w:eastAsia="宋体" w:cs="宋体"/>
                <w:sz w:val="18"/>
                <w:szCs w:val="18"/>
              </w:rPr>
            </w:pPr>
            <w:r>
              <w:rPr>
                <w:rFonts w:ascii="宋体" w:hAnsi="宋体" w:eastAsia="宋体" w:cs="宋体"/>
                <w:sz w:val="18"/>
                <w:szCs w:val="18"/>
              </w:rPr>
              <w:t>/</w:t>
            </w:r>
          </w:p>
        </w:tc>
        <w:tc>
          <w:tcPr>
            <w:tcW w:w="338" w:type="pct"/>
            <w:tcBorders>
              <w:top w:val="nil"/>
              <w:left w:val="nil"/>
              <w:bottom w:val="single" w:color="000000" w:sz="4" w:space="0"/>
              <w:right w:val="single" w:color="000000" w:sz="4" w:space="0"/>
            </w:tcBorders>
            <w:vAlign w:val="center"/>
          </w:tcPr>
          <w:p w14:paraId="4805EE39">
            <w:pPr>
              <w:widowControl/>
              <w:jc w:val="center"/>
              <w:rPr>
                <w:rFonts w:ascii="宋体" w:hAnsi="宋体" w:eastAsia="宋体" w:cs="宋体"/>
                <w:sz w:val="18"/>
                <w:szCs w:val="18"/>
              </w:rPr>
            </w:pPr>
            <w:r>
              <w:rPr>
                <w:rFonts w:ascii="宋体" w:hAnsi="宋体" w:eastAsia="宋体" w:cs="宋体"/>
                <w:sz w:val="18"/>
                <w:szCs w:val="18"/>
              </w:rPr>
              <w:t>/</w:t>
            </w:r>
          </w:p>
        </w:tc>
        <w:tc>
          <w:tcPr>
            <w:tcW w:w="440" w:type="pct"/>
            <w:vMerge w:val="continue"/>
            <w:tcBorders>
              <w:top w:val="nil"/>
              <w:left w:val="single" w:color="000000" w:sz="4" w:space="0"/>
              <w:bottom w:val="single" w:color="000000" w:sz="4" w:space="0"/>
              <w:right w:val="single" w:color="000000" w:sz="4" w:space="0"/>
            </w:tcBorders>
            <w:vAlign w:val="center"/>
          </w:tcPr>
          <w:p w14:paraId="2ED3325A">
            <w:pPr>
              <w:widowControl/>
              <w:jc w:val="left"/>
              <w:rPr>
                <w:rFonts w:ascii="Courier New" w:hAnsi="Courier New" w:eastAsia="宋体" w:cs="Times New Roman"/>
                <w:i/>
                <w:iCs/>
                <w:sz w:val="18"/>
                <w:szCs w:val="18"/>
              </w:rPr>
            </w:pPr>
          </w:p>
        </w:tc>
      </w:tr>
      <w:tr w14:paraId="43DE8E75">
        <w:tblPrEx>
          <w:tblCellMar>
            <w:top w:w="0" w:type="dxa"/>
            <w:left w:w="108" w:type="dxa"/>
            <w:bottom w:w="0" w:type="dxa"/>
            <w:right w:w="108" w:type="dxa"/>
          </w:tblCellMar>
        </w:tblPrEx>
        <w:trPr>
          <w:trHeight w:val="360" w:hRule="atLeast"/>
        </w:trPr>
        <w:tc>
          <w:tcPr>
            <w:tcW w:w="310" w:type="pct"/>
            <w:vMerge w:val="continue"/>
            <w:tcBorders>
              <w:top w:val="nil"/>
              <w:left w:val="single" w:color="000000" w:sz="4" w:space="0"/>
              <w:bottom w:val="single" w:color="000000" w:sz="4" w:space="0"/>
              <w:right w:val="single" w:color="000000" w:sz="4" w:space="0"/>
            </w:tcBorders>
            <w:vAlign w:val="center"/>
          </w:tcPr>
          <w:p w14:paraId="04B2618C">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0AE458B0">
            <w:pPr>
              <w:widowControl/>
              <w:jc w:val="center"/>
              <w:rPr>
                <w:rFonts w:ascii="宋体" w:hAnsi="宋体" w:eastAsia="宋体" w:cs="Times New Roman"/>
                <w:sz w:val="18"/>
                <w:szCs w:val="18"/>
              </w:rPr>
            </w:pPr>
            <w:r>
              <w:rPr>
                <w:rFonts w:hint="eastAsia" w:ascii="宋体" w:hAnsi="宋体" w:eastAsia="宋体" w:cs="宋体"/>
                <w:sz w:val="18"/>
                <w:szCs w:val="18"/>
              </w:rPr>
              <w:t>单位资金</w:t>
            </w:r>
          </w:p>
        </w:tc>
        <w:tc>
          <w:tcPr>
            <w:tcW w:w="529" w:type="pct"/>
            <w:tcBorders>
              <w:top w:val="nil"/>
              <w:left w:val="nil"/>
              <w:bottom w:val="single" w:color="000000" w:sz="4" w:space="0"/>
              <w:right w:val="single" w:color="000000" w:sz="4" w:space="0"/>
            </w:tcBorders>
            <w:vAlign w:val="center"/>
          </w:tcPr>
          <w:p w14:paraId="5288739E">
            <w:pPr>
              <w:widowControl/>
              <w:jc w:val="center"/>
              <w:rPr>
                <w:rFonts w:ascii="宋体" w:hAnsi="宋体" w:eastAsia="宋体" w:cs="宋体"/>
                <w:sz w:val="18"/>
                <w:szCs w:val="18"/>
              </w:rPr>
            </w:pPr>
            <w:r>
              <w:rPr>
                <w:rFonts w:ascii="宋体" w:hAnsi="宋体" w:eastAsia="宋体" w:cs="宋体"/>
                <w:sz w:val="18"/>
                <w:szCs w:val="18"/>
              </w:rPr>
              <w:t>0.00</w:t>
            </w:r>
          </w:p>
        </w:tc>
        <w:tc>
          <w:tcPr>
            <w:tcW w:w="693" w:type="pct"/>
            <w:tcBorders>
              <w:top w:val="nil"/>
              <w:left w:val="nil"/>
              <w:bottom w:val="single" w:color="000000" w:sz="4" w:space="0"/>
              <w:right w:val="single" w:color="000000" w:sz="4" w:space="0"/>
            </w:tcBorders>
            <w:vAlign w:val="center"/>
          </w:tcPr>
          <w:p w14:paraId="58F2A6CE">
            <w:pPr>
              <w:widowControl/>
              <w:jc w:val="center"/>
              <w:rPr>
                <w:rFonts w:ascii="宋体" w:hAnsi="宋体" w:eastAsia="宋体" w:cs="宋体"/>
                <w:sz w:val="18"/>
                <w:szCs w:val="18"/>
              </w:rPr>
            </w:pPr>
            <w:r>
              <w:rPr>
                <w:rFonts w:ascii="宋体" w:hAnsi="宋体" w:eastAsia="宋体" w:cs="宋体"/>
                <w:sz w:val="18"/>
                <w:szCs w:val="18"/>
              </w:rPr>
              <w:t>0.00</w:t>
            </w:r>
          </w:p>
        </w:tc>
        <w:tc>
          <w:tcPr>
            <w:tcW w:w="1116" w:type="pct"/>
            <w:gridSpan w:val="3"/>
            <w:tcBorders>
              <w:top w:val="single" w:color="000000" w:sz="4" w:space="0"/>
              <w:left w:val="nil"/>
              <w:bottom w:val="single" w:color="000000" w:sz="4" w:space="0"/>
              <w:right w:val="single" w:color="000000" w:sz="4" w:space="0"/>
            </w:tcBorders>
            <w:vAlign w:val="center"/>
          </w:tcPr>
          <w:p w14:paraId="051D6BCC">
            <w:pPr>
              <w:widowControl/>
              <w:jc w:val="center"/>
              <w:rPr>
                <w:rFonts w:ascii="宋体" w:hAnsi="宋体" w:eastAsia="宋体" w:cs="宋体"/>
                <w:sz w:val="18"/>
                <w:szCs w:val="18"/>
              </w:rPr>
            </w:pPr>
            <w:r>
              <w:rPr>
                <w:rFonts w:ascii="宋体" w:hAnsi="宋体" w:eastAsia="宋体" w:cs="宋体"/>
                <w:sz w:val="18"/>
                <w:szCs w:val="18"/>
              </w:rPr>
              <w:t>0.00</w:t>
            </w:r>
          </w:p>
        </w:tc>
        <w:tc>
          <w:tcPr>
            <w:tcW w:w="576" w:type="pct"/>
            <w:tcBorders>
              <w:top w:val="nil"/>
              <w:left w:val="nil"/>
              <w:bottom w:val="single" w:color="000000" w:sz="4" w:space="0"/>
              <w:right w:val="single" w:color="000000" w:sz="4" w:space="0"/>
            </w:tcBorders>
            <w:vAlign w:val="center"/>
          </w:tcPr>
          <w:p w14:paraId="0B4C845A">
            <w:pPr>
              <w:widowControl/>
              <w:jc w:val="center"/>
              <w:rPr>
                <w:rFonts w:ascii="宋体" w:hAnsi="宋体" w:eastAsia="宋体" w:cs="宋体"/>
                <w:sz w:val="18"/>
                <w:szCs w:val="18"/>
              </w:rPr>
            </w:pPr>
            <w:r>
              <w:rPr>
                <w:rFonts w:ascii="宋体" w:hAnsi="宋体" w:eastAsia="宋体" w:cs="宋体"/>
                <w:sz w:val="18"/>
                <w:szCs w:val="18"/>
              </w:rPr>
              <w:t>0.00%</w:t>
            </w:r>
          </w:p>
        </w:tc>
        <w:tc>
          <w:tcPr>
            <w:tcW w:w="372" w:type="pct"/>
            <w:tcBorders>
              <w:top w:val="nil"/>
              <w:left w:val="nil"/>
              <w:bottom w:val="single" w:color="000000" w:sz="4" w:space="0"/>
              <w:right w:val="single" w:color="000000" w:sz="4" w:space="0"/>
            </w:tcBorders>
            <w:vAlign w:val="center"/>
          </w:tcPr>
          <w:p w14:paraId="541C217D">
            <w:pPr>
              <w:widowControl/>
              <w:jc w:val="center"/>
              <w:rPr>
                <w:rFonts w:ascii="宋体" w:hAnsi="宋体" w:eastAsia="宋体" w:cs="宋体"/>
                <w:sz w:val="18"/>
                <w:szCs w:val="18"/>
              </w:rPr>
            </w:pPr>
            <w:r>
              <w:rPr>
                <w:rFonts w:ascii="宋体" w:hAnsi="宋体" w:eastAsia="宋体" w:cs="宋体"/>
                <w:sz w:val="18"/>
                <w:szCs w:val="18"/>
              </w:rPr>
              <w:t>/</w:t>
            </w:r>
          </w:p>
        </w:tc>
        <w:tc>
          <w:tcPr>
            <w:tcW w:w="338" w:type="pct"/>
            <w:tcBorders>
              <w:top w:val="nil"/>
              <w:left w:val="nil"/>
              <w:bottom w:val="single" w:color="000000" w:sz="4" w:space="0"/>
              <w:right w:val="single" w:color="000000" w:sz="4" w:space="0"/>
            </w:tcBorders>
            <w:vAlign w:val="center"/>
          </w:tcPr>
          <w:p w14:paraId="47775B23">
            <w:pPr>
              <w:widowControl/>
              <w:jc w:val="center"/>
              <w:rPr>
                <w:rFonts w:ascii="宋体" w:hAnsi="宋体" w:eastAsia="宋体" w:cs="宋体"/>
                <w:sz w:val="18"/>
                <w:szCs w:val="18"/>
              </w:rPr>
            </w:pPr>
            <w:r>
              <w:rPr>
                <w:rFonts w:ascii="宋体" w:hAnsi="宋体" w:eastAsia="宋体" w:cs="宋体"/>
                <w:sz w:val="18"/>
                <w:szCs w:val="18"/>
              </w:rPr>
              <w:t>/</w:t>
            </w:r>
          </w:p>
        </w:tc>
        <w:tc>
          <w:tcPr>
            <w:tcW w:w="440" w:type="pct"/>
            <w:vMerge w:val="continue"/>
            <w:tcBorders>
              <w:top w:val="nil"/>
              <w:left w:val="single" w:color="000000" w:sz="4" w:space="0"/>
              <w:bottom w:val="single" w:color="000000" w:sz="4" w:space="0"/>
              <w:right w:val="single" w:color="000000" w:sz="4" w:space="0"/>
            </w:tcBorders>
            <w:vAlign w:val="center"/>
          </w:tcPr>
          <w:p w14:paraId="62DB3B84">
            <w:pPr>
              <w:widowControl/>
              <w:jc w:val="left"/>
              <w:rPr>
                <w:rFonts w:ascii="Courier New" w:hAnsi="Courier New" w:eastAsia="宋体" w:cs="Times New Roman"/>
                <w:i/>
                <w:iCs/>
                <w:sz w:val="18"/>
                <w:szCs w:val="18"/>
              </w:rPr>
            </w:pPr>
          </w:p>
        </w:tc>
      </w:tr>
      <w:tr w14:paraId="1341B288">
        <w:tblPrEx>
          <w:tblCellMar>
            <w:top w:w="0" w:type="dxa"/>
            <w:left w:w="108" w:type="dxa"/>
            <w:bottom w:w="0" w:type="dxa"/>
            <w:right w:w="108" w:type="dxa"/>
          </w:tblCellMar>
        </w:tblPrEx>
        <w:trPr>
          <w:trHeight w:val="338" w:hRule="atLeast"/>
        </w:trPr>
        <w:tc>
          <w:tcPr>
            <w:tcW w:w="310" w:type="pct"/>
            <w:vMerge w:val="continue"/>
            <w:tcBorders>
              <w:top w:val="nil"/>
              <w:left w:val="single" w:color="000000" w:sz="4" w:space="0"/>
              <w:bottom w:val="single" w:color="000000" w:sz="4" w:space="0"/>
              <w:right w:val="single" w:color="000000" w:sz="4" w:space="0"/>
            </w:tcBorders>
            <w:vAlign w:val="center"/>
          </w:tcPr>
          <w:p w14:paraId="18F1778A">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06A6FCAF">
            <w:pPr>
              <w:widowControl/>
              <w:jc w:val="center"/>
              <w:rPr>
                <w:rFonts w:ascii="宋体" w:hAnsi="宋体" w:eastAsia="宋体" w:cs="Times New Roman"/>
                <w:sz w:val="18"/>
                <w:szCs w:val="18"/>
              </w:rPr>
            </w:pPr>
            <w:r>
              <w:rPr>
                <w:rFonts w:hint="eastAsia" w:ascii="宋体" w:hAnsi="宋体" w:eastAsia="宋体" w:cs="宋体"/>
                <w:sz w:val="18"/>
                <w:szCs w:val="18"/>
              </w:rPr>
              <w:t>其他资金</w:t>
            </w:r>
          </w:p>
        </w:tc>
        <w:tc>
          <w:tcPr>
            <w:tcW w:w="529" w:type="pct"/>
            <w:tcBorders>
              <w:top w:val="nil"/>
              <w:left w:val="nil"/>
              <w:bottom w:val="single" w:color="000000" w:sz="4" w:space="0"/>
              <w:right w:val="single" w:color="000000" w:sz="4" w:space="0"/>
            </w:tcBorders>
            <w:vAlign w:val="center"/>
          </w:tcPr>
          <w:p w14:paraId="2117AE9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693" w:type="pct"/>
            <w:tcBorders>
              <w:top w:val="nil"/>
              <w:left w:val="nil"/>
              <w:bottom w:val="single" w:color="000000" w:sz="4" w:space="0"/>
              <w:right w:val="single" w:color="000000" w:sz="4" w:space="0"/>
            </w:tcBorders>
            <w:vAlign w:val="center"/>
          </w:tcPr>
          <w:p w14:paraId="6E01EFFB">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116" w:type="pct"/>
            <w:gridSpan w:val="3"/>
            <w:tcBorders>
              <w:top w:val="single" w:color="000000" w:sz="4" w:space="0"/>
              <w:left w:val="nil"/>
              <w:bottom w:val="single" w:color="000000" w:sz="4" w:space="0"/>
              <w:right w:val="single" w:color="000000" w:sz="4" w:space="0"/>
            </w:tcBorders>
            <w:vAlign w:val="center"/>
          </w:tcPr>
          <w:p w14:paraId="25779FE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576" w:type="pct"/>
            <w:tcBorders>
              <w:top w:val="nil"/>
              <w:left w:val="nil"/>
              <w:bottom w:val="single" w:color="000000" w:sz="4" w:space="0"/>
              <w:right w:val="single" w:color="000000" w:sz="4" w:space="0"/>
            </w:tcBorders>
            <w:vAlign w:val="center"/>
          </w:tcPr>
          <w:p w14:paraId="6EEDC30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70FE3950">
            <w:pPr>
              <w:widowControl/>
              <w:jc w:val="center"/>
              <w:rPr>
                <w:rFonts w:ascii="宋体" w:hAnsi="宋体" w:eastAsia="宋体" w:cs="宋体"/>
                <w:sz w:val="18"/>
                <w:szCs w:val="18"/>
              </w:rPr>
            </w:pPr>
            <w:r>
              <w:rPr>
                <w:rFonts w:ascii="宋体" w:hAnsi="宋体" w:eastAsia="宋体" w:cs="宋体"/>
                <w:sz w:val="18"/>
                <w:szCs w:val="18"/>
              </w:rPr>
              <w:t>/</w:t>
            </w:r>
          </w:p>
        </w:tc>
        <w:tc>
          <w:tcPr>
            <w:tcW w:w="338" w:type="pct"/>
            <w:tcBorders>
              <w:top w:val="nil"/>
              <w:left w:val="nil"/>
              <w:bottom w:val="single" w:color="000000" w:sz="4" w:space="0"/>
              <w:right w:val="single" w:color="000000" w:sz="4" w:space="0"/>
            </w:tcBorders>
            <w:vAlign w:val="center"/>
          </w:tcPr>
          <w:p w14:paraId="278B70E4">
            <w:pPr>
              <w:widowControl/>
              <w:jc w:val="center"/>
              <w:rPr>
                <w:rFonts w:ascii="宋体" w:hAnsi="宋体" w:eastAsia="宋体" w:cs="宋体"/>
                <w:sz w:val="18"/>
                <w:szCs w:val="18"/>
              </w:rPr>
            </w:pPr>
            <w:r>
              <w:rPr>
                <w:rFonts w:ascii="宋体" w:hAnsi="宋体" w:eastAsia="宋体" w:cs="宋体"/>
                <w:sz w:val="18"/>
                <w:szCs w:val="18"/>
              </w:rPr>
              <w:t>/</w:t>
            </w:r>
          </w:p>
        </w:tc>
        <w:tc>
          <w:tcPr>
            <w:tcW w:w="440" w:type="pct"/>
            <w:vMerge w:val="continue"/>
            <w:tcBorders>
              <w:top w:val="nil"/>
              <w:left w:val="single" w:color="000000" w:sz="4" w:space="0"/>
              <w:bottom w:val="single" w:color="000000" w:sz="4" w:space="0"/>
              <w:right w:val="single" w:color="000000" w:sz="4" w:space="0"/>
            </w:tcBorders>
            <w:vAlign w:val="center"/>
          </w:tcPr>
          <w:p w14:paraId="4A9E50A4">
            <w:pPr>
              <w:widowControl/>
              <w:jc w:val="left"/>
              <w:rPr>
                <w:rFonts w:ascii="Courier New" w:hAnsi="Courier New" w:eastAsia="宋体" w:cs="Times New Roman"/>
                <w:i/>
                <w:iCs/>
                <w:sz w:val="18"/>
                <w:szCs w:val="18"/>
              </w:rPr>
            </w:pPr>
          </w:p>
        </w:tc>
      </w:tr>
      <w:tr w14:paraId="52C51EF4">
        <w:tblPrEx>
          <w:tblCellMar>
            <w:top w:w="0" w:type="dxa"/>
            <w:left w:w="108" w:type="dxa"/>
            <w:bottom w:w="0" w:type="dxa"/>
            <w:right w:w="108" w:type="dxa"/>
          </w:tblCellMar>
        </w:tblPrEx>
        <w:trPr>
          <w:trHeight w:val="454" w:hRule="atLeast"/>
        </w:trPr>
        <w:tc>
          <w:tcPr>
            <w:tcW w:w="310" w:type="pct"/>
            <w:vMerge w:val="restart"/>
            <w:tcBorders>
              <w:top w:val="nil"/>
              <w:left w:val="single" w:color="000000" w:sz="4" w:space="0"/>
              <w:bottom w:val="single" w:color="000000" w:sz="4" w:space="0"/>
              <w:right w:val="single" w:color="000000" w:sz="4" w:space="0"/>
            </w:tcBorders>
            <w:vAlign w:val="center"/>
          </w:tcPr>
          <w:p w14:paraId="061649D8">
            <w:pPr>
              <w:widowControl/>
              <w:jc w:val="center"/>
              <w:rPr>
                <w:rFonts w:ascii="宋体" w:hAnsi="宋体" w:eastAsia="宋体" w:cs="Times New Roman"/>
                <w:sz w:val="18"/>
                <w:szCs w:val="18"/>
              </w:rPr>
            </w:pPr>
            <w:r>
              <w:rPr>
                <w:rFonts w:hint="eastAsia" w:ascii="宋体" w:hAnsi="宋体" w:eastAsia="宋体" w:cs="宋体"/>
                <w:sz w:val="18"/>
                <w:szCs w:val="18"/>
              </w:rPr>
              <w:t>绩效指标（</w:t>
            </w:r>
            <w:r>
              <w:rPr>
                <w:rFonts w:ascii="宋体" w:hAnsi="宋体" w:eastAsia="宋体" w:cs="宋体"/>
                <w:sz w:val="18"/>
                <w:szCs w:val="18"/>
              </w:rPr>
              <w:t>90</w:t>
            </w:r>
            <w:r>
              <w:rPr>
                <w:rFonts w:hint="eastAsia" w:ascii="宋体" w:hAnsi="宋体" w:eastAsia="宋体" w:cs="宋体"/>
                <w:sz w:val="18"/>
                <w:szCs w:val="18"/>
              </w:rPr>
              <w:t>分）</w:t>
            </w:r>
          </w:p>
        </w:tc>
        <w:tc>
          <w:tcPr>
            <w:tcW w:w="623" w:type="pct"/>
            <w:tcBorders>
              <w:top w:val="nil"/>
              <w:left w:val="nil"/>
              <w:bottom w:val="single" w:color="000000" w:sz="4" w:space="0"/>
              <w:right w:val="single" w:color="000000" w:sz="4" w:space="0"/>
            </w:tcBorders>
            <w:vAlign w:val="center"/>
          </w:tcPr>
          <w:p w14:paraId="32BB2612">
            <w:pPr>
              <w:widowControl/>
              <w:jc w:val="center"/>
              <w:rPr>
                <w:rFonts w:ascii="宋体" w:hAnsi="宋体" w:eastAsia="宋体" w:cs="Times New Roman"/>
                <w:sz w:val="18"/>
                <w:szCs w:val="18"/>
              </w:rPr>
            </w:pPr>
            <w:r>
              <w:rPr>
                <w:rFonts w:hint="eastAsia" w:ascii="宋体" w:hAnsi="宋体" w:eastAsia="宋体" w:cs="宋体"/>
                <w:sz w:val="18"/>
                <w:szCs w:val="18"/>
              </w:rPr>
              <w:t>一级指标</w:t>
            </w:r>
          </w:p>
        </w:tc>
        <w:tc>
          <w:tcPr>
            <w:tcW w:w="529" w:type="pct"/>
            <w:tcBorders>
              <w:top w:val="nil"/>
              <w:left w:val="nil"/>
              <w:bottom w:val="single" w:color="000000" w:sz="4" w:space="0"/>
              <w:right w:val="single" w:color="000000" w:sz="4" w:space="0"/>
            </w:tcBorders>
            <w:vAlign w:val="center"/>
          </w:tcPr>
          <w:p w14:paraId="10E096D5">
            <w:pPr>
              <w:widowControl/>
              <w:jc w:val="center"/>
              <w:rPr>
                <w:rFonts w:ascii="宋体" w:hAnsi="宋体" w:eastAsia="宋体" w:cs="Times New Roman"/>
                <w:sz w:val="18"/>
                <w:szCs w:val="18"/>
              </w:rPr>
            </w:pPr>
            <w:r>
              <w:rPr>
                <w:rFonts w:hint="eastAsia" w:ascii="宋体" w:hAnsi="宋体" w:eastAsia="宋体" w:cs="宋体"/>
                <w:sz w:val="18"/>
                <w:szCs w:val="18"/>
              </w:rPr>
              <w:t>二级指标</w:t>
            </w:r>
          </w:p>
        </w:tc>
        <w:tc>
          <w:tcPr>
            <w:tcW w:w="693" w:type="pct"/>
            <w:tcBorders>
              <w:top w:val="nil"/>
              <w:left w:val="nil"/>
              <w:bottom w:val="single" w:color="000000" w:sz="4" w:space="0"/>
              <w:right w:val="single" w:color="000000" w:sz="4" w:space="0"/>
            </w:tcBorders>
            <w:vAlign w:val="center"/>
          </w:tcPr>
          <w:p w14:paraId="4AB8C185">
            <w:pPr>
              <w:widowControl/>
              <w:jc w:val="center"/>
              <w:rPr>
                <w:rFonts w:ascii="宋体" w:hAnsi="宋体" w:eastAsia="宋体" w:cs="Times New Roman"/>
                <w:sz w:val="18"/>
                <w:szCs w:val="18"/>
              </w:rPr>
            </w:pPr>
            <w:r>
              <w:rPr>
                <w:rFonts w:hint="eastAsia" w:ascii="宋体" w:hAnsi="宋体" w:eastAsia="宋体" w:cs="宋体"/>
                <w:sz w:val="18"/>
                <w:szCs w:val="18"/>
              </w:rPr>
              <w:t>三级指标</w:t>
            </w:r>
          </w:p>
        </w:tc>
        <w:tc>
          <w:tcPr>
            <w:tcW w:w="214" w:type="pct"/>
            <w:tcBorders>
              <w:top w:val="nil"/>
              <w:left w:val="nil"/>
              <w:bottom w:val="single" w:color="000000" w:sz="4" w:space="0"/>
              <w:right w:val="single" w:color="000000" w:sz="4" w:space="0"/>
            </w:tcBorders>
            <w:vAlign w:val="center"/>
          </w:tcPr>
          <w:p w14:paraId="20C0D390">
            <w:pPr>
              <w:widowControl/>
              <w:jc w:val="center"/>
              <w:rPr>
                <w:rFonts w:ascii="宋体" w:hAnsi="宋体" w:eastAsia="宋体" w:cs="Times New Roman"/>
                <w:sz w:val="18"/>
                <w:szCs w:val="18"/>
              </w:rPr>
            </w:pPr>
            <w:r>
              <w:rPr>
                <w:rFonts w:hint="eastAsia" w:ascii="宋体" w:hAnsi="宋体" w:eastAsia="宋体" w:cs="宋体"/>
                <w:sz w:val="18"/>
                <w:szCs w:val="18"/>
              </w:rPr>
              <w:t>指标性质</w:t>
            </w:r>
          </w:p>
        </w:tc>
        <w:tc>
          <w:tcPr>
            <w:tcW w:w="492" w:type="pct"/>
            <w:tcBorders>
              <w:top w:val="nil"/>
              <w:left w:val="nil"/>
              <w:bottom w:val="single" w:color="000000" w:sz="4" w:space="0"/>
              <w:right w:val="single" w:color="000000" w:sz="4" w:space="0"/>
            </w:tcBorders>
            <w:vAlign w:val="center"/>
          </w:tcPr>
          <w:p w14:paraId="774CD1DE">
            <w:pPr>
              <w:widowControl/>
              <w:jc w:val="center"/>
              <w:rPr>
                <w:rFonts w:ascii="宋体" w:hAnsi="宋体" w:eastAsia="宋体" w:cs="Times New Roman"/>
                <w:sz w:val="18"/>
                <w:szCs w:val="18"/>
              </w:rPr>
            </w:pPr>
            <w:r>
              <w:rPr>
                <w:rFonts w:hint="eastAsia" w:ascii="宋体" w:hAnsi="宋体" w:eastAsia="宋体" w:cs="宋体"/>
                <w:sz w:val="18"/>
                <w:szCs w:val="18"/>
              </w:rPr>
              <w:t>指标值</w:t>
            </w:r>
          </w:p>
        </w:tc>
        <w:tc>
          <w:tcPr>
            <w:tcW w:w="409" w:type="pct"/>
            <w:tcBorders>
              <w:top w:val="nil"/>
              <w:left w:val="nil"/>
              <w:bottom w:val="single" w:color="000000" w:sz="4" w:space="0"/>
              <w:right w:val="single" w:color="000000" w:sz="4" w:space="0"/>
            </w:tcBorders>
            <w:vAlign w:val="center"/>
          </w:tcPr>
          <w:p w14:paraId="2A3E6436">
            <w:pPr>
              <w:widowControl/>
              <w:jc w:val="center"/>
              <w:rPr>
                <w:rFonts w:ascii="宋体" w:hAnsi="宋体" w:eastAsia="宋体" w:cs="Times New Roman"/>
                <w:sz w:val="18"/>
                <w:szCs w:val="18"/>
              </w:rPr>
            </w:pPr>
            <w:r>
              <w:rPr>
                <w:rFonts w:hint="eastAsia" w:ascii="宋体" w:hAnsi="宋体" w:eastAsia="宋体" w:cs="宋体"/>
                <w:sz w:val="18"/>
                <w:szCs w:val="18"/>
              </w:rPr>
              <w:t>度量单位</w:t>
            </w:r>
          </w:p>
        </w:tc>
        <w:tc>
          <w:tcPr>
            <w:tcW w:w="576" w:type="pct"/>
            <w:tcBorders>
              <w:top w:val="nil"/>
              <w:left w:val="nil"/>
              <w:bottom w:val="single" w:color="000000" w:sz="4" w:space="0"/>
              <w:right w:val="single" w:color="000000" w:sz="4" w:space="0"/>
            </w:tcBorders>
            <w:vAlign w:val="center"/>
          </w:tcPr>
          <w:p w14:paraId="7311CA86">
            <w:pPr>
              <w:widowControl/>
              <w:jc w:val="center"/>
              <w:rPr>
                <w:rFonts w:ascii="宋体" w:hAnsi="宋体" w:eastAsia="宋体" w:cs="Times New Roman"/>
                <w:sz w:val="18"/>
                <w:szCs w:val="18"/>
              </w:rPr>
            </w:pPr>
            <w:r>
              <w:rPr>
                <w:rFonts w:hint="eastAsia" w:ascii="宋体" w:hAnsi="宋体" w:eastAsia="宋体" w:cs="宋体"/>
                <w:sz w:val="18"/>
                <w:szCs w:val="18"/>
              </w:rPr>
              <w:t>完成值</w:t>
            </w:r>
          </w:p>
        </w:tc>
        <w:tc>
          <w:tcPr>
            <w:tcW w:w="372" w:type="pct"/>
            <w:tcBorders>
              <w:top w:val="nil"/>
              <w:left w:val="nil"/>
              <w:bottom w:val="single" w:color="000000" w:sz="4" w:space="0"/>
              <w:right w:val="single" w:color="000000" w:sz="4" w:space="0"/>
            </w:tcBorders>
            <w:vAlign w:val="center"/>
          </w:tcPr>
          <w:p w14:paraId="115858F9">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338" w:type="pct"/>
            <w:tcBorders>
              <w:top w:val="nil"/>
              <w:left w:val="nil"/>
              <w:bottom w:val="single" w:color="000000" w:sz="4" w:space="0"/>
              <w:right w:val="single" w:color="000000" w:sz="4" w:space="0"/>
            </w:tcBorders>
            <w:vAlign w:val="center"/>
          </w:tcPr>
          <w:p w14:paraId="0AC0F976">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440" w:type="pct"/>
            <w:tcBorders>
              <w:top w:val="nil"/>
              <w:left w:val="nil"/>
              <w:bottom w:val="single" w:color="000000" w:sz="4" w:space="0"/>
              <w:right w:val="single" w:color="000000" w:sz="4" w:space="0"/>
            </w:tcBorders>
            <w:vAlign w:val="center"/>
          </w:tcPr>
          <w:p w14:paraId="7638472C">
            <w:pPr>
              <w:widowControl/>
              <w:jc w:val="center"/>
              <w:rPr>
                <w:rFonts w:ascii="宋体" w:hAnsi="宋体" w:eastAsia="宋体" w:cs="Times New Roman"/>
                <w:sz w:val="18"/>
                <w:szCs w:val="18"/>
              </w:rPr>
            </w:pPr>
            <w:r>
              <w:rPr>
                <w:rFonts w:hint="eastAsia" w:ascii="宋体" w:hAnsi="宋体" w:eastAsia="宋体" w:cs="宋体"/>
                <w:sz w:val="18"/>
                <w:szCs w:val="18"/>
              </w:rPr>
              <w:t>未完成原因分析</w:t>
            </w:r>
          </w:p>
        </w:tc>
      </w:tr>
      <w:tr w14:paraId="78EE32AE">
        <w:tblPrEx>
          <w:tblCellMar>
            <w:top w:w="0" w:type="dxa"/>
            <w:left w:w="108" w:type="dxa"/>
            <w:bottom w:w="0" w:type="dxa"/>
            <w:right w:w="108" w:type="dxa"/>
          </w:tblCellMar>
        </w:tblPrEx>
        <w:trPr>
          <w:trHeight w:val="338" w:hRule="atLeast"/>
        </w:trPr>
        <w:tc>
          <w:tcPr>
            <w:tcW w:w="310" w:type="pct"/>
            <w:vMerge w:val="continue"/>
            <w:tcBorders>
              <w:top w:val="nil"/>
              <w:left w:val="single" w:color="000000" w:sz="4" w:space="0"/>
              <w:bottom w:val="single" w:color="000000" w:sz="4" w:space="0"/>
              <w:right w:val="single" w:color="000000" w:sz="4" w:space="0"/>
            </w:tcBorders>
            <w:vAlign w:val="center"/>
          </w:tcPr>
          <w:p w14:paraId="0E3CE9B1">
            <w:pPr>
              <w:widowControl/>
              <w:jc w:val="left"/>
              <w:rPr>
                <w:rFonts w:ascii="宋体" w:hAnsi="宋体" w:eastAsia="宋体" w:cs="Times New Roman"/>
                <w:sz w:val="18"/>
                <w:szCs w:val="18"/>
              </w:rPr>
            </w:pPr>
          </w:p>
        </w:tc>
        <w:tc>
          <w:tcPr>
            <w:tcW w:w="623" w:type="pct"/>
            <w:vMerge w:val="restart"/>
            <w:tcBorders>
              <w:top w:val="nil"/>
              <w:left w:val="single" w:color="000000" w:sz="4" w:space="0"/>
              <w:bottom w:val="single" w:color="000000" w:sz="4" w:space="0"/>
              <w:right w:val="single" w:color="000000" w:sz="4" w:space="0"/>
            </w:tcBorders>
            <w:vAlign w:val="center"/>
          </w:tcPr>
          <w:p w14:paraId="5544DB70">
            <w:pPr>
              <w:widowControl/>
              <w:jc w:val="center"/>
              <w:rPr>
                <w:rFonts w:ascii="宋体" w:hAnsi="宋体" w:eastAsia="宋体" w:cs="Times New Roman"/>
                <w:sz w:val="18"/>
                <w:szCs w:val="18"/>
              </w:rPr>
            </w:pPr>
            <w:r>
              <w:rPr>
                <w:rFonts w:hint="eastAsia" w:ascii="宋体" w:hAnsi="宋体" w:eastAsia="宋体" w:cs="宋体"/>
                <w:sz w:val="18"/>
                <w:szCs w:val="18"/>
              </w:rPr>
              <w:t>产出指标</w:t>
            </w:r>
          </w:p>
        </w:tc>
        <w:tc>
          <w:tcPr>
            <w:tcW w:w="529" w:type="pct"/>
            <w:vMerge w:val="restart"/>
            <w:tcBorders>
              <w:top w:val="nil"/>
              <w:left w:val="single" w:color="000000" w:sz="4" w:space="0"/>
              <w:bottom w:val="single" w:color="000000" w:sz="4" w:space="0"/>
              <w:right w:val="single" w:color="000000" w:sz="4" w:space="0"/>
            </w:tcBorders>
            <w:vAlign w:val="center"/>
          </w:tcPr>
          <w:p w14:paraId="15F24377">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693" w:type="pct"/>
            <w:tcBorders>
              <w:top w:val="nil"/>
              <w:left w:val="nil"/>
              <w:bottom w:val="single" w:color="000000" w:sz="4" w:space="0"/>
              <w:right w:val="single" w:color="000000" w:sz="4" w:space="0"/>
            </w:tcBorders>
            <w:vAlign w:val="center"/>
          </w:tcPr>
          <w:p w14:paraId="563B1EA1">
            <w:pPr>
              <w:widowControl/>
              <w:jc w:val="center"/>
              <w:rPr>
                <w:rFonts w:ascii="宋体" w:hAnsi="宋体" w:eastAsia="宋体" w:cs="Times New Roman"/>
                <w:sz w:val="18"/>
                <w:szCs w:val="18"/>
              </w:rPr>
            </w:pPr>
            <w:r>
              <w:rPr>
                <w:rFonts w:hint="eastAsia" w:ascii="宋体" w:hAnsi="宋体" w:eastAsia="宋体" w:cs="宋体"/>
                <w:sz w:val="18"/>
                <w:szCs w:val="18"/>
              </w:rPr>
              <w:t>公共场所消毒</w:t>
            </w:r>
          </w:p>
        </w:tc>
        <w:tc>
          <w:tcPr>
            <w:tcW w:w="214" w:type="pct"/>
            <w:tcBorders>
              <w:top w:val="nil"/>
              <w:left w:val="nil"/>
              <w:bottom w:val="single" w:color="000000" w:sz="4" w:space="0"/>
              <w:right w:val="single" w:color="000000" w:sz="4" w:space="0"/>
            </w:tcBorders>
            <w:vAlign w:val="center"/>
          </w:tcPr>
          <w:p w14:paraId="370B1D17">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04B20EA4">
            <w:pPr>
              <w:widowControl/>
              <w:jc w:val="center"/>
              <w:rPr>
                <w:rFonts w:ascii="宋体" w:hAnsi="宋体" w:eastAsia="宋体" w:cs="宋体"/>
                <w:sz w:val="18"/>
                <w:szCs w:val="18"/>
              </w:rPr>
            </w:pPr>
            <w:r>
              <w:rPr>
                <w:rFonts w:ascii="宋体" w:hAnsi="宋体" w:eastAsia="宋体" w:cs="宋体"/>
                <w:sz w:val="18"/>
                <w:szCs w:val="18"/>
              </w:rPr>
              <w:t>1100</w:t>
            </w:r>
          </w:p>
        </w:tc>
        <w:tc>
          <w:tcPr>
            <w:tcW w:w="409" w:type="pct"/>
            <w:tcBorders>
              <w:top w:val="nil"/>
              <w:left w:val="nil"/>
              <w:bottom w:val="single" w:color="000000" w:sz="4" w:space="0"/>
              <w:right w:val="single" w:color="000000" w:sz="4" w:space="0"/>
            </w:tcBorders>
            <w:vAlign w:val="center"/>
          </w:tcPr>
          <w:p w14:paraId="4015B08E">
            <w:pPr>
              <w:widowControl/>
              <w:jc w:val="center"/>
              <w:rPr>
                <w:rFonts w:ascii="宋体" w:hAnsi="宋体" w:eastAsia="宋体" w:cs="Times New Roman"/>
                <w:sz w:val="18"/>
                <w:szCs w:val="18"/>
              </w:rPr>
            </w:pPr>
            <w:r>
              <w:rPr>
                <w:rFonts w:hint="eastAsia" w:ascii="宋体" w:hAnsi="宋体" w:eastAsia="宋体" w:cs="宋体"/>
                <w:sz w:val="18"/>
                <w:szCs w:val="18"/>
              </w:rPr>
              <w:t>次</w:t>
            </w:r>
          </w:p>
        </w:tc>
        <w:tc>
          <w:tcPr>
            <w:tcW w:w="576" w:type="pct"/>
            <w:tcBorders>
              <w:top w:val="nil"/>
              <w:left w:val="nil"/>
              <w:bottom w:val="single" w:color="000000" w:sz="4" w:space="0"/>
              <w:right w:val="single" w:color="000000" w:sz="4" w:space="0"/>
            </w:tcBorders>
            <w:vAlign w:val="center"/>
          </w:tcPr>
          <w:p w14:paraId="38FB345C">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23D8EC26">
            <w:pPr>
              <w:widowControl/>
              <w:jc w:val="center"/>
              <w:rPr>
                <w:rFonts w:ascii="宋体" w:hAnsi="宋体" w:eastAsia="宋体" w:cs="宋体"/>
                <w:sz w:val="18"/>
                <w:szCs w:val="18"/>
              </w:rPr>
            </w:pPr>
            <w:r>
              <w:rPr>
                <w:rFonts w:ascii="宋体" w:hAnsi="宋体" w:eastAsia="宋体" w:cs="宋体"/>
                <w:sz w:val="18"/>
                <w:szCs w:val="18"/>
              </w:rPr>
              <w:t>5</w:t>
            </w:r>
          </w:p>
        </w:tc>
        <w:tc>
          <w:tcPr>
            <w:tcW w:w="338" w:type="pct"/>
            <w:tcBorders>
              <w:top w:val="nil"/>
              <w:left w:val="nil"/>
              <w:bottom w:val="single" w:color="000000" w:sz="4" w:space="0"/>
              <w:right w:val="single" w:color="000000" w:sz="4" w:space="0"/>
            </w:tcBorders>
            <w:vAlign w:val="center"/>
          </w:tcPr>
          <w:p w14:paraId="470AB2B3">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44044719">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2ACD5975">
        <w:tblPrEx>
          <w:tblCellMar>
            <w:top w:w="0" w:type="dxa"/>
            <w:left w:w="108" w:type="dxa"/>
            <w:bottom w:w="0" w:type="dxa"/>
            <w:right w:w="108" w:type="dxa"/>
          </w:tblCellMar>
        </w:tblPrEx>
        <w:trPr>
          <w:trHeight w:val="454" w:hRule="atLeast"/>
        </w:trPr>
        <w:tc>
          <w:tcPr>
            <w:tcW w:w="310" w:type="pct"/>
            <w:vMerge w:val="continue"/>
            <w:tcBorders>
              <w:top w:val="nil"/>
              <w:left w:val="single" w:color="000000" w:sz="4" w:space="0"/>
              <w:bottom w:val="single" w:color="000000" w:sz="4" w:space="0"/>
              <w:right w:val="single" w:color="000000" w:sz="4" w:space="0"/>
            </w:tcBorders>
            <w:vAlign w:val="center"/>
          </w:tcPr>
          <w:p w14:paraId="328DD11D">
            <w:pPr>
              <w:widowControl/>
              <w:jc w:val="left"/>
              <w:rPr>
                <w:rFonts w:ascii="宋体" w:hAnsi="宋体" w:eastAsia="宋体" w:cs="Times New Roman"/>
                <w:sz w:val="18"/>
                <w:szCs w:val="18"/>
              </w:rPr>
            </w:pPr>
          </w:p>
        </w:tc>
        <w:tc>
          <w:tcPr>
            <w:tcW w:w="623" w:type="pct"/>
            <w:vMerge w:val="continue"/>
            <w:tcBorders>
              <w:top w:val="nil"/>
              <w:left w:val="single" w:color="000000" w:sz="4" w:space="0"/>
              <w:bottom w:val="single" w:color="000000" w:sz="4" w:space="0"/>
              <w:right w:val="single" w:color="000000" w:sz="4" w:space="0"/>
            </w:tcBorders>
            <w:vAlign w:val="center"/>
          </w:tcPr>
          <w:p w14:paraId="14AC621E">
            <w:pPr>
              <w:widowControl/>
              <w:jc w:val="left"/>
              <w:rPr>
                <w:rFonts w:ascii="宋体" w:hAnsi="宋体" w:eastAsia="宋体" w:cs="Times New Roman"/>
                <w:sz w:val="18"/>
                <w:szCs w:val="18"/>
              </w:rPr>
            </w:pPr>
          </w:p>
        </w:tc>
        <w:tc>
          <w:tcPr>
            <w:tcW w:w="529" w:type="pct"/>
            <w:vMerge w:val="continue"/>
            <w:tcBorders>
              <w:top w:val="nil"/>
              <w:left w:val="single" w:color="000000" w:sz="4" w:space="0"/>
              <w:bottom w:val="single" w:color="000000" w:sz="4" w:space="0"/>
              <w:right w:val="single" w:color="000000" w:sz="4" w:space="0"/>
            </w:tcBorders>
            <w:vAlign w:val="center"/>
          </w:tcPr>
          <w:p w14:paraId="21E64A8D">
            <w:pPr>
              <w:widowControl/>
              <w:jc w:val="left"/>
              <w:rPr>
                <w:rFonts w:ascii="宋体" w:hAnsi="宋体" w:eastAsia="宋体" w:cs="Times New Roman"/>
                <w:sz w:val="18"/>
                <w:szCs w:val="18"/>
              </w:rPr>
            </w:pPr>
          </w:p>
        </w:tc>
        <w:tc>
          <w:tcPr>
            <w:tcW w:w="693" w:type="pct"/>
            <w:tcBorders>
              <w:top w:val="nil"/>
              <w:left w:val="nil"/>
              <w:bottom w:val="single" w:color="000000" w:sz="4" w:space="0"/>
              <w:right w:val="single" w:color="000000" w:sz="4" w:space="0"/>
            </w:tcBorders>
            <w:vAlign w:val="center"/>
          </w:tcPr>
          <w:p w14:paraId="53F1EC02">
            <w:pPr>
              <w:widowControl/>
              <w:jc w:val="center"/>
              <w:rPr>
                <w:rFonts w:ascii="宋体" w:hAnsi="宋体" w:eastAsia="宋体" w:cs="Times New Roman"/>
                <w:sz w:val="18"/>
                <w:szCs w:val="18"/>
              </w:rPr>
            </w:pPr>
            <w:r>
              <w:rPr>
                <w:rFonts w:hint="eastAsia" w:ascii="宋体" w:hAnsi="宋体" w:eastAsia="宋体" w:cs="宋体"/>
                <w:sz w:val="18"/>
                <w:szCs w:val="18"/>
              </w:rPr>
              <w:t>广告宣传</w:t>
            </w:r>
          </w:p>
        </w:tc>
        <w:tc>
          <w:tcPr>
            <w:tcW w:w="214" w:type="pct"/>
            <w:tcBorders>
              <w:top w:val="nil"/>
              <w:left w:val="nil"/>
              <w:bottom w:val="single" w:color="000000" w:sz="4" w:space="0"/>
              <w:right w:val="single" w:color="000000" w:sz="4" w:space="0"/>
            </w:tcBorders>
            <w:vAlign w:val="center"/>
          </w:tcPr>
          <w:p w14:paraId="2D6C5983">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093EC755">
            <w:pPr>
              <w:widowControl/>
              <w:jc w:val="center"/>
              <w:rPr>
                <w:rFonts w:ascii="宋体" w:hAnsi="宋体" w:eastAsia="宋体" w:cs="宋体"/>
                <w:sz w:val="18"/>
                <w:szCs w:val="18"/>
              </w:rPr>
            </w:pPr>
            <w:r>
              <w:rPr>
                <w:rFonts w:ascii="宋体" w:hAnsi="宋体" w:eastAsia="宋体" w:cs="宋体"/>
                <w:sz w:val="18"/>
                <w:szCs w:val="18"/>
              </w:rPr>
              <w:t>4</w:t>
            </w:r>
          </w:p>
        </w:tc>
        <w:tc>
          <w:tcPr>
            <w:tcW w:w="409" w:type="pct"/>
            <w:tcBorders>
              <w:top w:val="nil"/>
              <w:left w:val="nil"/>
              <w:bottom w:val="single" w:color="000000" w:sz="4" w:space="0"/>
              <w:right w:val="single" w:color="000000" w:sz="4" w:space="0"/>
            </w:tcBorders>
            <w:vAlign w:val="center"/>
          </w:tcPr>
          <w:p w14:paraId="21D4CFE4">
            <w:pPr>
              <w:widowControl/>
              <w:jc w:val="center"/>
              <w:rPr>
                <w:rFonts w:ascii="宋体" w:hAnsi="宋体" w:eastAsia="宋体" w:cs="Times New Roman"/>
                <w:sz w:val="18"/>
                <w:szCs w:val="18"/>
              </w:rPr>
            </w:pPr>
            <w:r>
              <w:rPr>
                <w:rFonts w:hint="eastAsia" w:ascii="宋体" w:hAnsi="宋体" w:eastAsia="宋体" w:cs="宋体"/>
                <w:sz w:val="18"/>
                <w:szCs w:val="18"/>
              </w:rPr>
              <w:t>座（处）</w:t>
            </w:r>
          </w:p>
        </w:tc>
        <w:tc>
          <w:tcPr>
            <w:tcW w:w="576" w:type="pct"/>
            <w:tcBorders>
              <w:top w:val="nil"/>
              <w:left w:val="nil"/>
              <w:bottom w:val="single" w:color="000000" w:sz="4" w:space="0"/>
              <w:right w:val="single" w:color="000000" w:sz="4" w:space="0"/>
            </w:tcBorders>
            <w:vAlign w:val="center"/>
          </w:tcPr>
          <w:p w14:paraId="1F7A2E3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6DB96CC4">
            <w:pPr>
              <w:widowControl/>
              <w:jc w:val="center"/>
              <w:rPr>
                <w:rFonts w:ascii="宋体" w:hAnsi="宋体" w:eastAsia="宋体" w:cs="宋体"/>
                <w:sz w:val="18"/>
                <w:szCs w:val="18"/>
              </w:rPr>
            </w:pPr>
            <w:r>
              <w:rPr>
                <w:rFonts w:ascii="宋体" w:hAnsi="宋体" w:eastAsia="宋体" w:cs="宋体"/>
                <w:sz w:val="18"/>
                <w:szCs w:val="18"/>
              </w:rPr>
              <w:t>5</w:t>
            </w:r>
          </w:p>
        </w:tc>
        <w:tc>
          <w:tcPr>
            <w:tcW w:w="338" w:type="pct"/>
            <w:tcBorders>
              <w:top w:val="nil"/>
              <w:left w:val="nil"/>
              <w:bottom w:val="single" w:color="000000" w:sz="4" w:space="0"/>
              <w:right w:val="single" w:color="000000" w:sz="4" w:space="0"/>
            </w:tcBorders>
            <w:vAlign w:val="center"/>
          </w:tcPr>
          <w:p w14:paraId="4838D00A">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188104A4">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1F3B730B">
        <w:tblPrEx>
          <w:tblCellMar>
            <w:top w:w="0" w:type="dxa"/>
            <w:left w:w="108" w:type="dxa"/>
            <w:bottom w:w="0" w:type="dxa"/>
            <w:right w:w="108" w:type="dxa"/>
          </w:tblCellMar>
        </w:tblPrEx>
        <w:trPr>
          <w:trHeight w:val="338" w:hRule="atLeast"/>
        </w:trPr>
        <w:tc>
          <w:tcPr>
            <w:tcW w:w="310" w:type="pct"/>
            <w:vMerge w:val="continue"/>
            <w:tcBorders>
              <w:top w:val="nil"/>
              <w:left w:val="single" w:color="000000" w:sz="4" w:space="0"/>
              <w:bottom w:val="single" w:color="000000" w:sz="4" w:space="0"/>
              <w:right w:val="single" w:color="000000" w:sz="4" w:space="0"/>
            </w:tcBorders>
            <w:vAlign w:val="center"/>
          </w:tcPr>
          <w:p w14:paraId="476FE7A1">
            <w:pPr>
              <w:widowControl/>
              <w:jc w:val="left"/>
              <w:rPr>
                <w:rFonts w:ascii="宋体" w:hAnsi="宋体" w:eastAsia="宋体" w:cs="Times New Roman"/>
                <w:sz w:val="18"/>
                <w:szCs w:val="18"/>
              </w:rPr>
            </w:pPr>
          </w:p>
        </w:tc>
        <w:tc>
          <w:tcPr>
            <w:tcW w:w="623" w:type="pct"/>
            <w:vMerge w:val="continue"/>
            <w:tcBorders>
              <w:top w:val="nil"/>
              <w:left w:val="single" w:color="000000" w:sz="4" w:space="0"/>
              <w:bottom w:val="single" w:color="000000" w:sz="4" w:space="0"/>
              <w:right w:val="single" w:color="000000" w:sz="4" w:space="0"/>
            </w:tcBorders>
            <w:vAlign w:val="center"/>
          </w:tcPr>
          <w:p w14:paraId="63163C37">
            <w:pPr>
              <w:widowControl/>
              <w:jc w:val="left"/>
              <w:rPr>
                <w:rFonts w:ascii="宋体" w:hAnsi="宋体" w:eastAsia="宋体" w:cs="Times New Roman"/>
                <w:sz w:val="18"/>
                <w:szCs w:val="18"/>
              </w:rPr>
            </w:pPr>
          </w:p>
        </w:tc>
        <w:tc>
          <w:tcPr>
            <w:tcW w:w="529" w:type="pct"/>
            <w:vMerge w:val="continue"/>
            <w:tcBorders>
              <w:top w:val="nil"/>
              <w:left w:val="single" w:color="000000" w:sz="4" w:space="0"/>
              <w:bottom w:val="single" w:color="000000" w:sz="4" w:space="0"/>
              <w:right w:val="single" w:color="000000" w:sz="4" w:space="0"/>
            </w:tcBorders>
            <w:vAlign w:val="center"/>
          </w:tcPr>
          <w:p w14:paraId="1DA51D57">
            <w:pPr>
              <w:widowControl/>
              <w:jc w:val="left"/>
              <w:rPr>
                <w:rFonts w:ascii="宋体" w:hAnsi="宋体" w:eastAsia="宋体" w:cs="Times New Roman"/>
                <w:sz w:val="18"/>
                <w:szCs w:val="18"/>
              </w:rPr>
            </w:pPr>
          </w:p>
        </w:tc>
        <w:tc>
          <w:tcPr>
            <w:tcW w:w="693" w:type="pct"/>
            <w:tcBorders>
              <w:top w:val="nil"/>
              <w:left w:val="nil"/>
              <w:bottom w:val="single" w:color="000000" w:sz="4" w:space="0"/>
              <w:right w:val="single" w:color="000000" w:sz="4" w:space="0"/>
            </w:tcBorders>
            <w:vAlign w:val="center"/>
          </w:tcPr>
          <w:p w14:paraId="0E6EFA1C">
            <w:pPr>
              <w:widowControl/>
              <w:jc w:val="center"/>
              <w:rPr>
                <w:rFonts w:ascii="宋体" w:hAnsi="宋体" w:eastAsia="宋体" w:cs="Times New Roman"/>
                <w:sz w:val="18"/>
                <w:szCs w:val="18"/>
              </w:rPr>
            </w:pPr>
            <w:r>
              <w:rPr>
                <w:rFonts w:hint="eastAsia" w:ascii="宋体" w:hAnsi="宋体" w:eastAsia="宋体" w:cs="宋体"/>
                <w:sz w:val="18"/>
                <w:szCs w:val="18"/>
              </w:rPr>
              <w:t>完成免费复印</w:t>
            </w:r>
          </w:p>
        </w:tc>
        <w:tc>
          <w:tcPr>
            <w:tcW w:w="214" w:type="pct"/>
            <w:tcBorders>
              <w:top w:val="nil"/>
              <w:left w:val="nil"/>
              <w:bottom w:val="single" w:color="000000" w:sz="4" w:space="0"/>
              <w:right w:val="single" w:color="000000" w:sz="4" w:space="0"/>
            </w:tcBorders>
            <w:vAlign w:val="center"/>
          </w:tcPr>
          <w:p w14:paraId="0129D57D">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48472AF2">
            <w:pPr>
              <w:widowControl/>
              <w:jc w:val="center"/>
              <w:rPr>
                <w:rFonts w:ascii="宋体" w:hAnsi="宋体" w:eastAsia="宋体" w:cs="宋体"/>
                <w:sz w:val="18"/>
                <w:szCs w:val="18"/>
              </w:rPr>
            </w:pPr>
            <w:r>
              <w:rPr>
                <w:rFonts w:ascii="宋体" w:hAnsi="宋体" w:eastAsia="宋体" w:cs="宋体"/>
                <w:sz w:val="18"/>
                <w:szCs w:val="18"/>
              </w:rPr>
              <w:t>20</w:t>
            </w:r>
          </w:p>
        </w:tc>
        <w:tc>
          <w:tcPr>
            <w:tcW w:w="409" w:type="pct"/>
            <w:tcBorders>
              <w:top w:val="nil"/>
              <w:left w:val="nil"/>
              <w:bottom w:val="single" w:color="000000" w:sz="4" w:space="0"/>
              <w:right w:val="single" w:color="000000" w:sz="4" w:space="0"/>
            </w:tcBorders>
            <w:vAlign w:val="center"/>
          </w:tcPr>
          <w:p w14:paraId="7EB8B839">
            <w:pPr>
              <w:widowControl/>
              <w:jc w:val="center"/>
              <w:rPr>
                <w:rFonts w:ascii="宋体" w:hAnsi="宋体" w:eastAsia="宋体" w:cs="Times New Roman"/>
                <w:sz w:val="18"/>
                <w:szCs w:val="18"/>
              </w:rPr>
            </w:pPr>
            <w:r>
              <w:rPr>
                <w:rFonts w:hint="eastAsia" w:ascii="宋体" w:hAnsi="宋体" w:eastAsia="宋体" w:cs="宋体"/>
                <w:sz w:val="18"/>
                <w:szCs w:val="18"/>
              </w:rPr>
              <w:t>万份</w:t>
            </w:r>
          </w:p>
        </w:tc>
        <w:tc>
          <w:tcPr>
            <w:tcW w:w="576" w:type="pct"/>
            <w:tcBorders>
              <w:top w:val="nil"/>
              <w:left w:val="nil"/>
              <w:bottom w:val="single" w:color="000000" w:sz="4" w:space="0"/>
              <w:right w:val="single" w:color="000000" w:sz="4" w:space="0"/>
            </w:tcBorders>
            <w:vAlign w:val="center"/>
          </w:tcPr>
          <w:p w14:paraId="4BB28694">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4340A9D9">
            <w:pPr>
              <w:widowControl/>
              <w:jc w:val="center"/>
              <w:rPr>
                <w:rFonts w:ascii="宋体" w:hAnsi="宋体" w:eastAsia="宋体" w:cs="宋体"/>
                <w:sz w:val="18"/>
                <w:szCs w:val="18"/>
              </w:rPr>
            </w:pPr>
            <w:r>
              <w:rPr>
                <w:rFonts w:ascii="宋体" w:hAnsi="宋体" w:eastAsia="宋体" w:cs="宋体"/>
                <w:sz w:val="18"/>
                <w:szCs w:val="18"/>
              </w:rPr>
              <w:t>10</w:t>
            </w:r>
          </w:p>
        </w:tc>
        <w:tc>
          <w:tcPr>
            <w:tcW w:w="338" w:type="pct"/>
            <w:tcBorders>
              <w:top w:val="nil"/>
              <w:left w:val="nil"/>
              <w:bottom w:val="single" w:color="000000" w:sz="4" w:space="0"/>
              <w:right w:val="single" w:color="000000" w:sz="4" w:space="0"/>
            </w:tcBorders>
            <w:vAlign w:val="center"/>
          </w:tcPr>
          <w:p w14:paraId="023E0DD7">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0D204A25">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03EDCB37">
        <w:tblPrEx>
          <w:tblCellMar>
            <w:top w:w="0" w:type="dxa"/>
            <w:left w:w="108" w:type="dxa"/>
            <w:bottom w:w="0" w:type="dxa"/>
            <w:right w:w="108" w:type="dxa"/>
          </w:tblCellMar>
        </w:tblPrEx>
        <w:trPr>
          <w:trHeight w:val="338" w:hRule="atLeast"/>
        </w:trPr>
        <w:tc>
          <w:tcPr>
            <w:tcW w:w="310" w:type="pct"/>
            <w:vMerge w:val="continue"/>
            <w:tcBorders>
              <w:top w:val="nil"/>
              <w:left w:val="single" w:color="000000" w:sz="4" w:space="0"/>
              <w:bottom w:val="single" w:color="000000" w:sz="4" w:space="0"/>
              <w:right w:val="single" w:color="000000" w:sz="4" w:space="0"/>
            </w:tcBorders>
            <w:vAlign w:val="center"/>
          </w:tcPr>
          <w:p w14:paraId="174E9058">
            <w:pPr>
              <w:widowControl/>
              <w:jc w:val="left"/>
              <w:rPr>
                <w:rFonts w:ascii="宋体" w:hAnsi="宋体" w:eastAsia="宋体" w:cs="Times New Roman"/>
                <w:sz w:val="18"/>
                <w:szCs w:val="18"/>
              </w:rPr>
            </w:pPr>
          </w:p>
        </w:tc>
        <w:tc>
          <w:tcPr>
            <w:tcW w:w="623" w:type="pct"/>
            <w:vMerge w:val="continue"/>
            <w:tcBorders>
              <w:top w:val="nil"/>
              <w:left w:val="single" w:color="000000" w:sz="4" w:space="0"/>
              <w:bottom w:val="single" w:color="000000" w:sz="4" w:space="0"/>
              <w:right w:val="single" w:color="000000" w:sz="4" w:space="0"/>
            </w:tcBorders>
            <w:vAlign w:val="center"/>
          </w:tcPr>
          <w:p w14:paraId="5AAFDC84">
            <w:pPr>
              <w:widowControl/>
              <w:jc w:val="left"/>
              <w:rPr>
                <w:rFonts w:ascii="宋体" w:hAnsi="宋体" w:eastAsia="宋体" w:cs="Times New Roman"/>
                <w:sz w:val="18"/>
                <w:szCs w:val="18"/>
              </w:rPr>
            </w:pPr>
          </w:p>
        </w:tc>
        <w:tc>
          <w:tcPr>
            <w:tcW w:w="529" w:type="pct"/>
            <w:vMerge w:val="continue"/>
            <w:tcBorders>
              <w:top w:val="nil"/>
              <w:left w:val="single" w:color="000000" w:sz="4" w:space="0"/>
              <w:bottom w:val="single" w:color="000000" w:sz="4" w:space="0"/>
              <w:right w:val="single" w:color="000000" w:sz="4" w:space="0"/>
            </w:tcBorders>
            <w:vAlign w:val="center"/>
          </w:tcPr>
          <w:p w14:paraId="6ACF7C51">
            <w:pPr>
              <w:widowControl/>
              <w:jc w:val="left"/>
              <w:rPr>
                <w:rFonts w:ascii="宋体" w:hAnsi="宋体" w:eastAsia="宋体" w:cs="Times New Roman"/>
                <w:sz w:val="18"/>
                <w:szCs w:val="18"/>
              </w:rPr>
            </w:pPr>
          </w:p>
        </w:tc>
        <w:tc>
          <w:tcPr>
            <w:tcW w:w="693" w:type="pct"/>
            <w:tcBorders>
              <w:top w:val="nil"/>
              <w:left w:val="nil"/>
              <w:bottom w:val="single" w:color="000000" w:sz="4" w:space="0"/>
              <w:right w:val="single" w:color="000000" w:sz="4" w:space="0"/>
            </w:tcBorders>
            <w:vAlign w:val="center"/>
          </w:tcPr>
          <w:p w14:paraId="5F072F6B">
            <w:pPr>
              <w:widowControl/>
              <w:jc w:val="center"/>
              <w:rPr>
                <w:rFonts w:ascii="宋体" w:hAnsi="宋体" w:eastAsia="宋体" w:cs="Times New Roman"/>
                <w:sz w:val="18"/>
                <w:szCs w:val="18"/>
              </w:rPr>
            </w:pPr>
            <w:r>
              <w:rPr>
                <w:rFonts w:hint="eastAsia" w:ascii="宋体" w:hAnsi="宋体" w:eastAsia="宋体" w:cs="宋体"/>
                <w:sz w:val="18"/>
                <w:szCs w:val="18"/>
              </w:rPr>
              <w:t>维修维护面积</w:t>
            </w:r>
          </w:p>
        </w:tc>
        <w:tc>
          <w:tcPr>
            <w:tcW w:w="214" w:type="pct"/>
            <w:tcBorders>
              <w:top w:val="nil"/>
              <w:left w:val="nil"/>
              <w:bottom w:val="single" w:color="000000" w:sz="4" w:space="0"/>
              <w:right w:val="single" w:color="000000" w:sz="4" w:space="0"/>
            </w:tcBorders>
            <w:vAlign w:val="center"/>
          </w:tcPr>
          <w:p w14:paraId="218CF98D">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23DAFFEF">
            <w:pPr>
              <w:widowControl/>
              <w:jc w:val="center"/>
              <w:rPr>
                <w:rFonts w:ascii="宋体" w:hAnsi="宋体" w:eastAsia="宋体" w:cs="宋体"/>
                <w:sz w:val="18"/>
                <w:szCs w:val="18"/>
              </w:rPr>
            </w:pPr>
            <w:r>
              <w:rPr>
                <w:rFonts w:ascii="宋体" w:hAnsi="宋体" w:eastAsia="宋体" w:cs="宋体"/>
                <w:sz w:val="18"/>
                <w:szCs w:val="18"/>
              </w:rPr>
              <w:t>8000</w:t>
            </w:r>
          </w:p>
        </w:tc>
        <w:tc>
          <w:tcPr>
            <w:tcW w:w="409" w:type="pct"/>
            <w:tcBorders>
              <w:top w:val="nil"/>
              <w:left w:val="nil"/>
              <w:bottom w:val="single" w:color="000000" w:sz="4" w:space="0"/>
              <w:right w:val="single" w:color="000000" w:sz="4" w:space="0"/>
            </w:tcBorders>
            <w:vAlign w:val="center"/>
          </w:tcPr>
          <w:p w14:paraId="46A2B79D">
            <w:pPr>
              <w:widowControl/>
              <w:jc w:val="center"/>
              <w:rPr>
                <w:rFonts w:ascii="宋体" w:hAnsi="宋体" w:eastAsia="宋体" w:cs="Times New Roman"/>
                <w:sz w:val="18"/>
                <w:szCs w:val="18"/>
              </w:rPr>
            </w:pPr>
            <w:r>
              <w:rPr>
                <w:rFonts w:hint="eastAsia" w:ascii="宋体" w:hAnsi="宋体" w:eastAsia="宋体" w:cs="宋体"/>
                <w:sz w:val="18"/>
                <w:szCs w:val="18"/>
              </w:rPr>
              <w:t>平米</w:t>
            </w:r>
          </w:p>
        </w:tc>
        <w:tc>
          <w:tcPr>
            <w:tcW w:w="576" w:type="pct"/>
            <w:tcBorders>
              <w:top w:val="nil"/>
              <w:left w:val="nil"/>
              <w:bottom w:val="single" w:color="000000" w:sz="4" w:space="0"/>
              <w:right w:val="single" w:color="000000" w:sz="4" w:space="0"/>
            </w:tcBorders>
            <w:vAlign w:val="center"/>
          </w:tcPr>
          <w:p w14:paraId="6231F10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4203B05F">
            <w:pPr>
              <w:widowControl/>
              <w:jc w:val="center"/>
              <w:rPr>
                <w:rFonts w:ascii="宋体" w:hAnsi="宋体" w:eastAsia="宋体" w:cs="宋体"/>
                <w:sz w:val="18"/>
                <w:szCs w:val="18"/>
              </w:rPr>
            </w:pPr>
            <w:r>
              <w:rPr>
                <w:rFonts w:ascii="宋体" w:hAnsi="宋体" w:eastAsia="宋体" w:cs="宋体"/>
                <w:sz w:val="18"/>
                <w:szCs w:val="18"/>
              </w:rPr>
              <w:t>5</w:t>
            </w:r>
          </w:p>
        </w:tc>
        <w:tc>
          <w:tcPr>
            <w:tcW w:w="338" w:type="pct"/>
            <w:tcBorders>
              <w:top w:val="nil"/>
              <w:left w:val="nil"/>
              <w:bottom w:val="single" w:color="000000" w:sz="4" w:space="0"/>
              <w:right w:val="single" w:color="000000" w:sz="4" w:space="0"/>
            </w:tcBorders>
            <w:vAlign w:val="center"/>
          </w:tcPr>
          <w:p w14:paraId="780F909F">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7934FDC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0C2A130B">
        <w:tblPrEx>
          <w:tblCellMar>
            <w:top w:w="0" w:type="dxa"/>
            <w:left w:w="108" w:type="dxa"/>
            <w:bottom w:w="0" w:type="dxa"/>
            <w:right w:w="108" w:type="dxa"/>
          </w:tblCellMar>
        </w:tblPrEx>
        <w:trPr>
          <w:trHeight w:val="338" w:hRule="atLeast"/>
        </w:trPr>
        <w:tc>
          <w:tcPr>
            <w:tcW w:w="310" w:type="pct"/>
            <w:vMerge w:val="continue"/>
            <w:tcBorders>
              <w:top w:val="nil"/>
              <w:left w:val="single" w:color="000000" w:sz="4" w:space="0"/>
              <w:bottom w:val="single" w:color="000000" w:sz="4" w:space="0"/>
              <w:right w:val="single" w:color="000000" w:sz="4" w:space="0"/>
            </w:tcBorders>
            <w:vAlign w:val="center"/>
          </w:tcPr>
          <w:p w14:paraId="67949641">
            <w:pPr>
              <w:widowControl/>
              <w:jc w:val="left"/>
              <w:rPr>
                <w:rFonts w:ascii="宋体" w:hAnsi="宋体" w:eastAsia="宋体" w:cs="Times New Roman"/>
                <w:sz w:val="18"/>
                <w:szCs w:val="18"/>
              </w:rPr>
            </w:pPr>
          </w:p>
        </w:tc>
        <w:tc>
          <w:tcPr>
            <w:tcW w:w="623" w:type="pct"/>
            <w:vMerge w:val="continue"/>
            <w:tcBorders>
              <w:top w:val="nil"/>
              <w:left w:val="single" w:color="000000" w:sz="4" w:space="0"/>
              <w:bottom w:val="single" w:color="000000" w:sz="4" w:space="0"/>
              <w:right w:val="single" w:color="000000" w:sz="4" w:space="0"/>
            </w:tcBorders>
            <w:vAlign w:val="center"/>
          </w:tcPr>
          <w:p w14:paraId="41FF5771">
            <w:pPr>
              <w:widowControl/>
              <w:jc w:val="left"/>
              <w:rPr>
                <w:rFonts w:ascii="宋体" w:hAnsi="宋体" w:eastAsia="宋体" w:cs="Times New Roman"/>
                <w:sz w:val="18"/>
                <w:szCs w:val="18"/>
              </w:rPr>
            </w:pPr>
          </w:p>
        </w:tc>
        <w:tc>
          <w:tcPr>
            <w:tcW w:w="529" w:type="pct"/>
            <w:tcBorders>
              <w:top w:val="nil"/>
              <w:left w:val="nil"/>
              <w:bottom w:val="single" w:color="000000" w:sz="4" w:space="0"/>
              <w:right w:val="single" w:color="000000" w:sz="4" w:space="0"/>
            </w:tcBorders>
            <w:vAlign w:val="center"/>
          </w:tcPr>
          <w:p w14:paraId="46405E29">
            <w:pPr>
              <w:widowControl/>
              <w:jc w:val="center"/>
              <w:rPr>
                <w:rFonts w:ascii="宋体" w:hAnsi="宋体" w:eastAsia="宋体" w:cs="Times New Roman"/>
                <w:sz w:val="18"/>
                <w:szCs w:val="18"/>
              </w:rPr>
            </w:pPr>
            <w:r>
              <w:rPr>
                <w:rFonts w:hint="eastAsia" w:ascii="宋体" w:hAnsi="宋体" w:eastAsia="宋体" w:cs="宋体"/>
                <w:sz w:val="18"/>
                <w:szCs w:val="18"/>
              </w:rPr>
              <w:t>质量指标</w:t>
            </w:r>
          </w:p>
        </w:tc>
        <w:tc>
          <w:tcPr>
            <w:tcW w:w="693" w:type="pct"/>
            <w:tcBorders>
              <w:top w:val="nil"/>
              <w:left w:val="nil"/>
              <w:bottom w:val="single" w:color="000000" w:sz="4" w:space="0"/>
              <w:right w:val="single" w:color="000000" w:sz="4" w:space="0"/>
            </w:tcBorders>
            <w:vAlign w:val="center"/>
          </w:tcPr>
          <w:p w14:paraId="2DBD21F8">
            <w:pPr>
              <w:widowControl/>
              <w:jc w:val="center"/>
              <w:rPr>
                <w:rFonts w:ascii="宋体" w:hAnsi="宋体" w:eastAsia="宋体" w:cs="Times New Roman"/>
                <w:sz w:val="18"/>
                <w:szCs w:val="18"/>
              </w:rPr>
            </w:pPr>
            <w:r>
              <w:rPr>
                <w:rFonts w:hint="eastAsia" w:ascii="宋体" w:hAnsi="宋体" w:eastAsia="宋体" w:cs="宋体"/>
                <w:sz w:val="18"/>
                <w:szCs w:val="18"/>
              </w:rPr>
              <w:t>保障大楼正常运行</w:t>
            </w:r>
          </w:p>
        </w:tc>
        <w:tc>
          <w:tcPr>
            <w:tcW w:w="214" w:type="pct"/>
            <w:tcBorders>
              <w:top w:val="nil"/>
              <w:left w:val="nil"/>
              <w:bottom w:val="single" w:color="000000" w:sz="4" w:space="0"/>
              <w:right w:val="single" w:color="000000" w:sz="4" w:space="0"/>
            </w:tcBorders>
            <w:vAlign w:val="center"/>
          </w:tcPr>
          <w:p w14:paraId="4053B421">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70C65917">
            <w:pPr>
              <w:widowControl/>
              <w:jc w:val="center"/>
              <w:rPr>
                <w:rFonts w:ascii="宋体" w:hAnsi="宋体" w:eastAsia="宋体" w:cs="宋体"/>
                <w:sz w:val="18"/>
                <w:szCs w:val="18"/>
              </w:rPr>
            </w:pPr>
            <w:r>
              <w:rPr>
                <w:rFonts w:ascii="宋体" w:hAnsi="宋体" w:eastAsia="宋体" w:cs="宋体"/>
                <w:sz w:val="18"/>
                <w:szCs w:val="18"/>
              </w:rPr>
              <w:t>100</w:t>
            </w:r>
          </w:p>
        </w:tc>
        <w:tc>
          <w:tcPr>
            <w:tcW w:w="409" w:type="pct"/>
            <w:tcBorders>
              <w:top w:val="nil"/>
              <w:left w:val="nil"/>
              <w:bottom w:val="single" w:color="000000" w:sz="4" w:space="0"/>
              <w:right w:val="single" w:color="000000" w:sz="4" w:space="0"/>
            </w:tcBorders>
            <w:vAlign w:val="center"/>
          </w:tcPr>
          <w:p w14:paraId="308F716B">
            <w:pPr>
              <w:widowControl/>
              <w:jc w:val="center"/>
              <w:rPr>
                <w:rFonts w:ascii="宋体" w:hAnsi="宋体" w:eastAsia="宋体" w:cs="宋体"/>
                <w:sz w:val="18"/>
                <w:szCs w:val="18"/>
              </w:rPr>
            </w:pPr>
            <w:r>
              <w:rPr>
                <w:rFonts w:ascii="宋体" w:hAnsi="宋体" w:eastAsia="宋体" w:cs="宋体"/>
                <w:sz w:val="18"/>
                <w:szCs w:val="18"/>
              </w:rPr>
              <w:t>%</w:t>
            </w:r>
          </w:p>
        </w:tc>
        <w:tc>
          <w:tcPr>
            <w:tcW w:w="576" w:type="pct"/>
            <w:tcBorders>
              <w:top w:val="nil"/>
              <w:left w:val="nil"/>
              <w:bottom w:val="single" w:color="000000" w:sz="4" w:space="0"/>
              <w:right w:val="single" w:color="000000" w:sz="4" w:space="0"/>
            </w:tcBorders>
            <w:vAlign w:val="center"/>
          </w:tcPr>
          <w:p w14:paraId="75B98999">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2C724F8F">
            <w:pPr>
              <w:widowControl/>
              <w:jc w:val="center"/>
              <w:rPr>
                <w:rFonts w:ascii="宋体" w:hAnsi="宋体" w:eastAsia="宋体" w:cs="宋体"/>
                <w:sz w:val="18"/>
                <w:szCs w:val="18"/>
              </w:rPr>
            </w:pPr>
            <w:r>
              <w:rPr>
                <w:rFonts w:ascii="宋体" w:hAnsi="宋体" w:eastAsia="宋体" w:cs="宋体"/>
                <w:sz w:val="18"/>
                <w:szCs w:val="18"/>
              </w:rPr>
              <w:t>10</w:t>
            </w:r>
          </w:p>
        </w:tc>
        <w:tc>
          <w:tcPr>
            <w:tcW w:w="338" w:type="pct"/>
            <w:tcBorders>
              <w:top w:val="nil"/>
              <w:left w:val="nil"/>
              <w:bottom w:val="single" w:color="000000" w:sz="4" w:space="0"/>
              <w:right w:val="single" w:color="000000" w:sz="4" w:space="0"/>
            </w:tcBorders>
            <w:vAlign w:val="center"/>
          </w:tcPr>
          <w:p w14:paraId="03A3627A">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13C5F95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151928C2">
        <w:tblPrEx>
          <w:tblCellMar>
            <w:top w:w="0" w:type="dxa"/>
            <w:left w:w="108" w:type="dxa"/>
            <w:bottom w:w="0" w:type="dxa"/>
            <w:right w:w="108" w:type="dxa"/>
          </w:tblCellMar>
        </w:tblPrEx>
        <w:trPr>
          <w:trHeight w:val="338" w:hRule="atLeast"/>
        </w:trPr>
        <w:tc>
          <w:tcPr>
            <w:tcW w:w="310" w:type="pct"/>
            <w:vMerge w:val="continue"/>
            <w:tcBorders>
              <w:top w:val="nil"/>
              <w:left w:val="single" w:color="000000" w:sz="4" w:space="0"/>
              <w:bottom w:val="single" w:color="000000" w:sz="4" w:space="0"/>
              <w:right w:val="single" w:color="000000" w:sz="4" w:space="0"/>
            </w:tcBorders>
            <w:vAlign w:val="center"/>
          </w:tcPr>
          <w:p w14:paraId="53ABDE97">
            <w:pPr>
              <w:widowControl/>
              <w:jc w:val="left"/>
              <w:rPr>
                <w:rFonts w:ascii="宋体" w:hAnsi="宋体" w:eastAsia="宋体" w:cs="Times New Roman"/>
                <w:sz w:val="18"/>
                <w:szCs w:val="18"/>
              </w:rPr>
            </w:pPr>
          </w:p>
        </w:tc>
        <w:tc>
          <w:tcPr>
            <w:tcW w:w="623" w:type="pct"/>
            <w:vMerge w:val="continue"/>
            <w:tcBorders>
              <w:top w:val="nil"/>
              <w:left w:val="single" w:color="000000" w:sz="4" w:space="0"/>
              <w:bottom w:val="single" w:color="000000" w:sz="4" w:space="0"/>
              <w:right w:val="single" w:color="000000" w:sz="4" w:space="0"/>
            </w:tcBorders>
            <w:vAlign w:val="center"/>
          </w:tcPr>
          <w:p w14:paraId="12A3C542">
            <w:pPr>
              <w:widowControl/>
              <w:jc w:val="left"/>
              <w:rPr>
                <w:rFonts w:ascii="宋体" w:hAnsi="宋体" w:eastAsia="宋体" w:cs="Times New Roman"/>
                <w:sz w:val="18"/>
                <w:szCs w:val="18"/>
              </w:rPr>
            </w:pPr>
          </w:p>
        </w:tc>
        <w:tc>
          <w:tcPr>
            <w:tcW w:w="529" w:type="pct"/>
            <w:tcBorders>
              <w:top w:val="nil"/>
              <w:left w:val="nil"/>
              <w:bottom w:val="single" w:color="000000" w:sz="4" w:space="0"/>
              <w:right w:val="single" w:color="000000" w:sz="4" w:space="0"/>
            </w:tcBorders>
            <w:vAlign w:val="center"/>
          </w:tcPr>
          <w:p w14:paraId="0D35986A">
            <w:pPr>
              <w:widowControl/>
              <w:jc w:val="center"/>
              <w:rPr>
                <w:rFonts w:ascii="宋体" w:hAnsi="宋体" w:eastAsia="宋体" w:cs="Times New Roman"/>
                <w:sz w:val="18"/>
                <w:szCs w:val="18"/>
              </w:rPr>
            </w:pPr>
            <w:r>
              <w:rPr>
                <w:rFonts w:hint="eastAsia" w:ascii="宋体" w:hAnsi="宋体" w:eastAsia="宋体" w:cs="宋体"/>
                <w:sz w:val="18"/>
                <w:szCs w:val="18"/>
              </w:rPr>
              <w:t>时效指标</w:t>
            </w:r>
          </w:p>
        </w:tc>
        <w:tc>
          <w:tcPr>
            <w:tcW w:w="693" w:type="pct"/>
            <w:tcBorders>
              <w:top w:val="nil"/>
              <w:left w:val="nil"/>
              <w:bottom w:val="single" w:color="000000" w:sz="4" w:space="0"/>
              <w:right w:val="single" w:color="000000" w:sz="4" w:space="0"/>
            </w:tcBorders>
            <w:vAlign w:val="center"/>
          </w:tcPr>
          <w:p w14:paraId="2CB667D4">
            <w:pPr>
              <w:widowControl/>
              <w:jc w:val="center"/>
              <w:rPr>
                <w:rFonts w:ascii="宋体" w:hAnsi="宋体" w:eastAsia="宋体" w:cs="Times New Roman"/>
                <w:sz w:val="18"/>
                <w:szCs w:val="18"/>
              </w:rPr>
            </w:pPr>
            <w:r>
              <w:rPr>
                <w:rFonts w:hint="eastAsia" w:ascii="宋体" w:hAnsi="宋体" w:eastAsia="宋体" w:cs="宋体"/>
                <w:sz w:val="18"/>
                <w:szCs w:val="18"/>
              </w:rPr>
              <w:t>完成时间</w:t>
            </w:r>
          </w:p>
        </w:tc>
        <w:tc>
          <w:tcPr>
            <w:tcW w:w="214" w:type="pct"/>
            <w:tcBorders>
              <w:top w:val="nil"/>
              <w:left w:val="nil"/>
              <w:bottom w:val="single" w:color="000000" w:sz="4" w:space="0"/>
              <w:right w:val="single" w:color="000000" w:sz="4" w:space="0"/>
            </w:tcBorders>
            <w:vAlign w:val="center"/>
          </w:tcPr>
          <w:p w14:paraId="3D3688F6">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423B49DE">
            <w:pPr>
              <w:widowControl/>
              <w:jc w:val="center"/>
              <w:rPr>
                <w:rFonts w:ascii="宋体" w:hAnsi="宋体" w:eastAsia="宋体" w:cs="宋体"/>
                <w:sz w:val="18"/>
                <w:szCs w:val="18"/>
              </w:rPr>
            </w:pPr>
            <w:r>
              <w:rPr>
                <w:rFonts w:ascii="宋体" w:hAnsi="宋体" w:eastAsia="宋体" w:cs="宋体"/>
                <w:sz w:val="18"/>
                <w:szCs w:val="18"/>
              </w:rPr>
              <w:t>1</w:t>
            </w:r>
          </w:p>
        </w:tc>
        <w:tc>
          <w:tcPr>
            <w:tcW w:w="409" w:type="pct"/>
            <w:tcBorders>
              <w:top w:val="nil"/>
              <w:left w:val="nil"/>
              <w:bottom w:val="single" w:color="000000" w:sz="4" w:space="0"/>
              <w:right w:val="single" w:color="000000" w:sz="4" w:space="0"/>
            </w:tcBorders>
            <w:vAlign w:val="center"/>
          </w:tcPr>
          <w:p w14:paraId="39DA07B4">
            <w:pPr>
              <w:widowControl/>
              <w:jc w:val="center"/>
              <w:rPr>
                <w:rFonts w:ascii="宋体" w:hAnsi="宋体" w:eastAsia="宋体" w:cs="Times New Roman"/>
                <w:sz w:val="18"/>
                <w:szCs w:val="18"/>
              </w:rPr>
            </w:pPr>
            <w:r>
              <w:rPr>
                <w:rFonts w:hint="eastAsia" w:ascii="宋体" w:hAnsi="宋体" w:eastAsia="宋体" w:cs="宋体"/>
                <w:sz w:val="18"/>
                <w:szCs w:val="18"/>
              </w:rPr>
              <w:t>年</w:t>
            </w:r>
          </w:p>
        </w:tc>
        <w:tc>
          <w:tcPr>
            <w:tcW w:w="576" w:type="pct"/>
            <w:tcBorders>
              <w:top w:val="nil"/>
              <w:left w:val="nil"/>
              <w:bottom w:val="single" w:color="000000" w:sz="4" w:space="0"/>
              <w:right w:val="single" w:color="000000" w:sz="4" w:space="0"/>
            </w:tcBorders>
            <w:vAlign w:val="center"/>
          </w:tcPr>
          <w:p w14:paraId="4FDD7B6C">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42F9EB54">
            <w:pPr>
              <w:widowControl/>
              <w:jc w:val="center"/>
              <w:rPr>
                <w:rFonts w:ascii="宋体" w:hAnsi="宋体" w:eastAsia="宋体" w:cs="宋体"/>
                <w:sz w:val="18"/>
                <w:szCs w:val="18"/>
              </w:rPr>
            </w:pPr>
            <w:r>
              <w:rPr>
                <w:rFonts w:ascii="宋体" w:hAnsi="宋体" w:eastAsia="宋体" w:cs="宋体"/>
                <w:sz w:val="18"/>
                <w:szCs w:val="18"/>
              </w:rPr>
              <w:t>5</w:t>
            </w:r>
          </w:p>
        </w:tc>
        <w:tc>
          <w:tcPr>
            <w:tcW w:w="338" w:type="pct"/>
            <w:tcBorders>
              <w:top w:val="nil"/>
              <w:left w:val="nil"/>
              <w:bottom w:val="single" w:color="000000" w:sz="4" w:space="0"/>
              <w:right w:val="single" w:color="000000" w:sz="4" w:space="0"/>
            </w:tcBorders>
            <w:vAlign w:val="center"/>
          </w:tcPr>
          <w:p w14:paraId="6ABF05C3">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05663AF9">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2AEC86C8">
        <w:tblPrEx>
          <w:tblCellMar>
            <w:top w:w="0" w:type="dxa"/>
            <w:left w:w="108" w:type="dxa"/>
            <w:bottom w:w="0" w:type="dxa"/>
            <w:right w:w="108" w:type="dxa"/>
          </w:tblCellMar>
        </w:tblPrEx>
        <w:trPr>
          <w:trHeight w:val="338" w:hRule="atLeast"/>
        </w:trPr>
        <w:tc>
          <w:tcPr>
            <w:tcW w:w="310" w:type="pct"/>
            <w:vMerge w:val="continue"/>
            <w:tcBorders>
              <w:top w:val="nil"/>
              <w:left w:val="single" w:color="000000" w:sz="4" w:space="0"/>
              <w:bottom w:val="single" w:color="000000" w:sz="4" w:space="0"/>
              <w:right w:val="single" w:color="000000" w:sz="4" w:space="0"/>
            </w:tcBorders>
            <w:vAlign w:val="center"/>
          </w:tcPr>
          <w:p w14:paraId="32CAF283">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79DD676B">
            <w:pPr>
              <w:widowControl/>
              <w:jc w:val="center"/>
              <w:rPr>
                <w:rFonts w:ascii="宋体" w:hAnsi="宋体" w:eastAsia="宋体" w:cs="Times New Roman"/>
                <w:sz w:val="18"/>
                <w:szCs w:val="18"/>
              </w:rPr>
            </w:pPr>
            <w:r>
              <w:rPr>
                <w:rFonts w:hint="eastAsia" w:ascii="宋体" w:hAnsi="宋体" w:eastAsia="宋体" w:cs="宋体"/>
                <w:sz w:val="18"/>
                <w:szCs w:val="18"/>
              </w:rPr>
              <w:t>效益指标</w:t>
            </w:r>
          </w:p>
        </w:tc>
        <w:tc>
          <w:tcPr>
            <w:tcW w:w="529" w:type="pct"/>
            <w:tcBorders>
              <w:top w:val="nil"/>
              <w:left w:val="nil"/>
              <w:bottom w:val="single" w:color="000000" w:sz="4" w:space="0"/>
              <w:right w:val="single" w:color="000000" w:sz="4" w:space="0"/>
            </w:tcBorders>
            <w:vAlign w:val="center"/>
          </w:tcPr>
          <w:p w14:paraId="01505EC3">
            <w:pPr>
              <w:widowControl/>
              <w:jc w:val="center"/>
              <w:rPr>
                <w:rFonts w:ascii="宋体" w:hAnsi="宋体" w:eastAsia="宋体" w:cs="Times New Roman"/>
                <w:sz w:val="18"/>
                <w:szCs w:val="18"/>
              </w:rPr>
            </w:pPr>
            <w:r>
              <w:rPr>
                <w:rFonts w:hint="eastAsia" w:ascii="宋体" w:hAnsi="宋体" w:eastAsia="宋体" w:cs="宋体"/>
                <w:sz w:val="18"/>
                <w:szCs w:val="18"/>
              </w:rPr>
              <w:t>社会效益指标</w:t>
            </w:r>
          </w:p>
        </w:tc>
        <w:tc>
          <w:tcPr>
            <w:tcW w:w="693" w:type="pct"/>
            <w:tcBorders>
              <w:top w:val="nil"/>
              <w:left w:val="nil"/>
              <w:bottom w:val="single" w:color="000000" w:sz="4" w:space="0"/>
              <w:right w:val="single" w:color="000000" w:sz="4" w:space="0"/>
            </w:tcBorders>
            <w:vAlign w:val="center"/>
          </w:tcPr>
          <w:p w14:paraId="59E0A299">
            <w:pPr>
              <w:widowControl/>
              <w:jc w:val="center"/>
              <w:rPr>
                <w:rFonts w:ascii="宋体" w:hAnsi="宋体" w:eastAsia="宋体" w:cs="Times New Roman"/>
                <w:sz w:val="18"/>
                <w:szCs w:val="18"/>
              </w:rPr>
            </w:pPr>
            <w:r>
              <w:rPr>
                <w:rFonts w:hint="eastAsia" w:ascii="宋体" w:hAnsi="宋体" w:eastAsia="宋体" w:cs="宋体"/>
                <w:sz w:val="18"/>
                <w:szCs w:val="18"/>
              </w:rPr>
              <w:t>让办事群众满意</w:t>
            </w:r>
          </w:p>
        </w:tc>
        <w:tc>
          <w:tcPr>
            <w:tcW w:w="214" w:type="pct"/>
            <w:tcBorders>
              <w:top w:val="nil"/>
              <w:left w:val="nil"/>
              <w:bottom w:val="single" w:color="000000" w:sz="4" w:space="0"/>
              <w:right w:val="single" w:color="000000" w:sz="4" w:space="0"/>
            </w:tcBorders>
            <w:vAlign w:val="center"/>
          </w:tcPr>
          <w:p w14:paraId="43B48393">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59F81255">
            <w:pPr>
              <w:widowControl/>
              <w:jc w:val="center"/>
              <w:rPr>
                <w:rFonts w:ascii="宋体" w:hAnsi="宋体" w:eastAsia="宋体" w:cs="宋体"/>
                <w:sz w:val="18"/>
                <w:szCs w:val="18"/>
              </w:rPr>
            </w:pPr>
            <w:r>
              <w:rPr>
                <w:rFonts w:ascii="宋体" w:hAnsi="宋体" w:eastAsia="宋体" w:cs="宋体"/>
                <w:sz w:val="18"/>
                <w:szCs w:val="18"/>
              </w:rPr>
              <w:t>98</w:t>
            </w:r>
          </w:p>
        </w:tc>
        <w:tc>
          <w:tcPr>
            <w:tcW w:w="409" w:type="pct"/>
            <w:tcBorders>
              <w:top w:val="nil"/>
              <w:left w:val="nil"/>
              <w:bottom w:val="single" w:color="000000" w:sz="4" w:space="0"/>
              <w:right w:val="single" w:color="000000" w:sz="4" w:space="0"/>
            </w:tcBorders>
            <w:vAlign w:val="center"/>
          </w:tcPr>
          <w:p w14:paraId="253CA8D8">
            <w:pPr>
              <w:widowControl/>
              <w:jc w:val="center"/>
              <w:rPr>
                <w:rFonts w:ascii="宋体" w:hAnsi="宋体" w:eastAsia="宋体" w:cs="宋体"/>
                <w:sz w:val="18"/>
                <w:szCs w:val="18"/>
              </w:rPr>
            </w:pPr>
            <w:r>
              <w:rPr>
                <w:rFonts w:ascii="宋体" w:hAnsi="宋体" w:eastAsia="宋体" w:cs="宋体"/>
                <w:sz w:val="18"/>
                <w:szCs w:val="18"/>
              </w:rPr>
              <w:t>%</w:t>
            </w:r>
          </w:p>
        </w:tc>
        <w:tc>
          <w:tcPr>
            <w:tcW w:w="576" w:type="pct"/>
            <w:tcBorders>
              <w:top w:val="nil"/>
              <w:left w:val="nil"/>
              <w:bottom w:val="single" w:color="000000" w:sz="4" w:space="0"/>
              <w:right w:val="single" w:color="000000" w:sz="4" w:space="0"/>
            </w:tcBorders>
            <w:vAlign w:val="center"/>
          </w:tcPr>
          <w:p w14:paraId="36F8D9D4">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3F1821A4">
            <w:pPr>
              <w:widowControl/>
              <w:jc w:val="center"/>
              <w:rPr>
                <w:rFonts w:ascii="宋体" w:hAnsi="宋体" w:eastAsia="宋体" w:cs="宋体"/>
                <w:sz w:val="18"/>
                <w:szCs w:val="18"/>
              </w:rPr>
            </w:pPr>
            <w:r>
              <w:rPr>
                <w:rFonts w:ascii="宋体" w:hAnsi="宋体" w:eastAsia="宋体" w:cs="宋体"/>
                <w:sz w:val="18"/>
                <w:szCs w:val="18"/>
              </w:rPr>
              <w:t>20</w:t>
            </w:r>
          </w:p>
        </w:tc>
        <w:tc>
          <w:tcPr>
            <w:tcW w:w="338" w:type="pct"/>
            <w:tcBorders>
              <w:top w:val="nil"/>
              <w:left w:val="nil"/>
              <w:bottom w:val="single" w:color="000000" w:sz="4" w:space="0"/>
              <w:right w:val="single" w:color="000000" w:sz="4" w:space="0"/>
            </w:tcBorders>
            <w:vAlign w:val="center"/>
          </w:tcPr>
          <w:p w14:paraId="0379C1EE">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15904CA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5FBA10FC">
        <w:tblPrEx>
          <w:tblCellMar>
            <w:top w:w="0" w:type="dxa"/>
            <w:left w:w="108" w:type="dxa"/>
            <w:bottom w:w="0" w:type="dxa"/>
            <w:right w:w="108" w:type="dxa"/>
          </w:tblCellMar>
        </w:tblPrEx>
        <w:trPr>
          <w:trHeight w:val="454" w:hRule="atLeast"/>
        </w:trPr>
        <w:tc>
          <w:tcPr>
            <w:tcW w:w="310" w:type="pct"/>
            <w:vMerge w:val="continue"/>
            <w:tcBorders>
              <w:top w:val="nil"/>
              <w:left w:val="single" w:color="000000" w:sz="4" w:space="0"/>
              <w:bottom w:val="single" w:color="000000" w:sz="4" w:space="0"/>
              <w:right w:val="single" w:color="000000" w:sz="4" w:space="0"/>
            </w:tcBorders>
            <w:vAlign w:val="center"/>
          </w:tcPr>
          <w:p w14:paraId="36A7C86C">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27A6C65E">
            <w:pPr>
              <w:widowControl/>
              <w:jc w:val="center"/>
              <w:rPr>
                <w:rFonts w:ascii="宋体" w:hAnsi="宋体" w:eastAsia="宋体" w:cs="Times New Roman"/>
                <w:sz w:val="18"/>
                <w:szCs w:val="18"/>
              </w:rPr>
            </w:pPr>
            <w:r>
              <w:rPr>
                <w:rFonts w:hint="eastAsia" w:ascii="宋体" w:hAnsi="宋体" w:eastAsia="宋体" w:cs="宋体"/>
                <w:sz w:val="18"/>
                <w:szCs w:val="18"/>
              </w:rPr>
              <w:t>满意度指标</w:t>
            </w:r>
          </w:p>
        </w:tc>
        <w:tc>
          <w:tcPr>
            <w:tcW w:w="529" w:type="pct"/>
            <w:tcBorders>
              <w:top w:val="nil"/>
              <w:left w:val="nil"/>
              <w:bottom w:val="single" w:color="000000" w:sz="4" w:space="0"/>
              <w:right w:val="single" w:color="000000" w:sz="4" w:space="0"/>
            </w:tcBorders>
            <w:vAlign w:val="center"/>
          </w:tcPr>
          <w:p w14:paraId="612EFD22">
            <w:pPr>
              <w:widowControl/>
              <w:jc w:val="center"/>
              <w:rPr>
                <w:rFonts w:ascii="宋体" w:hAnsi="宋体" w:eastAsia="宋体" w:cs="Times New Roman"/>
                <w:sz w:val="18"/>
                <w:szCs w:val="18"/>
              </w:rPr>
            </w:pPr>
            <w:r>
              <w:rPr>
                <w:rFonts w:hint="eastAsia" w:ascii="宋体" w:hAnsi="宋体" w:eastAsia="宋体" w:cs="宋体"/>
                <w:sz w:val="18"/>
                <w:szCs w:val="18"/>
              </w:rPr>
              <w:t>服务对象满意度指标</w:t>
            </w:r>
          </w:p>
        </w:tc>
        <w:tc>
          <w:tcPr>
            <w:tcW w:w="693" w:type="pct"/>
            <w:tcBorders>
              <w:top w:val="nil"/>
              <w:left w:val="nil"/>
              <w:bottom w:val="single" w:color="000000" w:sz="4" w:space="0"/>
              <w:right w:val="single" w:color="000000" w:sz="4" w:space="0"/>
            </w:tcBorders>
            <w:vAlign w:val="center"/>
          </w:tcPr>
          <w:p w14:paraId="67FE02DC">
            <w:pPr>
              <w:widowControl/>
              <w:jc w:val="center"/>
              <w:rPr>
                <w:rFonts w:ascii="宋体" w:hAnsi="宋体" w:eastAsia="宋体" w:cs="Times New Roman"/>
                <w:sz w:val="18"/>
                <w:szCs w:val="18"/>
              </w:rPr>
            </w:pPr>
            <w:r>
              <w:rPr>
                <w:rFonts w:hint="eastAsia" w:ascii="宋体" w:hAnsi="宋体" w:eastAsia="宋体" w:cs="宋体"/>
                <w:sz w:val="18"/>
                <w:szCs w:val="18"/>
              </w:rPr>
              <w:t>让办事群众满意</w:t>
            </w:r>
          </w:p>
        </w:tc>
        <w:tc>
          <w:tcPr>
            <w:tcW w:w="214" w:type="pct"/>
            <w:tcBorders>
              <w:top w:val="nil"/>
              <w:left w:val="nil"/>
              <w:bottom w:val="single" w:color="000000" w:sz="4" w:space="0"/>
              <w:right w:val="single" w:color="000000" w:sz="4" w:space="0"/>
            </w:tcBorders>
            <w:vAlign w:val="center"/>
          </w:tcPr>
          <w:p w14:paraId="41385952">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5C04480E">
            <w:pPr>
              <w:widowControl/>
              <w:jc w:val="center"/>
              <w:rPr>
                <w:rFonts w:ascii="宋体" w:hAnsi="宋体" w:eastAsia="宋体" w:cs="宋体"/>
                <w:sz w:val="18"/>
                <w:szCs w:val="18"/>
              </w:rPr>
            </w:pPr>
            <w:r>
              <w:rPr>
                <w:rFonts w:ascii="宋体" w:hAnsi="宋体" w:eastAsia="宋体" w:cs="宋体"/>
                <w:sz w:val="18"/>
                <w:szCs w:val="18"/>
              </w:rPr>
              <w:t>98</w:t>
            </w:r>
          </w:p>
        </w:tc>
        <w:tc>
          <w:tcPr>
            <w:tcW w:w="409" w:type="pct"/>
            <w:tcBorders>
              <w:top w:val="nil"/>
              <w:left w:val="nil"/>
              <w:bottom w:val="single" w:color="000000" w:sz="4" w:space="0"/>
              <w:right w:val="single" w:color="000000" w:sz="4" w:space="0"/>
            </w:tcBorders>
            <w:vAlign w:val="center"/>
          </w:tcPr>
          <w:p w14:paraId="29FE6AD4">
            <w:pPr>
              <w:widowControl/>
              <w:jc w:val="center"/>
              <w:rPr>
                <w:rFonts w:ascii="宋体" w:hAnsi="宋体" w:eastAsia="宋体" w:cs="宋体"/>
                <w:sz w:val="18"/>
                <w:szCs w:val="18"/>
              </w:rPr>
            </w:pPr>
            <w:r>
              <w:rPr>
                <w:rFonts w:ascii="宋体" w:hAnsi="宋体" w:eastAsia="宋体" w:cs="宋体"/>
                <w:sz w:val="18"/>
                <w:szCs w:val="18"/>
              </w:rPr>
              <w:t>%</w:t>
            </w:r>
          </w:p>
        </w:tc>
        <w:tc>
          <w:tcPr>
            <w:tcW w:w="576" w:type="pct"/>
            <w:tcBorders>
              <w:top w:val="nil"/>
              <w:left w:val="nil"/>
              <w:bottom w:val="single" w:color="000000" w:sz="4" w:space="0"/>
              <w:right w:val="single" w:color="000000" w:sz="4" w:space="0"/>
            </w:tcBorders>
            <w:vAlign w:val="center"/>
          </w:tcPr>
          <w:p w14:paraId="0B1C6E5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7CDA8B58">
            <w:pPr>
              <w:widowControl/>
              <w:jc w:val="center"/>
              <w:rPr>
                <w:rFonts w:ascii="宋体" w:hAnsi="宋体" w:eastAsia="宋体" w:cs="宋体"/>
                <w:sz w:val="18"/>
                <w:szCs w:val="18"/>
              </w:rPr>
            </w:pPr>
            <w:r>
              <w:rPr>
                <w:rFonts w:ascii="宋体" w:hAnsi="宋体" w:eastAsia="宋体" w:cs="宋体"/>
                <w:sz w:val="18"/>
                <w:szCs w:val="18"/>
              </w:rPr>
              <w:t>10</w:t>
            </w:r>
          </w:p>
        </w:tc>
        <w:tc>
          <w:tcPr>
            <w:tcW w:w="338" w:type="pct"/>
            <w:tcBorders>
              <w:top w:val="nil"/>
              <w:left w:val="nil"/>
              <w:bottom w:val="single" w:color="000000" w:sz="4" w:space="0"/>
              <w:right w:val="single" w:color="000000" w:sz="4" w:space="0"/>
            </w:tcBorders>
            <w:vAlign w:val="center"/>
          </w:tcPr>
          <w:p w14:paraId="5E3FDF65">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249EDDA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53FF7EF1">
        <w:tblPrEx>
          <w:tblCellMar>
            <w:top w:w="0" w:type="dxa"/>
            <w:left w:w="108" w:type="dxa"/>
            <w:bottom w:w="0" w:type="dxa"/>
            <w:right w:w="108" w:type="dxa"/>
          </w:tblCellMar>
        </w:tblPrEx>
        <w:trPr>
          <w:trHeight w:val="454" w:hRule="atLeast"/>
        </w:trPr>
        <w:tc>
          <w:tcPr>
            <w:tcW w:w="310" w:type="pct"/>
            <w:vMerge w:val="continue"/>
            <w:tcBorders>
              <w:top w:val="nil"/>
              <w:left w:val="single" w:color="000000" w:sz="4" w:space="0"/>
              <w:bottom w:val="single" w:color="000000" w:sz="4" w:space="0"/>
              <w:right w:val="single" w:color="000000" w:sz="4" w:space="0"/>
            </w:tcBorders>
            <w:vAlign w:val="center"/>
          </w:tcPr>
          <w:p w14:paraId="4686DDCD">
            <w:pPr>
              <w:widowControl/>
              <w:jc w:val="left"/>
              <w:rPr>
                <w:rFonts w:ascii="宋体" w:hAnsi="宋体" w:eastAsia="宋体" w:cs="Times New Roman"/>
                <w:sz w:val="18"/>
                <w:szCs w:val="18"/>
              </w:rPr>
            </w:pPr>
          </w:p>
        </w:tc>
        <w:tc>
          <w:tcPr>
            <w:tcW w:w="623" w:type="pct"/>
            <w:tcBorders>
              <w:top w:val="nil"/>
              <w:left w:val="nil"/>
              <w:bottom w:val="single" w:color="000000" w:sz="4" w:space="0"/>
              <w:right w:val="single" w:color="000000" w:sz="4" w:space="0"/>
            </w:tcBorders>
            <w:vAlign w:val="center"/>
          </w:tcPr>
          <w:p w14:paraId="59A6DA3B">
            <w:pPr>
              <w:widowControl/>
              <w:jc w:val="center"/>
              <w:rPr>
                <w:rFonts w:ascii="宋体" w:hAnsi="宋体" w:eastAsia="宋体" w:cs="Times New Roman"/>
                <w:sz w:val="18"/>
                <w:szCs w:val="18"/>
              </w:rPr>
            </w:pPr>
            <w:r>
              <w:rPr>
                <w:rFonts w:hint="eastAsia" w:ascii="宋体" w:hAnsi="宋体" w:eastAsia="宋体" w:cs="宋体"/>
                <w:sz w:val="18"/>
                <w:szCs w:val="18"/>
              </w:rPr>
              <w:t>成本指标</w:t>
            </w:r>
          </w:p>
        </w:tc>
        <w:tc>
          <w:tcPr>
            <w:tcW w:w="529" w:type="pct"/>
            <w:tcBorders>
              <w:top w:val="nil"/>
              <w:left w:val="nil"/>
              <w:bottom w:val="single" w:color="000000" w:sz="4" w:space="0"/>
              <w:right w:val="single" w:color="000000" w:sz="4" w:space="0"/>
            </w:tcBorders>
            <w:vAlign w:val="center"/>
          </w:tcPr>
          <w:p w14:paraId="0E40E9F3">
            <w:pPr>
              <w:widowControl/>
              <w:jc w:val="center"/>
              <w:rPr>
                <w:rFonts w:ascii="宋体" w:hAnsi="宋体" w:eastAsia="宋体" w:cs="Times New Roman"/>
                <w:sz w:val="18"/>
                <w:szCs w:val="18"/>
              </w:rPr>
            </w:pPr>
            <w:r>
              <w:rPr>
                <w:rFonts w:hint="eastAsia" w:ascii="宋体" w:hAnsi="宋体" w:eastAsia="宋体" w:cs="宋体"/>
                <w:sz w:val="18"/>
                <w:szCs w:val="18"/>
              </w:rPr>
              <w:t>经济成本指标</w:t>
            </w:r>
          </w:p>
        </w:tc>
        <w:tc>
          <w:tcPr>
            <w:tcW w:w="693" w:type="pct"/>
            <w:tcBorders>
              <w:top w:val="nil"/>
              <w:left w:val="nil"/>
              <w:bottom w:val="single" w:color="000000" w:sz="4" w:space="0"/>
              <w:right w:val="single" w:color="000000" w:sz="4" w:space="0"/>
            </w:tcBorders>
            <w:vAlign w:val="center"/>
          </w:tcPr>
          <w:p w14:paraId="4EAD36D3">
            <w:pPr>
              <w:widowControl/>
              <w:jc w:val="center"/>
              <w:rPr>
                <w:rFonts w:ascii="宋体" w:hAnsi="宋体" w:eastAsia="宋体" w:cs="Times New Roman"/>
                <w:sz w:val="18"/>
                <w:szCs w:val="18"/>
              </w:rPr>
            </w:pPr>
            <w:r>
              <w:rPr>
                <w:rFonts w:hint="eastAsia" w:ascii="宋体" w:hAnsi="宋体" w:eastAsia="宋体" w:cs="宋体"/>
                <w:sz w:val="18"/>
                <w:szCs w:val="18"/>
              </w:rPr>
              <w:t>免费复印</w:t>
            </w:r>
          </w:p>
        </w:tc>
        <w:tc>
          <w:tcPr>
            <w:tcW w:w="214" w:type="pct"/>
            <w:tcBorders>
              <w:top w:val="nil"/>
              <w:left w:val="nil"/>
              <w:bottom w:val="single" w:color="000000" w:sz="4" w:space="0"/>
              <w:right w:val="single" w:color="000000" w:sz="4" w:space="0"/>
            </w:tcBorders>
            <w:vAlign w:val="center"/>
          </w:tcPr>
          <w:p w14:paraId="0DFC19C5">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492" w:type="pct"/>
            <w:tcBorders>
              <w:top w:val="nil"/>
              <w:left w:val="nil"/>
              <w:bottom w:val="single" w:color="000000" w:sz="4" w:space="0"/>
              <w:right w:val="single" w:color="000000" w:sz="4" w:space="0"/>
            </w:tcBorders>
            <w:vAlign w:val="center"/>
          </w:tcPr>
          <w:p w14:paraId="00E76592">
            <w:pPr>
              <w:widowControl/>
              <w:jc w:val="center"/>
              <w:rPr>
                <w:rFonts w:ascii="宋体" w:hAnsi="宋体" w:eastAsia="宋体" w:cs="宋体"/>
                <w:sz w:val="18"/>
                <w:szCs w:val="18"/>
              </w:rPr>
            </w:pPr>
            <w:r>
              <w:rPr>
                <w:rFonts w:ascii="宋体" w:hAnsi="宋体" w:eastAsia="宋体" w:cs="宋体"/>
                <w:sz w:val="18"/>
                <w:szCs w:val="18"/>
              </w:rPr>
              <w:t>0.2</w:t>
            </w:r>
          </w:p>
        </w:tc>
        <w:tc>
          <w:tcPr>
            <w:tcW w:w="409" w:type="pct"/>
            <w:tcBorders>
              <w:top w:val="nil"/>
              <w:left w:val="nil"/>
              <w:bottom w:val="single" w:color="000000" w:sz="4" w:space="0"/>
              <w:right w:val="single" w:color="000000" w:sz="4" w:space="0"/>
            </w:tcBorders>
            <w:vAlign w:val="center"/>
          </w:tcPr>
          <w:p w14:paraId="2F875876">
            <w:pPr>
              <w:widowControl/>
              <w:jc w:val="center"/>
              <w:rPr>
                <w:rFonts w:ascii="宋体" w:hAnsi="宋体" w:eastAsia="宋体" w:cs="Times New Roman"/>
                <w:sz w:val="18"/>
                <w:szCs w:val="18"/>
              </w:rPr>
            </w:pPr>
            <w:r>
              <w:rPr>
                <w:rFonts w:hint="eastAsia" w:ascii="宋体" w:hAnsi="宋体" w:eastAsia="宋体" w:cs="宋体"/>
                <w:sz w:val="18"/>
                <w:szCs w:val="18"/>
              </w:rPr>
              <w:t>元</w:t>
            </w:r>
            <w:r>
              <w:rPr>
                <w:rFonts w:ascii="宋体" w:hAnsi="宋体" w:eastAsia="宋体" w:cs="宋体"/>
                <w:sz w:val="18"/>
                <w:szCs w:val="18"/>
              </w:rPr>
              <w:t>/</w:t>
            </w:r>
            <w:r>
              <w:rPr>
                <w:rFonts w:hint="eastAsia" w:ascii="宋体" w:hAnsi="宋体" w:eastAsia="宋体" w:cs="宋体"/>
                <w:sz w:val="18"/>
                <w:szCs w:val="18"/>
              </w:rPr>
              <w:t>个</w:t>
            </w:r>
          </w:p>
        </w:tc>
        <w:tc>
          <w:tcPr>
            <w:tcW w:w="576" w:type="pct"/>
            <w:tcBorders>
              <w:top w:val="nil"/>
              <w:left w:val="nil"/>
              <w:bottom w:val="single" w:color="000000" w:sz="4" w:space="0"/>
              <w:right w:val="single" w:color="000000" w:sz="4" w:space="0"/>
            </w:tcBorders>
            <w:vAlign w:val="center"/>
          </w:tcPr>
          <w:p w14:paraId="1C0B254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72" w:type="pct"/>
            <w:tcBorders>
              <w:top w:val="nil"/>
              <w:left w:val="nil"/>
              <w:bottom w:val="single" w:color="000000" w:sz="4" w:space="0"/>
              <w:right w:val="single" w:color="000000" w:sz="4" w:space="0"/>
            </w:tcBorders>
            <w:vAlign w:val="center"/>
          </w:tcPr>
          <w:p w14:paraId="268CC6C3">
            <w:pPr>
              <w:widowControl/>
              <w:jc w:val="center"/>
              <w:rPr>
                <w:rFonts w:ascii="宋体" w:hAnsi="宋体" w:eastAsia="宋体" w:cs="宋体"/>
                <w:sz w:val="18"/>
                <w:szCs w:val="18"/>
              </w:rPr>
            </w:pPr>
            <w:r>
              <w:rPr>
                <w:rFonts w:ascii="宋体" w:hAnsi="宋体" w:eastAsia="宋体" w:cs="宋体"/>
                <w:sz w:val="18"/>
                <w:szCs w:val="18"/>
              </w:rPr>
              <w:t>20</w:t>
            </w:r>
          </w:p>
        </w:tc>
        <w:tc>
          <w:tcPr>
            <w:tcW w:w="338" w:type="pct"/>
            <w:tcBorders>
              <w:top w:val="nil"/>
              <w:left w:val="nil"/>
              <w:bottom w:val="single" w:color="000000" w:sz="4" w:space="0"/>
              <w:right w:val="single" w:color="000000" w:sz="4" w:space="0"/>
            </w:tcBorders>
            <w:vAlign w:val="center"/>
          </w:tcPr>
          <w:p w14:paraId="13E7409E">
            <w:pPr>
              <w:widowControl/>
              <w:jc w:val="center"/>
              <w:rPr>
                <w:rFonts w:ascii="宋体" w:hAnsi="宋体" w:eastAsia="宋体" w:cs="宋体"/>
                <w:sz w:val="18"/>
                <w:szCs w:val="18"/>
              </w:rPr>
            </w:pPr>
            <w:r>
              <w:rPr>
                <w:rFonts w:ascii="宋体" w:hAnsi="宋体" w:eastAsia="宋体" w:cs="宋体"/>
                <w:sz w:val="18"/>
                <w:szCs w:val="18"/>
              </w:rPr>
              <w:t>10</w:t>
            </w:r>
          </w:p>
        </w:tc>
        <w:tc>
          <w:tcPr>
            <w:tcW w:w="440" w:type="pct"/>
            <w:tcBorders>
              <w:top w:val="nil"/>
              <w:left w:val="nil"/>
              <w:bottom w:val="single" w:color="000000" w:sz="4" w:space="0"/>
              <w:right w:val="single" w:color="000000" w:sz="4" w:space="0"/>
            </w:tcBorders>
            <w:vAlign w:val="center"/>
          </w:tcPr>
          <w:p w14:paraId="2B8B4453">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715EB82E">
        <w:tblPrEx>
          <w:tblCellMar>
            <w:top w:w="0" w:type="dxa"/>
            <w:left w:w="108" w:type="dxa"/>
            <w:bottom w:w="0" w:type="dxa"/>
            <w:right w:w="108" w:type="dxa"/>
          </w:tblCellMar>
        </w:tblPrEx>
        <w:trPr>
          <w:trHeight w:val="285" w:hRule="atLeast"/>
        </w:trPr>
        <w:tc>
          <w:tcPr>
            <w:tcW w:w="3848" w:type="pct"/>
            <w:gridSpan w:val="8"/>
            <w:tcBorders>
              <w:top w:val="single" w:color="000000" w:sz="4" w:space="0"/>
              <w:left w:val="single" w:color="000000" w:sz="4" w:space="0"/>
              <w:bottom w:val="single" w:color="000000" w:sz="4" w:space="0"/>
              <w:right w:val="single" w:color="000000" w:sz="4" w:space="0"/>
            </w:tcBorders>
            <w:vAlign w:val="center"/>
          </w:tcPr>
          <w:p w14:paraId="677DC1BF">
            <w:pPr>
              <w:widowControl/>
              <w:jc w:val="center"/>
              <w:rPr>
                <w:rFonts w:ascii="宋体" w:hAnsi="宋体" w:eastAsia="宋体" w:cs="Times New Roman"/>
                <w:sz w:val="18"/>
                <w:szCs w:val="18"/>
              </w:rPr>
            </w:pPr>
            <w:r>
              <w:rPr>
                <w:rFonts w:hint="eastAsia" w:ascii="宋体" w:hAnsi="宋体" w:eastAsia="宋体" w:cs="宋体"/>
                <w:sz w:val="18"/>
                <w:szCs w:val="18"/>
              </w:rPr>
              <w:t>合计</w:t>
            </w:r>
          </w:p>
        </w:tc>
        <w:tc>
          <w:tcPr>
            <w:tcW w:w="372" w:type="pct"/>
            <w:tcBorders>
              <w:top w:val="nil"/>
              <w:left w:val="nil"/>
              <w:bottom w:val="single" w:color="000000" w:sz="4" w:space="0"/>
              <w:right w:val="single" w:color="000000" w:sz="4" w:space="0"/>
            </w:tcBorders>
            <w:vAlign w:val="center"/>
          </w:tcPr>
          <w:p w14:paraId="75F4AE94">
            <w:pPr>
              <w:widowControl/>
              <w:jc w:val="center"/>
              <w:rPr>
                <w:rFonts w:ascii="宋体" w:hAnsi="宋体" w:eastAsia="宋体" w:cs="宋体"/>
                <w:sz w:val="18"/>
                <w:szCs w:val="18"/>
              </w:rPr>
            </w:pPr>
            <w:r>
              <w:rPr>
                <w:rFonts w:ascii="宋体" w:hAnsi="宋体" w:eastAsia="宋体" w:cs="宋体"/>
                <w:sz w:val="18"/>
                <w:szCs w:val="18"/>
              </w:rPr>
              <w:t>100</w:t>
            </w:r>
          </w:p>
        </w:tc>
        <w:tc>
          <w:tcPr>
            <w:tcW w:w="338" w:type="pct"/>
            <w:tcBorders>
              <w:top w:val="nil"/>
              <w:left w:val="nil"/>
              <w:bottom w:val="single" w:color="000000" w:sz="4" w:space="0"/>
              <w:right w:val="single" w:color="000000" w:sz="4" w:space="0"/>
            </w:tcBorders>
            <w:vAlign w:val="center"/>
          </w:tcPr>
          <w:p w14:paraId="5C53F754">
            <w:pPr>
              <w:widowControl/>
              <w:jc w:val="right"/>
              <w:rPr>
                <w:rFonts w:ascii="宋体" w:hAnsi="宋体" w:eastAsia="宋体" w:cs="宋体"/>
                <w:sz w:val="18"/>
                <w:szCs w:val="18"/>
              </w:rPr>
            </w:pPr>
            <w:r>
              <w:rPr>
                <w:rFonts w:ascii="宋体" w:hAnsi="宋体" w:eastAsia="宋体" w:cs="宋体"/>
                <w:sz w:val="18"/>
                <w:szCs w:val="18"/>
              </w:rPr>
              <w:t>99</w:t>
            </w:r>
          </w:p>
        </w:tc>
        <w:tc>
          <w:tcPr>
            <w:tcW w:w="440" w:type="pct"/>
            <w:tcBorders>
              <w:top w:val="nil"/>
              <w:left w:val="nil"/>
              <w:bottom w:val="single" w:color="000000" w:sz="4" w:space="0"/>
              <w:right w:val="single" w:color="000000" w:sz="4" w:space="0"/>
            </w:tcBorders>
            <w:vAlign w:val="center"/>
          </w:tcPr>
          <w:p w14:paraId="1E3C6803">
            <w:pPr>
              <w:widowControl/>
              <w:jc w:val="left"/>
              <w:rPr>
                <w:rFonts w:ascii="宋体" w:hAnsi="宋体" w:eastAsia="宋体" w:cs="Times New Roman"/>
                <w:sz w:val="18"/>
                <w:szCs w:val="18"/>
              </w:rPr>
            </w:pPr>
            <w:r>
              <w:rPr>
                <w:rFonts w:hint="eastAsia" w:ascii="宋体" w:hAnsi="宋体" w:eastAsia="宋体" w:cs="宋体"/>
                <w:sz w:val="18"/>
                <w:szCs w:val="18"/>
              </w:rPr>
              <w:t>　</w:t>
            </w:r>
          </w:p>
        </w:tc>
      </w:tr>
      <w:tr w14:paraId="659ACC13">
        <w:tblPrEx>
          <w:tblCellMar>
            <w:top w:w="0" w:type="dxa"/>
            <w:left w:w="108" w:type="dxa"/>
            <w:bottom w:w="0" w:type="dxa"/>
            <w:right w:w="108" w:type="dxa"/>
          </w:tblCellMar>
        </w:tblPrEx>
        <w:trPr>
          <w:trHeight w:val="604" w:hRule="atLeast"/>
        </w:trPr>
        <w:tc>
          <w:tcPr>
            <w:tcW w:w="310" w:type="pct"/>
            <w:tcBorders>
              <w:top w:val="nil"/>
              <w:left w:val="single" w:color="000000" w:sz="4" w:space="0"/>
              <w:bottom w:val="single" w:color="000000" w:sz="4" w:space="0"/>
              <w:right w:val="single" w:color="000000" w:sz="4" w:space="0"/>
            </w:tcBorders>
            <w:vAlign w:val="center"/>
          </w:tcPr>
          <w:p w14:paraId="1242551C">
            <w:pPr>
              <w:widowControl/>
              <w:jc w:val="center"/>
              <w:rPr>
                <w:rFonts w:ascii="宋体" w:hAnsi="宋体" w:eastAsia="宋体" w:cs="Times New Roman"/>
                <w:sz w:val="18"/>
                <w:szCs w:val="18"/>
              </w:rPr>
            </w:pPr>
            <w:r>
              <w:rPr>
                <w:rFonts w:hint="eastAsia" w:ascii="宋体" w:hAnsi="宋体" w:eastAsia="宋体" w:cs="宋体"/>
                <w:sz w:val="18"/>
                <w:szCs w:val="18"/>
              </w:rPr>
              <w:t>评价结论</w:t>
            </w:r>
          </w:p>
        </w:tc>
        <w:tc>
          <w:tcPr>
            <w:tcW w:w="4689" w:type="pct"/>
            <w:gridSpan w:val="10"/>
            <w:tcBorders>
              <w:top w:val="single" w:color="000000" w:sz="4" w:space="0"/>
              <w:left w:val="nil"/>
              <w:bottom w:val="single" w:color="000000" w:sz="4" w:space="0"/>
              <w:right w:val="single" w:color="000000" w:sz="4" w:space="0"/>
            </w:tcBorders>
            <w:vAlign w:val="center"/>
          </w:tcPr>
          <w:p w14:paraId="67E7B69A">
            <w:pPr>
              <w:widowControl/>
              <w:jc w:val="both"/>
              <w:rPr>
                <w:rFonts w:ascii="微软雅黑" w:hAnsi="微软雅黑" w:eastAsia="微软雅黑" w:cs="Times New Roman"/>
                <w:i/>
                <w:iCs/>
                <w:sz w:val="16"/>
                <w:szCs w:val="16"/>
              </w:rPr>
            </w:pPr>
            <w:r>
              <w:rPr>
                <w:rFonts w:hint="eastAsia" w:ascii="宋体" w:hAnsi="宋体" w:eastAsia="宋体" w:cs="宋体"/>
                <w:sz w:val="18"/>
                <w:szCs w:val="18"/>
              </w:rPr>
              <w:t>经过对项目资料、财务资料及台账等资料的分析，逐项进行自我评价，并结合社会评估得分，最终项目综合得分为99分，通过项目实施为群众提供了舒适的办事环境，解决群众的后顾之忧，提高为民办事的效率，群众满意度得到了提高。</w:t>
            </w:r>
          </w:p>
        </w:tc>
      </w:tr>
      <w:tr w14:paraId="387D9021">
        <w:tblPrEx>
          <w:tblCellMar>
            <w:top w:w="0" w:type="dxa"/>
            <w:left w:w="108" w:type="dxa"/>
            <w:bottom w:w="0" w:type="dxa"/>
            <w:right w:w="108" w:type="dxa"/>
          </w:tblCellMar>
        </w:tblPrEx>
        <w:trPr>
          <w:trHeight w:val="574" w:hRule="atLeast"/>
        </w:trPr>
        <w:tc>
          <w:tcPr>
            <w:tcW w:w="310" w:type="pct"/>
            <w:tcBorders>
              <w:top w:val="nil"/>
              <w:left w:val="single" w:color="000000" w:sz="4" w:space="0"/>
              <w:bottom w:val="single" w:color="000000" w:sz="4" w:space="0"/>
              <w:right w:val="single" w:color="000000" w:sz="4" w:space="0"/>
            </w:tcBorders>
            <w:vAlign w:val="center"/>
          </w:tcPr>
          <w:p w14:paraId="28239355">
            <w:pPr>
              <w:widowControl/>
              <w:jc w:val="center"/>
              <w:rPr>
                <w:rFonts w:ascii="宋体" w:hAnsi="宋体" w:eastAsia="宋体" w:cs="Times New Roman"/>
                <w:sz w:val="18"/>
                <w:szCs w:val="18"/>
              </w:rPr>
            </w:pPr>
            <w:r>
              <w:rPr>
                <w:rFonts w:hint="eastAsia" w:ascii="宋体" w:hAnsi="宋体" w:eastAsia="宋体" w:cs="宋体"/>
                <w:sz w:val="18"/>
                <w:szCs w:val="18"/>
              </w:rPr>
              <w:t>存在问题</w:t>
            </w:r>
          </w:p>
        </w:tc>
        <w:tc>
          <w:tcPr>
            <w:tcW w:w="4689" w:type="pct"/>
            <w:gridSpan w:val="10"/>
            <w:tcBorders>
              <w:top w:val="single" w:color="000000" w:sz="4" w:space="0"/>
              <w:left w:val="nil"/>
              <w:bottom w:val="single" w:color="000000" w:sz="4" w:space="0"/>
              <w:right w:val="single" w:color="000000" w:sz="4" w:space="0"/>
            </w:tcBorders>
            <w:vAlign w:val="center"/>
          </w:tcPr>
          <w:p w14:paraId="12D8A468">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40186DE5">
        <w:tblPrEx>
          <w:tblCellMar>
            <w:top w:w="0" w:type="dxa"/>
            <w:left w:w="108" w:type="dxa"/>
            <w:bottom w:w="0" w:type="dxa"/>
            <w:right w:w="108" w:type="dxa"/>
          </w:tblCellMar>
        </w:tblPrEx>
        <w:trPr>
          <w:trHeight w:val="634" w:hRule="atLeast"/>
        </w:trPr>
        <w:tc>
          <w:tcPr>
            <w:tcW w:w="310" w:type="pct"/>
            <w:tcBorders>
              <w:top w:val="nil"/>
              <w:left w:val="single" w:color="000000" w:sz="4" w:space="0"/>
              <w:bottom w:val="single" w:color="000000" w:sz="4" w:space="0"/>
              <w:right w:val="single" w:color="000000" w:sz="4" w:space="0"/>
            </w:tcBorders>
            <w:vAlign w:val="center"/>
          </w:tcPr>
          <w:p w14:paraId="5782B9DC">
            <w:pPr>
              <w:widowControl/>
              <w:jc w:val="center"/>
              <w:rPr>
                <w:rFonts w:ascii="宋体" w:hAnsi="宋体" w:eastAsia="宋体" w:cs="Times New Roman"/>
                <w:sz w:val="18"/>
                <w:szCs w:val="18"/>
              </w:rPr>
            </w:pPr>
            <w:r>
              <w:rPr>
                <w:rFonts w:hint="eastAsia" w:ascii="宋体" w:hAnsi="宋体" w:eastAsia="宋体" w:cs="宋体"/>
                <w:sz w:val="18"/>
                <w:szCs w:val="18"/>
              </w:rPr>
              <w:t>改进措施</w:t>
            </w:r>
          </w:p>
        </w:tc>
        <w:tc>
          <w:tcPr>
            <w:tcW w:w="4689" w:type="pct"/>
            <w:gridSpan w:val="10"/>
            <w:tcBorders>
              <w:top w:val="single" w:color="000000" w:sz="4" w:space="0"/>
              <w:left w:val="nil"/>
              <w:bottom w:val="single" w:color="000000" w:sz="4" w:space="0"/>
              <w:right w:val="single" w:color="000000" w:sz="4" w:space="0"/>
            </w:tcBorders>
            <w:vAlign w:val="center"/>
          </w:tcPr>
          <w:p w14:paraId="74285E5D">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6CB86445">
        <w:tblPrEx>
          <w:tblCellMar>
            <w:top w:w="0" w:type="dxa"/>
            <w:left w:w="108" w:type="dxa"/>
            <w:bottom w:w="0" w:type="dxa"/>
            <w:right w:w="108" w:type="dxa"/>
          </w:tblCellMar>
        </w:tblPrEx>
        <w:trPr>
          <w:trHeight w:val="285" w:hRule="atLeast"/>
        </w:trPr>
        <w:tc>
          <w:tcPr>
            <w:tcW w:w="2370" w:type="pct"/>
            <w:gridSpan w:val="5"/>
            <w:tcBorders>
              <w:top w:val="single" w:color="000000" w:sz="4" w:space="0"/>
              <w:left w:val="single" w:color="000000" w:sz="4" w:space="0"/>
              <w:bottom w:val="single" w:color="000000" w:sz="4" w:space="0"/>
              <w:right w:val="single" w:color="000000" w:sz="4" w:space="0"/>
            </w:tcBorders>
            <w:vAlign w:val="center"/>
          </w:tcPr>
          <w:p w14:paraId="1E0701BE">
            <w:pPr>
              <w:widowControl/>
              <w:jc w:val="left"/>
              <w:rPr>
                <w:rFonts w:ascii="Courier New" w:hAnsi="Courier New" w:eastAsia="宋体" w:cs="Times New Roman"/>
                <w:sz w:val="18"/>
                <w:szCs w:val="18"/>
              </w:rPr>
            </w:pPr>
            <w:r>
              <w:rPr>
                <w:rFonts w:hint="eastAsia" w:ascii="Courier New" w:hAnsi="Courier New" w:eastAsia="宋体" w:cs="宋体"/>
                <w:sz w:val="18"/>
                <w:szCs w:val="18"/>
              </w:rPr>
              <w:t>项目负责人：刘妍</w:t>
            </w:r>
          </w:p>
        </w:tc>
        <w:tc>
          <w:tcPr>
            <w:tcW w:w="2629" w:type="pct"/>
            <w:gridSpan w:val="6"/>
            <w:tcBorders>
              <w:top w:val="single" w:color="000000" w:sz="4" w:space="0"/>
              <w:left w:val="nil"/>
              <w:bottom w:val="single" w:color="000000" w:sz="4" w:space="0"/>
              <w:right w:val="single" w:color="000000" w:sz="4" w:space="0"/>
            </w:tcBorders>
            <w:vAlign w:val="center"/>
          </w:tcPr>
          <w:p w14:paraId="2F6FEBE4">
            <w:pPr>
              <w:widowControl/>
              <w:jc w:val="left"/>
              <w:rPr>
                <w:rFonts w:ascii="Courier New" w:hAnsi="Courier New" w:eastAsia="宋体" w:cs="Times New Roman"/>
                <w:sz w:val="18"/>
                <w:szCs w:val="18"/>
              </w:rPr>
            </w:pPr>
            <w:r>
              <w:rPr>
                <w:rFonts w:hint="eastAsia" w:ascii="Courier New" w:hAnsi="Courier New" w:eastAsia="宋体" w:cs="宋体"/>
                <w:sz w:val="18"/>
                <w:szCs w:val="18"/>
              </w:rPr>
              <w:t>财务负责人：谭春乔</w:t>
            </w:r>
          </w:p>
        </w:tc>
      </w:tr>
    </w:tbl>
    <w:p w14:paraId="7DA9EB4E">
      <w:pPr>
        <w:pStyle w:val="200"/>
        <w:ind w:left="632" w:firstLine="632"/>
        <w:rPr>
          <w:rFonts w:ascii="Times New Roman" w:eastAsia="黑体" w:cs="Times New Roman"/>
          <w:shd w:val="clear" w:color="auto" w:fill="FFFFFF"/>
          <w:lang w:val="zh-CN"/>
        </w:rPr>
      </w:pPr>
    </w:p>
    <w:p w14:paraId="46D03AD0">
      <w:pPr>
        <w:pStyle w:val="200"/>
        <w:ind w:firstLine="0"/>
        <w:rPr>
          <w:rFonts w:ascii="Times New Roman" w:eastAsia="黑体" w:cs="Times New Roman"/>
          <w:shd w:val="clear" w:color="auto" w:fill="FFFFFF"/>
          <w:lang w:val="zh-CN"/>
        </w:rPr>
      </w:pPr>
    </w:p>
    <w:p w14:paraId="74675C0B">
      <w:pPr>
        <w:pStyle w:val="200"/>
        <w:ind w:firstLine="0"/>
        <w:rPr>
          <w:rFonts w:ascii="Times New Roman" w:eastAsia="黑体" w:cs="Times New Roman"/>
          <w:shd w:val="clear" w:color="auto" w:fill="FFFFFF"/>
          <w:lang w:val="zh-CN"/>
        </w:rPr>
      </w:pPr>
    </w:p>
    <w:tbl>
      <w:tblPr>
        <w:tblStyle w:val="35"/>
        <w:tblW w:w="5000" w:type="pct"/>
        <w:tblInd w:w="2" w:type="dxa"/>
        <w:tblLayout w:type="fixed"/>
        <w:tblCellMar>
          <w:top w:w="0" w:type="dxa"/>
          <w:left w:w="108" w:type="dxa"/>
          <w:bottom w:w="0" w:type="dxa"/>
          <w:right w:w="108" w:type="dxa"/>
        </w:tblCellMar>
      </w:tblPr>
      <w:tblGrid>
        <w:gridCol w:w="575"/>
        <w:gridCol w:w="1225"/>
        <w:gridCol w:w="1041"/>
        <w:gridCol w:w="1353"/>
        <w:gridCol w:w="397"/>
        <w:gridCol w:w="974"/>
        <w:gridCol w:w="397"/>
        <w:gridCol w:w="877"/>
        <w:gridCol w:w="588"/>
        <w:gridCol w:w="662"/>
        <w:gridCol w:w="1153"/>
      </w:tblGrid>
      <w:tr w14:paraId="2FA82876">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75A9341D">
            <w:pPr>
              <w:widowControl/>
              <w:jc w:val="center"/>
              <w:rPr>
                <w:rFonts w:ascii="黑体" w:hAnsi="黑体" w:eastAsia="黑体" w:cs="Times New Roman"/>
                <w:b/>
                <w:bCs/>
                <w:sz w:val="30"/>
                <w:szCs w:val="30"/>
              </w:rPr>
            </w:pPr>
            <w:r>
              <w:rPr>
                <w:rFonts w:hint="eastAsia" w:ascii="黑体" w:hAnsi="黑体" w:eastAsia="黑体" w:cs="黑体"/>
                <w:b/>
                <w:bCs/>
                <w:sz w:val="30"/>
                <w:szCs w:val="30"/>
              </w:rPr>
              <w:t>部门预算项目支出绩效自评表（</w:t>
            </w:r>
            <w:r>
              <w:rPr>
                <w:rFonts w:ascii="黑体" w:hAnsi="黑体" w:eastAsia="黑体" w:cs="黑体"/>
                <w:b/>
                <w:bCs/>
                <w:sz w:val="30"/>
                <w:szCs w:val="30"/>
              </w:rPr>
              <w:t>2024</w:t>
            </w:r>
            <w:r>
              <w:rPr>
                <w:rFonts w:hint="eastAsia" w:ascii="黑体" w:hAnsi="黑体" w:eastAsia="黑体" w:cs="黑体"/>
                <w:b/>
                <w:bCs/>
                <w:sz w:val="30"/>
                <w:szCs w:val="30"/>
              </w:rPr>
              <w:t>年度）</w:t>
            </w:r>
          </w:p>
        </w:tc>
      </w:tr>
      <w:tr w14:paraId="39D6DD2B">
        <w:tblPrEx>
          <w:tblCellMar>
            <w:top w:w="0" w:type="dxa"/>
            <w:left w:w="108" w:type="dxa"/>
            <w:bottom w:w="0" w:type="dxa"/>
            <w:right w:w="108" w:type="dxa"/>
          </w:tblCellMar>
        </w:tblPrEx>
        <w:trPr>
          <w:trHeight w:val="285" w:hRule="atLeast"/>
        </w:trPr>
        <w:tc>
          <w:tcPr>
            <w:tcW w:w="973" w:type="pct"/>
            <w:gridSpan w:val="2"/>
            <w:tcBorders>
              <w:top w:val="single" w:color="000000" w:sz="4" w:space="0"/>
              <w:left w:val="single" w:color="000000" w:sz="4" w:space="0"/>
              <w:bottom w:val="single" w:color="000000" w:sz="4" w:space="0"/>
              <w:right w:val="single" w:color="000000" w:sz="4" w:space="0"/>
            </w:tcBorders>
            <w:vAlign w:val="center"/>
          </w:tcPr>
          <w:p w14:paraId="03FAFBC5">
            <w:pPr>
              <w:widowControl/>
              <w:jc w:val="left"/>
              <w:rPr>
                <w:rFonts w:ascii="宋体" w:hAnsi="宋体" w:eastAsia="宋体" w:cs="Times New Roman"/>
                <w:sz w:val="18"/>
                <w:szCs w:val="18"/>
              </w:rPr>
            </w:pPr>
            <w:r>
              <w:rPr>
                <w:rFonts w:hint="eastAsia" w:ascii="宋体" w:hAnsi="宋体" w:eastAsia="宋体" w:cs="宋体"/>
                <w:sz w:val="18"/>
                <w:szCs w:val="18"/>
              </w:rPr>
              <w:t>项目名称</w:t>
            </w:r>
          </w:p>
        </w:tc>
        <w:tc>
          <w:tcPr>
            <w:tcW w:w="4026" w:type="pct"/>
            <w:gridSpan w:val="9"/>
            <w:tcBorders>
              <w:top w:val="single" w:color="000000" w:sz="4" w:space="0"/>
              <w:left w:val="nil"/>
              <w:bottom w:val="single" w:color="000000" w:sz="4" w:space="0"/>
              <w:right w:val="single" w:color="000000" w:sz="4" w:space="0"/>
            </w:tcBorders>
            <w:vAlign w:val="center"/>
          </w:tcPr>
          <w:p w14:paraId="1F427C37">
            <w:pPr>
              <w:widowControl/>
              <w:jc w:val="left"/>
              <w:rPr>
                <w:rFonts w:ascii="宋体" w:hAnsi="宋体" w:eastAsia="宋体" w:cs="Times New Roman"/>
                <w:sz w:val="18"/>
                <w:szCs w:val="18"/>
              </w:rPr>
            </w:pPr>
            <w:r>
              <w:rPr>
                <w:rFonts w:ascii="宋体" w:hAnsi="宋体" w:eastAsia="宋体" w:cs="宋体"/>
                <w:sz w:val="18"/>
                <w:szCs w:val="18"/>
              </w:rPr>
              <w:t>51090424T000011124366-2024</w:t>
            </w:r>
            <w:r>
              <w:rPr>
                <w:rFonts w:hint="eastAsia" w:ascii="宋体" w:hAnsi="宋体" w:eastAsia="宋体" w:cs="宋体"/>
                <w:sz w:val="18"/>
                <w:szCs w:val="18"/>
              </w:rPr>
              <w:t>年物业管理费</w:t>
            </w:r>
          </w:p>
        </w:tc>
      </w:tr>
      <w:tr w14:paraId="5EDE6F82">
        <w:tblPrEx>
          <w:tblCellMar>
            <w:top w:w="0" w:type="dxa"/>
            <w:left w:w="108" w:type="dxa"/>
            <w:bottom w:w="0" w:type="dxa"/>
            <w:right w:w="108" w:type="dxa"/>
          </w:tblCellMar>
        </w:tblPrEx>
        <w:trPr>
          <w:trHeight w:val="514" w:hRule="atLeast"/>
        </w:trPr>
        <w:tc>
          <w:tcPr>
            <w:tcW w:w="973" w:type="pct"/>
            <w:gridSpan w:val="2"/>
            <w:tcBorders>
              <w:top w:val="single" w:color="000000" w:sz="4" w:space="0"/>
              <w:left w:val="single" w:color="000000" w:sz="4" w:space="0"/>
              <w:bottom w:val="single" w:color="000000" w:sz="4" w:space="0"/>
              <w:right w:val="single" w:color="000000" w:sz="4" w:space="0"/>
            </w:tcBorders>
            <w:vAlign w:val="center"/>
          </w:tcPr>
          <w:p w14:paraId="1BC465E9">
            <w:pPr>
              <w:widowControl/>
              <w:jc w:val="left"/>
              <w:rPr>
                <w:rFonts w:ascii="宋体" w:hAnsi="宋体" w:eastAsia="宋体" w:cs="Times New Roman"/>
                <w:sz w:val="18"/>
                <w:szCs w:val="18"/>
              </w:rPr>
            </w:pPr>
            <w:r>
              <w:rPr>
                <w:rFonts w:hint="eastAsia" w:ascii="宋体" w:hAnsi="宋体" w:eastAsia="宋体" w:cs="宋体"/>
                <w:sz w:val="18"/>
                <w:szCs w:val="18"/>
              </w:rPr>
              <w:t>主管部门</w:t>
            </w:r>
          </w:p>
        </w:tc>
        <w:tc>
          <w:tcPr>
            <w:tcW w:w="2251" w:type="pct"/>
            <w:gridSpan w:val="5"/>
            <w:tcBorders>
              <w:top w:val="single" w:color="000000" w:sz="4" w:space="0"/>
              <w:left w:val="nil"/>
              <w:bottom w:val="single" w:color="000000" w:sz="4" w:space="0"/>
              <w:right w:val="single" w:color="000000" w:sz="4" w:space="0"/>
            </w:tcBorders>
            <w:vAlign w:val="center"/>
          </w:tcPr>
          <w:p w14:paraId="11462162">
            <w:pPr>
              <w:widowControl/>
              <w:jc w:val="left"/>
              <w:rPr>
                <w:rFonts w:ascii="宋体" w:hAnsi="宋体" w:eastAsia="宋体" w:cs="Times New Roman"/>
                <w:sz w:val="18"/>
                <w:szCs w:val="18"/>
              </w:rPr>
            </w:pPr>
            <w:r>
              <w:rPr>
                <w:rFonts w:hint="eastAsia" w:ascii="宋体" w:hAnsi="宋体" w:eastAsia="宋体" w:cs="宋体"/>
                <w:sz w:val="18"/>
                <w:szCs w:val="18"/>
              </w:rPr>
              <w:t>遂宁市安居区行政审批和数据局部门</w:t>
            </w:r>
          </w:p>
        </w:tc>
        <w:tc>
          <w:tcPr>
            <w:tcW w:w="474" w:type="pct"/>
            <w:tcBorders>
              <w:top w:val="nil"/>
              <w:left w:val="nil"/>
              <w:bottom w:val="nil"/>
              <w:right w:val="nil"/>
            </w:tcBorders>
            <w:vAlign w:val="center"/>
          </w:tcPr>
          <w:p w14:paraId="02C2D89F">
            <w:pPr>
              <w:widowControl/>
              <w:jc w:val="left"/>
              <w:rPr>
                <w:rFonts w:ascii="Courier New" w:hAnsi="Courier New" w:eastAsia="宋体" w:cs="Times New Roman"/>
                <w:sz w:val="18"/>
                <w:szCs w:val="18"/>
              </w:rPr>
            </w:pPr>
            <w:r>
              <w:rPr>
                <w:rFonts w:hint="eastAsia" w:ascii="Courier New" w:hAnsi="Courier New" w:eastAsia="宋体" w:cs="宋体"/>
                <w:sz w:val="18"/>
                <w:szCs w:val="18"/>
              </w:rPr>
              <w:t>实施单位</w:t>
            </w:r>
            <w:r>
              <w:rPr>
                <w:rFonts w:ascii="Courier New" w:hAnsi="Courier New" w:eastAsia="宋体" w:cs="Courier New"/>
                <w:sz w:val="18"/>
                <w:szCs w:val="18"/>
              </w:rPr>
              <w:t xml:space="preserve"> </w:t>
            </w:r>
            <w:r>
              <w:rPr>
                <w:rFonts w:hint="eastAsia" w:ascii="Courier New" w:hAnsi="Courier New" w:eastAsia="宋体" w:cs="宋体"/>
                <w:sz w:val="18"/>
                <w:szCs w:val="18"/>
              </w:rPr>
              <w:t>（盖章）</w:t>
            </w:r>
          </w:p>
        </w:tc>
        <w:tc>
          <w:tcPr>
            <w:tcW w:w="1300" w:type="pct"/>
            <w:gridSpan w:val="3"/>
            <w:tcBorders>
              <w:top w:val="single" w:color="000000" w:sz="4" w:space="0"/>
              <w:left w:val="single" w:color="000000" w:sz="4" w:space="0"/>
              <w:bottom w:val="single" w:color="000000" w:sz="4" w:space="0"/>
              <w:right w:val="single" w:color="000000" w:sz="4" w:space="0"/>
            </w:tcBorders>
            <w:vAlign w:val="center"/>
          </w:tcPr>
          <w:p w14:paraId="6A4AD077">
            <w:pPr>
              <w:widowControl/>
              <w:jc w:val="center"/>
              <w:rPr>
                <w:rFonts w:ascii="宋体" w:hAnsi="宋体" w:eastAsia="宋体" w:cs="Times New Roman"/>
                <w:sz w:val="18"/>
                <w:szCs w:val="18"/>
              </w:rPr>
            </w:pPr>
            <w:r>
              <w:rPr>
                <w:rFonts w:hint="eastAsia" w:ascii="宋体" w:hAnsi="宋体" w:eastAsia="宋体" w:cs="宋体"/>
                <w:sz w:val="18"/>
                <w:szCs w:val="18"/>
              </w:rPr>
              <w:t>遂宁市安居区行政审批和数据局</w:t>
            </w:r>
          </w:p>
        </w:tc>
      </w:tr>
      <w:tr w14:paraId="378C6530">
        <w:tblPrEx>
          <w:tblCellMar>
            <w:top w:w="0" w:type="dxa"/>
            <w:left w:w="108" w:type="dxa"/>
            <w:bottom w:w="0" w:type="dxa"/>
            <w:right w:w="108" w:type="dxa"/>
          </w:tblCellMar>
        </w:tblPrEx>
        <w:trPr>
          <w:trHeight w:val="285" w:hRule="atLeast"/>
        </w:trPr>
        <w:tc>
          <w:tcPr>
            <w:tcW w:w="311" w:type="pct"/>
            <w:vMerge w:val="restart"/>
            <w:tcBorders>
              <w:top w:val="nil"/>
              <w:left w:val="single" w:color="000000" w:sz="4" w:space="0"/>
              <w:bottom w:val="single" w:color="000000" w:sz="4" w:space="0"/>
              <w:right w:val="single" w:color="000000" w:sz="4" w:space="0"/>
            </w:tcBorders>
            <w:vAlign w:val="center"/>
          </w:tcPr>
          <w:p w14:paraId="0F3F709E">
            <w:pPr>
              <w:widowControl/>
              <w:jc w:val="left"/>
              <w:rPr>
                <w:rFonts w:ascii="宋体" w:hAnsi="宋体" w:eastAsia="宋体" w:cs="Times New Roman"/>
                <w:sz w:val="18"/>
                <w:szCs w:val="18"/>
              </w:rPr>
            </w:pPr>
            <w:r>
              <w:rPr>
                <w:rFonts w:hint="eastAsia" w:ascii="宋体" w:hAnsi="宋体" w:eastAsia="宋体" w:cs="宋体"/>
                <w:sz w:val="18"/>
                <w:szCs w:val="18"/>
              </w:rPr>
              <w:t>项目基本情况</w:t>
            </w:r>
          </w:p>
        </w:tc>
        <w:tc>
          <w:tcPr>
            <w:tcW w:w="662" w:type="pct"/>
            <w:vMerge w:val="restart"/>
            <w:tcBorders>
              <w:top w:val="nil"/>
              <w:left w:val="single" w:color="000000" w:sz="4" w:space="0"/>
              <w:bottom w:val="single" w:color="000000" w:sz="4" w:space="0"/>
              <w:right w:val="single" w:color="000000" w:sz="4" w:space="0"/>
            </w:tcBorders>
            <w:vAlign w:val="center"/>
          </w:tcPr>
          <w:p w14:paraId="4FD40386">
            <w:pPr>
              <w:widowControl/>
              <w:jc w:val="left"/>
              <w:rPr>
                <w:rFonts w:ascii="宋体" w:hAnsi="宋体" w:eastAsia="宋体" w:cs="Times New Roman"/>
                <w:sz w:val="18"/>
                <w:szCs w:val="18"/>
              </w:rPr>
            </w:pPr>
            <w:r>
              <w:rPr>
                <w:rFonts w:ascii="宋体" w:hAnsi="宋体" w:eastAsia="宋体" w:cs="宋体"/>
                <w:sz w:val="18"/>
                <w:szCs w:val="18"/>
              </w:rPr>
              <w:t>1.</w:t>
            </w:r>
            <w:r>
              <w:rPr>
                <w:rFonts w:hint="eastAsia" w:ascii="宋体" w:hAnsi="宋体" w:eastAsia="宋体" w:cs="宋体"/>
                <w:sz w:val="18"/>
                <w:szCs w:val="18"/>
              </w:rPr>
              <w:t>项目年度目标完成情况</w:t>
            </w:r>
          </w:p>
        </w:tc>
        <w:tc>
          <w:tcPr>
            <w:tcW w:w="2251" w:type="pct"/>
            <w:gridSpan w:val="5"/>
            <w:tcBorders>
              <w:top w:val="single" w:color="000000" w:sz="4" w:space="0"/>
              <w:left w:val="nil"/>
              <w:bottom w:val="single" w:color="000000" w:sz="4" w:space="0"/>
              <w:right w:val="single" w:color="000000" w:sz="4" w:space="0"/>
            </w:tcBorders>
            <w:vAlign w:val="center"/>
          </w:tcPr>
          <w:p w14:paraId="00E9F47D">
            <w:pPr>
              <w:widowControl/>
              <w:jc w:val="center"/>
              <w:rPr>
                <w:rFonts w:ascii="宋体" w:hAnsi="宋体" w:eastAsia="宋体" w:cs="Times New Roman"/>
                <w:sz w:val="18"/>
                <w:szCs w:val="18"/>
              </w:rPr>
            </w:pPr>
            <w:r>
              <w:rPr>
                <w:rFonts w:hint="eastAsia" w:ascii="宋体" w:hAnsi="宋体" w:eastAsia="宋体" w:cs="宋体"/>
                <w:sz w:val="18"/>
                <w:szCs w:val="18"/>
              </w:rPr>
              <w:t>项目年度目标</w:t>
            </w:r>
          </w:p>
        </w:tc>
        <w:tc>
          <w:tcPr>
            <w:tcW w:w="1774" w:type="pct"/>
            <w:gridSpan w:val="4"/>
            <w:tcBorders>
              <w:top w:val="single" w:color="000000" w:sz="4" w:space="0"/>
              <w:left w:val="nil"/>
              <w:bottom w:val="single" w:color="000000" w:sz="4" w:space="0"/>
              <w:right w:val="single" w:color="000000" w:sz="4" w:space="0"/>
            </w:tcBorders>
            <w:vAlign w:val="center"/>
          </w:tcPr>
          <w:p w14:paraId="7C6B1C8E">
            <w:pPr>
              <w:widowControl/>
              <w:jc w:val="center"/>
              <w:rPr>
                <w:rFonts w:ascii="Courier New" w:hAnsi="Courier New" w:eastAsia="宋体" w:cs="Times New Roman"/>
                <w:sz w:val="18"/>
                <w:szCs w:val="18"/>
              </w:rPr>
            </w:pPr>
            <w:r>
              <w:rPr>
                <w:rFonts w:hint="eastAsia" w:ascii="Courier New" w:hAnsi="Courier New" w:eastAsia="宋体" w:cs="宋体"/>
                <w:sz w:val="18"/>
                <w:szCs w:val="18"/>
              </w:rPr>
              <w:t>年度目标完成情况</w:t>
            </w:r>
          </w:p>
        </w:tc>
      </w:tr>
      <w:tr w14:paraId="11B39FAE">
        <w:tblPrEx>
          <w:tblCellMar>
            <w:top w:w="0" w:type="dxa"/>
            <w:left w:w="108" w:type="dxa"/>
            <w:bottom w:w="0" w:type="dxa"/>
            <w:right w:w="108" w:type="dxa"/>
          </w:tblCellMar>
        </w:tblPrEx>
        <w:trPr>
          <w:trHeight w:val="709" w:hRule="atLeast"/>
        </w:trPr>
        <w:tc>
          <w:tcPr>
            <w:tcW w:w="311" w:type="pct"/>
            <w:vMerge w:val="continue"/>
            <w:tcBorders>
              <w:top w:val="nil"/>
              <w:left w:val="single" w:color="000000" w:sz="4" w:space="0"/>
              <w:bottom w:val="single" w:color="000000" w:sz="4" w:space="0"/>
              <w:right w:val="single" w:color="000000" w:sz="4" w:space="0"/>
            </w:tcBorders>
            <w:vAlign w:val="center"/>
          </w:tcPr>
          <w:p w14:paraId="66F803DB">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7C85BE60">
            <w:pPr>
              <w:widowControl/>
              <w:jc w:val="left"/>
              <w:rPr>
                <w:rFonts w:ascii="宋体" w:hAnsi="宋体" w:eastAsia="宋体" w:cs="Times New Roman"/>
                <w:sz w:val="18"/>
                <w:szCs w:val="18"/>
              </w:rPr>
            </w:pPr>
          </w:p>
        </w:tc>
        <w:tc>
          <w:tcPr>
            <w:tcW w:w="2251" w:type="pct"/>
            <w:gridSpan w:val="5"/>
            <w:tcBorders>
              <w:top w:val="single" w:color="000000" w:sz="4" w:space="0"/>
              <w:left w:val="nil"/>
              <w:bottom w:val="single" w:color="000000" w:sz="4" w:space="0"/>
              <w:right w:val="single" w:color="000000" w:sz="4" w:space="0"/>
            </w:tcBorders>
            <w:vAlign w:val="center"/>
          </w:tcPr>
          <w:p w14:paraId="2080BA66">
            <w:pPr>
              <w:widowControl/>
              <w:jc w:val="left"/>
              <w:rPr>
                <w:rFonts w:ascii="宋体" w:hAnsi="宋体" w:eastAsia="宋体" w:cs="Times New Roman"/>
                <w:sz w:val="18"/>
                <w:szCs w:val="18"/>
              </w:rPr>
            </w:pPr>
            <w:r>
              <w:rPr>
                <w:rFonts w:hint="eastAsia" w:ascii="宋体" w:hAnsi="宋体" w:eastAsia="宋体" w:cs="宋体"/>
                <w:sz w:val="18"/>
                <w:szCs w:val="18"/>
              </w:rPr>
              <w:t>保障政务服务综合大楼安保、清洁卫生等工作。</w:t>
            </w:r>
          </w:p>
        </w:tc>
        <w:tc>
          <w:tcPr>
            <w:tcW w:w="1774" w:type="pct"/>
            <w:gridSpan w:val="4"/>
            <w:tcBorders>
              <w:top w:val="single" w:color="000000" w:sz="4" w:space="0"/>
              <w:left w:val="nil"/>
              <w:bottom w:val="single" w:color="000000" w:sz="4" w:space="0"/>
              <w:right w:val="single" w:color="000000" w:sz="4" w:space="0"/>
            </w:tcBorders>
            <w:vAlign w:val="center"/>
          </w:tcPr>
          <w:p w14:paraId="7B843554">
            <w:pPr>
              <w:widowControl/>
              <w:jc w:val="both"/>
              <w:rPr>
                <w:rFonts w:ascii="Courier New" w:hAnsi="Courier New" w:eastAsia="宋体" w:cs="Times New Roman"/>
                <w:sz w:val="18"/>
                <w:szCs w:val="18"/>
              </w:rPr>
            </w:pPr>
            <w:r>
              <w:rPr>
                <w:rFonts w:hint="eastAsia" w:ascii="Courier New" w:hAnsi="Courier New" w:eastAsia="宋体" w:cs="宋体"/>
                <w:sz w:val="18"/>
                <w:szCs w:val="18"/>
              </w:rPr>
              <w:t>聘请保安</w:t>
            </w:r>
            <w:r>
              <w:rPr>
                <w:rFonts w:ascii="Courier New" w:hAnsi="Courier New" w:eastAsia="宋体" w:cs="Courier New"/>
                <w:sz w:val="18"/>
                <w:szCs w:val="18"/>
              </w:rPr>
              <w:t>6</w:t>
            </w:r>
            <w:r>
              <w:rPr>
                <w:rFonts w:hint="eastAsia" w:ascii="Courier New" w:hAnsi="Courier New" w:eastAsia="宋体" w:cs="宋体"/>
                <w:sz w:val="18"/>
                <w:szCs w:val="18"/>
              </w:rPr>
              <w:t>名、电工</w:t>
            </w:r>
            <w:r>
              <w:rPr>
                <w:rFonts w:ascii="Courier New" w:hAnsi="Courier New" w:eastAsia="宋体" w:cs="Courier New"/>
                <w:sz w:val="18"/>
                <w:szCs w:val="18"/>
              </w:rPr>
              <w:t>1</w:t>
            </w:r>
            <w:r>
              <w:rPr>
                <w:rFonts w:hint="eastAsia" w:ascii="Courier New" w:hAnsi="Courier New" w:eastAsia="宋体" w:cs="宋体"/>
                <w:sz w:val="18"/>
                <w:szCs w:val="18"/>
              </w:rPr>
              <w:t>名、保洁</w:t>
            </w:r>
            <w:r>
              <w:rPr>
                <w:rFonts w:ascii="Courier New" w:hAnsi="Courier New" w:eastAsia="宋体" w:cs="Courier New"/>
                <w:sz w:val="18"/>
                <w:szCs w:val="18"/>
              </w:rPr>
              <w:t>4</w:t>
            </w:r>
            <w:r>
              <w:rPr>
                <w:rFonts w:hint="eastAsia" w:ascii="Courier New" w:hAnsi="Courier New" w:eastAsia="宋体" w:cs="宋体"/>
                <w:sz w:val="18"/>
                <w:szCs w:val="18"/>
              </w:rPr>
              <w:t>名，确保政务服务综合大楼提供安全保卫、车辆管理、保洁、绿化、水电管理、设施设备维修保养等，确保政务大厅水电正常供应，从而提高行政运行效率。</w:t>
            </w:r>
          </w:p>
        </w:tc>
      </w:tr>
      <w:tr w14:paraId="545002C7">
        <w:tblPrEx>
          <w:tblCellMar>
            <w:top w:w="0" w:type="dxa"/>
            <w:left w:w="108" w:type="dxa"/>
            <w:bottom w:w="0" w:type="dxa"/>
            <w:right w:w="108" w:type="dxa"/>
          </w:tblCellMar>
        </w:tblPrEx>
        <w:trPr>
          <w:trHeight w:val="694" w:hRule="atLeast"/>
        </w:trPr>
        <w:tc>
          <w:tcPr>
            <w:tcW w:w="311" w:type="pct"/>
            <w:vMerge w:val="continue"/>
            <w:tcBorders>
              <w:top w:val="nil"/>
              <w:left w:val="single" w:color="000000" w:sz="4" w:space="0"/>
              <w:bottom w:val="single" w:color="000000" w:sz="4" w:space="0"/>
              <w:right w:val="single" w:color="000000" w:sz="4" w:space="0"/>
            </w:tcBorders>
            <w:vAlign w:val="center"/>
          </w:tcPr>
          <w:p w14:paraId="300D52F5">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053A9E8D">
            <w:pPr>
              <w:widowControl/>
              <w:jc w:val="left"/>
              <w:rPr>
                <w:rFonts w:ascii="宋体" w:hAnsi="宋体" w:eastAsia="宋体" w:cs="Times New Roman"/>
                <w:sz w:val="18"/>
                <w:szCs w:val="18"/>
              </w:rPr>
            </w:pPr>
            <w:r>
              <w:rPr>
                <w:rFonts w:ascii="宋体" w:hAnsi="宋体" w:eastAsia="宋体" w:cs="宋体"/>
                <w:sz w:val="18"/>
                <w:szCs w:val="18"/>
              </w:rPr>
              <w:t>2.</w:t>
            </w:r>
            <w:r>
              <w:rPr>
                <w:rFonts w:hint="eastAsia" w:ascii="宋体" w:hAnsi="宋体" w:eastAsia="宋体" w:cs="宋体"/>
                <w:sz w:val="18"/>
                <w:szCs w:val="18"/>
              </w:rPr>
              <w:t>项目实施内容及过程概述</w:t>
            </w:r>
          </w:p>
        </w:tc>
        <w:tc>
          <w:tcPr>
            <w:tcW w:w="4026" w:type="pct"/>
            <w:gridSpan w:val="9"/>
            <w:tcBorders>
              <w:top w:val="single" w:color="000000" w:sz="4" w:space="0"/>
              <w:left w:val="nil"/>
              <w:bottom w:val="single" w:color="000000" w:sz="4" w:space="0"/>
              <w:right w:val="single" w:color="000000" w:sz="4" w:space="0"/>
            </w:tcBorders>
            <w:vAlign w:val="center"/>
          </w:tcPr>
          <w:p w14:paraId="3575296E">
            <w:pPr>
              <w:widowControl/>
              <w:jc w:val="left"/>
              <w:rPr>
                <w:rFonts w:ascii="宋体" w:hAnsi="宋体" w:eastAsia="宋体" w:cs="Times New Roman"/>
                <w:sz w:val="18"/>
                <w:szCs w:val="18"/>
              </w:rPr>
            </w:pPr>
            <w:r>
              <w:rPr>
                <w:rFonts w:hint="eastAsia" w:ascii="宋体" w:hAnsi="宋体" w:eastAsia="宋体" w:cs="宋体"/>
                <w:sz w:val="18"/>
                <w:szCs w:val="18"/>
              </w:rPr>
              <w:t>为政务服务综合大楼提供安全保卫、车辆管理、保洁、绿化、水电管理、设施设备维修保养等，确保政务大厅水电正常供应，从而提高行政运行效率。</w:t>
            </w:r>
          </w:p>
        </w:tc>
      </w:tr>
      <w:tr w14:paraId="622770D3">
        <w:tblPrEx>
          <w:tblCellMar>
            <w:top w:w="0" w:type="dxa"/>
            <w:left w:w="108" w:type="dxa"/>
            <w:bottom w:w="0" w:type="dxa"/>
            <w:right w:w="108" w:type="dxa"/>
          </w:tblCellMar>
        </w:tblPrEx>
        <w:trPr>
          <w:trHeight w:val="360" w:hRule="atLeast"/>
        </w:trPr>
        <w:tc>
          <w:tcPr>
            <w:tcW w:w="311" w:type="pct"/>
            <w:vMerge w:val="restart"/>
            <w:tcBorders>
              <w:top w:val="nil"/>
              <w:left w:val="single" w:color="000000" w:sz="4" w:space="0"/>
              <w:bottom w:val="single" w:color="000000" w:sz="4" w:space="0"/>
              <w:right w:val="single" w:color="000000" w:sz="4" w:space="0"/>
            </w:tcBorders>
            <w:vAlign w:val="center"/>
          </w:tcPr>
          <w:p w14:paraId="6AB15836">
            <w:pPr>
              <w:widowControl/>
              <w:jc w:val="center"/>
              <w:rPr>
                <w:rFonts w:ascii="宋体" w:hAnsi="宋体" w:eastAsia="宋体" w:cs="Times New Roman"/>
                <w:sz w:val="18"/>
                <w:szCs w:val="18"/>
              </w:rPr>
            </w:pPr>
            <w:r>
              <w:rPr>
                <w:rFonts w:hint="eastAsia" w:ascii="宋体" w:hAnsi="宋体" w:eastAsia="宋体" w:cs="宋体"/>
                <w:sz w:val="18"/>
                <w:szCs w:val="18"/>
              </w:rPr>
              <w:t>预算执行情况（</w:t>
            </w:r>
            <w:r>
              <w:rPr>
                <w:rFonts w:ascii="宋体" w:hAnsi="宋体" w:eastAsia="宋体" w:cs="宋体"/>
                <w:sz w:val="18"/>
                <w:szCs w:val="18"/>
              </w:rPr>
              <w:t>10</w:t>
            </w:r>
            <w:r>
              <w:rPr>
                <w:rFonts w:hint="eastAsia" w:ascii="宋体" w:hAnsi="宋体" w:eastAsia="宋体" w:cs="宋体"/>
                <w:sz w:val="18"/>
                <w:szCs w:val="18"/>
              </w:rPr>
              <w:t>分）</w:t>
            </w:r>
          </w:p>
        </w:tc>
        <w:tc>
          <w:tcPr>
            <w:tcW w:w="662" w:type="pct"/>
            <w:tcBorders>
              <w:top w:val="nil"/>
              <w:left w:val="nil"/>
              <w:bottom w:val="single" w:color="000000" w:sz="4" w:space="0"/>
              <w:right w:val="single" w:color="000000" w:sz="4" w:space="0"/>
            </w:tcBorders>
            <w:vAlign w:val="center"/>
          </w:tcPr>
          <w:p w14:paraId="420979EA">
            <w:pPr>
              <w:widowControl/>
              <w:jc w:val="center"/>
              <w:rPr>
                <w:rFonts w:ascii="宋体" w:hAnsi="宋体" w:eastAsia="宋体" w:cs="Times New Roman"/>
                <w:sz w:val="18"/>
                <w:szCs w:val="18"/>
              </w:rPr>
            </w:pPr>
            <w:r>
              <w:rPr>
                <w:rFonts w:hint="eastAsia" w:ascii="宋体" w:hAnsi="宋体" w:eastAsia="宋体" w:cs="宋体"/>
                <w:sz w:val="18"/>
                <w:szCs w:val="18"/>
              </w:rPr>
              <w:t>年度预算数（万元）</w:t>
            </w:r>
          </w:p>
        </w:tc>
        <w:tc>
          <w:tcPr>
            <w:tcW w:w="563" w:type="pct"/>
            <w:tcBorders>
              <w:top w:val="nil"/>
              <w:left w:val="nil"/>
              <w:bottom w:val="single" w:color="000000" w:sz="4" w:space="0"/>
              <w:right w:val="single" w:color="000000" w:sz="4" w:space="0"/>
            </w:tcBorders>
            <w:vAlign w:val="center"/>
          </w:tcPr>
          <w:p w14:paraId="51B04FA4">
            <w:pPr>
              <w:widowControl/>
              <w:jc w:val="center"/>
              <w:rPr>
                <w:rFonts w:ascii="宋体" w:hAnsi="宋体" w:eastAsia="宋体" w:cs="Times New Roman"/>
                <w:sz w:val="18"/>
                <w:szCs w:val="18"/>
              </w:rPr>
            </w:pPr>
            <w:r>
              <w:rPr>
                <w:rFonts w:hint="eastAsia" w:ascii="宋体" w:hAnsi="宋体" w:eastAsia="宋体" w:cs="宋体"/>
                <w:sz w:val="18"/>
                <w:szCs w:val="18"/>
              </w:rPr>
              <w:t>年初预算</w:t>
            </w:r>
          </w:p>
        </w:tc>
        <w:tc>
          <w:tcPr>
            <w:tcW w:w="731" w:type="pct"/>
            <w:tcBorders>
              <w:top w:val="nil"/>
              <w:left w:val="nil"/>
              <w:bottom w:val="single" w:color="000000" w:sz="4" w:space="0"/>
              <w:right w:val="single" w:color="000000" w:sz="4" w:space="0"/>
            </w:tcBorders>
            <w:vAlign w:val="center"/>
          </w:tcPr>
          <w:p w14:paraId="5124456A">
            <w:pPr>
              <w:widowControl/>
              <w:jc w:val="center"/>
              <w:rPr>
                <w:rFonts w:ascii="宋体" w:hAnsi="宋体" w:eastAsia="宋体" w:cs="Times New Roman"/>
                <w:sz w:val="18"/>
                <w:szCs w:val="18"/>
              </w:rPr>
            </w:pPr>
            <w:r>
              <w:rPr>
                <w:rFonts w:hint="eastAsia" w:ascii="宋体" w:hAnsi="宋体" w:eastAsia="宋体" w:cs="宋体"/>
                <w:sz w:val="18"/>
                <w:szCs w:val="18"/>
              </w:rPr>
              <w:t>调整后预算数</w:t>
            </w:r>
          </w:p>
        </w:tc>
        <w:tc>
          <w:tcPr>
            <w:tcW w:w="956" w:type="pct"/>
            <w:gridSpan w:val="3"/>
            <w:tcBorders>
              <w:top w:val="single" w:color="000000" w:sz="4" w:space="0"/>
              <w:left w:val="nil"/>
              <w:bottom w:val="single" w:color="000000" w:sz="4" w:space="0"/>
              <w:right w:val="single" w:color="000000" w:sz="4" w:space="0"/>
            </w:tcBorders>
            <w:vAlign w:val="center"/>
          </w:tcPr>
          <w:p w14:paraId="4A4C1373">
            <w:pPr>
              <w:widowControl/>
              <w:jc w:val="center"/>
              <w:rPr>
                <w:rFonts w:ascii="宋体" w:hAnsi="宋体" w:eastAsia="宋体" w:cs="Times New Roman"/>
                <w:sz w:val="18"/>
                <w:szCs w:val="18"/>
              </w:rPr>
            </w:pPr>
            <w:r>
              <w:rPr>
                <w:rFonts w:hint="eastAsia" w:ascii="宋体" w:hAnsi="宋体" w:eastAsia="宋体" w:cs="宋体"/>
                <w:sz w:val="18"/>
                <w:szCs w:val="18"/>
              </w:rPr>
              <w:t>预算执行数</w:t>
            </w:r>
          </w:p>
        </w:tc>
        <w:tc>
          <w:tcPr>
            <w:tcW w:w="474" w:type="pct"/>
            <w:tcBorders>
              <w:top w:val="nil"/>
              <w:left w:val="nil"/>
              <w:bottom w:val="single" w:color="000000" w:sz="4" w:space="0"/>
              <w:right w:val="single" w:color="000000" w:sz="4" w:space="0"/>
            </w:tcBorders>
            <w:vAlign w:val="center"/>
          </w:tcPr>
          <w:p w14:paraId="1A332A3D">
            <w:pPr>
              <w:widowControl/>
              <w:jc w:val="center"/>
              <w:rPr>
                <w:rFonts w:ascii="宋体" w:hAnsi="宋体" w:eastAsia="宋体" w:cs="Times New Roman"/>
                <w:sz w:val="18"/>
                <w:szCs w:val="18"/>
              </w:rPr>
            </w:pPr>
            <w:r>
              <w:rPr>
                <w:rFonts w:hint="eastAsia" w:ascii="宋体" w:hAnsi="宋体" w:eastAsia="宋体" w:cs="宋体"/>
                <w:sz w:val="18"/>
                <w:szCs w:val="18"/>
              </w:rPr>
              <w:t>预算执行率</w:t>
            </w:r>
          </w:p>
        </w:tc>
        <w:tc>
          <w:tcPr>
            <w:tcW w:w="318" w:type="pct"/>
            <w:tcBorders>
              <w:top w:val="nil"/>
              <w:left w:val="nil"/>
              <w:bottom w:val="single" w:color="000000" w:sz="4" w:space="0"/>
              <w:right w:val="single" w:color="000000" w:sz="4" w:space="0"/>
            </w:tcBorders>
            <w:vAlign w:val="center"/>
          </w:tcPr>
          <w:p w14:paraId="43724A09">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358" w:type="pct"/>
            <w:tcBorders>
              <w:top w:val="nil"/>
              <w:left w:val="nil"/>
              <w:bottom w:val="single" w:color="000000" w:sz="4" w:space="0"/>
              <w:right w:val="single" w:color="000000" w:sz="4" w:space="0"/>
            </w:tcBorders>
            <w:vAlign w:val="center"/>
          </w:tcPr>
          <w:p w14:paraId="439744B5">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623" w:type="pct"/>
            <w:tcBorders>
              <w:top w:val="nil"/>
              <w:left w:val="nil"/>
              <w:bottom w:val="single" w:color="000000" w:sz="4" w:space="0"/>
              <w:right w:val="single" w:color="000000" w:sz="4" w:space="0"/>
            </w:tcBorders>
            <w:vAlign w:val="center"/>
          </w:tcPr>
          <w:p w14:paraId="35CD0C4A">
            <w:pPr>
              <w:widowControl/>
              <w:jc w:val="center"/>
              <w:rPr>
                <w:rFonts w:ascii="宋体" w:hAnsi="宋体" w:eastAsia="宋体" w:cs="Times New Roman"/>
                <w:sz w:val="18"/>
                <w:szCs w:val="18"/>
              </w:rPr>
            </w:pPr>
            <w:r>
              <w:rPr>
                <w:rFonts w:hint="eastAsia" w:ascii="宋体" w:hAnsi="宋体" w:eastAsia="宋体" w:cs="宋体"/>
                <w:sz w:val="18"/>
                <w:szCs w:val="18"/>
              </w:rPr>
              <w:t>原因</w:t>
            </w:r>
          </w:p>
        </w:tc>
      </w:tr>
      <w:tr w14:paraId="3DEE9B7F">
        <w:tblPrEx>
          <w:tblCellMar>
            <w:top w:w="0" w:type="dxa"/>
            <w:left w:w="108" w:type="dxa"/>
            <w:bottom w:w="0" w:type="dxa"/>
            <w:right w:w="108" w:type="dxa"/>
          </w:tblCellMar>
        </w:tblPrEx>
        <w:trPr>
          <w:trHeight w:val="345" w:hRule="atLeast"/>
        </w:trPr>
        <w:tc>
          <w:tcPr>
            <w:tcW w:w="311" w:type="pct"/>
            <w:vMerge w:val="continue"/>
            <w:tcBorders>
              <w:top w:val="nil"/>
              <w:left w:val="single" w:color="000000" w:sz="4" w:space="0"/>
              <w:bottom w:val="single" w:color="000000" w:sz="4" w:space="0"/>
              <w:right w:val="single" w:color="000000" w:sz="4" w:space="0"/>
            </w:tcBorders>
            <w:vAlign w:val="center"/>
          </w:tcPr>
          <w:p w14:paraId="522E8B59">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548D118C">
            <w:pPr>
              <w:widowControl/>
              <w:jc w:val="center"/>
              <w:rPr>
                <w:rFonts w:ascii="宋体" w:hAnsi="宋体" w:eastAsia="宋体" w:cs="Times New Roman"/>
                <w:sz w:val="18"/>
                <w:szCs w:val="18"/>
              </w:rPr>
            </w:pPr>
            <w:r>
              <w:rPr>
                <w:rFonts w:hint="eastAsia" w:ascii="宋体" w:hAnsi="宋体" w:eastAsia="宋体" w:cs="宋体"/>
                <w:sz w:val="18"/>
                <w:szCs w:val="18"/>
              </w:rPr>
              <w:t>总额</w:t>
            </w:r>
          </w:p>
        </w:tc>
        <w:tc>
          <w:tcPr>
            <w:tcW w:w="563" w:type="pct"/>
            <w:tcBorders>
              <w:top w:val="nil"/>
              <w:left w:val="nil"/>
              <w:bottom w:val="single" w:color="000000" w:sz="4" w:space="0"/>
              <w:right w:val="single" w:color="000000" w:sz="4" w:space="0"/>
            </w:tcBorders>
            <w:vAlign w:val="center"/>
          </w:tcPr>
          <w:p w14:paraId="6B3DEAB0">
            <w:pPr>
              <w:widowControl/>
              <w:jc w:val="center"/>
              <w:rPr>
                <w:rFonts w:ascii="宋体" w:hAnsi="宋体" w:eastAsia="宋体" w:cs="宋体"/>
                <w:sz w:val="18"/>
                <w:szCs w:val="18"/>
              </w:rPr>
            </w:pPr>
            <w:r>
              <w:rPr>
                <w:rFonts w:ascii="宋体" w:hAnsi="宋体" w:eastAsia="宋体" w:cs="宋体"/>
                <w:sz w:val="18"/>
                <w:szCs w:val="18"/>
              </w:rPr>
              <w:t>40.00</w:t>
            </w:r>
          </w:p>
        </w:tc>
        <w:tc>
          <w:tcPr>
            <w:tcW w:w="731" w:type="pct"/>
            <w:tcBorders>
              <w:top w:val="nil"/>
              <w:left w:val="nil"/>
              <w:bottom w:val="single" w:color="000000" w:sz="4" w:space="0"/>
              <w:right w:val="single" w:color="000000" w:sz="4" w:space="0"/>
            </w:tcBorders>
            <w:vAlign w:val="center"/>
          </w:tcPr>
          <w:p w14:paraId="63B8CA99">
            <w:pPr>
              <w:widowControl/>
              <w:jc w:val="center"/>
              <w:rPr>
                <w:rFonts w:ascii="宋体" w:hAnsi="宋体" w:eastAsia="宋体" w:cs="宋体"/>
                <w:sz w:val="18"/>
                <w:szCs w:val="18"/>
              </w:rPr>
            </w:pPr>
            <w:r>
              <w:rPr>
                <w:rFonts w:ascii="宋体" w:hAnsi="宋体" w:eastAsia="宋体" w:cs="宋体"/>
                <w:sz w:val="18"/>
                <w:szCs w:val="18"/>
              </w:rPr>
              <w:t>40.00</w:t>
            </w:r>
          </w:p>
        </w:tc>
        <w:tc>
          <w:tcPr>
            <w:tcW w:w="956" w:type="pct"/>
            <w:gridSpan w:val="3"/>
            <w:tcBorders>
              <w:top w:val="single" w:color="000000" w:sz="4" w:space="0"/>
              <w:left w:val="nil"/>
              <w:bottom w:val="single" w:color="000000" w:sz="4" w:space="0"/>
              <w:right w:val="single" w:color="000000" w:sz="4" w:space="0"/>
            </w:tcBorders>
            <w:vAlign w:val="center"/>
          </w:tcPr>
          <w:p w14:paraId="49C5B9DB">
            <w:pPr>
              <w:widowControl/>
              <w:jc w:val="center"/>
              <w:rPr>
                <w:rFonts w:ascii="宋体" w:hAnsi="宋体" w:eastAsia="宋体" w:cs="宋体"/>
                <w:sz w:val="18"/>
                <w:szCs w:val="18"/>
              </w:rPr>
            </w:pPr>
            <w:r>
              <w:rPr>
                <w:rFonts w:ascii="宋体" w:hAnsi="宋体" w:eastAsia="宋体" w:cs="宋体"/>
                <w:sz w:val="18"/>
                <w:szCs w:val="18"/>
              </w:rPr>
              <w:t>40.00</w:t>
            </w:r>
          </w:p>
        </w:tc>
        <w:tc>
          <w:tcPr>
            <w:tcW w:w="474" w:type="pct"/>
            <w:tcBorders>
              <w:top w:val="nil"/>
              <w:left w:val="nil"/>
              <w:bottom w:val="single" w:color="000000" w:sz="4" w:space="0"/>
              <w:right w:val="single" w:color="000000" w:sz="4" w:space="0"/>
            </w:tcBorders>
            <w:vAlign w:val="center"/>
          </w:tcPr>
          <w:p w14:paraId="00E4860D">
            <w:pPr>
              <w:widowControl/>
              <w:jc w:val="center"/>
              <w:rPr>
                <w:rFonts w:ascii="宋体" w:hAnsi="宋体" w:eastAsia="宋体" w:cs="宋体"/>
                <w:sz w:val="18"/>
                <w:szCs w:val="18"/>
              </w:rPr>
            </w:pPr>
            <w:r>
              <w:rPr>
                <w:rFonts w:ascii="宋体" w:hAnsi="宋体" w:eastAsia="宋体" w:cs="宋体"/>
                <w:sz w:val="18"/>
                <w:szCs w:val="18"/>
              </w:rPr>
              <w:t>100.00%</w:t>
            </w:r>
          </w:p>
        </w:tc>
        <w:tc>
          <w:tcPr>
            <w:tcW w:w="318" w:type="pct"/>
            <w:tcBorders>
              <w:top w:val="nil"/>
              <w:left w:val="nil"/>
              <w:bottom w:val="single" w:color="000000" w:sz="4" w:space="0"/>
              <w:right w:val="single" w:color="000000" w:sz="4" w:space="0"/>
            </w:tcBorders>
            <w:vAlign w:val="center"/>
          </w:tcPr>
          <w:p w14:paraId="498D60F5">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69E8125F">
            <w:pPr>
              <w:widowControl/>
              <w:jc w:val="center"/>
              <w:rPr>
                <w:rFonts w:ascii="宋体" w:hAnsi="宋体" w:eastAsia="宋体" w:cs="宋体"/>
                <w:sz w:val="18"/>
                <w:szCs w:val="18"/>
              </w:rPr>
            </w:pPr>
            <w:r>
              <w:rPr>
                <w:rFonts w:ascii="宋体" w:hAnsi="宋体" w:eastAsia="宋体" w:cs="宋体"/>
                <w:sz w:val="18"/>
                <w:szCs w:val="18"/>
              </w:rPr>
              <w:t>10</w:t>
            </w:r>
          </w:p>
        </w:tc>
        <w:tc>
          <w:tcPr>
            <w:tcW w:w="623" w:type="pct"/>
            <w:vMerge w:val="restart"/>
            <w:tcBorders>
              <w:top w:val="nil"/>
              <w:left w:val="single" w:color="000000" w:sz="4" w:space="0"/>
              <w:bottom w:val="single" w:color="000000" w:sz="4" w:space="0"/>
              <w:right w:val="single" w:color="000000" w:sz="4" w:space="0"/>
            </w:tcBorders>
            <w:vAlign w:val="center"/>
          </w:tcPr>
          <w:p w14:paraId="78E02365">
            <w:pPr>
              <w:widowControl/>
              <w:jc w:val="left"/>
              <w:rPr>
                <w:rFonts w:ascii="Courier New" w:hAnsi="Courier New" w:eastAsia="宋体" w:cs="Times New Roman"/>
                <w:i/>
                <w:iCs/>
                <w:sz w:val="18"/>
                <w:szCs w:val="18"/>
              </w:rPr>
            </w:pPr>
            <w:r>
              <w:rPr>
                <w:rFonts w:hint="eastAsia" w:ascii="Courier New" w:hAnsi="Courier New" w:eastAsia="宋体" w:cs="宋体"/>
                <w:i/>
                <w:iCs/>
                <w:sz w:val="18"/>
                <w:szCs w:val="18"/>
              </w:rPr>
              <w:t>　</w:t>
            </w:r>
          </w:p>
        </w:tc>
      </w:tr>
      <w:tr w14:paraId="7D4A3196">
        <w:tblPrEx>
          <w:tblCellMar>
            <w:top w:w="0" w:type="dxa"/>
            <w:left w:w="108" w:type="dxa"/>
            <w:bottom w:w="0" w:type="dxa"/>
            <w:right w:w="108" w:type="dxa"/>
          </w:tblCellMar>
        </w:tblPrEx>
        <w:trPr>
          <w:trHeight w:val="390" w:hRule="atLeast"/>
        </w:trPr>
        <w:tc>
          <w:tcPr>
            <w:tcW w:w="311" w:type="pct"/>
            <w:vMerge w:val="continue"/>
            <w:tcBorders>
              <w:top w:val="nil"/>
              <w:left w:val="single" w:color="000000" w:sz="4" w:space="0"/>
              <w:bottom w:val="single" w:color="000000" w:sz="4" w:space="0"/>
              <w:right w:val="single" w:color="000000" w:sz="4" w:space="0"/>
            </w:tcBorders>
            <w:vAlign w:val="center"/>
          </w:tcPr>
          <w:p w14:paraId="13F76899">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5EE73AE4">
            <w:pPr>
              <w:widowControl/>
              <w:jc w:val="center"/>
              <w:rPr>
                <w:rFonts w:ascii="宋体" w:hAnsi="宋体" w:eastAsia="宋体" w:cs="Times New Roman"/>
                <w:sz w:val="18"/>
                <w:szCs w:val="18"/>
              </w:rPr>
            </w:pPr>
            <w:r>
              <w:rPr>
                <w:rFonts w:hint="eastAsia" w:ascii="宋体" w:hAnsi="宋体" w:eastAsia="宋体" w:cs="宋体"/>
                <w:sz w:val="18"/>
                <w:szCs w:val="18"/>
              </w:rPr>
              <w:t>其中：财政资金</w:t>
            </w:r>
          </w:p>
        </w:tc>
        <w:tc>
          <w:tcPr>
            <w:tcW w:w="563" w:type="pct"/>
            <w:tcBorders>
              <w:top w:val="nil"/>
              <w:left w:val="nil"/>
              <w:bottom w:val="single" w:color="000000" w:sz="4" w:space="0"/>
              <w:right w:val="single" w:color="000000" w:sz="4" w:space="0"/>
            </w:tcBorders>
            <w:vAlign w:val="center"/>
          </w:tcPr>
          <w:p w14:paraId="337864ED">
            <w:pPr>
              <w:widowControl/>
              <w:jc w:val="center"/>
              <w:rPr>
                <w:rFonts w:ascii="宋体" w:hAnsi="宋体" w:eastAsia="宋体" w:cs="宋体"/>
                <w:sz w:val="18"/>
                <w:szCs w:val="18"/>
              </w:rPr>
            </w:pPr>
            <w:r>
              <w:rPr>
                <w:rFonts w:ascii="宋体" w:hAnsi="宋体" w:eastAsia="宋体" w:cs="宋体"/>
                <w:sz w:val="18"/>
                <w:szCs w:val="18"/>
              </w:rPr>
              <w:t>40.00</w:t>
            </w:r>
          </w:p>
        </w:tc>
        <w:tc>
          <w:tcPr>
            <w:tcW w:w="731" w:type="pct"/>
            <w:tcBorders>
              <w:top w:val="nil"/>
              <w:left w:val="nil"/>
              <w:bottom w:val="single" w:color="000000" w:sz="4" w:space="0"/>
              <w:right w:val="single" w:color="000000" w:sz="4" w:space="0"/>
            </w:tcBorders>
            <w:vAlign w:val="center"/>
          </w:tcPr>
          <w:p w14:paraId="4D0AE6C5">
            <w:pPr>
              <w:widowControl/>
              <w:jc w:val="center"/>
              <w:rPr>
                <w:rFonts w:ascii="宋体" w:hAnsi="宋体" w:eastAsia="宋体" w:cs="宋体"/>
                <w:sz w:val="18"/>
                <w:szCs w:val="18"/>
              </w:rPr>
            </w:pPr>
            <w:r>
              <w:rPr>
                <w:rFonts w:ascii="宋体" w:hAnsi="宋体" w:eastAsia="宋体" w:cs="宋体"/>
                <w:sz w:val="18"/>
                <w:szCs w:val="18"/>
              </w:rPr>
              <w:t>40.00</w:t>
            </w:r>
          </w:p>
        </w:tc>
        <w:tc>
          <w:tcPr>
            <w:tcW w:w="956" w:type="pct"/>
            <w:gridSpan w:val="3"/>
            <w:tcBorders>
              <w:top w:val="single" w:color="000000" w:sz="4" w:space="0"/>
              <w:left w:val="nil"/>
              <w:bottom w:val="single" w:color="000000" w:sz="4" w:space="0"/>
              <w:right w:val="single" w:color="000000" w:sz="4" w:space="0"/>
            </w:tcBorders>
            <w:vAlign w:val="center"/>
          </w:tcPr>
          <w:p w14:paraId="32FCB5B9">
            <w:pPr>
              <w:widowControl/>
              <w:jc w:val="center"/>
              <w:rPr>
                <w:rFonts w:ascii="宋体" w:hAnsi="宋体" w:eastAsia="宋体" w:cs="宋体"/>
                <w:sz w:val="18"/>
                <w:szCs w:val="18"/>
              </w:rPr>
            </w:pPr>
            <w:r>
              <w:rPr>
                <w:rFonts w:ascii="宋体" w:hAnsi="宋体" w:eastAsia="宋体" w:cs="宋体"/>
                <w:sz w:val="18"/>
                <w:szCs w:val="18"/>
              </w:rPr>
              <w:t>40.00</w:t>
            </w:r>
          </w:p>
        </w:tc>
        <w:tc>
          <w:tcPr>
            <w:tcW w:w="474" w:type="pct"/>
            <w:tcBorders>
              <w:top w:val="nil"/>
              <w:left w:val="nil"/>
              <w:bottom w:val="single" w:color="000000" w:sz="4" w:space="0"/>
              <w:right w:val="single" w:color="000000" w:sz="4" w:space="0"/>
            </w:tcBorders>
            <w:vAlign w:val="center"/>
          </w:tcPr>
          <w:p w14:paraId="6F59E454">
            <w:pPr>
              <w:widowControl/>
              <w:jc w:val="center"/>
              <w:rPr>
                <w:rFonts w:ascii="宋体" w:hAnsi="宋体" w:eastAsia="宋体" w:cs="宋体"/>
                <w:sz w:val="18"/>
                <w:szCs w:val="18"/>
              </w:rPr>
            </w:pPr>
            <w:r>
              <w:rPr>
                <w:rFonts w:ascii="宋体" w:hAnsi="宋体" w:eastAsia="宋体" w:cs="宋体"/>
                <w:sz w:val="18"/>
                <w:szCs w:val="18"/>
              </w:rPr>
              <w:t>100.00%</w:t>
            </w:r>
          </w:p>
        </w:tc>
        <w:tc>
          <w:tcPr>
            <w:tcW w:w="318" w:type="pct"/>
            <w:tcBorders>
              <w:top w:val="nil"/>
              <w:left w:val="nil"/>
              <w:bottom w:val="single" w:color="000000" w:sz="4" w:space="0"/>
              <w:right w:val="single" w:color="000000" w:sz="4" w:space="0"/>
            </w:tcBorders>
            <w:vAlign w:val="center"/>
          </w:tcPr>
          <w:p w14:paraId="2A960778">
            <w:pPr>
              <w:widowControl/>
              <w:jc w:val="center"/>
              <w:rPr>
                <w:rFonts w:ascii="宋体" w:hAnsi="宋体" w:eastAsia="宋体" w:cs="宋体"/>
                <w:sz w:val="18"/>
                <w:szCs w:val="18"/>
              </w:rPr>
            </w:pPr>
            <w:r>
              <w:rPr>
                <w:rFonts w:ascii="宋体" w:hAnsi="宋体" w:eastAsia="宋体" w:cs="宋体"/>
                <w:sz w:val="18"/>
                <w:szCs w:val="18"/>
              </w:rPr>
              <w:t>/</w:t>
            </w:r>
          </w:p>
        </w:tc>
        <w:tc>
          <w:tcPr>
            <w:tcW w:w="358" w:type="pct"/>
            <w:tcBorders>
              <w:top w:val="nil"/>
              <w:left w:val="nil"/>
              <w:bottom w:val="single" w:color="000000" w:sz="4" w:space="0"/>
              <w:right w:val="single" w:color="000000" w:sz="4" w:space="0"/>
            </w:tcBorders>
            <w:vAlign w:val="center"/>
          </w:tcPr>
          <w:p w14:paraId="6067BD95">
            <w:pPr>
              <w:widowControl/>
              <w:jc w:val="center"/>
              <w:rPr>
                <w:rFonts w:ascii="宋体" w:hAnsi="宋体" w:eastAsia="宋体" w:cs="宋体"/>
                <w:sz w:val="18"/>
                <w:szCs w:val="18"/>
              </w:rPr>
            </w:pPr>
            <w:r>
              <w:rPr>
                <w:rFonts w:ascii="宋体" w:hAnsi="宋体" w:eastAsia="宋体" w:cs="宋体"/>
                <w:sz w:val="18"/>
                <w:szCs w:val="18"/>
              </w:rPr>
              <w:t>/</w:t>
            </w:r>
          </w:p>
        </w:tc>
        <w:tc>
          <w:tcPr>
            <w:tcW w:w="623" w:type="pct"/>
            <w:vMerge w:val="continue"/>
            <w:tcBorders>
              <w:top w:val="nil"/>
              <w:left w:val="single" w:color="000000" w:sz="4" w:space="0"/>
              <w:bottom w:val="single" w:color="000000" w:sz="4" w:space="0"/>
              <w:right w:val="single" w:color="000000" w:sz="4" w:space="0"/>
            </w:tcBorders>
            <w:vAlign w:val="center"/>
          </w:tcPr>
          <w:p w14:paraId="3D508814">
            <w:pPr>
              <w:widowControl/>
              <w:jc w:val="left"/>
              <w:rPr>
                <w:rFonts w:ascii="Courier New" w:hAnsi="Courier New" w:eastAsia="宋体" w:cs="Times New Roman"/>
                <w:i/>
                <w:iCs/>
                <w:sz w:val="18"/>
                <w:szCs w:val="18"/>
              </w:rPr>
            </w:pPr>
          </w:p>
        </w:tc>
      </w:tr>
      <w:tr w14:paraId="003A2C21">
        <w:tblPrEx>
          <w:tblCellMar>
            <w:top w:w="0" w:type="dxa"/>
            <w:left w:w="108" w:type="dxa"/>
            <w:bottom w:w="0" w:type="dxa"/>
            <w:right w:w="108" w:type="dxa"/>
          </w:tblCellMar>
        </w:tblPrEx>
        <w:trPr>
          <w:trHeight w:val="409" w:hRule="atLeast"/>
        </w:trPr>
        <w:tc>
          <w:tcPr>
            <w:tcW w:w="311" w:type="pct"/>
            <w:vMerge w:val="continue"/>
            <w:tcBorders>
              <w:top w:val="nil"/>
              <w:left w:val="single" w:color="000000" w:sz="4" w:space="0"/>
              <w:bottom w:val="single" w:color="000000" w:sz="4" w:space="0"/>
              <w:right w:val="single" w:color="000000" w:sz="4" w:space="0"/>
            </w:tcBorders>
            <w:vAlign w:val="center"/>
          </w:tcPr>
          <w:p w14:paraId="5479614D">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7306EA79">
            <w:pPr>
              <w:widowControl/>
              <w:jc w:val="center"/>
              <w:rPr>
                <w:rFonts w:ascii="宋体" w:hAnsi="宋体" w:eastAsia="宋体" w:cs="Times New Roman"/>
                <w:sz w:val="18"/>
                <w:szCs w:val="18"/>
              </w:rPr>
            </w:pPr>
            <w:r>
              <w:rPr>
                <w:rFonts w:hint="eastAsia" w:ascii="宋体" w:hAnsi="宋体" w:eastAsia="宋体" w:cs="宋体"/>
                <w:sz w:val="18"/>
                <w:szCs w:val="18"/>
              </w:rPr>
              <w:t>财政专户管理资金</w:t>
            </w:r>
          </w:p>
        </w:tc>
        <w:tc>
          <w:tcPr>
            <w:tcW w:w="563" w:type="pct"/>
            <w:tcBorders>
              <w:top w:val="nil"/>
              <w:left w:val="nil"/>
              <w:bottom w:val="single" w:color="000000" w:sz="4" w:space="0"/>
              <w:right w:val="single" w:color="000000" w:sz="4" w:space="0"/>
            </w:tcBorders>
            <w:vAlign w:val="center"/>
          </w:tcPr>
          <w:p w14:paraId="6B711A7E">
            <w:pPr>
              <w:widowControl/>
              <w:jc w:val="center"/>
              <w:rPr>
                <w:rFonts w:ascii="宋体" w:hAnsi="宋体" w:eastAsia="宋体" w:cs="宋体"/>
                <w:sz w:val="18"/>
                <w:szCs w:val="18"/>
              </w:rPr>
            </w:pPr>
            <w:r>
              <w:rPr>
                <w:rFonts w:ascii="宋体" w:hAnsi="宋体" w:eastAsia="宋体" w:cs="宋体"/>
                <w:sz w:val="18"/>
                <w:szCs w:val="18"/>
              </w:rPr>
              <w:t>0.00</w:t>
            </w:r>
          </w:p>
        </w:tc>
        <w:tc>
          <w:tcPr>
            <w:tcW w:w="731" w:type="pct"/>
            <w:tcBorders>
              <w:top w:val="nil"/>
              <w:left w:val="nil"/>
              <w:bottom w:val="single" w:color="000000" w:sz="4" w:space="0"/>
              <w:right w:val="single" w:color="000000" w:sz="4" w:space="0"/>
            </w:tcBorders>
            <w:vAlign w:val="center"/>
          </w:tcPr>
          <w:p w14:paraId="4E492C7C">
            <w:pPr>
              <w:widowControl/>
              <w:jc w:val="center"/>
              <w:rPr>
                <w:rFonts w:ascii="宋体" w:hAnsi="宋体" w:eastAsia="宋体" w:cs="宋体"/>
                <w:sz w:val="18"/>
                <w:szCs w:val="18"/>
              </w:rPr>
            </w:pPr>
            <w:r>
              <w:rPr>
                <w:rFonts w:ascii="宋体" w:hAnsi="宋体" w:eastAsia="宋体" w:cs="宋体"/>
                <w:sz w:val="18"/>
                <w:szCs w:val="18"/>
              </w:rPr>
              <w:t>0.00</w:t>
            </w:r>
          </w:p>
        </w:tc>
        <w:tc>
          <w:tcPr>
            <w:tcW w:w="956" w:type="pct"/>
            <w:gridSpan w:val="3"/>
            <w:tcBorders>
              <w:top w:val="single" w:color="000000" w:sz="4" w:space="0"/>
              <w:left w:val="nil"/>
              <w:bottom w:val="single" w:color="000000" w:sz="4" w:space="0"/>
              <w:right w:val="single" w:color="000000" w:sz="4" w:space="0"/>
            </w:tcBorders>
            <w:vAlign w:val="center"/>
          </w:tcPr>
          <w:p w14:paraId="6F904D16">
            <w:pPr>
              <w:widowControl/>
              <w:jc w:val="center"/>
              <w:rPr>
                <w:rFonts w:ascii="宋体" w:hAnsi="宋体" w:eastAsia="宋体" w:cs="宋体"/>
                <w:sz w:val="18"/>
                <w:szCs w:val="18"/>
              </w:rPr>
            </w:pPr>
            <w:r>
              <w:rPr>
                <w:rFonts w:ascii="宋体" w:hAnsi="宋体" w:eastAsia="宋体" w:cs="宋体"/>
                <w:sz w:val="18"/>
                <w:szCs w:val="18"/>
              </w:rPr>
              <w:t>0.00</w:t>
            </w:r>
          </w:p>
        </w:tc>
        <w:tc>
          <w:tcPr>
            <w:tcW w:w="474" w:type="pct"/>
            <w:tcBorders>
              <w:top w:val="nil"/>
              <w:left w:val="nil"/>
              <w:bottom w:val="single" w:color="000000" w:sz="4" w:space="0"/>
              <w:right w:val="single" w:color="000000" w:sz="4" w:space="0"/>
            </w:tcBorders>
            <w:vAlign w:val="center"/>
          </w:tcPr>
          <w:p w14:paraId="4F21C16A">
            <w:pPr>
              <w:widowControl/>
              <w:jc w:val="center"/>
              <w:rPr>
                <w:rFonts w:ascii="宋体" w:hAnsi="宋体" w:eastAsia="宋体" w:cs="宋体"/>
                <w:sz w:val="18"/>
                <w:szCs w:val="18"/>
              </w:rPr>
            </w:pPr>
            <w:r>
              <w:rPr>
                <w:rFonts w:ascii="宋体" w:hAnsi="宋体" w:eastAsia="宋体" w:cs="宋体"/>
                <w:sz w:val="18"/>
                <w:szCs w:val="18"/>
              </w:rPr>
              <w:t>0.00%</w:t>
            </w:r>
          </w:p>
        </w:tc>
        <w:tc>
          <w:tcPr>
            <w:tcW w:w="318" w:type="pct"/>
            <w:tcBorders>
              <w:top w:val="nil"/>
              <w:left w:val="nil"/>
              <w:bottom w:val="single" w:color="000000" w:sz="4" w:space="0"/>
              <w:right w:val="single" w:color="000000" w:sz="4" w:space="0"/>
            </w:tcBorders>
            <w:vAlign w:val="center"/>
          </w:tcPr>
          <w:p w14:paraId="1BB32B51">
            <w:pPr>
              <w:widowControl/>
              <w:jc w:val="center"/>
              <w:rPr>
                <w:rFonts w:ascii="宋体" w:hAnsi="宋体" w:eastAsia="宋体" w:cs="宋体"/>
                <w:sz w:val="18"/>
                <w:szCs w:val="18"/>
              </w:rPr>
            </w:pPr>
            <w:r>
              <w:rPr>
                <w:rFonts w:ascii="宋体" w:hAnsi="宋体" w:eastAsia="宋体" w:cs="宋体"/>
                <w:sz w:val="18"/>
                <w:szCs w:val="18"/>
              </w:rPr>
              <w:t>/</w:t>
            </w:r>
          </w:p>
        </w:tc>
        <w:tc>
          <w:tcPr>
            <w:tcW w:w="358" w:type="pct"/>
            <w:tcBorders>
              <w:top w:val="nil"/>
              <w:left w:val="nil"/>
              <w:bottom w:val="single" w:color="000000" w:sz="4" w:space="0"/>
              <w:right w:val="single" w:color="000000" w:sz="4" w:space="0"/>
            </w:tcBorders>
            <w:vAlign w:val="center"/>
          </w:tcPr>
          <w:p w14:paraId="4B3B6716">
            <w:pPr>
              <w:widowControl/>
              <w:jc w:val="center"/>
              <w:rPr>
                <w:rFonts w:ascii="宋体" w:hAnsi="宋体" w:eastAsia="宋体" w:cs="宋体"/>
                <w:sz w:val="18"/>
                <w:szCs w:val="18"/>
              </w:rPr>
            </w:pPr>
            <w:r>
              <w:rPr>
                <w:rFonts w:ascii="宋体" w:hAnsi="宋体" w:eastAsia="宋体" w:cs="宋体"/>
                <w:sz w:val="18"/>
                <w:szCs w:val="18"/>
              </w:rPr>
              <w:t>/</w:t>
            </w:r>
          </w:p>
        </w:tc>
        <w:tc>
          <w:tcPr>
            <w:tcW w:w="623" w:type="pct"/>
            <w:vMerge w:val="continue"/>
            <w:tcBorders>
              <w:top w:val="nil"/>
              <w:left w:val="single" w:color="000000" w:sz="4" w:space="0"/>
              <w:bottom w:val="single" w:color="000000" w:sz="4" w:space="0"/>
              <w:right w:val="single" w:color="000000" w:sz="4" w:space="0"/>
            </w:tcBorders>
            <w:vAlign w:val="center"/>
          </w:tcPr>
          <w:p w14:paraId="14E36BCC">
            <w:pPr>
              <w:widowControl/>
              <w:jc w:val="left"/>
              <w:rPr>
                <w:rFonts w:ascii="Courier New" w:hAnsi="Courier New" w:eastAsia="宋体" w:cs="Times New Roman"/>
                <w:i/>
                <w:iCs/>
                <w:sz w:val="18"/>
                <w:szCs w:val="18"/>
              </w:rPr>
            </w:pPr>
          </w:p>
        </w:tc>
      </w:tr>
      <w:tr w14:paraId="6DB01F61">
        <w:tblPrEx>
          <w:tblCellMar>
            <w:top w:w="0" w:type="dxa"/>
            <w:left w:w="108" w:type="dxa"/>
            <w:bottom w:w="0" w:type="dxa"/>
            <w:right w:w="108" w:type="dxa"/>
          </w:tblCellMar>
        </w:tblPrEx>
        <w:trPr>
          <w:trHeight w:val="360" w:hRule="atLeast"/>
        </w:trPr>
        <w:tc>
          <w:tcPr>
            <w:tcW w:w="311" w:type="pct"/>
            <w:vMerge w:val="continue"/>
            <w:tcBorders>
              <w:top w:val="nil"/>
              <w:left w:val="single" w:color="000000" w:sz="4" w:space="0"/>
              <w:bottom w:val="single" w:color="000000" w:sz="4" w:space="0"/>
              <w:right w:val="single" w:color="000000" w:sz="4" w:space="0"/>
            </w:tcBorders>
            <w:vAlign w:val="center"/>
          </w:tcPr>
          <w:p w14:paraId="0DBFE587">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215594E1">
            <w:pPr>
              <w:widowControl/>
              <w:jc w:val="center"/>
              <w:rPr>
                <w:rFonts w:ascii="宋体" w:hAnsi="宋体" w:eastAsia="宋体" w:cs="Times New Roman"/>
                <w:sz w:val="18"/>
                <w:szCs w:val="18"/>
              </w:rPr>
            </w:pPr>
            <w:r>
              <w:rPr>
                <w:rFonts w:hint="eastAsia" w:ascii="宋体" w:hAnsi="宋体" w:eastAsia="宋体" w:cs="宋体"/>
                <w:sz w:val="18"/>
                <w:szCs w:val="18"/>
              </w:rPr>
              <w:t>单位资金</w:t>
            </w:r>
          </w:p>
        </w:tc>
        <w:tc>
          <w:tcPr>
            <w:tcW w:w="563" w:type="pct"/>
            <w:tcBorders>
              <w:top w:val="nil"/>
              <w:left w:val="nil"/>
              <w:bottom w:val="single" w:color="000000" w:sz="4" w:space="0"/>
              <w:right w:val="single" w:color="000000" w:sz="4" w:space="0"/>
            </w:tcBorders>
            <w:vAlign w:val="center"/>
          </w:tcPr>
          <w:p w14:paraId="4EB6E467">
            <w:pPr>
              <w:widowControl/>
              <w:jc w:val="center"/>
              <w:rPr>
                <w:rFonts w:ascii="宋体" w:hAnsi="宋体" w:eastAsia="宋体" w:cs="宋体"/>
                <w:sz w:val="18"/>
                <w:szCs w:val="18"/>
              </w:rPr>
            </w:pPr>
            <w:r>
              <w:rPr>
                <w:rFonts w:ascii="宋体" w:hAnsi="宋体" w:eastAsia="宋体" w:cs="宋体"/>
                <w:sz w:val="18"/>
                <w:szCs w:val="18"/>
              </w:rPr>
              <w:t>0.00</w:t>
            </w:r>
          </w:p>
        </w:tc>
        <w:tc>
          <w:tcPr>
            <w:tcW w:w="731" w:type="pct"/>
            <w:tcBorders>
              <w:top w:val="nil"/>
              <w:left w:val="nil"/>
              <w:bottom w:val="single" w:color="000000" w:sz="4" w:space="0"/>
              <w:right w:val="single" w:color="000000" w:sz="4" w:space="0"/>
            </w:tcBorders>
            <w:vAlign w:val="center"/>
          </w:tcPr>
          <w:p w14:paraId="688BB04C">
            <w:pPr>
              <w:widowControl/>
              <w:jc w:val="center"/>
              <w:rPr>
                <w:rFonts w:ascii="宋体" w:hAnsi="宋体" w:eastAsia="宋体" w:cs="宋体"/>
                <w:sz w:val="18"/>
                <w:szCs w:val="18"/>
              </w:rPr>
            </w:pPr>
            <w:r>
              <w:rPr>
                <w:rFonts w:ascii="宋体" w:hAnsi="宋体" w:eastAsia="宋体" w:cs="宋体"/>
                <w:sz w:val="18"/>
                <w:szCs w:val="18"/>
              </w:rPr>
              <w:t>0.00</w:t>
            </w:r>
          </w:p>
        </w:tc>
        <w:tc>
          <w:tcPr>
            <w:tcW w:w="956" w:type="pct"/>
            <w:gridSpan w:val="3"/>
            <w:tcBorders>
              <w:top w:val="single" w:color="000000" w:sz="4" w:space="0"/>
              <w:left w:val="nil"/>
              <w:bottom w:val="single" w:color="000000" w:sz="4" w:space="0"/>
              <w:right w:val="single" w:color="000000" w:sz="4" w:space="0"/>
            </w:tcBorders>
            <w:vAlign w:val="center"/>
          </w:tcPr>
          <w:p w14:paraId="621D0C3C">
            <w:pPr>
              <w:widowControl/>
              <w:jc w:val="center"/>
              <w:rPr>
                <w:rFonts w:ascii="宋体" w:hAnsi="宋体" w:eastAsia="宋体" w:cs="宋体"/>
                <w:sz w:val="18"/>
                <w:szCs w:val="18"/>
              </w:rPr>
            </w:pPr>
            <w:r>
              <w:rPr>
                <w:rFonts w:ascii="宋体" w:hAnsi="宋体" w:eastAsia="宋体" w:cs="宋体"/>
                <w:sz w:val="18"/>
                <w:szCs w:val="18"/>
              </w:rPr>
              <w:t>0.00</w:t>
            </w:r>
          </w:p>
        </w:tc>
        <w:tc>
          <w:tcPr>
            <w:tcW w:w="474" w:type="pct"/>
            <w:tcBorders>
              <w:top w:val="nil"/>
              <w:left w:val="nil"/>
              <w:bottom w:val="single" w:color="000000" w:sz="4" w:space="0"/>
              <w:right w:val="single" w:color="000000" w:sz="4" w:space="0"/>
            </w:tcBorders>
            <w:vAlign w:val="center"/>
          </w:tcPr>
          <w:p w14:paraId="60930BA3">
            <w:pPr>
              <w:widowControl/>
              <w:jc w:val="center"/>
              <w:rPr>
                <w:rFonts w:ascii="宋体" w:hAnsi="宋体" w:eastAsia="宋体" w:cs="宋体"/>
                <w:sz w:val="18"/>
                <w:szCs w:val="18"/>
              </w:rPr>
            </w:pPr>
            <w:r>
              <w:rPr>
                <w:rFonts w:ascii="宋体" w:hAnsi="宋体" w:eastAsia="宋体" w:cs="宋体"/>
                <w:sz w:val="18"/>
                <w:szCs w:val="18"/>
              </w:rPr>
              <w:t>0.00%</w:t>
            </w:r>
          </w:p>
        </w:tc>
        <w:tc>
          <w:tcPr>
            <w:tcW w:w="318" w:type="pct"/>
            <w:tcBorders>
              <w:top w:val="nil"/>
              <w:left w:val="nil"/>
              <w:bottom w:val="single" w:color="000000" w:sz="4" w:space="0"/>
              <w:right w:val="single" w:color="000000" w:sz="4" w:space="0"/>
            </w:tcBorders>
            <w:vAlign w:val="center"/>
          </w:tcPr>
          <w:p w14:paraId="0571DE3E">
            <w:pPr>
              <w:widowControl/>
              <w:jc w:val="center"/>
              <w:rPr>
                <w:rFonts w:ascii="宋体" w:hAnsi="宋体" w:eastAsia="宋体" w:cs="宋体"/>
                <w:sz w:val="18"/>
                <w:szCs w:val="18"/>
              </w:rPr>
            </w:pPr>
            <w:r>
              <w:rPr>
                <w:rFonts w:ascii="宋体" w:hAnsi="宋体" w:eastAsia="宋体" w:cs="宋体"/>
                <w:sz w:val="18"/>
                <w:szCs w:val="18"/>
              </w:rPr>
              <w:t>/</w:t>
            </w:r>
          </w:p>
        </w:tc>
        <w:tc>
          <w:tcPr>
            <w:tcW w:w="358" w:type="pct"/>
            <w:tcBorders>
              <w:top w:val="nil"/>
              <w:left w:val="nil"/>
              <w:bottom w:val="single" w:color="000000" w:sz="4" w:space="0"/>
              <w:right w:val="single" w:color="000000" w:sz="4" w:space="0"/>
            </w:tcBorders>
            <w:vAlign w:val="center"/>
          </w:tcPr>
          <w:p w14:paraId="26659AA6">
            <w:pPr>
              <w:widowControl/>
              <w:jc w:val="center"/>
              <w:rPr>
                <w:rFonts w:ascii="宋体" w:hAnsi="宋体" w:eastAsia="宋体" w:cs="宋体"/>
                <w:sz w:val="18"/>
                <w:szCs w:val="18"/>
              </w:rPr>
            </w:pPr>
            <w:r>
              <w:rPr>
                <w:rFonts w:ascii="宋体" w:hAnsi="宋体" w:eastAsia="宋体" w:cs="宋体"/>
                <w:sz w:val="18"/>
                <w:szCs w:val="18"/>
              </w:rPr>
              <w:t>/</w:t>
            </w:r>
          </w:p>
        </w:tc>
        <w:tc>
          <w:tcPr>
            <w:tcW w:w="623" w:type="pct"/>
            <w:vMerge w:val="continue"/>
            <w:tcBorders>
              <w:top w:val="nil"/>
              <w:left w:val="single" w:color="000000" w:sz="4" w:space="0"/>
              <w:bottom w:val="single" w:color="000000" w:sz="4" w:space="0"/>
              <w:right w:val="single" w:color="000000" w:sz="4" w:space="0"/>
            </w:tcBorders>
            <w:vAlign w:val="center"/>
          </w:tcPr>
          <w:p w14:paraId="2BDCA785">
            <w:pPr>
              <w:widowControl/>
              <w:jc w:val="left"/>
              <w:rPr>
                <w:rFonts w:ascii="Courier New" w:hAnsi="Courier New" w:eastAsia="宋体" w:cs="Times New Roman"/>
                <w:i/>
                <w:iCs/>
                <w:sz w:val="18"/>
                <w:szCs w:val="18"/>
              </w:rPr>
            </w:pPr>
          </w:p>
        </w:tc>
      </w:tr>
      <w:tr w14:paraId="30B5D62C">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65B54A3E">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127A0550">
            <w:pPr>
              <w:widowControl/>
              <w:jc w:val="center"/>
              <w:rPr>
                <w:rFonts w:ascii="宋体" w:hAnsi="宋体" w:eastAsia="宋体" w:cs="Times New Roman"/>
                <w:sz w:val="18"/>
                <w:szCs w:val="18"/>
              </w:rPr>
            </w:pPr>
            <w:r>
              <w:rPr>
                <w:rFonts w:hint="eastAsia" w:ascii="宋体" w:hAnsi="宋体" w:eastAsia="宋体" w:cs="宋体"/>
                <w:sz w:val="18"/>
                <w:szCs w:val="18"/>
              </w:rPr>
              <w:t>其他资金</w:t>
            </w:r>
          </w:p>
        </w:tc>
        <w:tc>
          <w:tcPr>
            <w:tcW w:w="563" w:type="pct"/>
            <w:tcBorders>
              <w:top w:val="nil"/>
              <w:left w:val="nil"/>
              <w:bottom w:val="single" w:color="000000" w:sz="4" w:space="0"/>
              <w:right w:val="single" w:color="000000" w:sz="4" w:space="0"/>
            </w:tcBorders>
            <w:vAlign w:val="center"/>
          </w:tcPr>
          <w:p w14:paraId="34338A2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731" w:type="pct"/>
            <w:tcBorders>
              <w:top w:val="nil"/>
              <w:left w:val="nil"/>
              <w:bottom w:val="single" w:color="000000" w:sz="4" w:space="0"/>
              <w:right w:val="single" w:color="000000" w:sz="4" w:space="0"/>
            </w:tcBorders>
            <w:vAlign w:val="center"/>
          </w:tcPr>
          <w:p w14:paraId="0A7DF89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956" w:type="pct"/>
            <w:gridSpan w:val="3"/>
            <w:tcBorders>
              <w:top w:val="single" w:color="000000" w:sz="4" w:space="0"/>
              <w:left w:val="nil"/>
              <w:bottom w:val="single" w:color="000000" w:sz="4" w:space="0"/>
              <w:right w:val="single" w:color="000000" w:sz="4" w:space="0"/>
            </w:tcBorders>
            <w:vAlign w:val="center"/>
          </w:tcPr>
          <w:p w14:paraId="12B602E4">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474" w:type="pct"/>
            <w:tcBorders>
              <w:top w:val="nil"/>
              <w:left w:val="nil"/>
              <w:bottom w:val="single" w:color="000000" w:sz="4" w:space="0"/>
              <w:right w:val="single" w:color="000000" w:sz="4" w:space="0"/>
            </w:tcBorders>
            <w:vAlign w:val="center"/>
          </w:tcPr>
          <w:p w14:paraId="792147D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1D3411AF">
            <w:pPr>
              <w:widowControl/>
              <w:jc w:val="center"/>
              <w:rPr>
                <w:rFonts w:ascii="宋体" w:hAnsi="宋体" w:eastAsia="宋体" w:cs="宋体"/>
                <w:sz w:val="18"/>
                <w:szCs w:val="18"/>
              </w:rPr>
            </w:pPr>
            <w:r>
              <w:rPr>
                <w:rFonts w:ascii="宋体" w:hAnsi="宋体" w:eastAsia="宋体" w:cs="宋体"/>
                <w:sz w:val="18"/>
                <w:szCs w:val="18"/>
              </w:rPr>
              <w:t>/</w:t>
            </w:r>
          </w:p>
        </w:tc>
        <w:tc>
          <w:tcPr>
            <w:tcW w:w="358" w:type="pct"/>
            <w:tcBorders>
              <w:top w:val="nil"/>
              <w:left w:val="nil"/>
              <w:bottom w:val="single" w:color="000000" w:sz="4" w:space="0"/>
              <w:right w:val="single" w:color="000000" w:sz="4" w:space="0"/>
            </w:tcBorders>
            <w:vAlign w:val="center"/>
          </w:tcPr>
          <w:p w14:paraId="7A52BD0D">
            <w:pPr>
              <w:widowControl/>
              <w:jc w:val="center"/>
              <w:rPr>
                <w:rFonts w:ascii="宋体" w:hAnsi="宋体" w:eastAsia="宋体" w:cs="宋体"/>
                <w:sz w:val="18"/>
                <w:szCs w:val="18"/>
              </w:rPr>
            </w:pPr>
            <w:r>
              <w:rPr>
                <w:rFonts w:ascii="宋体" w:hAnsi="宋体" w:eastAsia="宋体" w:cs="宋体"/>
                <w:sz w:val="18"/>
                <w:szCs w:val="18"/>
              </w:rPr>
              <w:t>/</w:t>
            </w:r>
          </w:p>
        </w:tc>
        <w:tc>
          <w:tcPr>
            <w:tcW w:w="623" w:type="pct"/>
            <w:vMerge w:val="continue"/>
            <w:tcBorders>
              <w:top w:val="nil"/>
              <w:left w:val="single" w:color="000000" w:sz="4" w:space="0"/>
              <w:bottom w:val="single" w:color="000000" w:sz="4" w:space="0"/>
              <w:right w:val="single" w:color="000000" w:sz="4" w:space="0"/>
            </w:tcBorders>
            <w:vAlign w:val="center"/>
          </w:tcPr>
          <w:p w14:paraId="3F818851">
            <w:pPr>
              <w:widowControl/>
              <w:jc w:val="left"/>
              <w:rPr>
                <w:rFonts w:ascii="Courier New" w:hAnsi="Courier New" w:eastAsia="宋体" w:cs="Times New Roman"/>
                <w:i/>
                <w:iCs/>
                <w:sz w:val="18"/>
                <w:szCs w:val="18"/>
              </w:rPr>
            </w:pPr>
          </w:p>
        </w:tc>
      </w:tr>
      <w:tr w14:paraId="58587615">
        <w:tblPrEx>
          <w:tblCellMar>
            <w:top w:w="0" w:type="dxa"/>
            <w:left w:w="108" w:type="dxa"/>
            <w:bottom w:w="0" w:type="dxa"/>
            <w:right w:w="108" w:type="dxa"/>
          </w:tblCellMar>
        </w:tblPrEx>
        <w:trPr>
          <w:trHeight w:val="454" w:hRule="atLeast"/>
        </w:trPr>
        <w:tc>
          <w:tcPr>
            <w:tcW w:w="311" w:type="pct"/>
            <w:vMerge w:val="restart"/>
            <w:tcBorders>
              <w:top w:val="nil"/>
              <w:left w:val="single" w:color="000000" w:sz="4" w:space="0"/>
              <w:bottom w:val="single" w:color="000000" w:sz="4" w:space="0"/>
              <w:right w:val="single" w:color="000000" w:sz="4" w:space="0"/>
            </w:tcBorders>
            <w:vAlign w:val="center"/>
          </w:tcPr>
          <w:p w14:paraId="367D1965">
            <w:pPr>
              <w:widowControl/>
              <w:jc w:val="center"/>
              <w:rPr>
                <w:rFonts w:ascii="宋体" w:hAnsi="宋体" w:eastAsia="宋体" w:cs="Times New Roman"/>
                <w:sz w:val="18"/>
                <w:szCs w:val="18"/>
              </w:rPr>
            </w:pPr>
            <w:r>
              <w:rPr>
                <w:rFonts w:hint="eastAsia" w:ascii="宋体" w:hAnsi="宋体" w:eastAsia="宋体" w:cs="宋体"/>
                <w:sz w:val="18"/>
                <w:szCs w:val="18"/>
              </w:rPr>
              <w:t>绩效指标（</w:t>
            </w:r>
            <w:r>
              <w:rPr>
                <w:rFonts w:ascii="宋体" w:hAnsi="宋体" w:eastAsia="宋体" w:cs="宋体"/>
                <w:sz w:val="18"/>
                <w:szCs w:val="18"/>
              </w:rPr>
              <w:t>90</w:t>
            </w:r>
            <w:r>
              <w:rPr>
                <w:rFonts w:hint="eastAsia" w:ascii="宋体" w:hAnsi="宋体" w:eastAsia="宋体" w:cs="宋体"/>
                <w:sz w:val="18"/>
                <w:szCs w:val="18"/>
              </w:rPr>
              <w:t>分）</w:t>
            </w:r>
          </w:p>
        </w:tc>
        <w:tc>
          <w:tcPr>
            <w:tcW w:w="662" w:type="pct"/>
            <w:tcBorders>
              <w:top w:val="nil"/>
              <w:left w:val="nil"/>
              <w:bottom w:val="single" w:color="000000" w:sz="4" w:space="0"/>
              <w:right w:val="single" w:color="000000" w:sz="4" w:space="0"/>
            </w:tcBorders>
            <w:vAlign w:val="center"/>
          </w:tcPr>
          <w:p w14:paraId="642CF628">
            <w:pPr>
              <w:widowControl/>
              <w:jc w:val="center"/>
              <w:rPr>
                <w:rFonts w:ascii="宋体" w:hAnsi="宋体" w:eastAsia="宋体" w:cs="Times New Roman"/>
                <w:sz w:val="18"/>
                <w:szCs w:val="18"/>
              </w:rPr>
            </w:pPr>
            <w:r>
              <w:rPr>
                <w:rFonts w:hint="eastAsia" w:ascii="宋体" w:hAnsi="宋体" w:eastAsia="宋体" w:cs="宋体"/>
                <w:sz w:val="18"/>
                <w:szCs w:val="18"/>
              </w:rPr>
              <w:t>一级指标</w:t>
            </w:r>
          </w:p>
        </w:tc>
        <w:tc>
          <w:tcPr>
            <w:tcW w:w="563" w:type="pct"/>
            <w:tcBorders>
              <w:top w:val="nil"/>
              <w:left w:val="nil"/>
              <w:bottom w:val="single" w:color="000000" w:sz="4" w:space="0"/>
              <w:right w:val="single" w:color="000000" w:sz="4" w:space="0"/>
            </w:tcBorders>
            <w:vAlign w:val="center"/>
          </w:tcPr>
          <w:p w14:paraId="2DB0B60D">
            <w:pPr>
              <w:widowControl/>
              <w:jc w:val="center"/>
              <w:rPr>
                <w:rFonts w:ascii="宋体" w:hAnsi="宋体" w:eastAsia="宋体" w:cs="Times New Roman"/>
                <w:sz w:val="18"/>
                <w:szCs w:val="18"/>
              </w:rPr>
            </w:pPr>
            <w:r>
              <w:rPr>
                <w:rFonts w:hint="eastAsia" w:ascii="宋体" w:hAnsi="宋体" w:eastAsia="宋体" w:cs="宋体"/>
                <w:sz w:val="18"/>
                <w:szCs w:val="18"/>
              </w:rPr>
              <w:t>二级指标</w:t>
            </w:r>
          </w:p>
        </w:tc>
        <w:tc>
          <w:tcPr>
            <w:tcW w:w="731" w:type="pct"/>
            <w:tcBorders>
              <w:top w:val="nil"/>
              <w:left w:val="nil"/>
              <w:bottom w:val="single" w:color="000000" w:sz="4" w:space="0"/>
              <w:right w:val="single" w:color="000000" w:sz="4" w:space="0"/>
            </w:tcBorders>
            <w:vAlign w:val="center"/>
          </w:tcPr>
          <w:p w14:paraId="5660AE56">
            <w:pPr>
              <w:widowControl/>
              <w:jc w:val="center"/>
              <w:rPr>
                <w:rFonts w:ascii="宋体" w:hAnsi="宋体" w:eastAsia="宋体" w:cs="Times New Roman"/>
                <w:sz w:val="18"/>
                <w:szCs w:val="18"/>
              </w:rPr>
            </w:pPr>
            <w:r>
              <w:rPr>
                <w:rFonts w:hint="eastAsia" w:ascii="宋体" w:hAnsi="宋体" w:eastAsia="宋体" w:cs="宋体"/>
                <w:sz w:val="18"/>
                <w:szCs w:val="18"/>
              </w:rPr>
              <w:t>三级指标</w:t>
            </w:r>
          </w:p>
        </w:tc>
        <w:tc>
          <w:tcPr>
            <w:tcW w:w="214" w:type="pct"/>
            <w:tcBorders>
              <w:top w:val="nil"/>
              <w:left w:val="nil"/>
              <w:bottom w:val="single" w:color="000000" w:sz="4" w:space="0"/>
              <w:right w:val="single" w:color="000000" w:sz="4" w:space="0"/>
            </w:tcBorders>
            <w:vAlign w:val="center"/>
          </w:tcPr>
          <w:p w14:paraId="18989209">
            <w:pPr>
              <w:widowControl/>
              <w:jc w:val="center"/>
              <w:rPr>
                <w:rFonts w:ascii="宋体" w:hAnsi="宋体" w:eastAsia="宋体" w:cs="Times New Roman"/>
                <w:sz w:val="18"/>
                <w:szCs w:val="18"/>
              </w:rPr>
            </w:pPr>
            <w:r>
              <w:rPr>
                <w:rFonts w:hint="eastAsia" w:ascii="宋体" w:hAnsi="宋体" w:eastAsia="宋体" w:cs="宋体"/>
                <w:sz w:val="18"/>
                <w:szCs w:val="18"/>
              </w:rPr>
              <w:t>指标性质</w:t>
            </w:r>
          </w:p>
        </w:tc>
        <w:tc>
          <w:tcPr>
            <w:tcW w:w="526" w:type="pct"/>
            <w:tcBorders>
              <w:top w:val="nil"/>
              <w:left w:val="nil"/>
              <w:bottom w:val="single" w:color="000000" w:sz="4" w:space="0"/>
              <w:right w:val="single" w:color="000000" w:sz="4" w:space="0"/>
            </w:tcBorders>
            <w:vAlign w:val="center"/>
          </w:tcPr>
          <w:p w14:paraId="27D66438">
            <w:pPr>
              <w:widowControl/>
              <w:jc w:val="center"/>
              <w:rPr>
                <w:rFonts w:ascii="宋体" w:hAnsi="宋体" w:eastAsia="宋体" w:cs="Times New Roman"/>
                <w:sz w:val="18"/>
                <w:szCs w:val="18"/>
              </w:rPr>
            </w:pPr>
            <w:r>
              <w:rPr>
                <w:rFonts w:hint="eastAsia" w:ascii="宋体" w:hAnsi="宋体" w:eastAsia="宋体" w:cs="宋体"/>
                <w:sz w:val="18"/>
                <w:szCs w:val="18"/>
              </w:rPr>
              <w:t>指标值</w:t>
            </w:r>
          </w:p>
        </w:tc>
        <w:tc>
          <w:tcPr>
            <w:tcW w:w="214" w:type="pct"/>
            <w:tcBorders>
              <w:top w:val="nil"/>
              <w:left w:val="nil"/>
              <w:bottom w:val="single" w:color="000000" w:sz="4" w:space="0"/>
              <w:right w:val="single" w:color="000000" w:sz="4" w:space="0"/>
            </w:tcBorders>
            <w:vAlign w:val="center"/>
          </w:tcPr>
          <w:p w14:paraId="056F9838">
            <w:pPr>
              <w:widowControl/>
              <w:jc w:val="center"/>
              <w:rPr>
                <w:rFonts w:ascii="宋体" w:hAnsi="宋体" w:eastAsia="宋体" w:cs="Times New Roman"/>
                <w:sz w:val="18"/>
                <w:szCs w:val="18"/>
              </w:rPr>
            </w:pPr>
            <w:r>
              <w:rPr>
                <w:rFonts w:hint="eastAsia" w:ascii="宋体" w:hAnsi="宋体" w:eastAsia="宋体" w:cs="宋体"/>
                <w:sz w:val="18"/>
                <w:szCs w:val="18"/>
              </w:rPr>
              <w:t>度量单位</w:t>
            </w:r>
          </w:p>
        </w:tc>
        <w:tc>
          <w:tcPr>
            <w:tcW w:w="474" w:type="pct"/>
            <w:tcBorders>
              <w:top w:val="nil"/>
              <w:left w:val="nil"/>
              <w:bottom w:val="single" w:color="000000" w:sz="4" w:space="0"/>
              <w:right w:val="single" w:color="000000" w:sz="4" w:space="0"/>
            </w:tcBorders>
            <w:vAlign w:val="center"/>
          </w:tcPr>
          <w:p w14:paraId="2E9BE2C3">
            <w:pPr>
              <w:widowControl/>
              <w:jc w:val="center"/>
              <w:rPr>
                <w:rFonts w:ascii="宋体" w:hAnsi="宋体" w:eastAsia="宋体" w:cs="Times New Roman"/>
                <w:sz w:val="18"/>
                <w:szCs w:val="18"/>
              </w:rPr>
            </w:pPr>
            <w:r>
              <w:rPr>
                <w:rFonts w:hint="eastAsia" w:ascii="宋体" w:hAnsi="宋体" w:eastAsia="宋体" w:cs="宋体"/>
                <w:sz w:val="18"/>
                <w:szCs w:val="18"/>
              </w:rPr>
              <w:t>完成值</w:t>
            </w:r>
          </w:p>
        </w:tc>
        <w:tc>
          <w:tcPr>
            <w:tcW w:w="318" w:type="pct"/>
            <w:tcBorders>
              <w:top w:val="nil"/>
              <w:left w:val="nil"/>
              <w:bottom w:val="single" w:color="000000" w:sz="4" w:space="0"/>
              <w:right w:val="single" w:color="000000" w:sz="4" w:space="0"/>
            </w:tcBorders>
            <w:vAlign w:val="center"/>
          </w:tcPr>
          <w:p w14:paraId="6168555B">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358" w:type="pct"/>
            <w:tcBorders>
              <w:top w:val="nil"/>
              <w:left w:val="nil"/>
              <w:bottom w:val="single" w:color="000000" w:sz="4" w:space="0"/>
              <w:right w:val="single" w:color="000000" w:sz="4" w:space="0"/>
            </w:tcBorders>
            <w:vAlign w:val="center"/>
          </w:tcPr>
          <w:p w14:paraId="5B41E327">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623" w:type="pct"/>
            <w:tcBorders>
              <w:top w:val="nil"/>
              <w:left w:val="nil"/>
              <w:bottom w:val="single" w:color="000000" w:sz="4" w:space="0"/>
              <w:right w:val="single" w:color="000000" w:sz="4" w:space="0"/>
            </w:tcBorders>
            <w:vAlign w:val="center"/>
          </w:tcPr>
          <w:p w14:paraId="0A73EFF1">
            <w:pPr>
              <w:widowControl/>
              <w:jc w:val="center"/>
              <w:rPr>
                <w:rFonts w:ascii="宋体" w:hAnsi="宋体" w:eastAsia="宋体" w:cs="Times New Roman"/>
                <w:sz w:val="18"/>
                <w:szCs w:val="18"/>
              </w:rPr>
            </w:pPr>
            <w:r>
              <w:rPr>
                <w:rFonts w:hint="eastAsia" w:ascii="宋体" w:hAnsi="宋体" w:eastAsia="宋体" w:cs="宋体"/>
                <w:sz w:val="18"/>
                <w:szCs w:val="18"/>
              </w:rPr>
              <w:t>未完成原因分析</w:t>
            </w:r>
          </w:p>
        </w:tc>
      </w:tr>
      <w:tr w14:paraId="4B2019B7">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60C2EA8C">
            <w:pPr>
              <w:widowControl/>
              <w:jc w:val="left"/>
              <w:rPr>
                <w:rFonts w:ascii="宋体" w:hAnsi="宋体" w:eastAsia="宋体" w:cs="Times New Roman"/>
                <w:sz w:val="18"/>
                <w:szCs w:val="18"/>
              </w:rPr>
            </w:pPr>
          </w:p>
        </w:tc>
        <w:tc>
          <w:tcPr>
            <w:tcW w:w="662" w:type="pct"/>
            <w:vMerge w:val="restart"/>
            <w:tcBorders>
              <w:top w:val="nil"/>
              <w:left w:val="single" w:color="000000" w:sz="4" w:space="0"/>
              <w:bottom w:val="single" w:color="000000" w:sz="4" w:space="0"/>
              <w:right w:val="single" w:color="000000" w:sz="4" w:space="0"/>
            </w:tcBorders>
            <w:vAlign w:val="center"/>
          </w:tcPr>
          <w:p w14:paraId="7B02431B">
            <w:pPr>
              <w:widowControl/>
              <w:jc w:val="center"/>
              <w:rPr>
                <w:rFonts w:ascii="宋体" w:hAnsi="宋体" w:eastAsia="宋体" w:cs="Times New Roman"/>
                <w:sz w:val="18"/>
                <w:szCs w:val="18"/>
              </w:rPr>
            </w:pPr>
            <w:r>
              <w:rPr>
                <w:rFonts w:hint="eastAsia" w:ascii="宋体" w:hAnsi="宋体" w:eastAsia="宋体" w:cs="宋体"/>
                <w:sz w:val="18"/>
                <w:szCs w:val="18"/>
              </w:rPr>
              <w:t>产出指标</w:t>
            </w:r>
          </w:p>
        </w:tc>
        <w:tc>
          <w:tcPr>
            <w:tcW w:w="563" w:type="pct"/>
            <w:vMerge w:val="restart"/>
            <w:tcBorders>
              <w:top w:val="nil"/>
              <w:left w:val="single" w:color="000000" w:sz="4" w:space="0"/>
              <w:bottom w:val="single" w:color="000000" w:sz="4" w:space="0"/>
              <w:right w:val="single" w:color="000000" w:sz="4" w:space="0"/>
            </w:tcBorders>
            <w:vAlign w:val="center"/>
          </w:tcPr>
          <w:p w14:paraId="3332E797">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731" w:type="pct"/>
            <w:tcBorders>
              <w:top w:val="nil"/>
              <w:left w:val="nil"/>
              <w:bottom w:val="single" w:color="000000" w:sz="4" w:space="0"/>
              <w:right w:val="single" w:color="000000" w:sz="4" w:space="0"/>
            </w:tcBorders>
            <w:vAlign w:val="center"/>
          </w:tcPr>
          <w:p w14:paraId="409791AE">
            <w:pPr>
              <w:widowControl/>
              <w:jc w:val="center"/>
              <w:rPr>
                <w:rFonts w:ascii="宋体" w:hAnsi="宋体" w:eastAsia="宋体" w:cs="Times New Roman"/>
                <w:sz w:val="18"/>
                <w:szCs w:val="18"/>
              </w:rPr>
            </w:pPr>
            <w:r>
              <w:rPr>
                <w:rFonts w:hint="eastAsia" w:ascii="宋体" w:hAnsi="宋体" w:eastAsia="宋体" w:cs="宋体"/>
                <w:sz w:val="18"/>
                <w:szCs w:val="18"/>
              </w:rPr>
              <w:t>聘请保安人员</w:t>
            </w:r>
          </w:p>
        </w:tc>
        <w:tc>
          <w:tcPr>
            <w:tcW w:w="214" w:type="pct"/>
            <w:tcBorders>
              <w:top w:val="nil"/>
              <w:left w:val="nil"/>
              <w:bottom w:val="single" w:color="000000" w:sz="4" w:space="0"/>
              <w:right w:val="single" w:color="000000" w:sz="4" w:space="0"/>
            </w:tcBorders>
            <w:vAlign w:val="center"/>
          </w:tcPr>
          <w:p w14:paraId="12CE97FA">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7A649EDE">
            <w:pPr>
              <w:widowControl/>
              <w:jc w:val="center"/>
              <w:rPr>
                <w:rFonts w:ascii="宋体" w:hAnsi="宋体" w:eastAsia="宋体" w:cs="宋体"/>
                <w:sz w:val="18"/>
                <w:szCs w:val="18"/>
              </w:rPr>
            </w:pPr>
            <w:r>
              <w:rPr>
                <w:rFonts w:ascii="宋体" w:hAnsi="宋体" w:eastAsia="宋体" w:cs="宋体"/>
                <w:sz w:val="18"/>
                <w:szCs w:val="18"/>
              </w:rPr>
              <w:t>6</w:t>
            </w:r>
          </w:p>
        </w:tc>
        <w:tc>
          <w:tcPr>
            <w:tcW w:w="214" w:type="pct"/>
            <w:tcBorders>
              <w:top w:val="nil"/>
              <w:left w:val="nil"/>
              <w:bottom w:val="single" w:color="000000" w:sz="4" w:space="0"/>
              <w:right w:val="single" w:color="000000" w:sz="4" w:space="0"/>
            </w:tcBorders>
            <w:vAlign w:val="center"/>
          </w:tcPr>
          <w:p w14:paraId="24270855">
            <w:pPr>
              <w:widowControl/>
              <w:jc w:val="center"/>
              <w:rPr>
                <w:rFonts w:ascii="宋体" w:hAnsi="宋体" w:eastAsia="宋体" w:cs="Times New Roman"/>
                <w:sz w:val="18"/>
                <w:szCs w:val="18"/>
              </w:rPr>
            </w:pPr>
            <w:r>
              <w:rPr>
                <w:rFonts w:hint="eastAsia" w:ascii="宋体" w:hAnsi="宋体" w:eastAsia="宋体" w:cs="宋体"/>
                <w:sz w:val="18"/>
                <w:szCs w:val="18"/>
              </w:rPr>
              <w:t>名</w:t>
            </w:r>
          </w:p>
        </w:tc>
        <w:tc>
          <w:tcPr>
            <w:tcW w:w="474" w:type="pct"/>
            <w:tcBorders>
              <w:top w:val="nil"/>
              <w:left w:val="nil"/>
              <w:bottom w:val="single" w:color="000000" w:sz="4" w:space="0"/>
              <w:right w:val="single" w:color="000000" w:sz="4" w:space="0"/>
            </w:tcBorders>
            <w:vAlign w:val="center"/>
          </w:tcPr>
          <w:p w14:paraId="51B7831B">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2DC79ECD">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1747FE76">
            <w:pPr>
              <w:widowControl/>
              <w:jc w:val="center"/>
              <w:rPr>
                <w:rFonts w:ascii="宋体" w:hAnsi="宋体" w:eastAsia="宋体" w:cs="宋体"/>
                <w:sz w:val="18"/>
                <w:szCs w:val="18"/>
              </w:rPr>
            </w:pPr>
            <w:r>
              <w:rPr>
                <w:rFonts w:ascii="宋体" w:hAnsi="宋体" w:eastAsia="宋体" w:cs="宋体"/>
                <w:sz w:val="18"/>
                <w:szCs w:val="18"/>
              </w:rPr>
              <w:t>15</w:t>
            </w:r>
          </w:p>
        </w:tc>
        <w:tc>
          <w:tcPr>
            <w:tcW w:w="623" w:type="pct"/>
            <w:tcBorders>
              <w:top w:val="nil"/>
              <w:left w:val="nil"/>
              <w:bottom w:val="single" w:color="000000" w:sz="4" w:space="0"/>
              <w:right w:val="single" w:color="000000" w:sz="4" w:space="0"/>
            </w:tcBorders>
            <w:vAlign w:val="center"/>
          </w:tcPr>
          <w:p w14:paraId="5CD34CE9">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33191E5D">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129520EA">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7263E729">
            <w:pPr>
              <w:widowControl/>
              <w:jc w:val="left"/>
              <w:rPr>
                <w:rFonts w:ascii="宋体" w:hAnsi="宋体" w:eastAsia="宋体" w:cs="Times New Roman"/>
                <w:sz w:val="18"/>
                <w:szCs w:val="18"/>
              </w:rPr>
            </w:pPr>
          </w:p>
        </w:tc>
        <w:tc>
          <w:tcPr>
            <w:tcW w:w="563" w:type="pct"/>
            <w:vMerge w:val="continue"/>
            <w:tcBorders>
              <w:top w:val="nil"/>
              <w:left w:val="single" w:color="000000" w:sz="4" w:space="0"/>
              <w:bottom w:val="single" w:color="000000" w:sz="4" w:space="0"/>
              <w:right w:val="single" w:color="000000" w:sz="4" w:space="0"/>
            </w:tcBorders>
            <w:vAlign w:val="center"/>
          </w:tcPr>
          <w:p w14:paraId="18D93977">
            <w:pPr>
              <w:widowControl/>
              <w:jc w:val="left"/>
              <w:rPr>
                <w:rFonts w:ascii="宋体" w:hAnsi="宋体" w:eastAsia="宋体" w:cs="Times New Roman"/>
                <w:sz w:val="18"/>
                <w:szCs w:val="18"/>
              </w:rPr>
            </w:pPr>
          </w:p>
        </w:tc>
        <w:tc>
          <w:tcPr>
            <w:tcW w:w="731" w:type="pct"/>
            <w:tcBorders>
              <w:top w:val="nil"/>
              <w:left w:val="nil"/>
              <w:bottom w:val="single" w:color="000000" w:sz="4" w:space="0"/>
              <w:right w:val="single" w:color="000000" w:sz="4" w:space="0"/>
            </w:tcBorders>
            <w:vAlign w:val="center"/>
          </w:tcPr>
          <w:p w14:paraId="04C4CA43">
            <w:pPr>
              <w:widowControl/>
              <w:jc w:val="center"/>
              <w:rPr>
                <w:rFonts w:ascii="宋体" w:hAnsi="宋体" w:eastAsia="宋体" w:cs="Times New Roman"/>
                <w:sz w:val="18"/>
                <w:szCs w:val="18"/>
              </w:rPr>
            </w:pPr>
            <w:r>
              <w:rPr>
                <w:rFonts w:hint="eastAsia" w:ascii="宋体" w:hAnsi="宋体" w:eastAsia="宋体" w:cs="宋体"/>
                <w:sz w:val="18"/>
                <w:szCs w:val="18"/>
              </w:rPr>
              <w:t>聘请电工</w:t>
            </w:r>
          </w:p>
        </w:tc>
        <w:tc>
          <w:tcPr>
            <w:tcW w:w="214" w:type="pct"/>
            <w:tcBorders>
              <w:top w:val="nil"/>
              <w:left w:val="nil"/>
              <w:bottom w:val="single" w:color="000000" w:sz="4" w:space="0"/>
              <w:right w:val="single" w:color="000000" w:sz="4" w:space="0"/>
            </w:tcBorders>
            <w:vAlign w:val="center"/>
          </w:tcPr>
          <w:p w14:paraId="633ED44D">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1C64282E">
            <w:pPr>
              <w:widowControl/>
              <w:jc w:val="center"/>
              <w:rPr>
                <w:rFonts w:ascii="宋体" w:hAnsi="宋体" w:eastAsia="宋体" w:cs="宋体"/>
                <w:sz w:val="18"/>
                <w:szCs w:val="18"/>
              </w:rPr>
            </w:pPr>
            <w:r>
              <w:rPr>
                <w:rFonts w:ascii="宋体" w:hAnsi="宋体" w:eastAsia="宋体" w:cs="宋体"/>
                <w:sz w:val="18"/>
                <w:szCs w:val="18"/>
              </w:rPr>
              <w:t>1</w:t>
            </w:r>
          </w:p>
        </w:tc>
        <w:tc>
          <w:tcPr>
            <w:tcW w:w="214" w:type="pct"/>
            <w:tcBorders>
              <w:top w:val="nil"/>
              <w:left w:val="nil"/>
              <w:bottom w:val="single" w:color="000000" w:sz="4" w:space="0"/>
              <w:right w:val="single" w:color="000000" w:sz="4" w:space="0"/>
            </w:tcBorders>
            <w:vAlign w:val="center"/>
          </w:tcPr>
          <w:p w14:paraId="651312AD">
            <w:pPr>
              <w:widowControl/>
              <w:jc w:val="center"/>
              <w:rPr>
                <w:rFonts w:ascii="宋体" w:hAnsi="宋体" w:eastAsia="宋体" w:cs="Times New Roman"/>
                <w:sz w:val="18"/>
                <w:szCs w:val="18"/>
              </w:rPr>
            </w:pPr>
            <w:r>
              <w:rPr>
                <w:rFonts w:hint="eastAsia" w:ascii="宋体" w:hAnsi="宋体" w:eastAsia="宋体" w:cs="宋体"/>
                <w:sz w:val="18"/>
                <w:szCs w:val="18"/>
              </w:rPr>
              <w:t>名</w:t>
            </w:r>
          </w:p>
        </w:tc>
        <w:tc>
          <w:tcPr>
            <w:tcW w:w="474" w:type="pct"/>
            <w:tcBorders>
              <w:top w:val="nil"/>
              <w:left w:val="nil"/>
              <w:bottom w:val="single" w:color="000000" w:sz="4" w:space="0"/>
              <w:right w:val="single" w:color="000000" w:sz="4" w:space="0"/>
            </w:tcBorders>
            <w:vAlign w:val="center"/>
          </w:tcPr>
          <w:p w14:paraId="68D4470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2B37F597">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05F28CF1">
            <w:pPr>
              <w:widowControl/>
              <w:jc w:val="center"/>
              <w:rPr>
                <w:rFonts w:ascii="宋体" w:hAnsi="宋体" w:eastAsia="宋体" w:cs="宋体"/>
                <w:sz w:val="18"/>
                <w:szCs w:val="18"/>
              </w:rPr>
            </w:pPr>
            <w:r>
              <w:rPr>
                <w:rFonts w:ascii="宋体" w:hAnsi="宋体" w:eastAsia="宋体" w:cs="宋体"/>
                <w:sz w:val="18"/>
                <w:szCs w:val="18"/>
              </w:rPr>
              <w:t>10</w:t>
            </w:r>
          </w:p>
        </w:tc>
        <w:tc>
          <w:tcPr>
            <w:tcW w:w="623" w:type="pct"/>
            <w:tcBorders>
              <w:top w:val="nil"/>
              <w:left w:val="nil"/>
              <w:bottom w:val="single" w:color="000000" w:sz="4" w:space="0"/>
              <w:right w:val="single" w:color="000000" w:sz="4" w:space="0"/>
            </w:tcBorders>
            <w:vAlign w:val="center"/>
          </w:tcPr>
          <w:p w14:paraId="647FC5E6">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5B33564E">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237A2121">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3D967030">
            <w:pPr>
              <w:widowControl/>
              <w:jc w:val="left"/>
              <w:rPr>
                <w:rFonts w:ascii="宋体" w:hAnsi="宋体" w:eastAsia="宋体" w:cs="Times New Roman"/>
                <w:sz w:val="18"/>
                <w:szCs w:val="18"/>
              </w:rPr>
            </w:pPr>
          </w:p>
        </w:tc>
        <w:tc>
          <w:tcPr>
            <w:tcW w:w="563" w:type="pct"/>
            <w:vMerge w:val="continue"/>
            <w:tcBorders>
              <w:top w:val="nil"/>
              <w:left w:val="single" w:color="000000" w:sz="4" w:space="0"/>
              <w:bottom w:val="single" w:color="000000" w:sz="4" w:space="0"/>
              <w:right w:val="single" w:color="000000" w:sz="4" w:space="0"/>
            </w:tcBorders>
            <w:vAlign w:val="center"/>
          </w:tcPr>
          <w:p w14:paraId="3E940C95">
            <w:pPr>
              <w:widowControl/>
              <w:jc w:val="left"/>
              <w:rPr>
                <w:rFonts w:ascii="宋体" w:hAnsi="宋体" w:eastAsia="宋体" w:cs="Times New Roman"/>
                <w:sz w:val="18"/>
                <w:szCs w:val="18"/>
              </w:rPr>
            </w:pPr>
          </w:p>
        </w:tc>
        <w:tc>
          <w:tcPr>
            <w:tcW w:w="731" w:type="pct"/>
            <w:tcBorders>
              <w:top w:val="nil"/>
              <w:left w:val="nil"/>
              <w:bottom w:val="single" w:color="000000" w:sz="4" w:space="0"/>
              <w:right w:val="single" w:color="000000" w:sz="4" w:space="0"/>
            </w:tcBorders>
            <w:vAlign w:val="center"/>
          </w:tcPr>
          <w:p w14:paraId="117D72F6">
            <w:pPr>
              <w:widowControl/>
              <w:jc w:val="center"/>
              <w:rPr>
                <w:rFonts w:ascii="宋体" w:hAnsi="宋体" w:eastAsia="宋体" w:cs="Times New Roman"/>
                <w:sz w:val="18"/>
                <w:szCs w:val="18"/>
              </w:rPr>
            </w:pPr>
            <w:r>
              <w:rPr>
                <w:rFonts w:hint="eastAsia" w:ascii="宋体" w:hAnsi="宋体" w:eastAsia="宋体" w:cs="宋体"/>
                <w:sz w:val="18"/>
                <w:szCs w:val="18"/>
              </w:rPr>
              <w:t>聘请保洁人员</w:t>
            </w:r>
          </w:p>
        </w:tc>
        <w:tc>
          <w:tcPr>
            <w:tcW w:w="214" w:type="pct"/>
            <w:tcBorders>
              <w:top w:val="nil"/>
              <w:left w:val="nil"/>
              <w:bottom w:val="single" w:color="000000" w:sz="4" w:space="0"/>
              <w:right w:val="single" w:color="000000" w:sz="4" w:space="0"/>
            </w:tcBorders>
            <w:vAlign w:val="center"/>
          </w:tcPr>
          <w:p w14:paraId="402B28B2">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66383F53">
            <w:pPr>
              <w:widowControl/>
              <w:jc w:val="center"/>
              <w:rPr>
                <w:rFonts w:ascii="宋体" w:hAnsi="宋体" w:eastAsia="宋体" w:cs="宋体"/>
                <w:sz w:val="18"/>
                <w:szCs w:val="18"/>
              </w:rPr>
            </w:pPr>
            <w:r>
              <w:rPr>
                <w:rFonts w:ascii="宋体" w:hAnsi="宋体" w:eastAsia="宋体" w:cs="宋体"/>
                <w:sz w:val="18"/>
                <w:szCs w:val="18"/>
              </w:rPr>
              <w:t>4</w:t>
            </w:r>
          </w:p>
        </w:tc>
        <w:tc>
          <w:tcPr>
            <w:tcW w:w="214" w:type="pct"/>
            <w:tcBorders>
              <w:top w:val="nil"/>
              <w:left w:val="nil"/>
              <w:bottom w:val="single" w:color="000000" w:sz="4" w:space="0"/>
              <w:right w:val="single" w:color="000000" w:sz="4" w:space="0"/>
            </w:tcBorders>
            <w:vAlign w:val="center"/>
          </w:tcPr>
          <w:p w14:paraId="3C70438F">
            <w:pPr>
              <w:widowControl/>
              <w:jc w:val="center"/>
              <w:rPr>
                <w:rFonts w:ascii="宋体" w:hAnsi="宋体" w:eastAsia="宋体" w:cs="Times New Roman"/>
                <w:sz w:val="18"/>
                <w:szCs w:val="18"/>
              </w:rPr>
            </w:pPr>
            <w:r>
              <w:rPr>
                <w:rFonts w:hint="eastAsia" w:ascii="宋体" w:hAnsi="宋体" w:eastAsia="宋体" w:cs="宋体"/>
                <w:sz w:val="18"/>
                <w:szCs w:val="18"/>
              </w:rPr>
              <w:t>名</w:t>
            </w:r>
          </w:p>
        </w:tc>
        <w:tc>
          <w:tcPr>
            <w:tcW w:w="474" w:type="pct"/>
            <w:tcBorders>
              <w:top w:val="nil"/>
              <w:left w:val="nil"/>
              <w:bottom w:val="single" w:color="000000" w:sz="4" w:space="0"/>
              <w:right w:val="single" w:color="000000" w:sz="4" w:space="0"/>
            </w:tcBorders>
            <w:vAlign w:val="center"/>
          </w:tcPr>
          <w:p w14:paraId="145ACED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5D0518B3">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2A65FEFE">
            <w:pPr>
              <w:widowControl/>
              <w:jc w:val="center"/>
              <w:rPr>
                <w:rFonts w:ascii="宋体" w:hAnsi="宋体" w:eastAsia="宋体" w:cs="宋体"/>
                <w:sz w:val="18"/>
                <w:szCs w:val="18"/>
              </w:rPr>
            </w:pPr>
            <w:r>
              <w:rPr>
                <w:rFonts w:ascii="宋体" w:hAnsi="宋体" w:eastAsia="宋体" w:cs="宋体"/>
                <w:sz w:val="18"/>
                <w:szCs w:val="18"/>
              </w:rPr>
              <w:t>15</w:t>
            </w:r>
          </w:p>
        </w:tc>
        <w:tc>
          <w:tcPr>
            <w:tcW w:w="623" w:type="pct"/>
            <w:tcBorders>
              <w:top w:val="nil"/>
              <w:left w:val="nil"/>
              <w:bottom w:val="single" w:color="000000" w:sz="4" w:space="0"/>
              <w:right w:val="single" w:color="000000" w:sz="4" w:space="0"/>
            </w:tcBorders>
            <w:vAlign w:val="center"/>
          </w:tcPr>
          <w:p w14:paraId="68E91A20">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684FDD9E">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63240A2B">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6D87A077">
            <w:pPr>
              <w:widowControl/>
              <w:jc w:val="left"/>
              <w:rPr>
                <w:rFonts w:ascii="宋体" w:hAnsi="宋体" w:eastAsia="宋体" w:cs="Times New Roman"/>
                <w:sz w:val="18"/>
                <w:szCs w:val="18"/>
              </w:rPr>
            </w:pPr>
          </w:p>
        </w:tc>
        <w:tc>
          <w:tcPr>
            <w:tcW w:w="563" w:type="pct"/>
            <w:tcBorders>
              <w:top w:val="nil"/>
              <w:left w:val="nil"/>
              <w:bottom w:val="single" w:color="000000" w:sz="4" w:space="0"/>
              <w:right w:val="single" w:color="000000" w:sz="4" w:space="0"/>
            </w:tcBorders>
            <w:vAlign w:val="center"/>
          </w:tcPr>
          <w:p w14:paraId="67C0807A">
            <w:pPr>
              <w:widowControl/>
              <w:jc w:val="center"/>
              <w:rPr>
                <w:rFonts w:ascii="宋体" w:hAnsi="宋体" w:eastAsia="宋体" w:cs="Times New Roman"/>
                <w:sz w:val="18"/>
                <w:szCs w:val="18"/>
              </w:rPr>
            </w:pPr>
            <w:r>
              <w:rPr>
                <w:rFonts w:hint="eastAsia" w:ascii="宋体" w:hAnsi="宋体" w:eastAsia="宋体" w:cs="宋体"/>
                <w:sz w:val="18"/>
                <w:szCs w:val="18"/>
              </w:rPr>
              <w:t>质量指标</w:t>
            </w:r>
          </w:p>
        </w:tc>
        <w:tc>
          <w:tcPr>
            <w:tcW w:w="731" w:type="pct"/>
            <w:tcBorders>
              <w:top w:val="nil"/>
              <w:left w:val="nil"/>
              <w:bottom w:val="single" w:color="000000" w:sz="4" w:space="0"/>
              <w:right w:val="single" w:color="000000" w:sz="4" w:space="0"/>
            </w:tcBorders>
            <w:vAlign w:val="center"/>
          </w:tcPr>
          <w:p w14:paraId="5E659113">
            <w:pPr>
              <w:widowControl/>
              <w:jc w:val="center"/>
              <w:rPr>
                <w:rFonts w:ascii="宋体" w:hAnsi="宋体" w:eastAsia="宋体" w:cs="Times New Roman"/>
                <w:sz w:val="18"/>
                <w:szCs w:val="18"/>
              </w:rPr>
            </w:pPr>
            <w:r>
              <w:rPr>
                <w:rFonts w:hint="eastAsia" w:ascii="宋体" w:hAnsi="宋体" w:eastAsia="宋体" w:cs="宋体"/>
                <w:sz w:val="18"/>
                <w:szCs w:val="18"/>
              </w:rPr>
              <w:t>综合服务大楼运转率</w:t>
            </w:r>
          </w:p>
        </w:tc>
        <w:tc>
          <w:tcPr>
            <w:tcW w:w="214" w:type="pct"/>
            <w:tcBorders>
              <w:top w:val="nil"/>
              <w:left w:val="nil"/>
              <w:bottom w:val="single" w:color="000000" w:sz="4" w:space="0"/>
              <w:right w:val="single" w:color="000000" w:sz="4" w:space="0"/>
            </w:tcBorders>
            <w:vAlign w:val="center"/>
          </w:tcPr>
          <w:p w14:paraId="4693311F">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65C6C41D">
            <w:pPr>
              <w:widowControl/>
              <w:jc w:val="center"/>
              <w:rPr>
                <w:rFonts w:ascii="宋体" w:hAnsi="宋体" w:eastAsia="宋体" w:cs="宋体"/>
                <w:sz w:val="18"/>
                <w:szCs w:val="18"/>
              </w:rPr>
            </w:pPr>
            <w:r>
              <w:rPr>
                <w:rFonts w:ascii="宋体" w:hAnsi="宋体" w:eastAsia="宋体" w:cs="宋体"/>
                <w:sz w:val="18"/>
                <w:szCs w:val="18"/>
              </w:rPr>
              <w:t>100</w:t>
            </w:r>
          </w:p>
        </w:tc>
        <w:tc>
          <w:tcPr>
            <w:tcW w:w="214" w:type="pct"/>
            <w:tcBorders>
              <w:top w:val="nil"/>
              <w:left w:val="nil"/>
              <w:bottom w:val="single" w:color="000000" w:sz="4" w:space="0"/>
              <w:right w:val="single" w:color="000000" w:sz="4" w:space="0"/>
            </w:tcBorders>
            <w:vAlign w:val="center"/>
          </w:tcPr>
          <w:p w14:paraId="673C1EFE">
            <w:pPr>
              <w:widowControl/>
              <w:jc w:val="center"/>
              <w:rPr>
                <w:rFonts w:ascii="宋体" w:hAnsi="宋体" w:eastAsia="宋体" w:cs="宋体"/>
                <w:sz w:val="18"/>
                <w:szCs w:val="18"/>
              </w:rPr>
            </w:pPr>
            <w:r>
              <w:rPr>
                <w:rFonts w:ascii="宋体" w:hAnsi="宋体" w:eastAsia="宋体" w:cs="宋体"/>
                <w:sz w:val="18"/>
                <w:szCs w:val="18"/>
              </w:rPr>
              <w:t>%</w:t>
            </w:r>
          </w:p>
        </w:tc>
        <w:tc>
          <w:tcPr>
            <w:tcW w:w="474" w:type="pct"/>
            <w:tcBorders>
              <w:top w:val="nil"/>
              <w:left w:val="nil"/>
              <w:bottom w:val="single" w:color="000000" w:sz="4" w:space="0"/>
              <w:right w:val="single" w:color="000000" w:sz="4" w:space="0"/>
            </w:tcBorders>
            <w:vAlign w:val="center"/>
          </w:tcPr>
          <w:p w14:paraId="3D001AC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5DABC352">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197E0354">
            <w:pPr>
              <w:widowControl/>
              <w:jc w:val="center"/>
              <w:rPr>
                <w:rFonts w:ascii="宋体" w:hAnsi="宋体" w:eastAsia="宋体" w:cs="宋体"/>
                <w:sz w:val="18"/>
                <w:szCs w:val="18"/>
              </w:rPr>
            </w:pPr>
            <w:r>
              <w:rPr>
                <w:rFonts w:ascii="宋体" w:hAnsi="宋体" w:eastAsia="宋体" w:cs="宋体"/>
                <w:sz w:val="18"/>
                <w:szCs w:val="18"/>
              </w:rPr>
              <w:t>10</w:t>
            </w:r>
          </w:p>
        </w:tc>
        <w:tc>
          <w:tcPr>
            <w:tcW w:w="623" w:type="pct"/>
            <w:tcBorders>
              <w:top w:val="nil"/>
              <w:left w:val="nil"/>
              <w:bottom w:val="single" w:color="000000" w:sz="4" w:space="0"/>
              <w:right w:val="single" w:color="000000" w:sz="4" w:space="0"/>
            </w:tcBorders>
            <w:vAlign w:val="center"/>
          </w:tcPr>
          <w:p w14:paraId="3596F256">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4CE77746">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613BDDFE">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4AE5503C">
            <w:pPr>
              <w:widowControl/>
              <w:jc w:val="left"/>
              <w:rPr>
                <w:rFonts w:ascii="宋体" w:hAnsi="宋体" w:eastAsia="宋体" w:cs="Times New Roman"/>
                <w:sz w:val="18"/>
                <w:szCs w:val="18"/>
              </w:rPr>
            </w:pPr>
          </w:p>
        </w:tc>
        <w:tc>
          <w:tcPr>
            <w:tcW w:w="563" w:type="pct"/>
            <w:tcBorders>
              <w:top w:val="nil"/>
              <w:left w:val="nil"/>
              <w:bottom w:val="single" w:color="000000" w:sz="4" w:space="0"/>
              <w:right w:val="single" w:color="000000" w:sz="4" w:space="0"/>
            </w:tcBorders>
            <w:vAlign w:val="center"/>
          </w:tcPr>
          <w:p w14:paraId="0BD29708">
            <w:pPr>
              <w:widowControl/>
              <w:jc w:val="center"/>
              <w:rPr>
                <w:rFonts w:ascii="宋体" w:hAnsi="宋体" w:eastAsia="宋体" w:cs="Times New Roman"/>
                <w:sz w:val="18"/>
                <w:szCs w:val="18"/>
              </w:rPr>
            </w:pPr>
            <w:r>
              <w:rPr>
                <w:rFonts w:hint="eastAsia" w:ascii="宋体" w:hAnsi="宋体" w:eastAsia="宋体" w:cs="宋体"/>
                <w:sz w:val="18"/>
                <w:szCs w:val="18"/>
              </w:rPr>
              <w:t>时效指标</w:t>
            </w:r>
          </w:p>
        </w:tc>
        <w:tc>
          <w:tcPr>
            <w:tcW w:w="731" w:type="pct"/>
            <w:tcBorders>
              <w:top w:val="nil"/>
              <w:left w:val="nil"/>
              <w:bottom w:val="single" w:color="000000" w:sz="4" w:space="0"/>
              <w:right w:val="single" w:color="000000" w:sz="4" w:space="0"/>
            </w:tcBorders>
            <w:vAlign w:val="center"/>
          </w:tcPr>
          <w:p w14:paraId="471DCB10">
            <w:pPr>
              <w:widowControl/>
              <w:jc w:val="center"/>
              <w:rPr>
                <w:rFonts w:ascii="宋体" w:hAnsi="宋体" w:eastAsia="宋体" w:cs="Times New Roman"/>
                <w:sz w:val="18"/>
                <w:szCs w:val="18"/>
              </w:rPr>
            </w:pPr>
            <w:r>
              <w:rPr>
                <w:rFonts w:hint="eastAsia" w:ascii="宋体" w:hAnsi="宋体" w:eastAsia="宋体" w:cs="宋体"/>
                <w:sz w:val="18"/>
                <w:szCs w:val="18"/>
              </w:rPr>
              <w:t>服务期限</w:t>
            </w:r>
          </w:p>
        </w:tc>
        <w:tc>
          <w:tcPr>
            <w:tcW w:w="214" w:type="pct"/>
            <w:tcBorders>
              <w:top w:val="nil"/>
              <w:left w:val="nil"/>
              <w:bottom w:val="single" w:color="000000" w:sz="4" w:space="0"/>
              <w:right w:val="single" w:color="000000" w:sz="4" w:space="0"/>
            </w:tcBorders>
            <w:vAlign w:val="center"/>
          </w:tcPr>
          <w:p w14:paraId="7929B664">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23BE5D36">
            <w:pPr>
              <w:widowControl/>
              <w:jc w:val="center"/>
              <w:rPr>
                <w:rFonts w:ascii="宋体" w:hAnsi="宋体" w:eastAsia="宋体" w:cs="宋体"/>
                <w:sz w:val="18"/>
                <w:szCs w:val="18"/>
              </w:rPr>
            </w:pPr>
            <w:r>
              <w:rPr>
                <w:rFonts w:ascii="宋体" w:hAnsi="宋体" w:eastAsia="宋体" w:cs="宋体"/>
                <w:sz w:val="18"/>
                <w:szCs w:val="18"/>
              </w:rPr>
              <w:t>1</w:t>
            </w:r>
          </w:p>
        </w:tc>
        <w:tc>
          <w:tcPr>
            <w:tcW w:w="214" w:type="pct"/>
            <w:tcBorders>
              <w:top w:val="nil"/>
              <w:left w:val="nil"/>
              <w:bottom w:val="single" w:color="000000" w:sz="4" w:space="0"/>
              <w:right w:val="single" w:color="000000" w:sz="4" w:space="0"/>
            </w:tcBorders>
            <w:vAlign w:val="center"/>
          </w:tcPr>
          <w:p w14:paraId="3FC66E3F">
            <w:pPr>
              <w:widowControl/>
              <w:jc w:val="center"/>
              <w:rPr>
                <w:rFonts w:ascii="宋体" w:hAnsi="宋体" w:eastAsia="宋体" w:cs="Times New Roman"/>
                <w:sz w:val="18"/>
                <w:szCs w:val="18"/>
              </w:rPr>
            </w:pPr>
            <w:r>
              <w:rPr>
                <w:rFonts w:hint="eastAsia" w:ascii="宋体" w:hAnsi="宋体" w:eastAsia="宋体" w:cs="宋体"/>
                <w:sz w:val="18"/>
                <w:szCs w:val="18"/>
              </w:rPr>
              <w:t>年</w:t>
            </w:r>
          </w:p>
        </w:tc>
        <w:tc>
          <w:tcPr>
            <w:tcW w:w="474" w:type="pct"/>
            <w:tcBorders>
              <w:top w:val="nil"/>
              <w:left w:val="nil"/>
              <w:bottom w:val="single" w:color="000000" w:sz="4" w:space="0"/>
              <w:right w:val="single" w:color="000000" w:sz="4" w:space="0"/>
            </w:tcBorders>
            <w:vAlign w:val="center"/>
          </w:tcPr>
          <w:p w14:paraId="14AD63B9">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7010EF40">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0C70F1AC">
            <w:pPr>
              <w:widowControl/>
              <w:jc w:val="center"/>
              <w:rPr>
                <w:rFonts w:ascii="宋体" w:hAnsi="宋体" w:eastAsia="宋体" w:cs="宋体"/>
                <w:sz w:val="18"/>
                <w:szCs w:val="18"/>
              </w:rPr>
            </w:pPr>
            <w:r>
              <w:rPr>
                <w:rFonts w:ascii="宋体" w:hAnsi="宋体" w:eastAsia="宋体" w:cs="宋体"/>
                <w:sz w:val="18"/>
                <w:szCs w:val="18"/>
              </w:rPr>
              <w:t>10</w:t>
            </w:r>
          </w:p>
        </w:tc>
        <w:tc>
          <w:tcPr>
            <w:tcW w:w="623" w:type="pct"/>
            <w:tcBorders>
              <w:top w:val="nil"/>
              <w:left w:val="nil"/>
              <w:bottom w:val="single" w:color="000000" w:sz="4" w:space="0"/>
              <w:right w:val="single" w:color="000000" w:sz="4" w:space="0"/>
            </w:tcBorders>
            <w:vAlign w:val="center"/>
          </w:tcPr>
          <w:p w14:paraId="183264A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1FAD0934">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1486CDA6">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111A9365">
            <w:pPr>
              <w:widowControl/>
              <w:jc w:val="center"/>
              <w:rPr>
                <w:rFonts w:ascii="宋体" w:hAnsi="宋体" w:eastAsia="宋体" w:cs="Times New Roman"/>
                <w:sz w:val="18"/>
                <w:szCs w:val="18"/>
              </w:rPr>
            </w:pPr>
            <w:r>
              <w:rPr>
                <w:rFonts w:hint="eastAsia" w:ascii="宋体" w:hAnsi="宋体" w:eastAsia="宋体" w:cs="宋体"/>
                <w:sz w:val="18"/>
                <w:szCs w:val="18"/>
              </w:rPr>
              <w:t>效益指标</w:t>
            </w:r>
          </w:p>
        </w:tc>
        <w:tc>
          <w:tcPr>
            <w:tcW w:w="563" w:type="pct"/>
            <w:tcBorders>
              <w:top w:val="nil"/>
              <w:left w:val="nil"/>
              <w:bottom w:val="single" w:color="000000" w:sz="4" w:space="0"/>
              <w:right w:val="single" w:color="000000" w:sz="4" w:space="0"/>
            </w:tcBorders>
            <w:vAlign w:val="center"/>
          </w:tcPr>
          <w:p w14:paraId="3C02DDFF">
            <w:pPr>
              <w:widowControl/>
              <w:jc w:val="center"/>
              <w:rPr>
                <w:rFonts w:ascii="宋体" w:hAnsi="宋体" w:eastAsia="宋体" w:cs="Times New Roman"/>
                <w:sz w:val="18"/>
                <w:szCs w:val="18"/>
              </w:rPr>
            </w:pPr>
            <w:r>
              <w:rPr>
                <w:rFonts w:hint="eastAsia" w:ascii="宋体" w:hAnsi="宋体" w:eastAsia="宋体" w:cs="宋体"/>
                <w:sz w:val="18"/>
                <w:szCs w:val="18"/>
              </w:rPr>
              <w:t>社会效益指标</w:t>
            </w:r>
          </w:p>
        </w:tc>
        <w:tc>
          <w:tcPr>
            <w:tcW w:w="731" w:type="pct"/>
            <w:tcBorders>
              <w:top w:val="nil"/>
              <w:left w:val="nil"/>
              <w:bottom w:val="single" w:color="000000" w:sz="4" w:space="0"/>
              <w:right w:val="single" w:color="000000" w:sz="4" w:space="0"/>
            </w:tcBorders>
            <w:vAlign w:val="center"/>
          </w:tcPr>
          <w:p w14:paraId="59464AB2">
            <w:pPr>
              <w:widowControl/>
              <w:jc w:val="center"/>
              <w:rPr>
                <w:rFonts w:ascii="宋体" w:hAnsi="宋体" w:eastAsia="宋体" w:cs="Times New Roman"/>
                <w:sz w:val="18"/>
                <w:szCs w:val="18"/>
              </w:rPr>
            </w:pPr>
            <w:r>
              <w:rPr>
                <w:rFonts w:hint="eastAsia" w:ascii="宋体" w:hAnsi="宋体" w:eastAsia="宋体" w:cs="宋体"/>
                <w:sz w:val="18"/>
                <w:szCs w:val="18"/>
              </w:rPr>
              <w:t>群众满意度</w:t>
            </w:r>
          </w:p>
        </w:tc>
        <w:tc>
          <w:tcPr>
            <w:tcW w:w="214" w:type="pct"/>
            <w:tcBorders>
              <w:top w:val="nil"/>
              <w:left w:val="nil"/>
              <w:bottom w:val="single" w:color="000000" w:sz="4" w:space="0"/>
              <w:right w:val="single" w:color="000000" w:sz="4" w:space="0"/>
            </w:tcBorders>
            <w:vAlign w:val="center"/>
          </w:tcPr>
          <w:p w14:paraId="1C262284">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512F2A25">
            <w:pPr>
              <w:widowControl/>
              <w:jc w:val="center"/>
              <w:rPr>
                <w:rFonts w:ascii="宋体" w:hAnsi="宋体" w:eastAsia="宋体" w:cs="宋体"/>
                <w:sz w:val="18"/>
                <w:szCs w:val="18"/>
              </w:rPr>
            </w:pPr>
            <w:r>
              <w:rPr>
                <w:rFonts w:ascii="宋体" w:hAnsi="宋体" w:eastAsia="宋体" w:cs="宋体"/>
                <w:sz w:val="18"/>
                <w:szCs w:val="18"/>
              </w:rPr>
              <w:t>98</w:t>
            </w:r>
          </w:p>
        </w:tc>
        <w:tc>
          <w:tcPr>
            <w:tcW w:w="214" w:type="pct"/>
            <w:tcBorders>
              <w:top w:val="nil"/>
              <w:left w:val="nil"/>
              <w:bottom w:val="single" w:color="000000" w:sz="4" w:space="0"/>
              <w:right w:val="single" w:color="000000" w:sz="4" w:space="0"/>
            </w:tcBorders>
            <w:vAlign w:val="center"/>
          </w:tcPr>
          <w:p w14:paraId="2836AE58">
            <w:pPr>
              <w:widowControl/>
              <w:jc w:val="center"/>
              <w:rPr>
                <w:rFonts w:ascii="宋体" w:hAnsi="宋体" w:eastAsia="宋体" w:cs="宋体"/>
                <w:sz w:val="18"/>
                <w:szCs w:val="18"/>
              </w:rPr>
            </w:pPr>
            <w:r>
              <w:rPr>
                <w:rFonts w:ascii="宋体" w:hAnsi="宋体" w:eastAsia="宋体" w:cs="宋体"/>
                <w:sz w:val="18"/>
                <w:szCs w:val="18"/>
              </w:rPr>
              <w:t>%</w:t>
            </w:r>
          </w:p>
        </w:tc>
        <w:tc>
          <w:tcPr>
            <w:tcW w:w="474" w:type="pct"/>
            <w:tcBorders>
              <w:top w:val="nil"/>
              <w:left w:val="nil"/>
              <w:bottom w:val="single" w:color="000000" w:sz="4" w:space="0"/>
              <w:right w:val="single" w:color="000000" w:sz="4" w:space="0"/>
            </w:tcBorders>
            <w:vAlign w:val="center"/>
          </w:tcPr>
          <w:p w14:paraId="7D1E9CE0">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1A142BA8">
            <w:pPr>
              <w:widowControl/>
              <w:jc w:val="center"/>
              <w:rPr>
                <w:rFonts w:ascii="宋体" w:hAnsi="宋体" w:eastAsia="宋体" w:cs="宋体"/>
                <w:sz w:val="18"/>
                <w:szCs w:val="18"/>
              </w:rPr>
            </w:pPr>
            <w:r>
              <w:rPr>
                <w:rFonts w:ascii="宋体" w:hAnsi="宋体" w:eastAsia="宋体" w:cs="宋体"/>
                <w:sz w:val="18"/>
                <w:szCs w:val="18"/>
              </w:rPr>
              <w:t>20</w:t>
            </w:r>
          </w:p>
        </w:tc>
        <w:tc>
          <w:tcPr>
            <w:tcW w:w="358" w:type="pct"/>
            <w:tcBorders>
              <w:top w:val="nil"/>
              <w:left w:val="nil"/>
              <w:bottom w:val="single" w:color="000000" w:sz="4" w:space="0"/>
              <w:right w:val="single" w:color="000000" w:sz="4" w:space="0"/>
            </w:tcBorders>
            <w:vAlign w:val="center"/>
          </w:tcPr>
          <w:p w14:paraId="4AB10938">
            <w:pPr>
              <w:widowControl/>
              <w:jc w:val="center"/>
              <w:rPr>
                <w:rFonts w:ascii="宋体" w:hAnsi="宋体" w:eastAsia="宋体" w:cs="宋体"/>
                <w:sz w:val="18"/>
                <w:szCs w:val="18"/>
              </w:rPr>
            </w:pPr>
            <w:r>
              <w:rPr>
                <w:rFonts w:ascii="宋体" w:hAnsi="宋体" w:eastAsia="宋体" w:cs="宋体"/>
                <w:sz w:val="18"/>
                <w:szCs w:val="18"/>
              </w:rPr>
              <w:t>10</w:t>
            </w:r>
          </w:p>
        </w:tc>
        <w:tc>
          <w:tcPr>
            <w:tcW w:w="623" w:type="pct"/>
            <w:tcBorders>
              <w:top w:val="nil"/>
              <w:left w:val="nil"/>
              <w:bottom w:val="single" w:color="000000" w:sz="4" w:space="0"/>
              <w:right w:val="single" w:color="000000" w:sz="4" w:space="0"/>
            </w:tcBorders>
            <w:vAlign w:val="center"/>
          </w:tcPr>
          <w:p w14:paraId="1AC9CDF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6B4386EB">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5A5869F3">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5D352939">
            <w:pPr>
              <w:widowControl/>
              <w:jc w:val="center"/>
              <w:rPr>
                <w:rFonts w:ascii="宋体" w:hAnsi="宋体" w:eastAsia="宋体" w:cs="Times New Roman"/>
                <w:sz w:val="18"/>
                <w:szCs w:val="18"/>
              </w:rPr>
            </w:pPr>
            <w:r>
              <w:rPr>
                <w:rFonts w:hint="eastAsia" w:ascii="宋体" w:hAnsi="宋体" w:eastAsia="宋体" w:cs="宋体"/>
                <w:sz w:val="18"/>
                <w:szCs w:val="18"/>
              </w:rPr>
              <w:t>满意度指标</w:t>
            </w:r>
          </w:p>
        </w:tc>
        <w:tc>
          <w:tcPr>
            <w:tcW w:w="563" w:type="pct"/>
            <w:tcBorders>
              <w:top w:val="nil"/>
              <w:left w:val="nil"/>
              <w:bottom w:val="single" w:color="000000" w:sz="4" w:space="0"/>
              <w:right w:val="single" w:color="000000" w:sz="4" w:space="0"/>
            </w:tcBorders>
            <w:vAlign w:val="center"/>
          </w:tcPr>
          <w:p w14:paraId="2854853A">
            <w:pPr>
              <w:widowControl/>
              <w:jc w:val="center"/>
              <w:rPr>
                <w:rFonts w:ascii="宋体" w:hAnsi="宋体" w:eastAsia="宋体" w:cs="Times New Roman"/>
                <w:sz w:val="18"/>
                <w:szCs w:val="18"/>
              </w:rPr>
            </w:pPr>
            <w:r>
              <w:rPr>
                <w:rFonts w:hint="eastAsia" w:ascii="宋体" w:hAnsi="宋体" w:eastAsia="宋体" w:cs="宋体"/>
                <w:sz w:val="18"/>
                <w:szCs w:val="18"/>
              </w:rPr>
              <w:t>服务对象满意度指标</w:t>
            </w:r>
          </w:p>
        </w:tc>
        <w:tc>
          <w:tcPr>
            <w:tcW w:w="731" w:type="pct"/>
            <w:tcBorders>
              <w:top w:val="nil"/>
              <w:left w:val="nil"/>
              <w:bottom w:val="single" w:color="000000" w:sz="4" w:space="0"/>
              <w:right w:val="single" w:color="000000" w:sz="4" w:space="0"/>
            </w:tcBorders>
            <w:vAlign w:val="center"/>
          </w:tcPr>
          <w:p w14:paraId="4EA1DCC9">
            <w:pPr>
              <w:widowControl/>
              <w:jc w:val="center"/>
              <w:rPr>
                <w:rFonts w:ascii="宋体" w:hAnsi="宋体" w:eastAsia="宋体" w:cs="Times New Roman"/>
                <w:sz w:val="18"/>
                <w:szCs w:val="18"/>
              </w:rPr>
            </w:pPr>
            <w:r>
              <w:rPr>
                <w:rFonts w:hint="eastAsia" w:ascii="宋体" w:hAnsi="宋体" w:eastAsia="宋体" w:cs="宋体"/>
                <w:sz w:val="18"/>
                <w:szCs w:val="18"/>
              </w:rPr>
              <w:t>办事群众满意度</w:t>
            </w:r>
          </w:p>
        </w:tc>
        <w:tc>
          <w:tcPr>
            <w:tcW w:w="214" w:type="pct"/>
            <w:tcBorders>
              <w:top w:val="nil"/>
              <w:left w:val="nil"/>
              <w:bottom w:val="single" w:color="000000" w:sz="4" w:space="0"/>
              <w:right w:val="single" w:color="000000" w:sz="4" w:space="0"/>
            </w:tcBorders>
            <w:vAlign w:val="center"/>
          </w:tcPr>
          <w:p w14:paraId="79546C7A">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7990F779">
            <w:pPr>
              <w:widowControl/>
              <w:jc w:val="center"/>
              <w:rPr>
                <w:rFonts w:ascii="宋体" w:hAnsi="宋体" w:eastAsia="宋体" w:cs="宋体"/>
                <w:sz w:val="18"/>
                <w:szCs w:val="18"/>
              </w:rPr>
            </w:pPr>
            <w:r>
              <w:rPr>
                <w:rFonts w:ascii="宋体" w:hAnsi="宋体" w:eastAsia="宋体" w:cs="宋体"/>
                <w:sz w:val="18"/>
                <w:szCs w:val="18"/>
              </w:rPr>
              <w:t>98</w:t>
            </w:r>
          </w:p>
        </w:tc>
        <w:tc>
          <w:tcPr>
            <w:tcW w:w="214" w:type="pct"/>
            <w:tcBorders>
              <w:top w:val="nil"/>
              <w:left w:val="nil"/>
              <w:bottom w:val="single" w:color="000000" w:sz="4" w:space="0"/>
              <w:right w:val="single" w:color="000000" w:sz="4" w:space="0"/>
            </w:tcBorders>
            <w:vAlign w:val="center"/>
          </w:tcPr>
          <w:p w14:paraId="15EB65C5">
            <w:pPr>
              <w:widowControl/>
              <w:jc w:val="center"/>
              <w:rPr>
                <w:rFonts w:ascii="宋体" w:hAnsi="宋体" w:eastAsia="宋体" w:cs="宋体"/>
                <w:sz w:val="18"/>
                <w:szCs w:val="18"/>
              </w:rPr>
            </w:pPr>
            <w:r>
              <w:rPr>
                <w:rFonts w:ascii="宋体" w:hAnsi="宋体" w:eastAsia="宋体" w:cs="宋体"/>
                <w:sz w:val="18"/>
                <w:szCs w:val="18"/>
              </w:rPr>
              <w:t>%</w:t>
            </w:r>
          </w:p>
        </w:tc>
        <w:tc>
          <w:tcPr>
            <w:tcW w:w="474" w:type="pct"/>
            <w:tcBorders>
              <w:top w:val="nil"/>
              <w:left w:val="nil"/>
              <w:bottom w:val="single" w:color="000000" w:sz="4" w:space="0"/>
              <w:right w:val="single" w:color="000000" w:sz="4" w:space="0"/>
            </w:tcBorders>
            <w:vAlign w:val="center"/>
          </w:tcPr>
          <w:p w14:paraId="7C22C914">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04A4243E">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5B5460D9">
            <w:pPr>
              <w:widowControl/>
              <w:jc w:val="center"/>
              <w:rPr>
                <w:rFonts w:ascii="宋体" w:hAnsi="宋体" w:eastAsia="宋体" w:cs="宋体"/>
                <w:sz w:val="18"/>
                <w:szCs w:val="18"/>
              </w:rPr>
            </w:pPr>
            <w:r>
              <w:rPr>
                <w:rFonts w:ascii="宋体" w:hAnsi="宋体" w:eastAsia="宋体" w:cs="宋体"/>
                <w:sz w:val="18"/>
                <w:szCs w:val="18"/>
              </w:rPr>
              <w:t>10</w:t>
            </w:r>
          </w:p>
        </w:tc>
        <w:tc>
          <w:tcPr>
            <w:tcW w:w="623" w:type="pct"/>
            <w:tcBorders>
              <w:top w:val="nil"/>
              <w:left w:val="nil"/>
              <w:bottom w:val="single" w:color="000000" w:sz="4" w:space="0"/>
              <w:right w:val="single" w:color="000000" w:sz="4" w:space="0"/>
            </w:tcBorders>
            <w:vAlign w:val="center"/>
          </w:tcPr>
          <w:p w14:paraId="744AB976">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4FA5619E">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4106553A">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79805FE1">
            <w:pPr>
              <w:widowControl/>
              <w:jc w:val="center"/>
              <w:rPr>
                <w:rFonts w:ascii="宋体" w:hAnsi="宋体" w:eastAsia="宋体" w:cs="Times New Roman"/>
                <w:sz w:val="18"/>
                <w:szCs w:val="18"/>
              </w:rPr>
            </w:pPr>
            <w:r>
              <w:rPr>
                <w:rFonts w:hint="eastAsia" w:ascii="宋体" w:hAnsi="宋体" w:eastAsia="宋体" w:cs="宋体"/>
                <w:sz w:val="18"/>
                <w:szCs w:val="18"/>
              </w:rPr>
              <w:t>成本指标</w:t>
            </w:r>
          </w:p>
        </w:tc>
        <w:tc>
          <w:tcPr>
            <w:tcW w:w="563" w:type="pct"/>
            <w:tcBorders>
              <w:top w:val="nil"/>
              <w:left w:val="nil"/>
              <w:bottom w:val="single" w:color="000000" w:sz="4" w:space="0"/>
              <w:right w:val="single" w:color="000000" w:sz="4" w:space="0"/>
            </w:tcBorders>
            <w:vAlign w:val="center"/>
          </w:tcPr>
          <w:p w14:paraId="57A3B8F2">
            <w:pPr>
              <w:widowControl/>
              <w:jc w:val="center"/>
              <w:rPr>
                <w:rFonts w:ascii="宋体" w:hAnsi="宋体" w:eastAsia="宋体" w:cs="Times New Roman"/>
                <w:sz w:val="18"/>
                <w:szCs w:val="18"/>
              </w:rPr>
            </w:pPr>
            <w:r>
              <w:rPr>
                <w:rFonts w:hint="eastAsia" w:ascii="宋体" w:hAnsi="宋体" w:eastAsia="宋体" w:cs="宋体"/>
                <w:sz w:val="18"/>
                <w:szCs w:val="18"/>
              </w:rPr>
              <w:t>经济成本指标</w:t>
            </w:r>
          </w:p>
        </w:tc>
        <w:tc>
          <w:tcPr>
            <w:tcW w:w="731" w:type="pct"/>
            <w:tcBorders>
              <w:top w:val="nil"/>
              <w:left w:val="nil"/>
              <w:bottom w:val="single" w:color="000000" w:sz="4" w:space="0"/>
              <w:right w:val="single" w:color="000000" w:sz="4" w:space="0"/>
            </w:tcBorders>
            <w:vAlign w:val="center"/>
          </w:tcPr>
          <w:p w14:paraId="296AAE3F">
            <w:pPr>
              <w:widowControl/>
              <w:jc w:val="center"/>
              <w:rPr>
                <w:rFonts w:ascii="宋体" w:hAnsi="宋体" w:eastAsia="宋体" w:cs="Times New Roman"/>
                <w:sz w:val="18"/>
                <w:szCs w:val="18"/>
              </w:rPr>
            </w:pPr>
            <w:r>
              <w:rPr>
                <w:rFonts w:hint="eastAsia" w:ascii="宋体" w:hAnsi="宋体" w:eastAsia="宋体" w:cs="宋体"/>
                <w:sz w:val="18"/>
                <w:szCs w:val="18"/>
              </w:rPr>
              <w:t>预计保安保洁工资</w:t>
            </w:r>
          </w:p>
        </w:tc>
        <w:tc>
          <w:tcPr>
            <w:tcW w:w="214" w:type="pct"/>
            <w:tcBorders>
              <w:top w:val="nil"/>
              <w:left w:val="nil"/>
              <w:bottom w:val="single" w:color="000000" w:sz="4" w:space="0"/>
              <w:right w:val="single" w:color="000000" w:sz="4" w:space="0"/>
            </w:tcBorders>
            <w:vAlign w:val="center"/>
          </w:tcPr>
          <w:p w14:paraId="44791623">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6" w:type="pct"/>
            <w:tcBorders>
              <w:top w:val="nil"/>
              <w:left w:val="nil"/>
              <w:bottom w:val="single" w:color="000000" w:sz="4" w:space="0"/>
              <w:right w:val="single" w:color="000000" w:sz="4" w:space="0"/>
            </w:tcBorders>
            <w:vAlign w:val="center"/>
          </w:tcPr>
          <w:p w14:paraId="4EA252D9">
            <w:pPr>
              <w:widowControl/>
              <w:jc w:val="center"/>
              <w:rPr>
                <w:rFonts w:ascii="宋体" w:hAnsi="宋体" w:eastAsia="宋体" w:cs="宋体"/>
                <w:sz w:val="18"/>
                <w:szCs w:val="18"/>
              </w:rPr>
            </w:pPr>
            <w:r>
              <w:rPr>
                <w:rFonts w:ascii="宋体" w:hAnsi="宋体" w:eastAsia="宋体" w:cs="宋体"/>
                <w:sz w:val="18"/>
                <w:szCs w:val="18"/>
              </w:rPr>
              <w:t>3.8</w:t>
            </w:r>
          </w:p>
        </w:tc>
        <w:tc>
          <w:tcPr>
            <w:tcW w:w="214" w:type="pct"/>
            <w:tcBorders>
              <w:top w:val="nil"/>
              <w:left w:val="nil"/>
              <w:bottom w:val="single" w:color="000000" w:sz="4" w:space="0"/>
              <w:right w:val="single" w:color="000000" w:sz="4" w:space="0"/>
            </w:tcBorders>
            <w:vAlign w:val="center"/>
          </w:tcPr>
          <w:p w14:paraId="759C9053">
            <w:pPr>
              <w:widowControl/>
              <w:jc w:val="center"/>
              <w:rPr>
                <w:rFonts w:ascii="宋体" w:hAnsi="宋体" w:eastAsia="宋体" w:cs="Times New Roman"/>
                <w:sz w:val="18"/>
                <w:szCs w:val="18"/>
              </w:rPr>
            </w:pPr>
            <w:r>
              <w:rPr>
                <w:rFonts w:hint="eastAsia" w:ascii="宋体" w:hAnsi="宋体" w:eastAsia="宋体" w:cs="宋体"/>
                <w:sz w:val="18"/>
                <w:szCs w:val="18"/>
              </w:rPr>
              <w:t>人</w:t>
            </w:r>
            <w:r>
              <w:rPr>
                <w:rFonts w:ascii="宋体" w:hAnsi="宋体" w:eastAsia="宋体" w:cs="宋体"/>
                <w:sz w:val="18"/>
                <w:szCs w:val="18"/>
              </w:rPr>
              <w:t>/</w:t>
            </w:r>
            <w:r>
              <w:rPr>
                <w:rFonts w:hint="eastAsia" w:ascii="宋体" w:hAnsi="宋体" w:eastAsia="宋体" w:cs="宋体"/>
                <w:sz w:val="18"/>
                <w:szCs w:val="18"/>
              </w:rPr>
              <w:t>年</w:t>
            </w:r>
          </w:p>
        </w:tc>
        <w:tc>
          <w:tcPr>
            <w:tcW w:w="474" w:type="pct"/>
            <w:tcBorders>
              <w:top w:val="nil"/>
              <w:left w:val="nil"/>
              <w:bottom w:val="single" w:color="000000" w:sz="4" w:space="0"/>
              <w:right w:val="single" w:color="000000" w:sz="4" w:space="0"/>
            </w:tcBorders>
            <w:vAlign w:val="center"/>
          </w:tcPr>
          <w:p w14:paraId="07446DA5">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18" w:type="pct"/>
            <w:tcBorders>
              <w:top w:val="nil"/>
              <w:left w:val="nil"/>
              <w:bottom w:val="single" w:color="000000" w:sz="4" w:space="0"/>
              <w:right w:val="single" w:color="000000" w:sz="4" w:space="0"/>
            </w:tcBorders>
            <w:vAlign w:val="center"/>
          </w:tcPr>
          <w:p w14:paraId="1B76F744">
            <w:pPr>
              <w:widowControl/>
              <w:jc w:val="center"/>
              <w:rPr>
                <w:rFonts w:ascii="宋体" w:hAnsi="宋体" w:eastAsia="宋体" w:cs="宋体"/>
                <w:sz w:val="18"/>
                <w:szCs w:val="18"/>
              </w:rPr>
            </w:pPr>
            <w:r>
              <w:rPr>
                <w:rFonts w:ascii="宋体" w:hAnsi="宋体" w:eastAsia="宋体" w:cs="宋体"/>
                <w:sz w:val="18"/>
                <w:szCs w:val="18"/>
              </w:rPr>
              <w:t>10</w:t>
            </w:r>
          </w:p>
        </w:tc>
        <w:tc>
          <w:tcPr>
            <w:tcW w:w="358" w:type="pct"/>
            <w:tcBorders>
              <w:top w:val="nil"/>
              <w:left w:val="nil"/>
              <w:bottom w:val="single" w:color="000000" w:sz="4" w:space="0"/>
              <w:right w:val="single" w:color="000000" w:sz="4" w:space="0"/>
            </w:tcBorders>
            <w:vAlign w:val="center"/>
          </w:tcPr>
          <w:p w14:paraId="10F250E1">
            <w:pPr>
              <w:widowControl/>
              <w:jc w:val="center"/>
              <w:rPr>
                <w:rFonts w:ascii="宋体" w:hAnsi="宋体" w:eastAsia="宋体" w:cs="宋体"/>
                <w:sz w:val="18"/>
                <w:szCs w:val="18"/>
              </w:rPr>
            </w:pPr>
            <w:r>
              <w:rPr>
                <w:rFonts w:ascii="宋体" w:hAnsi="宋体" w:eastAsia="宋体" w:cs="宋体"/>
                <w:sz w:val="18"/>
                <w:szCs w:val="18"/>
              </w:rPr>
              <w:t>9</w:t>
            </w:r>
          </w:p>
        </w:tc>
        <w:tc>
          <w:tcPr>
            <w:tcW w:w="623" w:type="pct"/>
            <w:tcBorders>
              <w:top w:val="nil"/>
              <w:left w:val="nil"/>
              <w:bottom w:val="single" w:color="000000" w:sz="4" w:space="0"/>
              <w:right w:val="single" w:color="000000" w:sz="4" w:space="0"/>
            </w:tcBorders>
            <w:vAlign w:val="center"/>
          </w:tcPr>
          <w:p w14:paraId="507FD72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04536F80">
        <w:tblPrEx>
          <w:tblCellMar>
            <w:top w:w="0" w:type="dxa"/>
            <w:left w:w="108" w:type="dxa"/>
            <w:bottom w:w="0" w:type="dxa"/>
            <w:right w:w="108" w:type="dxa"/>
          </w:tblCellMar>
        </w:tblPrEx>
        <w:trPr>
          <w:trHeight w:val="285" w:hRule="atLeast"/>
        </w:trPr>
        <w:tc>
          <w:tcPr>
            <w:tcW w:w="3699" w:type="pct"/>
            <w:gridSpan w:val="8"/>
            <w:tcBorders>
              <w:top w:val="single" w:color="000000" w:sz="4" w:space="0"/>
              <w:left w:val="single" w:color="000000" w:sz="4" w:space="0"/>
              <w:bottom w:val="single" w:color="000000" w:sz="4" w:space="0"/>
              <w:right w:val="single" w:color="000000" w:sz="4" w:space="0"/>
            </w:tcBorders>
            <w:vAlign w:val="center"/>
          </w:tcPr>
          <w:p w14:paraId="3CBCFDDA">
            <w:pPr>
              <w:widowControl/>
              <w:jc w:val="center"/>
              <w:rPr>
                <w:rFonts w:ascii="宋体" w:hAnsi="宋体" w:eastAsia="宋体" w:cs="Times New Roman"/>
                <w:sz w:val="18"/>
                <w:szCs w:val="18"/>
              </w:rPr>
            </w:pPr>
            <w:r>
              <w:rPr>
                <w:rFonts w:hint="eastAsia" w:ascii="宋体" w:hAnsi="宋体" w:eastAsia="宋体" w:cs="宋体"/>
                <w:sz w:val="18"/>
                <w:szCs w:val="18"/>
              </w:rPr>
              <w:t>合计</w:t>
            </w:r>
          </w:p>
        </w:tc>
        <w:tc>
          <w:tcPr>
            <w:tcW w:w="318" w:type="pct"/>
            <w:tcBorders>
              <w:top w:val="nil"/>
              <w:left w:val="nil"/>
              <w:bottom w:val="single" w:color="000000" w:sz="4" w:space="0"/>
              <w:right w:val="single" w:color="000000" w:sz="4" w:space="0"/>
            </w:tcBorders>
            <w:vAlign w:val="center"/>
          </w:tcPr>
          <w:p w14:paraId="59A51195">
            <w:pPr>
              <w:widowControl/>
              <w:jc w:val="center"/>
              <w:rPr>
                <w:rFonts w:ascii="宋体" w:hAnsi="宋体" w:eastAsia="宋体" w:cs="宋体"/>
                <w:sz w:val="18"/>
                <w:szCs w:val="18"/>
              </w:rPr>
            </w:pPr>
            <w:r>
              <w:rPr>
                <w:rFonts w:ascii="宋体" w:hAnsi="宋体" w:eastAsia="宋体" w:cs="宋体"/>
                <w:sz w:val="18"/>
                <w:szCs w:val="18"/>
              </w:rPr>
              <w:t>100</w:t>
            </w:r>
          </w:p>
        </w:tc>
        <w:tc>
          <w:tcPr>
            <w:tcW w:w="358" w:type="pct"/>
            <w:tcBorders>
              <w:top w:val="nil"/>
              <w:left w:val="nil"/>
              <w:bottom w:val="single" w:color="000000" w:sz="4" w:space="0"/>
              <w:right w:val="single" w:color="000000" w:sz="4" w:space="0"/>
            </w:tcBorders>
            <w:vAlign w:val="center"/>
          </w:tcPr>
          <w:p w14:paraId="78BB4ECA">
            <w:pPr>
              <w:widowControl/>
              <w:jc w:val="center"/>
              <w:rPr>
                <w:rFonts w:ascii="宋体" w:hAnsi="宋体" w:eastAsia="宋体" w:cs="宋体"/>
                <w:sz w:val="18"/>
                <w:szCs w:val="18"/>
              </w:rPr>
            </w:pPr>
            <w:r>
              <w:rPr>
                <w:rFonts w:ascii="宋体" w:hAnsi="宋体" w:eastAsia="宋体" w:cs="宋体"/>
                <w:sz w:val="18"/>
                <w:szCs w:val="18"/>
              </w:rPr>
              <w:t>99</w:t>
            </w:r>
          </w:p>
        </w:tc>
        <w:tc>
          <w:tcPr>
            <w:tcW w:w="623" w:type="pct"/>
            <w:tcBorders>
              <w:top w:val="nil"/>
              <w:left w:val="nil"/>
              <w:bottom w:val="single" w:color="000000" w:sz="4" w:space="0"/>
              <w:right w:val="single" w:color="000000" w:sz="4" w:space="0"/>
            </w:tcBorders>
            <w:vAlign w:val="center"/>
          </w:tcPr>
          <w:p w14:paraId="05183642">
            <w:pPr>
              <w:widowControl/>
              <w:jc w:val="left"/>
              <w:rPr>
                <w:rFonts w:ascii="宋体" w:hAnsi="宋体" w:eastAsia="宋体" w:cs="Times New Roman"/>
                <w:sz w:val="18"/>
                <w:szCs w:val="18"/>
              </w:rPr>
            </w:pPr>
            <w:r>
              <w:rPr>
                <w:rFonts w:hint="eastAsia" w:ascii="宋体" w:hAnsi="宋体" w:eastAsia="宋体" w:cs="宋体"/>
                <w:sz w:val="18"/>
                <w:szCs w:val="18"/>
              </w:rPr>
              <w:t>　</w:t>
            </w:r>
          </w:p>
        </w:tc>
      </w:tr>
      <w:tr w14:paraId="56B1BD06">
        <w:tblPrEx>
          <w:tblCellMar>
            <w:top w:w="0" w:type="dxa"/>
            <w:left w:w="108" w:type="dxa"/>
            <w:bottom w:w="0" w:type="dxa"/>
            <w:right w:w="108" w:type="dxa"/>
          </w:tblCellMar>
        </w:tblPrEx>
        <w:trPr>
          <w:trHeight w:val="840" w:hRule="atLeast"/>
        </w:trPr>
        <w:tc>
          <w:tcPr>
            <w:tcW w:w="311" w:type="pct"/>
            <w:tcBorders>
              <w:top w:val="nil"/>
              <w:left w:val="single" w:color="000000" w:sz="4" w:space="0"/>
              <w:bottom w:val="single" w:color="000000" w:sz="4" w:space="0"/>
              <w:right w:val="single" w:color="000000" w:sz="4" w:space="0"/>
            </w:tcBorders>
            <w:vAlign w:val="center"/>
          </w:tcPr>
          <w:p w14:paraId="2C59F162">
            <w:pPr>
              <w:widowControl/>
              <w:jc w:val="center"/>
              <w:rPr>
                <w:rFonts w:ascii="宋体" w:hAnsi="宋体" w:eastAsia="宋体" w:cs="Times New Roman"/>
                <w:sz w:val="18"/>
                <w:szCs w:val="18"/>
              </w:rPr>
            </w:pPr>
            <w:r>
              <w:rPr>
                <w:rFonts w:hint="eastAsia" w:ascii="宋体" w:hAnsi="宋体" w:eastAsia="宋体" w:cs="宋体"/>
                <w:sz w:val="18"/>
                <w:szCs w:val="18"/>
              </w:rPr>
              <w:t>评价结论</w:t>
            </w:r>
          </w:p>
        </w:tc>
        <w:tc>
          <w:tcPr>
            <w:tcW w:w="4688" w:type="pct"/>
            <w:gridSpan w:val="10"/>
            <w:tcBorders>
              <w:top w:val="single" w:color="000000" w:sz="4" w:space="0"/>
              <w:left w:val="nil"/>
              <w:bottom w:val="single" w:color="000000" w:sz="4" w:space="0"/>
              <w:right w:val="single" w:color="000000" w:sz="4" w:space="0"/>
            </w:tcBorders>
            <w:vAlign w:val="center"/>
          </w:tcPr>
          <w:p w14:paraId="49DE9C78">
            <w:pPr>
              <w:widowControl/>
              <w:jc w:val="both"/>
              <w:rPr>
                <w:rFonts w:hint="eastAsia" w:ascii="宋体" w:hAnsi="宋体" w:eastAsia="宋体" w:cs="宋体"/>
                <w:sz w:val="18"/>
                <w:szCs w:val="18"/>
              </w:rPr>
            </w:pPr>
            <w:r>
              <w:rPr>
                <w:rFonts w:hint="eastAsia" w:ascii="宋体" w:hAnsi="宋体" w:eastAsia="宋体" w:cs="宋体"/>
                <w:sz w:val="18"/>
                <w:szCs w:val="18"/>
              </w:rPr>
              <w:t>经过对项目资料、财务资料及台账等资料的分析，逐项进行自我评价，并结合社会评估得分，最终项目综合得分为99分。从综合服务、房屋管理及维修养护、公用设施设备维修养护、绿化养护、保洁服务、公共秩序维护等质量、时效、成本、社会效益等方面进行考核。经过详细统计，该项目所要求的指标全部达标，我局物业管理各项工作能够按时按质完成。通过项目实施，解决了职工的后顾之忧，提高为民办事的效率，群众满意度得到了提高。</w:t>
            </w:r>
          </w:p>
        </w:tc>
      </w:tr>
      <w:tr w14:paraId="5BF9DB20">
        <w:tblPrEx>
          <w:tblCellMar>
            <w:top w:w="0" w:type="dxa"/>
            <w:left w:w="108" w:type="dxa"/>
            <w:bottom w:w="0" w:type="dxa"/>
            <w:right w:w="108" w:type="dxa"/>
          </w:tblCellMar>
        </w:tblPrEx>
        <w:trPr>
          <w:trHeight w:val="574" w:hRule="atLeast"/>
        </w:trPr>
        <w:tc>
          <w:tcPr>
            <w:tcW w:w="311" w:type="pct"/>
            <w:tcBorders>
              <w:top w:val="nil"/>
              <w:left w:val="single" w:color="000000" w:sz="4" w:space="0"/>
              <w:bottom w:val="single" w:color="000000" w:sz="4" w:space="0"/>
              <w:right w:val="single" w:color="000000" w:sz="4" w:space="0"/>
            </w:tcBorders>
            <w:vAlign w:val="center"/>
          </w:tcPr>
          <w:p w14:paraId="5EE05B77">
            <w:pPr>
              <w:widowControl/>
              <w:jc w:val="center"/>
              <w:rPr>
                <w:rFonts w:ascii="宋体" w:hAnsi="宋体" w:eastAsia="宋体" w:cs="Times New Roman"/>
                <w:sz w:val="18"/>
                <w:szCs w:val="18"/>
              </w:rPr>
            </w:pPr>
            <w:r>
              <w:rPr>
                <w:rFonts w:hint="eastAsia" w:ascii="宋体" w:hAnsi="宋体" w:eastAsia="宋体" w:cs="宋体"/>
                <w:sz w:val="18"/>
                <w:szCs w:val="18"/>
              </w:rPr>
              <w:t>存在问题</w:t>
            </w:r>
          </w:p>
        </w:tc>
        <w:tc>
          <w:tcPr>
            <w:tcW w:w="4688" w:type="pct"/>
            <w:gridSpan w:val="10"/>
            <w:tcBorders>
              <w:top w:val="single" w:color="000000" w:sz="4" w:space="0"/>
              <w:left w:val="nil"/>
              <w:bottom w:val="single" w:color="000000" w:sz="4" w:space="0"/>
              <w:right w:val="single" w:color="000000" w:sz="4" w:space="0"/>
            </w:tcBorders>
            <w:vAlign w:val="center"/>
          </w:tcPr>
          <w:p w14:paraId="691DF433">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456C687B">
        <w:tblPrEx>
          <w:tblCellMar>
            <w:top w:w="0" w:type="dxa"/>
            <w:left w:w="108" w:type="dxa"/>
            <w:bottom w:w="0" w:type="dxa"/>
            <w:right w:w="108" w:type="dxa"/>
          </w:tblCellMar>
        </w:tblPrEx>
        <w:trPr>
          <w:trHeight w:val="634" w:hRule="atLeast"/>
        </w:trPr>
        <w:tc>
          <w:tcPr>
            <w:tcW w:w="311" w:type="pct"/>
            <w:tcBorders>
              <w:top w:val="nil"/>
              <w:left w:val="single" w:color="000000" w:sz="4" w:space="0"/>
              <w:bottom w:val="single" w:color="000000" w:sz="4" w:space="0"/>
              <w:right w:val="single" w:color="000000" w:sz="4" w:space="0"/>
            </w:tcBorders>
            <w:vAlign w:val="center"/>
          </w:tcPr>
          <w:p w14:paraId="79B07838">
            <w:pPr>
              <w:widowControl/>
              <w:jc w:val="center"/>
              <w:rPr>
                <w:rFonts w:ascii="宋体" w:hAnsi="宋体" w:eastAsia="宋体" w:cs="Times New Roman"/>
                <w:sz w:val="18"/>
                <w:szCs w:val="18"/>
              </w:rPr>
            </w:pPr>
            <w:r>
              <w:rPr>
                <w:rFonts w:hint="eastAsia" w:ascii="宋体" w:hAnsi="宋体" w:eastAsia="宋体" w:cs="宋体"/>
                <w:sz w:val="18"/>
                <w:szCs w:val="18"/>
              </w:rPr>
              <w:t>改进措施</w:t>
            </w:r>
          </w:p>
        </w:tc>
        <w:tc>
          <w:tcPr>
            <w:tcW w:w="4688" w:type="pct"/>
            <w:gridSpan w:val="10"/>
            <w:tcBorders>
              <w:top w:val="single" w:color="000000" w:sz="4" w:space="0"/>
              <w:left w:val="nil"/>
              <w:bottom w:val="single" w:color="000000" w:sz="4" w:space="0"/>
              <w:right w:val="single" w:color="000000" w:sz="4" w:space="0"/>
            </w:tcBorders>
            <w:vAlign w:val="center"/>
          </w:tcPr>
          <w:p w14:paraId="31142159">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73BEDCBA">
        <w:tblPrEx>
          <w:tblCellMar>
            <w:top w:w="0" w:type="dxa"/>
            <w:left w:w="108" w:type="dxa"/>
            <w:bottom w:w="0" w:type="dxa"/>
            <w:right w:w="108" w:type="dxa"/>
          </w:tblCellMar>
        </w:tblPrEx>
        <w:trPr>
          <w:trHeight w:val="285" w:hRule="atLeast"/>
        </w:trPr>
        <w:tc>
          <w:tcPr>
            <w:tcW w:w="2483" w:type="pct"/>
            <w:gridSpan w:val="5"/>
            <w:tcBorders>
              <w:top w:val="single" w:color="000000" w:sz="4" w:space="0"/>
              <w:left w:val="single" w:color="000000" w:sz="4" w:space="0"/>
              <w:bottom w:val="single" w:color="000000" w:sz="4" w:space="0"/>
              <w:right w:val="single" w:color="000000" w:sz="4" w:space="0"/>
            </w:tcBorders>
            <w:vAlign w:val="center"/>
          </w:tcPr>
          <w:p w14:paraId="75A54B85">
            <w:pPr>
              <w:widowControl/>
              <w:jc w:val="left"/>
              <w:rPr>
                <w:rFonts w:ascii="Courier New" w:hAnsi="Courier New" w:eastAsia="宋体" w:cs="Times New Roman"/>
                <w:sz w:val="18"/>
                <w:szCs w:val="18"/>
              </w:rPr>
            </w:pPr>
            <w:r>
              <w:rPr>
                <w:rFonts w:hint="eastAsia" w:ascii="Courier New" w:hAnsi="Courier New" w:eastAsia="宋体" w:cs="宋体"/>
                <w:sz w:val="18"/>
                <w:szCs w:val="18"/>
              </w:rPr>
              <w:t>项目负责人：刘妍</w:t>
            </w:r>
          </w:p>
        </w:tc>
        <w:tc>
          <w:tcPr>
            <w:tcW w:w="2516" w:type="pct"/>
            <w:gridSpan w:val="6"/>
            <w:tcBorders>
              <w:top w:val="single" w:color="000000" w:sz="4" w:space="0"/>
              <w:left w:val="nil"/>
              <w:bottom w:val="single" w:color="000000" w:sz="4" w:space="0"/>
              <w:right w:val="single" w:color="000000" w:sz="4" w:space="0"/>
            </w:tcBorders>
            <w:vAlign w:val="center"/>
          </w:tcPr>
          <w:p w14:paraId="5405E079">
            <w:pPr>
              <w:widowControl/>
              <w:jc w:val="left"/>
              <w:rPr>
                <w:rFonts w:ascii="Courier New" w:hAnsi="Courier New" w:eastAsia="宋体" w:cs="Times New Roman"/>
                <w:sz w:val="18"/>
                <w:szCs w:val="18"/>
              </w:rPr>
            </w:pPr>
            <w:r>
              <w:rPr>
                <w:rFonts w:hint="eastAsia" w:ascii="Courier New" w:hAnsi="Courier New" w:eastAsia="宋体" w:cs="宋体"/>
                <w:sz w:val="18"/>
                <w:szCs w:val="18"/>
              </w:rPr>
              <w:t>财务负责人：谭春乔</w:t>
            </w:r>
          </w:p>
        </w:tc>
      </w:tr>
    </w:tbl>
    <w:p w14:paraId="28E732C4">
      <w:pPr>
        <w:pStyle w:val="200"/>
        <w:ind w:left="632" w:firstLine="632"/>
        <w:rPr>
          <w:rFonts w:ascii="Times New Roman" w:eastAsia="黑体" w:cs="Times New Roman"/>
          <w:shd w:val="clear" w:color="auto" w:fill="FFFFFF"/>
          <w:lang w:val="zh-CN"/>
        </w:rPr>
      </w:pPr>
    </w:p>
    <w:p w14:paraId="3BDA5988">
      <w:pPr>
        <w:spacing w:line="580" w:lineRule="exact"/>
        <w:rPr>
          <w:rStyle w:val="202"/>
          <w:rFonts w:eastAsia="黑体" w:cs="Times New Roman"/>
          <w:b w:val="0"/>
          <w:bCs w:val="0"/>
        </w:rPr>
      </w:pPr>
    </w:p>
    <w:tbl>
      <w:tblPr>
        <w:tblStyle w:val="35"/>
        <w:tblW w:w="5000" w:type="pct"/>
        <w:tblInd w:w="2" w:type="dxa"/>
        <w:tblLayout w:type="autofit"/>
        <w:tblCellMar>
          <w:top w:w="0" w:type="dxa"/>
          <w:left w:w="108" w:type="dxa"/>
          <w:bottom w:w="0" w:type="dxa"/>
          <w:right w:w="108" w:type="dxa"/>
        </w:tblCellMar>
      </w:tblPr>
      <w:tblGrid>
        <w:gridCol w:w="576"/>
        <w:gridCol w:w="1225"/>
        <w:gridCol w:w="1042"/>
        <w:gridCol w:w="1354"/>
        <w:gridCol w:w="396"/>
        <w:gridCol w:w="975"/>
        <w:gridCol w:w="396"/>
        <w:gridCol w:w="846"/>
        <w:gridCol w:w="486"/>
        <w:gridCol w:w="397"/>
        <w:gridCol w:w="1549"/>
      </w:tblGrid>
      <w:tr w14:paraId="73FA2E13">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649EA788">
            <w:pPr>
              <w:widowControl/>
              <w:jc w:val="center"/>
              <w:rPr>
                <w:rFonts w:ascii="黑体" w:hAnsi="黑体" w:eastAsia="黑体" w:cs="Times New Roman"/>
                <w:b/>
                <w:bCs/>
                <w:sz w:val="30"/>
                <w:szCs w:val="30"/>
              </w:rPr>
            </w:pPr>
            <w:bookmarkStart w:id="113" w:name="_Toc15396618"/>
            <w:r>
              <w:rPr>
                <w:rFonts w:hint="eastAsia" w:ascii="黑体" w:hAnsi="黑体" w:eastAsia="黑体" w:cs="黑体"/>
                <w:b/>
                <w:bCs/>
                <w:sz w:val="30"/>
                <w:szCs w:val="30"/>
              </w:rPr>
              <w:t>部门预算项目支出绩效自评表（</w:t>
            </w:r>
            <w:r>
              <w:rPr>
                <w:rFonts w:ascii="黑体" w:hAnsi="黑体" w:eastAsia="黑体" w:cs="黑体"/>
                <w:b/>
                <w:bCs/>
                <w:sz w:val="30"/>
                <w:szCs w:val="30"/>
              </w:rPr>
              <w:t>2024</w:t>
            </w:r>
            <w:r>
              <w:rPr>
                <w:rFonts w:hint="eastAsia" w:ascii="黑体" w:hAnsi="黑体" w:eastAsia="黑体" w:cs="黑体"/>
                <w:b/>
                <w:bCs/>
                <w:sz w:val="30"/>
                <w:szCs w:val="30"/>
              </w:rPr>
              <w:t>年度）</w:t>
            </w:r>
          </w:p>
        </w:tc>
      </w:tr>
      <w:tr w14:paraId="77059A11">
        <w:tblPrEx>
          <w:tblCellMar>
            <w:top w:w="0" w:type="dxa"/>
            <w:left w:w="108" w:type="dxa"/>
            <w:bottom w:w="0" w:type="dxa"/>
            <w:right w:w="108" w:type="dxa"/>
          </w:tblCellMar>
        </w:tblPrEx>
        <w:trPr>
          <w:trHeight w:val="285" w:hRule="atLeast"/>
        </w:trPr>
        <w:tc>
          <w:tcPr>
            <w:tcW w:w="975" w:type="pct"/>
            <w:gridSpan w:val="2"/>
            <w:tcBorders>
              <w:top w:val="single" w:color="000000" w:sz="4" w:space="0"/>
              <w:left w:val="single" w:color="000000" w:sz="4" w:space="0"/>
              <w:bottom w:val="single" w:color="000000" w:sz="4" w:space="0"/>
              <w:right w:val="single" w:color="000000" w:sz="4" w:space="0"/>
            </w:tcBorders>
            <w:vAlign w:val="center"/>
          </w:tcPr>
          <w:p w14:paraId="7767450E">
            <w:pPr>
              <w:widowControl/>
              <w:jc w:val="left"/>
              <w:rPr>
                <w:rFonts w:ascii="宋体" w:hAnsi="宋体" w:eastAsia="宋体" w:cs="Times New Roman"/>
                <w:sz w:val="18"/>
                <w:szCs w:val="18"/>
              </w:rPr>
            </w:pPr>
            <w:r>
              <w:rPr>
                <w:rFonts w:hint="eastAsia" w:ascii="宋体" w:hAnsi="宋体" w:eastAsia="宋体" w:cs="宋体"/>
                <w:sz w:val="18"/>
                <w:szCs w:val="18"/>
              </w:rPr>
              <w:t>项目名称</w:t>
            </w:r>
          </w:p>
        </w:tc>
        <w:tc>
          <w:tcPr>
            <w:tcW w:w="4025" w:type="pct"/>
            <w:gridSpan w:val="9"/>
            <w:tcBorders>
              <w:top w:val="single" w:color="000000" w:sz="4" w:space="0"/>
              <w:left w:val="nil"/>
              <w:bottom w:val="single" w:color="000000" w:sz="4" w:space="0"/>
              <w:right w:val="single" w:color="000000" w:sz="4" w:space="0"/>
            </w:tcBorders>
            <w:vAlign w:val="center"/>
          </w:tcPr>
          <w:p w14:paraId="2B918B68">
            <w:pPr>
              <w:widowControl/>
              <w:jc w:val="left"/>
              <w:rPr>
                <w:rFonts w:ascii="宋体" w:hAnsi="宋体" w:eastAsia="宋体" w:cs="Times New Roman"/>
                <w:color w:val="FF0000"/>
                <w:sz w:val="18"/>
                <w:szCs w:val="18"/>
              </w:rPr>
            </w:pPr>
            <w:r>
              <w:rPr>
                <w:rFonts w:ascii="宋体" w:hAnsi="宋体" w:eastAsia="宋体" w:cs="宋体"/>
                <w:sz w:val="18"/>
                <w:szCs w:val="18"/>
              </w:rPr>
              <w:t>51090424T000011124431-</w:t>
            </w:r>
            <w:r>
              <w:rPr>
                <w:rFonts w:hint="eastAsia" w:ascii="宋体" w:hAnsi="宋体" w:eastAsia="宋体" w:cs="宋体"/>
                <w:sz w:val="18"/>
                <w:szCs w:val="18"/>
              </w:rPr>
              <w:t>机关办公自动化平台二期</w:t>
            </w:r>
          </w:p>
        </w:tc>
      </w:tr>
      <w:tr w14:paraId="40182DC3">
        <w:tblPrEx>
          <w:tblCellMar>
            <w:top w:w="0" w:type="dxa"/>
            <w:left w:w="108" w:type="dxa"/>
            <w:bottom w:w="0" w:type="dxa"/>
            <w:right w:w="108" w:type="dxa"/>
          </w:tblCellMar>
        </w:tblPrEx>
        <w:trPr>
          <w:trHeight w:val="514" w:hRule="atLeast"/>
        </w:trPr>
        <w:tc>
          <w:tcPr>
            <w:tcW w:w="975" w:type="pct"/>
            <w:gridSpan w:val="2"/>
            <w:tcBorders>
              <w:top w:val="single" w:color="000000" w:sz="4" w:space="0"/>
              <w:left w:val="single" w:color="000000" w:sz="4" w:space="0"/>
              <w:bottom w:val="single" w:color="000000" w:sz="4" w:space="0"/>
              <w:right w:val="single" w:color="000000" w:sz="4" w:space="0"/>
            </w:tcBorders>
            <w:vAlign w:val="center"/>
          </w:tcPr>
          <w:p w14:paraId="6057BF9C">
            <w:pPr>
              <w:widowControl/>
              <w:jc w:val="left"/>
              <w:rPr>
                <w:rFonts w:ascii="宋体" w:hAnsi="宋体" w:eastAsia="宋体" w:cs="Times New Roman"/>
                <w:sz w:val="18"/>
                <w:szCs w:val="18"/>
              </w:rPr>
            </w:pPr>
            <w:r>
              <w:rPr>
                <w:rFonts w:hint="eastAsia" w:ascii="宋体" w:hAnsi="宋体" w:eastAsia="宋体" w:cs="宋体"/>
                <w:sz w:val="18"/>
                <w:szCs w:val="18"/>
              </w:rPr>
              <w:t>主管部门</w:t>
            </w:r>
          </w:p>
        </w:tc>
        <w:tc>
          <w:tcPr>
            <w:tcW w:w="2387" w:type="pct"/>
            <w:gridSpan w:val="5"/>
            <w:tcBorders>
              <w:top w:val="single" w:color="000000" w:sz="4" w:space="0"/>
              <w:left w:val="nil"/>
              <w:bottom w:val="single" w:color="000000" w:sz="4" w:space="0"/>
              <w:right w:val="single" w:color="000000" w:sz="4" w:space="0"/>
            </w:tcBorders>
            <w:vAlign w:val="center"/>
          </w:tcPr>
          <w:p w14:paraId="4C501CD7">
            <w:pPr>
              <w:widowControl/>
              <w:jc w:val="left"/>
              <w:rPr>
                <w:rFonts w:ascii="宋体" w:hAnsi="宋体" w:eastAsia="宋体" w:cs="Times New Roman"/>
                <w:sz w:val="18"/>
                <w:szCs w:val="18"/>
              </w:rPr>
            </w:pPr>
            <w:r>
              <w:rPr>
                <w:rFonts w:hint="eastAsia" w:ascii="宋体" w:hAnsi="宋体" w:eastAsia="宋体" w:cs="宋体"/>
                <w:sz w:val="18"/>
                <w:szCs w:val="18"/>
              </w:rPr>
              <w:t>遂宁市安居区行政审批和数据局部门</w:t>
            </w:r>
          </w:p>
        </w:tc>
        <w:tc>
          <w:tcPr>
            <w:tcW w:w="388" w:type="pct"/>
            <w:tcBorders>
              <w:top w:val="nil"/>
              <w:left w:val="nil"/>
              <w:bottom w:val="nil"/>
              <w:right w:val="nil"/>
            </w:tcBorders>
            <w:vAlign w:val="center"/>
          </w:tcPr>
          <w:p w14:paraId="52C88CB9">
            <w:pPr>
              <w:widowControl/>
              <w:jc w:val="left"/>
              <w:rPr>
                <w:rFonts w:ascii="Courier New" w:hAnsi="Courier New" w:eastAsia="宋体" w:cs="Times New Roman"/>
                <w:sz w:val="18"/>
                <w:szCs w:val="18"/>
              </w:rPr>
            </w:pPr>
            <w:r>
              <w:rPr>
                <w:rFonts w:hint="eastAsia" w:ascii="Courier New" w:hAnsi="Courier New" w:eastAsia="宋体" w:cs="宋体"/>
                <w:sz w:val="18"/>
                <w:szCs w:val="18"/>
              </w:rPr>
              <w:t>实施单位</w:t>
            </w:r>
            <w:r>
              <w:rPr>
                <w:rFonts w:ascii="Courier New" w:hAnsi="Courier New" w:eastAsia="宋体" w:cs="Courier New"/>
                <w:sz w:val="18"/>
                <w:szCs w:val="18"/>
              </w:rPr>
              <w:t xml:space="preserve"> </w:t>
            </w:r>
            <w:r>
              <w:rPr>
                <w:rFonts w:hint="eastAsia" w:ascii="Courier New" w:hAnsi="Courier New" w:eastAsia="宋体" w:cs="宋体"/>
                <w:sz w:val="18"/>
                <w:szCs w:val="18"/>
              </w:rPr>
              <w:t>（盖章）</w:t>
            </w: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2F493428">
            <w:pPr>
              <w:widowControl/>
              <w:jc w:val="center"/>
              <w:rPr>
                <w:rFonts w:ascii="宋体" w:hAnsi="宋体" w:eastAsia="宋体" w:cs="Times New Roman"/>
                <w:sz w:val="18"/>
                <w:szCs w:val="18"/>
              </w:rPr>
            </w:pPr>
            <w:r>
              <w:rPr>
                <w:rFonts w:hint="eastAsia" w:ascii="宋体" w:hAnsi="宋体" w:eastAsia="宋体" w:cs="宋体"/>
                <w:sz w:val="18"/>
                <w:szCs w:val="18"/>
              </w:rPr>
              <w:t>遂宁市安居区行政审批和数据局</w:t>
            </w:r>
          </w:p>
        </w:tc>
      </w:tr>
      <w:tr w14:paraId="2EE81137">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vAlign w:val="center"/>
          </w:tcPr>
          <w:p w14:paraId="0E5D353C">
            <w:pPr>
              <w:widowControl/>
              <w:jc w:val="left"/>
              <w:rPr>
                <w:rFonts w:ascii="宋体" w:hAnsi="宋体" w:eastAsia="宋体" w:cs="Times New Roman"/>
                <w:sz w:val="18"/>
                <w:szCs w:val="18"/>
              </w:rPr>
            </w:pPr>
            <w:r>
              <w:rPr>
                <w:rFonts w:hint="eastAsia" w:ascii="宋体" w:hAnsi="宋体" w:eastAsia="宋体" w:cs="宋体"/>
                <w:sz w:val="18"/>
                <w:szCs w:val="18"/>
              </w:rPr>
              <w:t>项目基本情况</w:t>
            </w:r>
          </w:p>
        </w:tc>
        <w:tc>
          <w:tcPr>
            <w:tcW w:w="727" w:type="pct"/>
            <w:vMerge w:val="restart"/>
            <w:tcBorders>
              <w:top w:val="nil"/>
              <w:left w:val="single" w:color="000000" w:sz="4" w:space="0"/>
              <w:bottom w:val="single" w:color="000000" w:sz="4" w:space="0"/>
              <w:right w:val="single" w:color="000000" w:sz="4" w:space="0"/>
            </w:tcBorders>
            <w:vAlign w:val="center"/>
          </w:tcPr>
          <w:p w14:paraId="489160C6">
            <w:pPr>
              <w:widowControl/>
              <w:jc w:val="left"/>
              <w:rPr>
                <w:rFonts w:ascii="宋体" w:hAnsi="宋体" w:eastAsia="宋体" w:cs="Times New Roman"/>
                <w:sz w:val="18"/>
                <w:szCs w:val="18"/>
              </w:rPr>
            </w:pPr>
            <w:r>
              <w:rPr>
                <w:rFonts w:ascii="宋体" w:hAnsi="宋体" w:eastAsia="宋体" w:cs="宋体"/>
                <w:sz w:val="18"/>
                <w:szCs w:val="18"/>
              </w:rPr>
              <w:t>1.</w:t>
            </w:r>
            <w:r>
              <w:rPr>
                <w:rFonts w:hint="eastAsia" w:ascii="宋体" w:hAnsi="宋体" w:eastAsia="宋体" w:cs="宋体"/>
                <w:sz w:val="18"/>
                <w:szCs w:val="18"/>
              </w:rPr>
              <w:t>项目年度目标完成情况</w:t>
            </w:r>
          </w:p>
        </w:tc>
        <w:tc>
          <w:tcPr>
            <w:tcW w:w="2387" w:type="pct"/>
            <w:gridSpan w:val="5"/>
            <w:tcBorders>
              <w:top w:val="single" w:color="000000" w:sz="4" w:space="0"/>
              <w:left w:val="nil"/>
              <w:bottom w:val="single" w:color="000000" w:sz="4" w:space="0"/>
              <w:right w:val="single" w:color="000000" w:sz="4" w:space="0"/>
            </w:tcBorders>
            <w:vAlign w:val="center"/>
          </w:tcPr>
          <w:p w14:paraId="08DE392D">
            <w:pPr>
              <w:widowControl/>
              <w:jc w:val="center"/>
              <w:rPr>
                <w:rFonts w:ascii="宋体" w:hAnsi="宋体" w:eastAsia="宋体" w:cs="Times New Roman"/>
                <w:sz w:val="18"/>
                <w:szCs w:val="18"/>
              </w:rPr>
            </w:pPr>
            <w:r>
              <w:rPr>
                <w:rFonts w:hint="eastAsia" w:ascii="宋体" w:hAnsi="宋体" w:eastAsia="宋体" w:cs="宋体"/>
                <w:sz w:val="18"/>
                <w:szCs w:val="18"/>
              </w:rPr>
              <w:t>项目年度目标</w:t>
            </w:r>
          </w:p>
        </w:tc>
        <w:tc>
          <w:tcPr>
            <w:tcW w:w="1638" w:type="pct"/>
            <w:gridSpan w:val="4"/>
            <w:tcBorders>
              <w:top w:val="single" w:color="000000" w:sz="4" w:space="0"/>
              <w:left w:val="nil"/>
              <w:bottom w:val="single" w:color="000000" w:sz="4" w:space="0"/>
              <w:right w:val="single" w:color="000000" w:sz="4" w:space="0"/>
            </w:tcBorders>
            <w:vAlign w:val="center"/>
          </w:tcPr>
          <w:p w14:paraId="07993057">
            <w:pPr>
              <w:widowControl/>
              <w:jc w:val="center"/>
              <w:rPr>
                <w:rFonts w:ascii="Courier New" w:hAnsi="Courier New" w:eastAsia="宋体" w:cs="Times New Roman"/>
                <w:sz w:val="18"/>
                <w:szCs w:val="18"/>
              </w:rPr>
            </w:pPr>
            <w:r>
              <w:rPr>
                <w:rFonts w:hint="eastAsia" w:ascii="Courier New" w:hAnsi="Courier New" w:eastAsia="宋体" w:cs="宋体"/>
                <w:sz w:val="18"/>
                <w:szCs w:val="18"/>
              </w:rPr>
              <w:t>年度目标完成情况</w:t>
            </w:r>
          </w:p>
        </w:tc>
      </w:tr>
      <w:tr w14:paraId="09DAB573">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14:paraId="63755611">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4B10D93C">
            <w:pPr>
              <w:widowControl/>
              <w:jc w:val="left"/>
              <w:rPr>
                <w:rFonts w:ascii="宋体" w:hAnsi="宋体" w:eastAsia="宋体" w:cs="Times New Roman"/>
                <w:sz w:val="18"/>
                <w:szCs w:val="18"/>
              </w:rPr>
            </w:pPr>
          </w:p>
        </w:tc>
        <w:tc>
          <w:tcPr>
            <w:tcW w:w="2387" w:type="pct"/>
            <w:gridSpan w:val="5"/>
            <w:tcBorders>
              <w:top w:val="single" w:color="000000" w:sz="4" w:space="0"/>
              <w:left w:val="nil"/>
              <w:bottom w:val="single" w:color="000000" w:sz="4" w:space="0"/>
              <w:right w:val="single" w:color="000000" w:sz="4" w:space="0"/>
            </w:tcBorders>
            <w:vAlign w:val="center"/>
          </w:tcPr>
          <w:p w14:paraId="00898AD7">
            <w:pPr>
              <w:widowControl/>
              <w:jc w:val="left"/>
              <w:rPr>
                <w:rFonts w:ascii="宋体" w:hAnsi="宋体" w:eastAsia="宋体" w:cs="Times New Roman"/>
                <w:sz w:val="18"/>
                <w:szCs w:val="18"/>
              </w:rPr>
            </w:pPr>
            <w:r>
              <w:rPr>
                <w:rFonts w:hint="eastAsia" w:ascii="宋体" w:hAnsi="宋体" w:eastAsia="宋体" w:cs="宋体"/>
                <w:sz w:val="18"/>
                <w:szCs w:val="18"/>
              </w:rPr>
              <w:t>保障全区党政机关及企事业单位</w:t>
            </w:r>
            <w:r>
              <w:rPr>
                <w:rFonts w:ascii="宋体" w:hAnsi="宋体" w:eastAsia="宋体" w:cs="宋体"/>
                <w:sz w:val="18"/>
                <w:szCs w:val="18"/>
              </w:rPr>
              <w:t>OA</w:t>
            </w:r>
            <w:r>
              <w:rPr>
                <w:rFonts w:hint="eastAsia" w:ascii="宋体" w:hAnsi="宋体" w:eastAsia="宋体" w:cs="宋体"/>
                <w:sz w:val="18"/>
                <w:szCs w:val="18"/>
              </w:rPr>
              <w:t>系统的正常运营、系统授权扩容服务及日常运行维护。</w:t>
            </w:r>
          </w:p>
        </w:tc>
        <w:tc>
          <w:tcPr>
            <w:tcW w:w="1638" w:type="pct"/>
            <w:gridSpan w:val="4"/>
            <w:tcBorders>
              <w:top w:val="single" w:color="000000" w:sz="4" w:space="0"/>
              <w:left w:val="nil"/>
              <w:bottom w:val="single" w:color="000000" w:sz="4" w:space="0"/>
              <w:right w:val="single" w:color="000000" w:sz="4" w:space="0"/>
            </w:tcBorders>
            <w:vAlign w:val="center"/>
          </w:tcPr>
          <w:p w14:paraId="1A31F8C3">
            <w:pPr>
              <w:widowControl/>
              <w:jc w:val="left"/>
              <w:rPr>
                <w:rFonts w:ascii="Courier New" w:hAnsi="Courier New" w:eastAsia="宋体" w:cs="Times New Roman"/>
                <w:sz w:val="18"/>
                <w:szCs w:val="18"/>
              </w:rPr>
            </w:pPr>
            <w:r>
              <w:rPr>
                <w:rFonts w:hint="eastAsia" w:ascii="Courier New" w:hAnsi="Courier New" w:eastAsia="宋体" w:cs="宋体"/>
                <w:sz w:val="18"/>
                <w:szCs w:val="18"/>
              </w:rPr>
              <w:t>通过该项目实施提升了全区党政机关及企事业单位的办公办事效率，加强了各党政机关和企事业单位的紧密联系，极大缩短了办公审阅流程时间，强化了政府职能职责。</w:t>
            </w:r>
          </w:p>
        </w:tc>
      </w:tr>
      <w:tr w14:paraId="3DDB6823">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14:paraId="3431AAF0">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2DBF7F96">
            <w:pPr>
              <w:widowControl/>
              <w:jc w:val="left"/>
              <w:rPr>
                <w:rFonts w:ascii="宋体" w:hAnsi="宋体" w:eastAsia="宋体" w:cs="Times New Roman"/>
                <w:sz w:val="18"/>
                <w:szCs w:val="18"/>
              </w:rPr>
            </w:pPr>
            <w:r>
              <w:rPr>
                <w:rFonts w:ascii="宋体" w:hAnsi="宋体" w:eastAsia="宋体" w:cs="宋体"/>
                <w:sz w:val="18"/>
                <w:szCs w:val="18"/>
              </w:rPr>
              <w:t>2.</w:t>
            </w:r>
            <w:r>
              <w:rPr>
                <w:rFonts w:hint="eastAsia" w:ascii="宋体" w:hAnsi="宋体" w:eastAsia="宋体" w:cs="宋体"/>
                <w:sz w:val="18"/>
                <w:szCs w:val="18"/>
              </w:rPr>
              <w:t>项目实施内容及过程概述</w:t>
            </w:r>
          </w:p>
        </w:tc>
        <w:tc>
          <w:tcPr>
            <w:tcW w:w="4025" w:type="pct"/>
            <w:gridSpan w:val="9"/>
            <w:tcBorders>
              <w:top w:val="single" w:color="000000" w:sz="4" w:space="0"/>
              <w:left w:val="nil"/>
              <w:bottom w:val="single" w:color="000000" w:sz="4" w:space="0"/>
              <w:right w:val="single" w:color="000000" w:sz="4" w:space="0"/>
            </w:tcBorders>
            <w:vAlign w:val="center"/>
          </w:tcPr>
          <w:p w14:paraId="270AC39C">
            <w:pPr>
              <w:widowControl/>
              <w:jc w:val="left"/>
              <w:rPr>
                <w:rFonts w:ascii="宋体" w:hAnsi="宋体" w:eastAsia="宋体" w:cs="Times New Roman"/>
                <w:sz w:val="18"/>
                <w:szCs w:val="18"/>
              </w:rPr>
            </w:pPr>
            <w:r>
              <w:rPr>
                <w:rFonts w:hint="eastAsia" w:ascii="宋体" w:hAnsi="宋体" w:eastAsia="宋体" w:cs="宋体"/>
                <w:sz w:val="18"/>
                <w:szCs w:val="18"/>
              </w:rPr>
              <w:t>应用于全区党政机关及企事业单位</w:t>
            </w:r>
            <w:r>
              <w:rPr>
                <w:rFonts w:ascii="宋体" w:hAnsi="宋体" w:eastAsia="宋体" w:cs="宋体"/>
                <w:sz w:val="18"/>
                <w:szCs w:val="18"/>
              </w:rPr>
              <w:t>OA</w:t>
            </w:r>
            <w:r>
              <w:rPr>
                <w:rFonts w:hint="eastAsia" w:ascii="宋体" w:hAnsi="宋体" w:eastAsia="宋体" w:cs="宋体"/>
                <w:sz w:val="18"/>
                <w:szCs w:val="18"/>
              </w:rPr>
              <w:t>系统可在系统平台公文上传下达，配备专业技术员巡查和日常维护，保障平台安全高效运行。</w:t>
            </w:r>
          </w:p>
        </w:tc>
      </w:tr>
      <w:tr w14:paraId="0EDB20B2">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vAlign w:val="center"/>
          </w:tcPr>
          <w:p w14:paraId="3D953D5F">
            <w:pPr>
              <w:widowControl/>
              <w:jc w:val="center"/>
              <w:rPr>
                <w:rFonts w:ascii="宋体" w:hAnsi="宋体" w:eastAsia="宋体" w:cs="Times New Roman"/>
                <w:sz w:val="18"/>
                <w:szCs w:val="18"/>
              </w:rPr>
            </w:pPr>
            <w:r>
              <w:rPr>
                <w:rFonts w:hint="eastAsia" w:ascii="宋体" w:hAnsi="宋体" w:eastAsia="宋体" w:cs="宋体"/>
                <w:sz w:val="18"/>
                <w:szCs w:val="18"/>
              </w:rPr>
              <w:t>预算执行情况（</w:t>
            </w:r>
            <w:r>
              <w:rPr>
                <w:rFonts w:ascii="宋体" w:hAnsi="宋体" w:eastAsia="宋体" w:cs="宋体"/>
                <w:sz w:val="18"/>
                <w:szCs w:val="18"/>
              </w:rPr>
              <w:t>10</w:t>
            </w:r>
            <w:r>
              <w:rPr>
                <w:rFonts w:hint="eastAsia" w:ascii="宋体" w:hAnsi="宋体" w:eastAsia="宋体" w:cs="宋体"/>
                <w:sz w:val="18"/>
                <w:szCs w:val="18"/>
              </w:rPr>
              <w:t>分）</w:t>
            </w:r>
          </w:p>
        </w:tc>
        <w:tc>
          <w:tcPr>
            <w:tcW w:w="727" w:type="pct"/>
            <w:tcBorders>
              <w:top w:val="nil"/>
              <w:left w:val="nil"/>
              <w:bottom w:val="single" w:color="000000" w:sz="4" w:space="0"/>
              <w:right w:val="single" w:color="000000" w:sz="4" w:space="0"/>
            </w:tcBorders>
            <w:vAlign w:val="center"/>
          </w:tcPr>
          <w:p w14:paraId="79AFF7BE">
            <w:pPr>
              <w:widowControl/>
              <w:jc w:val="center"/>
              <w:rPr>
                <w:rFonts w:ascii="宋体" w:hAnsi="宋体" w:eastAsia="宋体" w:cs="Times New Roman"/>
                <w:sz w:val="18"/>
                <w:szCs w:val="18"/>
              </w:rPr>
            </w:pPr>
            <w:r>
              <w:rPr>
                <w:rFonts w:hint="eastAsia" w:ascii="宋体" w:hAnsi="宋体" w:eastAsia="宋体" w:cs="宋体"/>
                <w:sz w:val="18"/>
                <w:szCs w:val="18"/>
              </w:rPr>
              <w:t>年度预算数（万元）</w:t>
            </w:r>
          </w:p>
        </w:tc>
        <w:tc>
          <w:tcPr>
            <w:tcW w:w="629" w:type="pct"/>
            <w:tcBorders>
              <w:top w:val="nil"/>
              <w:left w:val="nil"/>
              <w:bottom w:val="single" w:color="000000" w:sz="4" w:space="0"/>
              <w:right w:val="single" w:color="000000" w:sz="4" w:space="0"/>
            </w:tcBorders>
            <w:vAlign w:val="center"/>
          </w:tcPr>
          <w:p w14:paraId="65DB281E">
            <w:pPr>
              <w:widowControl/>
              <w:jc w:val="center"/>
              <w:rPr>
                <w:rFonts w:ascii="宋体" w:hAnsi="宋体" w:eastAsia="宋体" w:cs="Times New Roman"/>
                <w:sz w:val="18"/>
                <w:szCs w:val="18"/>
              </w:rPr>
            </w:pPr>
            <w:r>
              <w:rPr>
                <w:rFonts w:hint="eastAsia" w:ascii="宋体" w:hAnsi="宋体" w:eastAsia="宋体" w:cs="宋体"/>
                <w:sz w:val="18"/>
                <w:szCs w:val="18"/>
              </w:rPr>
              <w:t>年初预算</w:t>
            </w:r>
          </w:p>
        </w:tc>
        <w:tc>
          <w:tcPr>
            <w:tcW w:w="798" w:type="pct"/>
            <w:tcBorders>
              <w:top w:val="nil"/>
              <w:left w:val="nil"/>
              <w:bottom w:val="single" w:color="000000" w:sz="4" w:space="0"/>
              <w:right w:val="single" w:color="000000" w:sz="4" w:space="0"/>
            </w:tcBorders>
            <w:vAlign w:val="center"/>
          </w:tcPr>
          <w:p w14:paraId="3C0BB37E">
            <w:pPr>
              <w:widowControl/>
              <w:jc w:val="center"/>
              <w:rPr>
                <w:rFonts w:ascii="宋体" w:hAnsi="宋体" w:eastAsia="宋体" w:cs="Times New Roman"/>
                <w:sz w:val="18"/>
                <w:szCs w:val="18"/>
              </w:rPr>
            </w:pPr>
            <w:r>
              <w:rPr>
                <w:rFonts w:hint="eastAsia" w:ascii="宋体" w:hAnsi="宋体" w:eastAsia="宋体" w:cs="宋体"/>
                <w:sz w:val="18"/>
                <w:szCs w:val="18"/>
              </w:rPr>
              <w:t>调整后预算数</w:t>
            </w:r>
          </w:p>
        </w:tc>
        <w:tc>
          <w:tcPr>
            <w:tcW w:w="960" w:type="pct"/>
            <w:gridSpan w:val="3"/>
            <w:tcBorders>
              <w:top w:val="single" w:color="000000" w:sz="4" w:space="0"/>
              <w:left w:val="nil"/>
              <w:bottom w:val="single" w:color="000000" w:sz="4" w:space="0"/>
              <w:right w:val="single" w:color="000000" w:sz="4" w:space="0"/>
            </w:tcBorders>
            <w:vAlign w:val="center"/>
          </w:tcPr>
          <w:p w14:paraId="52F9A1D6">
            <w:pPr>
              <w:widowControl/>
              <w:jc w:val="center"/>
              <w:rPr>
                <w:rFonts w:ascii="宋体" w:hAnsi="宋体" w:eastAsia="宋体" w:cs="Times New Roman"/>
                <w:sz w:val="18"/>
                <w:szCs w:val="18"/>
              </w:rPr>
            </w:pPr>
            <w:r>
              <w:rPr>
                <w:rFonts w:hint="eastAsia" w:ascii="宋体" w:hAnsi="宋体" w:eastAsia="宋体" w:cs="宋体"/>
                <w:sz w:val="18"/>
                <w:szCs w:val="18"/>
              </w:rPr>
              <w:t>预算执行数</w:t>
            </w:r>
          </w:p>
        </w:tc>
        <w:tc>
          <w:tcPr>
            <w:tcW w:w="388" w:type="pct"/>
            <w:tcBorders>
              <w:top w:val="nil"/>
              <w:left w:val="nil"/>
              <w:bottom w:val="single" w:color="000000" w:sz="4" w:space="0"/>
              <w:right w:val="single" w:color="000000" w:sz="4" w:space="0"/>
            </w:tcBorders>
            <w:vAlign w:val="center"/>
          </w:tcPr>
          <w:p w14:paraId="789B7D26">
            <w:pPr>
              <w:widowControl/>
              <w:jc w:val="center"/>
              <w:rPr>
                <w:rFonts w:ascii="宋体" w:hAnsi="宋体" w:eastAsia="宋体" w:cs="Times New Roman"/>
                <w:sz w:val="18"/>
                <w:szCs w:val="18"/>
              </w:rPr>
            </w:pPr>
            <w:r>
              <w:rPr>
                <w:rFonts w:hint="eastAsia" w:ascii="宋体" w:hAnsi="宋体" w:eastAsia="宋体" w:cs="宋体"/>
                <w:sz w:val="18"/>
                <w:szCs w:val="18"/>
              </w:rPr>
              <w:t>预算执行率</w:t>
            </w:r>
          </w:p>
        </w:tc>
        <w:tc>
          <w:tcPr>
            <w:tcW w:w="184" w:type="pct"/>
            <w:tcBorders>
              <w:top w:val="nil"/>
              <w:left w:val="nil"/>
              <w:bottom w:val="single" w:color="000000" w:sz="4" w:space="0"/>
              <w:right w:val="single" w:color="000000" w:sz="4" w:space="0"/>
            </w:tcBorders>
            <w:vAlign w:val="center"/>
          </w:tcPr>
          <w:p w14:paraId="66CFA7E3">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162" w:type="pct"/>
            <w:tcBorders>
              <w:top w:val="nil"/>
              <w:left w:val="nil"/>
              <w:bottom w:val="single" w:color="000000" w:sz="4" w:space="0"/>
              <w:right w:val="single" w:color="000000" w:sz="4" w:space="0"/>
            </w:tcBorders>
            <w:vAlign w:val="center"/>
          </w:tcPr>
          <w:p w14:paraId="23000720">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904" w:type="pct"/>
            <w:tcBorders>
              <w:top w:val="nil"/>
              <w:left w:val="nil"/>
              <w:bottom w:val="single" w:color="000000" w:sz="4" w:space="0"/>
              <w:right w:val="single" w:color="000000" w:sz="4" w:space="0"/>
            </w:tcBorders>
            <w:vAlign w:val="center"/>
          </w:tcPr>
          <w:p w14:paraId="41CCB456">
            <w:pPr>
              <w:widowControl/>
              <w:jc w:val="center"/>
              <w:rPr>
                <w:rFonts w:ascii="宋体" w:hAnsi="宋体" w:eastAsia="宋体" w:cs="Times New Roman"/>
                <w:sz w:val="18"/>
                <w:szCs w:val="18"/>
              </w:rPr>
            </w:pPr>
            <w:r>
              <w:rPr>
                <w:rFonts w:hint="eastAsia" w:ascii="宋体" w:hAnsi="宋体" w:eastAsia="宋体" w:cs="宋体"/>
                <w:sz w:val="18"/>
                <w:szCs w:val="18"/>
              </w:rPr>
              <w:t>原因</w:t>
            </w:r>
          </w:p>
        </w:tc>
      </w:tr>
      <w:tr w14:paraId="21000236">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14:paraId="6A50EB21">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0DA2AF35">
            <w:pPr>
              <w:widowControl/>
              <w:jc w:val="center"/>
              <w:rPr>
                <w:rFonts w:ascii="宋体" w:hAnsi="宋体" w:eastAsia="宋体" w:cs="Times New Roman"/>
                <w:sz w:val="18"/>
                <w:szCs w:val="18"/>
              </w:rPr>
            </w:pPr>
            <w:r>
              <w:rPr>
                <w:rFonts w:hint="eastAsia" w:ascii="宋体" w:hAnsi="宋体" w:eastAsia="宋体" w:cs="宋体"/>
                <w:sz w:val="18"/>
                <w:szCs w:val="18"/>
              </w:rPr>
              <w:t>总额</w:t>
            </w:r>
          </w:p>
        </w:tc>
        <w:tc>
          <w:tcPr>
            <w:tcW w:w="629" w:type="pct"/>
            <w:tcBorders>
              <w:top w:val="nil"/>
              <w:left w:val="nil"/>
              <w:bottom w:val="single" w:color="000000" w:sz="4" w:space="0"/>
              <w:right w:val="single" w:color="000000" w:sz="4" w:space="0"/>
            </w:tcBorders>
            <w:vAlign w:val="center"/>
          </w:tcPr>
          <w:p w14:paraId="729823E3">
            <w:pPr>
              <w:widowControl/>
              <w:jc w:val="center"/>
              <w:rPr>
                <w:rFonts w:ascii="宋体" w:hAnsi="宋体" w:eastAsia="宋体" w:cs="宋体"/>
                <w:sz w:val="18"/>
                <w:szCs w:val="18"/>
              </w:rPr>
            </w:pPr>
            <w:r>
              <w:rPr>
                <w:rFonts w:ascii="宋体" w:hAnsi="宋体" w:eastAsia="宋体" w:cs="宋体"/>
                <w:sz w:val="18"/>
                <w:szCs w:val="18"/>
              </w:rPr>
              <w:t>23.28</w:t>
            </w:r>
          </w:p>
        </w:tc>
        <w:tc>
          <w:tcPr>
            <w:tcW w:w="798" w:type="pct"/>
            <w:tcBorders>
              <w:top w:val="nil"/>
              <w:left w:val="nil"/>
              <w:bottom w:val="single" w:color="000000" w:sz="4" w:space="0"/>
              <w:right w:val="single" w:color="000000" w:sz="4" w:space="0"/>
            </w:tcBorders>
            <w:vAlign w:val="center"/>
          </w:tcPr>
          <w:p w14:paraId="575216D7">
            <w:pPr>
              <w:widowControl/>
              <w:jc w:val="center"/>
              <w:rPr>
                <w:rFonts w:ascii="宋体" w:hAnsi="宋体" w:eastAsia="宋体" w:cs="宋体"/>
                <w:sz w:val="18"/>
                <w:szCs w:val="18"/>
              </w:rPr>
            </w:pPr>
            <w:r>
              <w:rPr>
                <w:rFonts w:ascii="宋体" w:hAnsi="宋体" w:eastAsia="宋体" w:cs="宋体"/>
                <w:sz w:val="18"/>
                <w:szCs w:val="18"/>
              </w:rPr>
              <w:t>11.88</w:t>
            </w:r>
          </w:p>
        </w:tc>
        <w:tc>
          <w:tcPr>
            <w:tcW w:w="960" w:type="pct"/>
            <w:gridSpan w:val="3"/>
            <w:tcBorders>
              <w:top w:val="single" w:color="000000" w:sz="4" w:space="0"/>
              <w:left w:val="nil"/>
              <w:bottom w:val="single" w:color="000000" w:sz="4" w:space="0"/>
              <w:right w:val="single" w:color="000000" w:sz="4" w:space="0"/>
            </w:tcBorders>
            <w:vAlign w:val="center"/>
          </w:tcPr>
          <w:p w14:paraId="131EE7C4">
            <w:pPr>
              <w:widowControl/>
              <w:jc w:val="center"/>
              <w:rPr>
                <w:rFonts w:ascii="宋体" w:hAnsi="宋体" w:eastAsia="宋体" w:cs="宋体"/>
                <w:sz w:val="18"/>
                <w:szCs w:val="18"/>
              </w:rPr>
            </w:pPr>
            <w:r>
              <w:rPr>
                <w:rFonts w:ascii="宋体" w:hAnsi="宋体" w:eastAsia="宋体" w:cs="宋体"/>
                <w:sz w:val="18"/>
                <w:szCs w:val="18"/>
              </w:rPr>
              <w:t>11.88</w:t>
            </w:r>
          </w:p>
        </w:tc>
        <w:tc>
          <w:tcPr>
            <w:tcW w:w="388" w:type="pct"/>
            <w:tcBorders>
              <w:top w:val="nil"/>
              <w:left w:val="nil"/>
              <w:bottom w:val="single" w:color="000000" w:sz="4" w:space="0"/>
              <w:right w:val="single" w:color="000000" w:sz="4" w:space="0"/>
            </w:tcBorders>
            <w:vAlign w:val="center"/>
          </w:tcPr>
          <w:p w14:paraId="2144240B">
            <w:pPr>
              <w:widowControl/>
              <w:jc w:val="center"/>
              <w:rPr>
                <w:rFonts w:ascii="宋体" w:hAnsi="宋体" w:eastAsia="宋体" w:cs="宋体"/>
                <w:sz w:val="18"/>
                <w:szCs w:val="18"/>
              </w:rPr>
            </w:pPr>
            <w:r>
              <w:rPr>
                <w:rFonts w:ascii="宋体" w:hAnsi="宋体" w:eastAsia="宋体" w:cs="宋体"/>
                <w:sz w:val="18"/>
                <w:szCs w:val="18"/>
              </w:rPr>
              <w:t>100.00%</w:t>
            </w:r>
          </w:p>
        </w:tc>
        <w:tc>
          <w:tcPr>
            <w:tcW w:w="184" w:type="pct"/>
            <w:tcBorders>
              <w:top w:val="nil"/>
              <w:left w:val="nil"/>
              <w:bottom w:val="single" w:color="000000" w:sz="4" w:space="0"/>
              <w:right w:val="single" w:color="000000" w:sz="4" w:space="0"/>
            </w:tcBorders>
            <w:vAlign w:val="center"/>
          </w:tcPr>
          <w:p w14:paraId="1423E047">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470C93B6">
            <w:pPr>
              <w:widowControl/>
              <w:jc w:val="center"/>
              <w:rPr>
                <w:rFonts w:ascii="宋体" w:hAnsi="宋体" w:eastAsia="宋体" w:cs="宋体"/>
                <w:sz w:val="18"/>
                <w:szCs w:val="18"/>
              </w:rPr>
            </w:pPr>
            <w:r>
              <w:rPr>
                <w:rFonts w:ascii="宋体" w:hAnsi="宋体" w:eastAsia="宋体" w:cs="宋体"/>
                <w:sz w:val="18"/>
                <w:szCs w:val="18"/>
              </w:rPr>
              <w:t>8</w:t>
            </w:r>
          </w:p>
        </w:tc>
        <w:tc>
          <w:tcPr>
            <w:tcW w:w="904" w:type="pct"/>
            <w:vMerge w:val="restart"/>
            <w:tcBorders>
              <w:top w:val="nil"/>
              <w:left w:val="single" w:color="000000" w:sz="4" w:space="0"/>
              <w:bottom w:val="single" w:color="000000" w:sz="4" w:space="0"/>
              <w:right w:val="single" w:color="000000" w:sz="4" w:space="0"/>
            </w:tcBorders>
            <w:vAlign w:val="center"/>
          </w:tcPr>
          <w:p w14:paraId="5C4A48DA">
            <w:pPr>
              <w:widowControl/>
              <w:jc w:val="left"/>
              <w:rPr>
                <w:rFonts w:ascii="Courier New" w:hAnsi="Courier New" w:eastAsia="宋体" w:cs="Times New Roman"/>
                <w:i/>
                <w:iCs/>
                <w:sz w:val="18"/>
                <w:szCs w:val="18"/>
              </w:rPr>
            </w:pPr>
            <w:r>
              <w:rPr>
                <w:rFonts w:hint="eastAsia" w:ascii="宋体" w:hAnsi="宋体" w:eastAsia="宋体" w:cs="宋体"/>
                <w:sz w:val="18"/>
                <w:szCs w:val="18"/>
              </w:rPr>
              <w:t>因全市OA系统升级，原授权扩容服务费第三次费用11.4万元不需再交付。</w:t>
            </w:r>
          </w:p>
        </w:tc>
      </w:tr>
      <w:tr w14:paraId="79EED499">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14:paraId="5F9FC275">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7B9378D1">
            <w:pPr>
              <w:widowControl/>
              <w:jc w:val="center"/>
              <w:rPr>
                <w:rFonts w:ascii="宋体" w:hAnsi="宋体" w:eastAsia="宋体" w:cs="Times New Roman"/>
                <w:sz w:val="18"/>
                <w:szCs w:val="18"/>
              </w:rPr>
            </w:pPr>
            <w:r>
              <w:rPr>
                <w:rFonts w:hint="eastAsia" w:ascii="宋体" w:hAnsi="宋体" w:eastAsia="宋体" w:cs="宋体"/>
                <w:sz w:val="18"/>
                <w:szCs w:val="18"/>
              </w:rPr>
              <w:t>其中：财政资金</w:t>
            </w:r>
          </w:p>
        </w:tc>
        <w:tc>
          <w:tcPr>
            <w:tcW w:w="629" w:type="pct"/>
            <w:tcBorders>
              <w:top w:val="nil"/>
              <w:left w:val="nil"/>
              <w:bottom w:val="single" w:color="000000" w:sz="4" w:space="0"/>
              <w:right w:val="single" w:color="000000" w:sz="4" w:space="0"/>
            </w:tcBorders>
            <w:vAlign w:val="center"/>
          </w:tcPr>
          <w:p w14:paraId="2F5A2FF6">
            <w:pPr>
              <w:widowControl/>
              <w:jc w:val="center"/>
              <w:rPr>
                <w:rFonts w:ascii="宋体" w:hAnsi="宋体" w:eastAsia="宋体" w:cs="宋体"/>
                <w:sz w:val="18"/>
                <w:szCs w:val="18"/>
              </w:rPr>
            </w:pPr>
            <w:r>
              <w:rPr>
                <w:rFonts w:ascii="宋体" w:hAnsi="宋体" w:eastAsia="宋体" w:cs="宋体"/>
                <w:sz w:val="18"/>
                <w:szCs w:val="18"/>
              </w:rPr>
              <w:t>23.28</w:t>
            </w:r>
          </w:p>
        </w:tc>
        <w:tc>
          <w:tcPr>
            <w:tcW w:w="798" w:type="pct"/>
            <w:tcBorders>
              <w:top w:val="nil"/>
              <w:left w:val="nil"/>
              <w:bottom w:val="single" w:color="000000" w:sz="4" w:space="0"/>
              <w:right w:val="single" w:color="000000" w:sz="4" w:space="0"/>
            </w:tcBorders>
            <w:vAlign w:val="center"/>
          </w:tcPr>
          <w:p w14:paraId="55CE17A2">
            <w:pPr>
              <w:widowControl/>
              <w:jc w:val="center"/>
              <w:rPr>
                <w:rFonts w:ascii="宋体" w:hAnsi="宋体" w:eastAsia="宋体" w:cs="宋体"/>
                <w:sz w:val="18"/>
                <w:szCs w:val="18"/>
              </w:rPr>
            </w:pPr>
            <w:r>
              <w:rPr>
                <w:rFonts w:ascii="宋体" w:hAnsi="宋体" w:eastAsia="宋体" w:cs="宋体"/>
                <w:sz w:val="18"/>
                <w:szCs w:val="18"/>
              </w:rPr>
              <w:t>11.88</w:t>
            </w:r>
          </w:p>
        </w:tc>
        <w:tc>
          <w:tcPr>
            <w:tcW w:w="960" w:type="pct"/>
            <w:gridSpan w:val="3"/>
            <w:tcBorders>
              <w:top w:val="single" w:color="000000" w:sz="4" w:space="0"/>
              <w:left w:val="nil"/>
              <w:bottom w:val="single" w:color="000000" w:sz="4" w:space="0"/>
              <w:right w:val="single" w:color="000000" w:sz="4" w:space="0"/>
            </w:tcBorders>
            <w:vAlign w:val="center"/>
          </w:tcPr>
          <w:p w14:paraId="44C779AA">
            <w:pPr>
              <w:widowControl/>
              <w:jc w:val="center"/>
              <w:rPr>
                <w:rFonts w:ascii="宋体" w:hAnsi="宋体" w:eastAsia="宋体" w:cs="宋体"/>
                <w:sz w:val="18"/>
                <w:szCs w:val="18"/>
              </w:rPr>
            </w:pPr>
            <w:r>
              <w:rPr>
                <w:rFonts w:ascii="宋体" w:hAnsi="宋体" w:eastAsia="宋体" w:cs="宋体"/>
                <w:sz w:val="18"/>
                <w:szCs w:val="18"/>
              </w:rPr>
              <w:t>11.88</w:t>
            </w:r>
          </w:p>
        </w:tc>
        <w:tc>
          <w:tcPr>
            <w:tcW w:w="388" w:type="pct"/>
            <w:tcBorders>
              <w:top w:val="nil"/>
              <w:left w:val="nil"/>
              <w:bottom w:val="single" w:color="000000" w:sz="4" w:space="0"/>
              <w:right w:val="single" w:color="000000" w:sz="4" w:space="0"/>
            </w:tcBorders>
            <w:vAlign w:val="center"/>
          </w:tcPr>
          <w:p w14:paraId="517257E0">
            <w:pPr>
              <w:widowControl/>
              <w:jc w:val="center"/>
              <w:rPr>
                <w:rFonts w:ascii="宋体" w:hAnsi="宋体" w:eastAsia="宋体" w:cs="宋体"/>
                <w:sz w:val="18"/>
                <w:szCs w:val="18"/>
              </w:rPr>
            </w:pPr>
            <w:r>
              <w:rPr>
                <w:rFonts w:ascii="宋体" w:hAnsi="宋体" w:eastAsia="宋体" w:cs="宋体"/>
                <w:sz w:val="18"/>
                <w:szCs w:val="18"/>
              </w:rPr>
              <w:t>100.00%</w:t>
            </w:r>
          </w:p>
        </w:tc>
        <w:tc>
          <w:tcPr>
            <w:tcW w:w="184" w:type="pct"/>
            <w:tcBorders>
              <w:top w:val="nil"/>
              <w:left w:val="nil"/>
              <w:bottom w:val="single" w:color="000000" w:sz="4" w:space="0"/>
              <w:right w:val="single" w:color="000000" w:sz="4" w:space="0"/>
            </w:tcBorders>
            <w:vAlign w:val="center"/>
          </w:tcPr>
          <w:p w14:paraId="1CB922AC">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2BA3CD60">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0244F0A4">
            <w:pPr>
              <w:widowControl/>
              <w:jc w:val="left"/>
              <w:rPr>
                <w:rFonts w:ascii="Courier New" w:hAnsi="Courier New" w:eastAsia="宋体" w:cs="Times New Roman"/>
                <w:i/>
                <w:iCs/>
                <w:sz w:val="18"/>
                <w:szCs w:val="18"/>
              </w:rPr>
            </w:pPr>
          </w:p>
        </w:tc>
      </w:tr>
      <w:tr w14:paraId="193C2662">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14:paraId="3507B66F">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0B1FB206">
            <w:pPr>
              <w:widowControl/>
              <w:jc w:val="center"/>
              <w:rPr>
                <w:rFonts w:ascii="宋体" w:hAnsi="宋体" w:eastAsia="宋体" w:cs="Times New Roman"/>
                <w:sz w:val="18"/>
                <w:szCs w:val="18"/>
              </w:rPr>
            </w:pPr>
            <w:r>
              <w:rPr>
                <w:rFonts w:hint="eastAsia" w:ascii="宋体" w:hAnsi="宋体" w:eastAsia="宋体" w:cs="宋体"/>
                <w:sz w:val="18"/>
                <w:szCs w:val="18"/>
              </w:rPr>
              <w:t>财政专户管理资金</w:t>
            </w:r>
          </w:p>
        </w:tc>
        <w:tc>
          <w:tcPr>
            <w:tcW w:w="629" w:type="pct"/>
            <w:tcBorders>
              <w:top w:val="nil"/>
              <w:left w:val="nil"/>
              <w:bottom w:val="single" w:color="000000" w:sz="4" w:space="0"/>
              <w:right w:val="single" w:color="000000" w:sz="4" w:space="0"/>
            </w:tcBorders>
            <w:vAlign w:val="center"/>
          </w:tcPr>
          <w:p w14:paraId="30E6490B">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24F1D505">
            <w:pPr>
              <w:widowControl/>
              <w:jc w:val="center"/>
              <w:rPr>
                <w:rFonts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nil"/>
              <w:bottom w:val="single" w:color="000000" w:sz="4" w:space="0"/>
              <w:right w:val="single" w:color="000000" w:sz="4" w:space="0"/>
            </w:tcBorders>
            <w:vAlign w:val="center"/>
          </w:tcPr>
          <w:p w14:paraId="4A0C4E25">
            <w:pPr>
              <w:widowControl/>
              <w:jc w:val="center"/>
              <w:rPr>
                <w:rFonts w:ascii="宋体" w:hAnsi="宋体" w:eastAsia="宋体" w:cs="宋体"/>
                <w:sz w:val="18"/>
                <w:szCs w:val="18"/>
              </w:rPr>
            </w:pPr>
            <w:r>
              <w:rPr>
                <w:rFonts w:ascii="宋体" w:hAnsi="宋体" w:eastAsia="宋体" w:cs="宋体"/>
                <w:sz w:val="18"/>
                <w:szCs w:val="18"/>
              </w:rPr>
              <w:t>0.00</w:t>
            </w:r>
          </w:p>
        </w:tc>
        <w:tc>
          <w:tcPr>
            <w:tcW w:w="388" w:type="pct"/>
            <w:tcBorders>
              <w:top w:val="nil"/>
              <w:left w:val="nil"/>
              <w:bottom w:val="single" w:color="000000" w:sz="4" w:space="0"/>
              <w:right w:val="single" w:color="000000" w:sz="4" w:space="0"/>
            </w:tcBorders>
            <w:vAlign w:val="center"/>
          </w:tcPr>
          <w:p w14:paraId="347BC38F">
            <w:pPr>
              <w:widowControl/>
              <w:jc w:val="center"/>
              <w:rPr>
                <w:rFonts w:ascii="宋体" w:hAnsi="宋体" w:eastAsia="宋体" w:cs="宋体"/>
                <w:sz w:val="18"/>
                <w:szCs w:val="18"/>
              </w:rPr>
            </w:pPr>
            <w:r>
              <w:rPr>
                <w:rFonts w:ascii="宋体" w:hAnsi="宋体" w:eastAsia="宋体" w:cs="宋体"/>
                <w:sz w:val="18"/>
                <w:szCs w:val="18"/>
              </w:rPr>
              <w:t>0.00%</w:t>
            </w:r>
          </w:p>
        </w:tc>
        <w:tc>
          <w:tcPr>
            <w:tcW w:w="184" w:type="pct"/>
            <w:tcBorders>
              <w:top w:val="nil"/>
              <w:left w:val="nil"/>
              <w:bottom w:val="single" w:color="000000" w:sz="4" w:space="0"/>
              <w:right w:val="single" w:color="000000" w:sz="4" w:space="0"/>
            </w:tcBorders>
            <w:vAlign w:val="center"/>
          </w:tcPr>
          <w:p w14:paraId="57FA365A">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745AE415">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40EF65AE">
            <w:pPr>
              <w:widowControl/>
              <w:jc w:val="left"/>
              <w:rPr>
                <w:rFonts w:ascii="Courier New" w:hAnsi="Courier New" w:eastAsia="宋体" w:cs="Times New Roman"/>
                <w:i/>
                <w:iCs/>
                <w:sz w:val="18"/>
                <w:szCs w:val="18"/>
              </w:rPr>
            </w:pPr>
          </w:p>
        </w:tc>
      </w:tr>
      <w:tr w14:paraId="56F61928">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14:paraId="3D87D303">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4E5B87BE">
            <w:pPr>
              <w:widowControl/>
              <w:jc w:val="center"/>
              <w:rPr>
                <w:rFonts w:ascii="宋体" w:hAnsi="宋体" w:eastAsia="宋体" w:cs="Times New Roman"/>
                <w:sz w:val="18"/>
                <w:szCs w:val="18"/>
              </w:rPr>
            </w:pPr>
            <w:r>
              <w:rPr>
                <w:rFonts w:hint="eastAsia" w:ascii="宋体" w:hAnsi="宋体" w:eastAsia="宋体" w:cs="宋体"/>
                <w:sz w:val="18"/>
                <w:szCs w:val="18"/>
              </w:rPr>
              <w:t>单位资金</w:t>
            </w:r>
          </w:p>
        </w:tc>
        <w:tc>
          <w:tcPr>
            <w:tcW w:w="629" w:type="pct"/>
            <w:tcBorders>
              <w:top w:val="nil"/>
              <w:left w:val="nil"/>
              <w:bottom w:val="single" w:color="000000" w:sz="4" w:space="0"/>
              <w:right w:val="single" w:color="000000" w:sz="4" w:space="0"/>
            </w:tcBorders>
            <w:vAlign w:val="center"/>
          </w:tcPr>
          <w:p w14:paraId="67113933">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2FBE8A8A">
            <w:pPr>
              <w:widowControl/>
              <w:jc w:val="center"/>
              <w:rPr>
                <w:rFonts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nil"/>
              <w:bottom w:val="single" w:color="000000" w:sz="4" w:space="0"/>
              <w:right w:val="single" w:color="000000" w:sz="4" w:space="0"/>
            </w:tcBorders>
            <w:vAlign w:val="center"/>
          </w:tcPr>
          <w:p w14:paraId="1790BF50">
            <w:pPr>
              <w:widowControl/>
              <w:jc w:val="center"/>
              <w:rPr>
                <w:rFonts w:ascii="宋体" w:hAnsi="宋体" w:eastAsia="宋体" w:cs="宋体"/>
                <w:sz w:val="18"/>
                <w:szCs w:val="18"/>
              </w:rPr>
            </w:pPr>
            <w:r>
              <w:rPr>
                <w:rFonts w:ascii="宋体" w:hAnsi="宋体" w:eastAsia="宋体" w:cs="宋体"/>
                <w:sz w:val="18"/>
                <w:szCs w:val="18"/>
              </w:rPr>
              <w:t>0.00</w:t>
            </w:r>
          </w:p>
        </w:tc>
        <w:tc>
          <w:tcPr>
            <w:tcW w:w="388" w:type="pct"/>
            <w:tcBorders>
              <w:top w:val="nil"/>
              <w:left w:val="nil"/>
              <w:bottom w:val="single" w:color="000000" w:sz="4" w:space="0"/>
              <w:right w:val="single" w:color="000000" w:sz="4" w:space="0"/>
            </w:tcBorders>
            <w:vAlign w:val="center"/>
          </w:tcPr>
          <w:p w14:paraId="64D00A6A">
            <w:pPr>
              <w:widowControl/>
              <w:jc w:val="center"/>
              <w:rPr>
                <w:rFonts w:ascii="宋体" w:hAnsi="宋体" w:eastAsia="宋体" w:cs="宋体"/>
                <w:sz w:val="18"/>
                <w:szCs w:val="18"/>
              </w:rPr>
            </w:pPr>
            <w:r>
              <w:rPr>
                <w:rFonts w:ascii="宋体" w:hAnsi="宋体" w:eastAsia="宋体" w:cs="宋体"/>
                <w:sz w:val="18"/>
                <w:szCs w:val="18"/>
              </w:rPr>
              <w:t>0.00%</w:t>
            </w:r>
          </w:p>
        </w:tc>
        <w:tc>
          <w:tcPr>
            <w:tcW w:w="184" w:type="pct"/>
            <w:tcBorders>
              <w:top w:val="nil"/>
              <w:left w:val="nil"/>
              <w:bottom w:val="single" w:color="000000" w:sz="4" w:space="0"/>
              <w:right w:val="single" w:color="000000" w:sz="4" w:space="0"/>
            </w:tcBorders>
            <w:vAlign w:val="center"/>
          </w:tcPr>
          <w:p w14:paraId="22653A40">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330779B8">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284492FA">
            <w:pPr>
              <w:widowControl/>
              <w:jc w:val="left"/>
              <w:rPr>
                <w:rFonts w:ascii="Courier New" w:hAnsi="Courier New" w:eastAsia="宋体" w:cs="Times New Roman"/>
                <w:i/>
                <w:iCs/>
                <w:sz w:val="18"/>
                <w:szCs w:val="18"/>
              </w:rPr>
            </w:pPr>
          </w:p>
        </w:tc>
      </w:tr>
      <w:tr w14:paraId="32ACC3A2">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7AEFC735">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6062881B">
            <w:pPr>
              <w:widowControl/>
              <w:jc w:val="center"/>
              <w:rPr>
                <w:rFonts w:ascii="宋体" w:hAnsi="宋体" w:eastAsia="宋体" w:cs="Times New Roman"/>
                <w:sz w:val="18"/>
                <w:szCs w:val="18"/>
              </w:rPr>
            </w:pPr>
            <w:r>
              <w:rPr>
                <w:rFonts w:hint="eastAsia" w:ascii="宋体" w:hAnsi="宋体" w:eastAsia="宋体" w:cs="宋体"/>
                <w:sz w:val="18"/>
                <w:szCs w:val="18"/>
              </w:rPr>
              <w:t>其他资金</w:t>
            </w:r>
          </w:p>
        </w:tc>
        <w:tc>
          <w:tcPr>
            <w:tcW w:w="629" w:type="pct"/>
            <w:tcBorders>
              <w:top w:val="nil"/>
              <w:left w:val="nil"/>
              <w:bottom w:val="single" w:color="000000" w:sz="4" w:space="0"/>
              <w:right w:val="single" w:color="000000" w:sz="4" w:space="0"/>
            </w:tcBorders>
            <w:vAlign w:val="center"/>
          </w:tcPr>
          <w:p w14:paraId="3A54E7C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798" w:type="pct"/>
            <w:tcBorders>
              <w:top w:val="nil"/>
              <w:left w:val="nil"/>
              <w:bottom w:val="single" w:color="000000" w:sz="4" w:space="0"/>
              <w:right w:val="single" w:color="000000" w:sz="4" w:space="0"/>
            </w:tcBorders>
            <w:vAlign w:val="center"/>
          </w:tcPr>
          <w:p w14:paraId="182F63F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960" w:type="pct"/>
            <w:gridSpan w:val="3"/>
            <w:tcBorders>
              <w:top w:val="single" w:color="000000" w:sz="4" w:space="0"/>
              <w:left w:val="nil"/>
              <w:bottom w:val="single" w:color="000000" w:sz="4" w:space="0"/>
              <w:right w:val="single" w:color="000000" w:sz="4" w:space="0"/>
            </w:tcBorders>
            <w:vAlign w:val="center"/>
          </w:tcPr>
          <w:p w14:paraId="4940E0F1">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88" w:type="pct"/>
            <w:tcBorders>
              <w:top w:val="nil"/>
              <w:left w:val="nil"/>
              <w:bottom w:val="single" w:color="000000" w:sz="4" w:space="0"/>
              <w:right w:val="single" w:color="000000" w:sz="4" w:space="0"/>
            </w:tcBorders>
            <w:vAlign w:val="center"/>
          </w:tcPr>
          <w:p w14:paraId="51C50AF1">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071E56F9">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480EE4C8">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24D4F488">
            <w:pPr>
              <w:widowControl/>
              <w:jc w:val="left"/>
              <w:rPr>
                <w:rFonts w:ascii="Courier New" w:hAnsi="Courier New" w:eastAsia="宋体" w:cs="Times New Roman"/>
                <w:i/>
                <w:iCs/>
                <w:sz w:val="18"/>
                <w:szCs w:val="18"/>
              </w:rPr>
            </w:pPr>
          </w:p>
        </w:tc>
      </w:tr>
      <w:tr w14:paraId="4C3A64EE">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vAlign w:val="center"/>
          </w:tcPr>
          <w:p w14:paraId="59202B24">
            <w:pPr>
              <w:widowControl/>
              <w:jc w:val="center"/>
              <w:rPr>
                <w:rFonts w:ascii="宋体" w:hAnsi="宋体" w:eastAsia="宋体" w:cs="Times New Roman"/>
                <w:sz w:val="18"/>
                <w:szCs w:val="18"/>
              </w:rPr>
            </w:pPr>
            <w:r>
              <w:rPr>
                <w:rFonts w:hint="eastAsia" w:ascii="宋体" w:hAnsi="宋体" w:eastAsia="宋体" w:cs="宋体"/>
                <w:sz w:val="18"/>
                <w:szCs w:val="18"/>
              </w:rPr>
              <w:t>绩效指标（</w:t>
            </w:r>
            <w:r>
              <w:rPr>
                <w:rFonts w:ascii="宋体" w:hAnsi="宋体" w:eastAsia="宋体" w:cs="宋体"/>
                <w:sz w:val="18"/>
                <w:szCs w:val="18"/>
              </w:rPr>
              <w:t>90</w:t>
            </w:r>
            <w:r>
              <w:rPr>
                <w:rFonts w:hint="eastAsia" w:ascii="宋体" w:hAnsi="宋体" w:eastAsia="宋体" w:cs="宋体"/>
                <w:sz w:val="18"/>
                <w:szCs w:val="18"/>
              </w:rPr>
              <w:t>分）</w:t>
            </w:r>
          </w:p>
        </w:tc>
        <w:tc>
          <w:tcPr>
            <w:tcW w:w="727" w:type="pct"/>
            <w:tcBorders>
              <w:top w:val="nil"/>
              <w:left w:val="nil"/>
              <w:bottom w:val="single" w:color="000000" w:sz="4" w:space="0"/>
              <w:right w:val="single" w:color="000000" w:sz="4" w:space="0"/>
            </w:tcBorders>
            <w:vAlign w:val="center"/>
          </w:tcPr>
          <w:p w14:paraId="5384CE1E">
            <w:pPr>
              <w:widowControl/>
              <w:jc w:val="center"/>
              <w:rPr>
                <w:rFonts w:ascii="宋体" w:hAnsi="宋体" w:eastAsia="宋体" w:cs="Times New Roman"/>
                <w:sz w:val="18"/>
                <w:szCs w:val="18"/>
              </w:rPr>
            </w:pPr>
            <w:r>
              <w:rPr>
                <w:rFonts w:hint="eastAsia" w:ascii="宋体" w:hAnsi="宋体" w:eastAsia="宋体" w:cs="宋体"/>
                <w:sz w:val="18"/>
                <w:szCs w:val="18"/>
              </w:rPr>
              <w:t>一级指标</w:t>
            </w:r>
          </w:p>
        </w:tc>
        <w:tc>
          <w:tcPr>
            <w:tcW w:w="629" w:type="pct"/>
            <w:tcBorders>
              <w:top w:val="nil"/>
              <w:left w:val="nil"/>
              <w:bottom w:val="single" w:color="000000" w:sz="4" w:space="0"/>
              <w:right w:val="single" w:color="000000" w:sz="4" w:space="0"/>
            </w:tcBorders>
            <w:vAlign w:val="center"/>
          </w:tcPr>
          <w:p w14:paraId="21E2F8F5">
            <w:pPr>
              <w:widowControl/>
              <w:jc w:val="center"/>
              <w:rPr>
                <w:rFonts w:ascii="宋体" w:hAnsi="宋体" w:eastAsia="宋体" w:cs="Times New Roman"/>
                <w:sz w:val="18"/>
                <w:szCs w:val="18"/>
              </w:rPr>
            </w:pPr>
            <w:r>
              <w:rPr>
                <w:rFonts w:hint="eastAsia" w:ascii="宋体" w:hAnsi="宋体" w:eastAsia="宋体" w:cs="宋体"/>
                <w:sz w:val="18"/>
                <w:szCs w:val="18"/>
              </w:rPr>
              <w:t>二级指标</w:t>
            </w:r>
          </w:p>
        </w:tc>
        <w:tc>
          <w:tcPr>
            <w:tcW w:w="798" w:type="pct"/>
            <w:tcBorders>
              <w:top w:val="nil"/>
              <w:left w:val="nil"/>
              <w:bottom w:val="single" w:color="000000" w:sz="4" w:space="0"/>
              <w:right w:val="single" w:color="000000" w:sz="4" w:space="0"/>
            </w:tcBorders>
            <w:vAlign w:val="center"/>
          </w:tcPr>
          <w:p w14:paraId="647E030D">
            <w:pPr>
              <w:widowControl/>
              <w:jc w:val="center"/>
              <w:rPr>
                <w:rFonts w:ascii="宋体" w:hAnsi="宋体" w:eastAsia="宋体" w:cs="Times New Roman"/>
                <w:sz w:val="18"/>
                <w:szCs w:val="18"/>
              </w:rPr>
            </w:pPr>
            <w:r>
              <w:rPr>
                <w:rFonts w:hint="eastAsia" w:ascii="宋体" w:hAnsi="宋体" w:eastAsia="宋体" w:cs="宋体"/>
                <w:sz w:val="18"/>
                <w:szCs w:val="18"/>
              </w:rPr>
              <w:t>三级指标</w:t>
            </w:r>
          </w:p>
        </w:tc>
        <w:tc>
          <w:tcPr>
            <w:tcW w:w="184" w:type="pct"/>
            <w:tcBorders>
              <w:top w:val="nil"/>
              <w:left w:val="nil"/>
              <w:bottom w:val="single" w:color="000000" w:sz="4" w:space="0"/>
              <w:right w:val="single" w:color="000000" w:sz="4" w:space="0"/>
            </w:tcBorders>
            <w:vAlign w:val="center"/>
          </w:tcPr>
          <w:p w14:paraId="2FC62D79">
            <w:pPr>
              <w:widowControl/>
              <w:jc w:val="center"/>
              <w:rPr>
                <w:rFonts w:ascii="宋体" w:hAnsi="宋体" w:eastAsia="宋体" w:cs="Times New Roman"/>
                <w:sz w:val="18"/>
                <w:szCs w:val="18"/>
              </w:rPr>
            </w:pPr>
            <w:r>
              <w:rPr>
                <w:rFonts w:hint="eastAsia" w:ascii="宋体" w:hAnsi="宋体" w:eastAsia="宋体" w:cs="宋体"/>
                <w:sz w:val="18"/>
                <w:szCs w:val="18"/>
              </w:rPr>
              <w:t>指标性质</w:t>
            </w:r>
          </w:p>
        </w:tc>
        <w:tc>
          <w:tcPr>
            <w:tcW w:w="593" w:type="pct"/>
            <w:tcBorders>
              <w:top w:val="nil"/>
              <w:left w:val="nil"/>
              <w:bottom w:val="single" w:color="000000" w:sz="4" w:space="0"/>
              <w:right w:val="single" w:color="000000" w:sz="4" w:space="0"/>
            </w:tcBorders>
            <w:vAlign w:val="center"/>
          </w:tcPr>
          <w:p w14:paraId="77820552">
            <w:pPr>
              <w:widowControl/>
              <w:jc w:val="center"/>
              <w:rPr>
                <w:rFonts w:ascii="宋体" w:hAnsi="宋体" w:eastAsia="宋体" w:cs="Times New Roman"/>
                <w:sz w:val="18"/>
                <w:szCs w:val="18"/>
              </w:rPr>
            </w:pPr>
            <w:r>
              <w:rPr>
                <w:rFonts w:hint="eastAsia" w:ascii="宋体" w:hAnsi="宋体" w:eastAsia="宋体" w:cs="宋体"/>
                <w:sz w:val="18"/>
                <w:szCs w:val="18"/>
              </w:rPr>
              <w:t>指标值</w:t>
            </w:r>
          </w:p>
        </w:tc>
        <w:tc>
          <w:tcPr>
            <w:tcW w:w="184" w:type="pct"/>
            <w:tcBorders>
              <w:top w:val="nil"/>
              <w:left w:val="nil"/>
              <w:bottom w:val="single" w:color="000000" w:sz="4" w:space="0"/>
              <w:right w:val="single" w:color="000000" w:sz="4" w:space="0"/>
            </w:tcBorders>
            <w:vAlign w:val="center"/>
          </w:tcPr>
          <w:p w14:paraId="38C749F3">
            <w:pPr>
              <w:widowControl/>
              <w:jc w:val="center"/>
              <w:rPr>
                <w:rFonts w:ascii="宋体" w:hAnsi="宋体" w:eastAsia="宋体" w:cs="Times New Roman"/>
                <w:sz w:val="18"/>
                <w:szCs w:val="18"/>
              </w:rPr>
            </w:pPr>
            <w:r>
              <w:rPr>
                <w:rFonts w:hint="eastAsia" w:ascii="宋体" w:hAnsi="宋体" w:eastAsia="宋体" w:cs="宋体"/>
                <w:sz w:val="18"/>
                <w:szCs w:val="18"/>
              </w:rPr>
              <w:t>度量单位</w:t>
            </w:r>
          </w:p>
        </w:tc>
        <w:tc>
          <w:tcPr>
            <w:tcW w:w="388" w:type="pct"/>
            <w:tcBorders>
              <w:top w:val="nil"/>
              <w:left w:val="nil"/>
              <w:bottom w:val="single" w:color="000000" w:sz="4" w:space="0"/>
              <w:right w:val="single" w:color="000000" w:sz="4" w:space="0"/>
            </w:tcBorders>
            <w:vAlign w:val="center"/>
          </w:tcPr>
          <w:p w14:paraId="25AE90D8">
            <w:pPr>
              <w:widowControl/>
              <w:jc w:val="center"/>
              <w:rPr>
                <w:rFonts w:ascii="宋体" w:hAnsi="宋体" w:eastAsia="宋体" w:cs="Times New Roman"/>
                <w:sz w:val="18"/>
                <w:szCs w:val="18"/>
              </w:rPr>
            </w:pPr>
            <w:r>
              <w:rPr>
                <w:rFonts w:hint="eastAsia" w:ascii="宋体" w:hAnsi="宋体" w:eastAsia="宋体" w:cs="宋体"/>
                <w:sz w:val="18"/>
                <w:szCs w:val="18"/>
              </w:rPr>
              <w:t>完成值</w:t>
            </w:r>
          </w:p>
        </w:tc>
        <w:tc>
          <w:tcPr>
            <w:tcW w:w="184" w:type="pct"/>
            <w:tcBorders>
              <w:top w:val="nil"/>
              <w:left w:val="nil"/>
              <w:bottom w:val="single" w:color="000000" w:sz="4" w:space="0"/>
              <w:right w:val="single" w:color="000000" w:sz="4" w:space="0"/>
            </w:tcBorders>
            <w:vAlign w:val="center"/>
          </w:tcPr>
          <w:p w14:paraId="53590E20">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162" w:type="pct"/>
            <w:tcBorders>
              <w:top w:val="nil"/>
              <w:left w:val="nil"/>
              <w:bottom w:val="single" w:color="000000" w:sz="4" w:space="0"/>
              <w:right w:val="single" w:color="000000" w:sz="4" w:space="0"/>
            </w:tcBorders>
            <w:vAlign w:val="center"/>
          </w:tcPr>
          <w:p w14:paraId="11DFA2A7">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904" w:type="pct"/>
            <w:tcBorders>
              <w:top w:val="nil"/>
              <w:left w:val="nil"/>
              <w:bottom w:val="single" w:color="000000" w:sz="4" w:space="0"/>
              <w:right w:val="single" w:color="000000" w:sz="4" w:space="0"/>
            </w:tcBorders>
            <w:vAlign w:val="center"/>
          </w:tcPr>
          <w:p w14:paraId="5876873F">
            <w:pPr>
              <w:widowControl/>
              <w:jc w:val="center"/>
              <w:rPr>
                <w:rFonts w:ascii="宋体" w:hAnsi="宋体" w:eastAsia="宋体" w:cs="Times New Roman"/>
                <w:sz w:val="18"/>
                <w:szCs w:val="18"/>
              </w:rPr>
            </w:pPr>
            <w:r>
              <w:rPr>
                <w:rFonts w:hint="eastAsia" w:ascii="宋体" w:hAnsi="宋体" w:eastAsia="宋体" w:cs="宋体"/>
                <w:sz w:val="18"/>
                <w:szCs w:val="18"/>
              </w:rPr>
              <w:t>未完成原因分析</w:t>
            </w:r>
          </w:p>
        </w:tc>
      </w:tr>
      <w:tr w14:paraId="48722227">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4267084F">
            <w:pPr>
              <w:widowControl/>
              <w:jc w:val="left"/>
              <w:rPr>
                <w:rFonts w:ascii="宋体" w:hAnsi="宋体" w:eastAsia="宋体" w:cs="Times New Roman"/>
                <w:sz w:val="18"/>
                <w:szCs w:val="18"/>
              </w:rPr>
            </w:pPr>
          </w:p>
        </w:tc>
        <w:tc>
          <w:tcPr>
            <w:tcW w:w="727" w:type="pct"/>
            <w:vMerge w:val="restart"/>
            <w:tcBorders>
              <w:top w:val="nil"/>
              <w:left w:val="single" w:color="000000" w:sz="4" w:space="0"/>
              <w:bottom w:val="single" w:color="000000" w:sz="4" w:space="0"/>
              <w:right w:val="single" w:color="000000" w:sz="4" w:space="0"/>
            </w:tcBorders>
            <w:vAlign w:val="center"/>
          </w:tcPr>
          <w:p w14:paraId="1F6F9AFF">
            <w:pPr>
              <w:widowControl/>
              <w:jc w:val="center"/>
              <w:rPr>
                <w:rFonts w:ascii="宋体" w:hAnsi="宋体" w:eastAsia="宋体" w:cs="Times New Roman"/>
                <w:sz w:val="18"/>
                <w:szCs w:val="18"/>
              </w:rPr>
            </w:pPr>
            <w:r>
              <w:rPr>
                <w:rFonts w:hint="eastAsia" w:ascii="宋体" w:hAnsi="宋体" w:eastAsia="宋体" w:cs="宋体"/>
                <w:sz w:val="18"/>
                <w:szCs w:val="18"/>
              </w:rPr>
              <w:t>产出指标</w:t>
            </w:r>
          </w:p>
        </w:tc>
        <w:tc>
          <w:tcPr>
            <w:tcW w:w="629" w:type="pct"/>
            <w:tcBorders>
              <w:top w:val="nil"/>
              <w:left w:val="nil"/>
              <w:bottom w:val="single" w:color="000000" w:sz="4" w:space="0"/>
              <w:right w:val="single" w:color="000000" w:sz="4" w:space="0"/>
            </w:tcBorders>
            <w:vAlign w:val="center"/>
          </w:tcPr>
          <w:p w14:paraId="4533A32F">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798" w:type="pct"/>
            <w:tcBorders>
              <w:top w:val="nil"/>
              <w:left w:val="nil"/>
              <w:bottom w:val="single" w:color="000000" w:sz="4" w:space="0"/>
              <w:right w:val="single" w:color="000000" w:sz="4" w:space="0"/>
            </w:tcBorders>
            <w:vAlign w:val="center"/>
          </w:tcPr>
          <w:p w14:paraId="429FD065">
            <w:pPr>
              <w:widowControl/>
              <w:jc w:val="center"/>
              <w:rPr>
                <w:rFonts w:ascii="宋体" w:hAnsi="宋体" w:eastAsia="宋体" w:cs="Times New Roman"/>
                <w:sz w:val="18"/>
                <w:szCs w:val="18"/>
              </w:rPr>
            </w:pPr>
            <w:r>
              <w:rPr>
                <w:rFonts w:ascii="宋体" w:hAnsi="宋体" w:eastAsia="宋体" w:cs="宋体"/>
                <w:sz w:val="18"/>
                <w:szCs w:val="18"/>
              </w:rPr>
              <w:t>0A</w:t>
            </w:r>
            <w:r>
              <w:rPr>
                <w:rFonts w:hint="eastAsia" w:ascii="宋体" w:hAnsi="宋体" w:eastAsia="宋体" w:cs="宋体"/>
                <w:sz w:val="18"/>
                <w:szCs w:val="18"/>
              </w:rPr>
              <w:t>系统扩容服务年限</w:t>
            </w:r>
          </w:p>
        </w:tc>
        <w:tc>
          <w:tcPr>
            <w:tcW w:w="184" w:type="pct"/>
            <w:tcBorders>
              <w:top w:val="nil"/>
              <w:left w:val="nil"/>
              <w:bottom w:val="single" w:color="000000" w:sz="4" w:space="0"/>
              <w:right w:val="single" w:color="000000" w:sz="4" w:space="0"/>
            </w:tcBorders>
            <w:vAlign w:val="center"/>
          </w:tcPr>
          <w:p w14:paraId="00B161AE">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507FACF1">
            <w:pPr>
              <w:widowControl/>
              <w:jc w:val="center"/>
              <w:rPr>
                <w:rFonts w:ascii="宋体" w:hAnsi="宋体" w:eastAsia="宋体" w:cs="宋体"/>
                <w:sz w:val="18"/>
                <w:szCs w:val="18"/>
              </w:rPr>
            </w:pPr>
            <w:r>
              <w:rPr>
                <w:rFonts w:ascii="宋体" w:hAnsi="宋体" w:eastAsia="宋体" w:cs="宋体"/>
                <w:sz w:val="18"/>
                <w:szCs w:val="18"/>
              </w:rPr>
              <w:t>3</w:t>
            </w:r>
          </w:p>
        </w:tc>
        <w:tc>
          <w:tcPr>
            <w:tcW w:w="184" w:type="pct"/>
            <w:tcBorders>
              <w:top w:val="nil"/>
              <w:left w:val="nil"/>
              <w:bottom w:val="single" w:color="000000" w:sz="4" w:space="0"/>
              <w:right w:val="single" w:color="000000" w:sz="4" w:space="0"/>
            </w:tcBorders>
            <w:vAlign w:val="center"/>
          </w:tcPr>
          <w:p w14:paraId="7C095A75">
            <w:pPr>
              <w:widowControl/>
              <w:jc w:val="center"/>
              <w:rPr>
                <w:rFonts w:ascii="宋体" w:hAnsi="宋体" w:eastAsia="宋体" w:cs="Times New Roman"/>
                <w:sz w:val="18"/>
                <w:szCs w:val="18"/>
              </w:rPr>
            </w:pPr>
            <w:r>
              <w:rPr>
                <w:rFonts w:hint="eastAsia" w:ascii="宋体" w:hAnsi="宋体" w:eastAsia="宋体" w:cs="宋体"/>
                <w:sz w:val="18"/>
                <w:szCs w:val="18"/>
              </w:rPr>
              <w:t>年</w:t>
            </w:r>
          </w:p>
        </w:tc>
        <w:tc>
          <w:tcPr>
            <w:tcW w:w="388" w:type="pct"/>
            <w:tcBorders>
              <w:top w:val="nil"/>
              <w:left w:val="nil"/>
              <w:bottom w:val="single" w:color="000000" w:sz="4" w:space="0"/>
              <w:right w:val="single" w:color="000000" w:sz="4" w:space="0"/>
            </w:tcBorders>
            <w:vAlign w:val="center"/>
          </w:tcPr>
          <w:p w14:paraId="4B26540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5A753044">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720BA271">
            <w:pPr>
              <w:widowControl/>
              <w:jc w:val="center"/>
              <w:rPr>
                <w:rFonts w:ascii="宋体" w:hAnsi="宋体" w:eastAsia="宋体" w:cs="宋体"/>
                <w:sz w:val="18"/>
                <w:szCs w:val="18"/>
              </w:rPr>
            </w:pPr>
            <w:r>
              <w:rPr>
                <w:rFonts w:ascii="宋体" w:hAnsi="宋体" w:eastAsia="宋体" w:cs="宋体"/>
                <w:sz w:val="18"/>
                <w:szCs w:val="18"/>
              </w:rPr>
              <w:t>15</w:t>
            </w:r>
          </w:p>
        </w:tc>
        <w:tc>
          <w:tcPr>
            <w:tcW w:w="904" w:type="pct"/>
            <w:tcBorders>
              <w:top w:val="nil"/>
              <w:left w:val="nil"/>
              <w:bottom w:val="single" w:color="000000" w:sz="4" w:space="0"/>
              <w:right w:val="single" w:color="000000" w:sz="4" w:space="0"/>
            </w:tcBorders>
            <w:vAlign w:val="center"/>
          </w:tcPr>
          <w:p w14:paraId="630D91AC">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624CDC2B">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44D40B4D">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19F55A57">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1F39E03B">
            <w:pPr>
              <w:widowControl/>
              <w:jc w:val="center"/>
              <w:rPr>
                <w:rFonts w:ascii="宋体" w:hAnsi="宋体" w:eastAsia="宋体" w:cs="Times New Roman"/>
                <w:sz w:val="18"/>
                <w:szCs w:val="18"/>
              </w:rPr>
            </w:pPr>
            <w:r>
              <w:rPr>
                <w:rFonts w:hint="eastAsia" w:ascii="宋体" w:hAnsi="宋体" w:eastAsia="宋体" w:cs="宋体"/>
                <w:sz w:val="18"/>
                <w:szCs w:val="18"/>
              </w:rPr>
              <w:t>质量指标</w:t>
            </w:r>
          </w:p>
        </w:tc>
        <w:tc>
          <w:tcPr>
            <w:tcW w:w="798" w:type="pct"/>
            <w:tcBorders>
              <w:top w:val="nil"/>
              <w:left w:val="nil"/>
              <w:bottom w:val="single" w:color="000000" w:sz="4" w:space="0"/>
              <w:right w:val="single" w:color="000000" w:sz="4" w:space="0"/>
            </w:tcBorders>
            <w:vAlign w:val="center"/>
          </w:tcPr>
          <w:p w14:paraId="653F7E54">
            <w:pPr>
              <w:widowControl/>
              <w:jc w:val="center"/>
              <w:rPr>
                <w:rFonts w:ascii="宋体" w:hAnsi="宋体" w:eastAsia="宋体" w:cs="Times New Roman"/>
                <w:sz w:val="18"/>
                <w:szCs w:val="18"/>
              </w:rPr>
            </w:pPr>
            <w:r>
              <w:rPr>
                <w:rFonts w:hint="eastAsia" w:ascii="宋体" w:hAnsi="宋体" w:eastAsia="宋体" w:cs="宋体"/>
                <w:sz w:val="18"/>
                <w:szCs w:val="18"/>
              </w:rPr>
              <w:t>保障全区党政机关及企事业单位</w:t>
            </w:r>
            <w:r>
              <w:rPr>
                <w:rFonts w:ascii="宋体" w:hAnsi="宋体" w:eastAsia="宋体" w:cs="宋体"/>
                <w:sz w:val="18"/>
                <w:szCs w:val="18"/>
              </w:rPr>
              <w:t>OA</w:t>
            </w:r>
            <w:r>
              <w:rPr>
                <w:rFonts w:hint="eastAsia" w:ascii="宋体" w:hAnsi="宋体" w:eastAsia="宋体" w:cs="宋体"/>
                <w:sz w:val="18"/>
                <w:szCs w:val="18"/>
              </w:rPr>
              <w:t>系统正常运行</w:t>
            </w:r>
          </w:p>
        </w:tc>
        <w:tc>
          <w:tcPr>
            <w:tcW w:w="184" w:type="pct"/>
            <w:tcBorders>
              <w:top w:val="nil"/>
              <w:left w:val="nil"/>
              <w:bottom w:val="single" w:color="000000" w:sz="4" w:space="0"/>
              <w:right w:val="single" w:color="000000" w:sz="4" w:space="0"/>
            </w:tcBorders>
            <w:vAlign w:val="center"/>
          </w:tcPr>
          <w:p w14:paraId="0ABB6B52">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1B24D981">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32035FB4">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39B87A1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5CE5548D">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2EFE1F63">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07C6EB49">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2B3C21B8">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5FF93791">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0619B4F4">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1BBDA22E">
            <w:pPr>
              <w:widowControl/>
              <w:jc w:val="center"/>
              <w:rPr>
                <w:rFonts w:ascii="宋体" w:hAnsi="宋体" w:eastAsia="宋体" w:cs="Times New Roman"/>
                <w:sz w:val="18"/>
                <w:szCs w:val="18"/>
              </w:rPr>
            </w:pPr>
            <w:r>
              <w:rPr>
                <w:rFonts w:hint="eastAsia" w:ascii="宋体" w:hAnsi="宋体" w:eastAsia="宋体" w:cs="宋体"/>
                <w:sz w:val="18"/>
                <w:szCs w:val="18"/>
              </w:rPr>
              <w:t>时效指标</w:t>
            </w:r>
          </w:p>
        </w:tc>
        <w:tc>
          <w:tcPr>
            <w:tcW w:w="798" w:type="pct"/>
            <w:tcBorders>
              <w:top w:val="nil"/>
              <w:left w:val="nil"/>
              <w:bottom w:val="single" w:color="000000" w:sz="4" w:space="0"/>
              <w:right w:val="single" w:color="000000" w:sz="4" w:space="0"/>
            </w:tcBorders>
            <w:vAlign w:val="center"/>
          </w:tcPr>
          <w:p w14:paraId="492AE7F7">
            <w:pPr>
              <w:widowControl/>
              <w:jc w:val="center"/>
              <w:rPr>
                <w:rFonts w:ascii="宋体" w:hAnsi="宋体" w:eastAsia="宋体" w:cs="Times New Roman"/>
                <w:sz w:val="18"/>
                <w:szCs w:val="18"/>
              </w:rPr>
            </w:pPr>
            <w:r>
              <w:rPr>
                <w:rFonts w:hint="eastAsia" w:ascii="宋体" w:hAnsi="宋体" w:eastAsia="宋体" w:cs="宋体"/>
                <w:sz w:val="18"/>
                <w:szCs w:val="18"/>
              </w:rPr>
              <w:t>完成时效</w:t>
            </w:r>
          </w:p>
        </w:tc>
        <w:tc>
          <w:tcPr>
            <w:tcW w:w="184" w:type="pct"/>
            <w:tcBorders>
              <w:top w:val="nil"/>
              <w:left w:val="nil"/>
              <w:bottom w:val="single" w:color="000000" w:sz="4" w:space="0"/>
              <w:right w:val="single" w:color="000000" w:sz="4" w:space="0"/>
            </w:tcBorders>
            <w:vAlign w:val="center"/>
          </w:tcPr>
          <w:p w14:paraId="1264F1C3">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324F2AC9">
            <w:pPr>
              <w:widowControl/>
              <w:jc w:val="center"/>
              <w:rPr>
                <w:rFonts w:ascii="宋体" w:hAnsi="宋体" w:eastAsia="宋体" w:cs="宋体"/>
                <w:sz w:val="18"/>
                <w:szCs w:val="18"/>
              </w:rPr>
            </w:pPr>
            <w:r>
              <w:rPr>
                <w:rFonts w:ascii="宋体" w:hAnsi="宋体" w:eastAsia="宋体" w:cs="宋体"/>
                <w:sz w:val="18"/>
                <w:szCs w:val="18"/>
              </w:rPr>
              <w:t>3</w:t>
            </w:r>
          </w:p>
        </w:tc>
        <w:tc>
          <w:tcPr>
            <w:tcW w:w="184" w:type="pct"/>
            <w:tcBorders>
              <w:top w:val="nil"/>
              <w:left w:val="nil"/>
              <w:bottom w:val="single" w:color="000000" w:sz="4" w:space="0"/>
              <w:right w:val="single" w:color="000000" w:sz="4" w:space="0"/>
            </w:tcBorders>
            <w:vAlign w:val="center"/>
          </w:tcPr>
          <w:p w14:paraId="3716AD31">
            <w:pPr>
              <w:widowControl/>
              <w:jc w:val="center"/>
              <w:rPr>
                <w:rFonts w:ascii="宋体" w:hAnsi="宋体" w:eastAsia="宋体" w:cs="Times New Roman"/>
                <w:sz w:val="18"/>
                <w:szCs w:val="18"/>
              </w:rPr>
            </w:pPr>
            <w:r>
              <w:rPr>
                <w:rFonts w:hint="eastAsia" w:ascii="宋体" w:hAnsi="宋体" w:eastAsia="宋体" w:cs="宋体"/>
                <w:sz w:val="18"/>
                <w:szCs w:val="18"/>
              </w:rPr>
              <w:t>年</w:t>
            </w:r>
          </w:p>
        </w:tc>
        <w:tc>
          <w:tcPr>
            <w:tcW w:w="388" w:type="pct"/>
            <w:tcBorders>
              <w:top w:val="nil"/>
              <w:left w:val="nil"/>
              <w:bottom w:val="single" w:color="000000" w:sz="4" w:space="0"/>
              <w:right w:val="single" w:color="000000" w:sz="4" w:space="0"/>
            </w:tcBorders>
            <w:vAlign w:val="center"/>
          </w:tcPr>
          <w:p w14:paraId="736DFFBC">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0D7255EF">
            <w:pPr>
              <w:widowControl/>
              <w:jc w:val="center"/>
              <w:rPr>
                <w:rFonts w:ascii="宋体" w:hAnsi="宋体" w:eastAsia="宋体" w:cs="宋体"/>
                <w:sz w:val="18"/>
                <w:szCs w:val="18"/>
              </w:rPr>
            </w:pPr>
            <w:r>
              <w:rPr>
                <w:rFonts w:ascii="宋体" w:hAnsi="宋体" w:eastAsia="宋体" w:cs="宋体"/>
                <w:sz w:val="18"/>
                <w:szCs w:val="18"/>
              </w:rPr>
              <w:t>20</w:t>
            </w:r>
          </w:p>
        </w:tc>
        <w:tc>
          <w:tcPr>
            <w:tcW w:w="162" w:type="pct"/>
            <w:tcBorders>
              <w:top w:val="nil"/>
              <w:left w:val="nil"/>
              <w:bottom w:val="single" w:color="000000" w:sz="4" w:space="0"/>
              <w:right w:val="single" w:color="000000" w:sz="4" w:space="0"/>
            </w:tcBorders>
            <w:vAlign w:val="center"/>
          </w:tcPr>
          <w:p w14:paraId="6D7202F1">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1C43F251">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01BCB7C0">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26F16E8A">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517255FB">
            <w:pPr>
              <w:widowControl/>
              <w:jc w:val="center"/>
              <w:rPr>
                <w:rFonts w:ascii="宋体" w:hAnsi="宋体" w:eastAsia="宋体" w:cs="Times New Roman"/>
                <w:sz w:val="18"/>
                <w:szCs w:val="18"/>
              </w:rPr>
            </w:pPr>
            <w:r>
              <w:rPr>
                <w:rFonts w:hint="eastAsia" w:ascii="宋体" w:hAnsi="宋体" w:eastAsia="宋体" w:cs="宋体"/>
                <w:sz w:val="18"/>
                <w:szCs w:val="18"/>
              </w:rPr>
              <w:t>效益指标</w:t>
            </w:r>
          </w:p>
        </w:tc>
        <w:tc>
          <w:tcPr>
            <w:tcW w:w="629" w:type="pct"/>
            <w:tcBorders>
              <w:top w:val="nil"/>
              <w:left w:val="nil"/>
              <w:bottom w:val="single" w:color="000000" w:sz="4" w:space="0"/>
              <w:right w:val="single" w:color="000000" w:sz="4" w:space="0"/>
            </w:tcBorders>
            <w:vAlign w:val="center"/>
          </w:tcPr>
          <w:p w14:paraId="22745C42">
            <w:pPr>
              <w:widowControl/>
              <w:jc w:val="center"/>
              <w:rPr>
                <w:rFonts w:ascii="宋体" w:hAnsi="宋体" w:eastAsia="宋体" w:cs="Times New Roman"/>
                <w:sz w:val="18"/>
                <w:szCs w:val="18"/>
              </w:rPr>
            </w:pPr>
            <w:r>
              <w:rPr>
                <w:rFonts w:hint="eastAsia" w:ascii="宋体" w:hAnsi="宋体" w:eastAsia="宋体" w:cs="宋体"/>
                <w:sz w:val="18"/>
                <w:szCs w:val="18"/>
              </w:rPr>
              <w:t>社会效益指标</w:t>
            </w:r>
          </w:p>
        </w:tc>
        <w:tc>
          <w:tcPr>
            <w:tcW w:w="798" w:type="pct"/>
            <w:tcBorders>
              <w:top w:val="nil"/>
              <w:left w:val="nil"/>
              <w:bottom w:val="single" w:color="000000" w:sz="4" w:space="0"/>
              <w:right w:val="single" w:color="000000" w:sz="4" w:space="0"/>
            </w:tcBorders>
            <w:vAlign w:val="center"/>
          </w:tcPr>
          <w:p w14:paraId="3C4D80DA">
            <w:pPr>
              <w:widowControl/>
              <w:jc w:val="center"/>
              <w:rPr>
                <w:rFonts w:ascii="宋体" w:hAnsi="宋体" w:eastAsia="宋体" w:cs="Times New Roman"/>
                <w:sz w:val="18"/>
                <w:szCs w:val="18"/>
              </w:rPr>
            </w:pPr>
            <w:r>
              <w:rPr>
                <w:rFonts w:hint="eastAsia" w:ascii="宋体" w:hAnsi="宋体" w:eastAsia="宋体" w:cs="宋体"/>
                <w:sz w:val="18"/>
                <w:szCs w:val="18"/>
              </w:rPr>
              <w:t>保障机关正常运转</w:t>
            </w:r>
          </w:p>
        </w:tc>
        <w:tc>
          <w:tcPr>
            <w:tcW w:w="184" w:type="pct"/>
            <w:tcBorders>
              <w:top w:val="nil"/>
              <w:left w:val="nil"/>
              <w:bottom w:val="single" w:color="000000" w:sz="4" w:space="0"/>
              <w:right w:val="single" w:color="000000" w:sz="4" w:space="0"/>
            </w:tcBorders>
            <w:vAlign w:val="center"/>
          </w:tcPr>
          <w:p w14:paraId="647619E0">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216A3DDE">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10CBB92B">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704897C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5B23FEFF">
            <w:pPr>
              <w:widowControl/>
              <w:jc w:val="center"/>
              <w:rPr>
                <w:rFonts w:ascii="宋体" w:hAnsi="宋体" w:eastAsia="宋体" w:cs="宋体"/>
                <w:sz w:val="18"/>
                <w:szCs w:val="18"/>
              </w:rPr>
            </w:pPr>
            <w:r>
              <w:rPr>
                <w:rFonts w:ascii="宋体" w:hAnsi="宋体" w:eastAsia="宋体" w:cs="宋体"/>
                <w:sz w:val="18"/>
                <w:szCs w:val="18"/>
              </w:rPr>
              <w:t>20</w:t>
            </w:r>
          </w:p>
        </w:tc>
        <w:tc>
          <w:tcPr>
            <w:tcW w:w="162" w:type="pct"/>
            <w:tcBorders>
              <w:top w:val="nil"/>
              <w:left w:val="nil"/>
              <w:bottom w:val="single" w:color="000000" w:sz="4" w:space="0"/>
              <w:right w:val="single" w:color="000000" w:sz="4" w:space="0"/>
            </w:tcBorders>
            <w:vAlign w:val="center"/>
          </w:tcPr>
          <w:p w14:paraId="254A7047">
            <w:pPr>
              <w:widowControl/>
              <w:jc w:val="center"/>
              <w:rPr>
                <w:rFonts w:ascii="宋体" w:hAnsi="宋体" w:eastAsia="宋体" w:cs="宋体"/>
                <w:sz w:val="18"/>
                <w:szCs w:val="18"/>
              </w:rPr>
            </w:pPr>
            <w:r>
              <w:rPr>
                <w:rFonts w:ascii="宋体" w:hAnsi="宋体" w:eastAsia="宋体" w:cs="宋体"/>
                <w:sz w:val="18"/>
                <w:szCs w:val="18"/>
              </w:rPr>
              <w:t>20</w:t>
            </w:r>
          </w:p>
        </w:tc>
        <w:tc>
          <w:tcPr>
            <w:tcW w:w="904" w:type="pct"/>
            <w:tcBorders>
              <w:top w:val="nil"/>
              <w:left w:val="nil"/>
              <w:bottom w:val="single" w:color="000000" w:sz="4" w:space="0"/>
              <w:right w:val="single" w:color="000000" w:sz="4" w:space="0"/>
            </w:tcBorders>
            <w:vAlign w:val="center"/>
          </w:tcPr>
          <w:p w14:paraId="4A96BD52">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5FFCE972">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55197355">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5C2D0A5F">
            <w:pPr>
              <w:widowControl/>
              <w:jc w:val="center"/>
              <w:rPr>
                <w:rFonts w:ascii="宋体" w:hAnsi="宋体" w:eastAsia="宋体" w:cs="Times New Roman"/>
                <w:sz w:val="18"/>
                <w:szCs w:val="18"/>
              </w:rPr>
            </w:pPr>
            <w:r>
              <w:rPr>
                <w:rFonts w:hint="eastAsia" w:ascii="宋体" w:hAnsi="宋体" w:eastAsia="宋体" w:cs="宋体"/>
                <w:sz w:val="18"/>
                <w:szCs w:val="18"/>
              </w:rPr>
              <w:t>满意度指标</w:t>
            </w:r>
          </w:p>
        </w:tc>
        <w:tc>
          <w:tcPr>
            <w:tcW w:w="629" w:type="pct"/>
            <w:tcBorders>
              <w:top w:val="nil"/>
              <w:left w:val="nil"/>
              <w:bottom w:val="single" w:color="000000" w:sz="4" w:space="0"/>
              <w:right w:val="single" w:color="000000" w:sz="4" w:space="0"/>
            </w:tcBorders>
            <w:vAlign w:val="center"/>
          </w:tcPr>
          <w:p w14:paraId="6FB3B2C7">
            <w:pPr>
              <w:widowControl/>
              <w:jc w:val="center"/>
              <w:rPr>
                <w:rFonts w:ascii="宋体" w:hAnsi="宋体" w:eastAsia="宋体" w:cs="Times New Roman"/>
                <w:sz w:val="18"/>
                <w:szCs w:val="18"/>
              </w:rPr>
            </w:pPr>
            <w:r>
              <w:rPr>
                <w:rFonts w:hint="eastAsia" w:ascii="宋体" w:hAnsi="宋体" w:eastAsia="宋体" w:cs="宋体"/>
                <w:sz w:val="18"/>
                <w:szCs w:val="18"/>
              </w:rPr>
              <w:t>服务对象满意度指标</w:t>
            </w:r>
          </w:p>
        </w:tc>
        <w:tc>
          <w:tcPr>
            <w:tcW w:w="798" w:type="pct"/>
            <w:tcBorders>
              <w:top w:val="nil"/>
              <w:left w:val="nil"/>
              <w:bottom w:val="single" w:color="000000" w:sz="4" w:space="0"/>
              <w:right w:val="single" w:color="000000" w:sz="4" w:space="0"/>
            </w:tcBorders>
            <w:vAlign w:val="center"/>
          </w:tcPr>
          <w:p w14:paraId="5610A377">
            <w:pPr>
              <w:widowControl/>
              <w:jc w:val="center"/>
              <w:rPr>
                <w:rFonts w:ascii="宋体" w:hAnsi="宋体" w:eastAsia="宋体" w:cs="Times New Roman"/>
                <w:sz w:val="18"/>
                <w:szCs w:val="18"/>
              </w:rPr>
            </w:pPr>
            <w:r>
              <w:rPr>
                <w:rFonts w:hint="eastAsia" w:ascii="宋体" w:hAnsi="宋体" w:eastAsia="宋体" w:cs="宋体"/>
                <w:sz w:val="18"/>
                <w:szCs w:val="18"/>
              </w:rPr>
              <w:t>服务对象满意度</w:t>
            </w:r>
          </w:p>
        </w:tc>
        <w:tc>
          <w:tcPr>
            <w:tcW w:w="184" w:type="pct"/>
            <w:tcBorders>
              <w:top w:val="nil"/>
              <w:left w:val="nil"/>
              <w:bottom w:val="single" w:color="000000" w:sz="4" w:space="0"/>
              <w:right w:val="single" w:color="000000" w:sz="4" w:space="0"/>
            </w:tcBorders>
            <w:vAlign w:val="center"/>
          </w:tcPr>
          <w:p w14:paraId="51B38D71">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5EE11E46">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40D57400">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5B4A48C6">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275D9606">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0ABFE51F">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2BBD1C1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66F6F6E2">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43650E38">
            <w:pPr>
              <w:widowControl/>
              <w:jc w:val="left"/>
              <w:rPr>
                <w:rFonts w:ascii="宋体" w:hAnsi="宋体" w:eastAsia="宋体" w:cs="Times New Roman"/>
                <w:sz w:val="18"/>
                <w:szCs w:val="18"/>
              </w:rPr>
            </w:pPr>
          </w:p>
        </w:tc>
        <w:tc>
          <w:tcPr>
            <w:tcW w:w="727" w:type="pct"/>
            <w:vMerge w:val="restart"/>
            <w:tcBorders>
              <w:top w:val="nil"/>
              <w:left w:val="single" w:color="000000" w:sz="4" w:space="0"/>
              <w:bottom w:val="single" w:color="000000" w:sz="4" w:space="0"/>
              <w:right w:val="single" w:color="000000" w:sz="4" w:space="0"/>
            </w:tcBorders>
            <w:vAlign w:val="center"/>
          </w:tcPr>
          <w:p w14:paraId="0C966551">
            <w:pPr>
              <w:widowControl/>
              <w:jc w:val="center"/>
              <w:rPr>
                <w:rFonts w:ascii="宋体" w:hAnsi="宋体" w:eastAsia="宋体" w:cs="Times New Roman"/>
                <w:sz w:val="18"/>
                <w:szCs w:val="18"/>
              </w:rPr>
            </w:pPr>
            <w:r>
              <w:rPr>
                <w:rFonts w:hint="eastAsia" w:ascii="宋体" w:hAnsi="宋体" w:eastAsia="宋体" w:cs="宋体"/>
                <w:sz w:val="18"/>
                <w:szCs w:val="18"/>
              </w:rPr>
              <w:t>成本指标</w:t>
            </w:r>
          </w:p>
        </w:tc>
        <w:tc>
          <w:tcPr>
            <w:tcW w:w="629" w:type="pct"/>
            <w:vMerge w:val="restart"/>
            <w:tcBorders>
              <w:top w:val="nil"/>
              <w:left w:val="single" w:color="000000" w:sz="4" w:space="0"/>
              <w:bottom w:val="single" w:color="000000" w:sz="4" w:space="0"/>
              <w:right w:val="single" w:color="000000" w:sz="4" w:space="0"/>
            </w:tcBorders>
            <w:vAlign w:val="center"/>
          </w:tcPr>
          <w:p w14:paraId="4935C4C1">
            <w:pPr>
              <w:widowControl/>
              <w:jc w:val="center"/>
              <w:rPr>
                <w:rFonts w:ascii="宋体" w:hAnsi="宋体" w:eastAsia="宋体" w:cs="Times New Roman"/>
                <w:sz w:val="18"/>
                <w:szCs w:val="18"/>
              </w:rPr>
            </w:pPr>
            <w:r>
              <w:rPr>
                <w:rFonts w:hint="eastAsia" w:ascii="宋体" w:hAnsi="宋体" w:eastAsia="宋体" w:cs="宋体"/>
                <w:sz w:val="18"/>
                <w:szCs w:val="18"/>
              </w:rPr>
              <w:t>经济成本指标</w:t>
            </w:r>
          </w:p>
        </w:tc>
        <w:tc>
          <w:tcPr>
            <w:tcW w:w="798" w:type="pct"/>
            <w:tcBorders>
              <w:top w:val="nil"/>
              <w:left w:val="nil"/>
              <w:bottom w:val="single" w:color="000000" w:sz="4" w:space="0"/>
              <w:right w:val="single" w:color="000000" w:sz="4" w:space="0"/>
            </w:tcBorders>
            <w:vAlign w:val="center"/>
          </w:tcPr>
          <w:p w14:paraId="14D859C7">
            <w:pPr>
              <w:widowControl/>
              <w:jc w:val="center"/>
              <w:rPr>
                <w:rFonts w:ascii="宋体" w:hAnsi="宋体" w:eastAsia="宋体" w:cs="Times New Roman"/>
                <w:sz w:val="18"/>
                <w:szCs w:val="18"/>
              </w:rPr>
            </w:pPr>
            <w:r>
              <w:rPr>
                <w:rFonts w:hint="eastAsia" w:ascii="宋体" w:hAnsi="宋体" w:eastAsia="宋体" w:cs="宋体"/>
                <w:sz w:val="18"/>
                <w:szCs w:val="18"/>
              </w:rPr>
              <w:t>运维费</w:t>
            </w:r>
          </w:p>
        </w:tc>
        <w:tc>
          <w:tcPr>
            <w:tcW w:w="184" w:type="pct"/>
            <w:tcBorders>
              <w:top w:val="nil"/>
              <w:left w:val="nil"/>
              <w:bottom w:val="single" w:color="000000" w:sz="4" w:space="0"/>
              <w:right w:val="single" w:color="000000" w:sz="4" w:space="0"/>
            </w:tcBorders>
            <w:vAlign w:val="center"/>
          </w:tcPr>
          <w:p w14:paraId="07688D81">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2F84AD83">
            <w:pPr>
              <w:widowControl/>
              <w:jc w:val="center"/>
              <w:rPr>
                <w:rFonts w:ascii="宋体" w:hAnsi="宋体" w:eastAsia="宋体" w:cs="宋体"/>
                <w:sz w:val="18"/>
                <w:szCs w:val="18"/>
              </w:rPr>
            </w:pPr>
            <w:r>
              <w:rPr>
                <w:rFonts w:ascii="宋体" w:hAnsi="宋体" w:eastAsia="宋体" w:cs="宋体"/>
                <w:sz w:val="18"/>
                <w:szCs w:val="18"/>
              </w:rPr>
              <w:t>118800</w:t>
            </w:r>
          </w:p>
        </w:tc>
        <w:tc>
          <w:tcPr>
            <w:tcW w:w="184" w:type="pct"/>
            <w:tcBorders>
              <w:top w:val="nil"/>
              <w:left w:val="nil"/>
              <w:bottom w:val="single" w:color="000000" w:sz="4" w:space="0"/>
              <w:right w:val="single" w:color="000000" w:sz="4" w:space="0"/>
            </w:tcBorders>
            <w:vAlign w:val="center"/>
          </w:tcPr>
          <w:p w14:paraId="7615D701">
            <w:pPr>
              <w:widowControl/>
              <w:jc w:val="center"/>
              <w:rPr>
                <w:rFonts w:ascii="宋体" w:hAnsi="宋体" w:eastAsia="宋体" w:cs="Times New Roman"/>
                <w:sz w:val="18"/>
                <w:szCs w:val="18"/>
              </w:rPr>
            </w:pPr>
            <w:r>
              <w:rPr>
                <w:rFonts w:hint="eastAsia" w:ascii="宋体" w:hAnsi="宋体" w:eastAsia="宋体" w:cs="宋体"/>
                <w:sz w:val="18"/>
                <w:szCs w:val="18"/>
              </w:rPr>
              <w:t>元</w:t>
            </w:r>
          </w:p>
        </w:tc>
        <w:tc>
          <w:tcPr>
            <w:tcW w:w="388" w:type="pct"/>
            <w:tcBorders>
              <w:top w:val="nil"/>
              <w:left w:val="nil"/>
              <w:bottom w:val="single" w:color="000000" w:sz="4" w:space="0"/>
              <w:right w:val="single" w:color="000000" w:sz="4" w:space="0"/>
            </w:tcBorders>
            <w:vAlign w:val="center"/>
          </w:tcPr>
          <w:p w14:paraId="5759D5D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401A9333">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1204B4B6">
            <w:pPr>
              <w:widowControl/>
              <w:jc w:val="center"/>
              <w:rPr>
                <w:rFonts w:ascii="宋体" w:hAnsi="宋体" w:eastAsia="宋体" w:cs="宋体"/>
                <w:sz w:val="18"/>
                <w:szCs w:val="18"/>
              </w:rPr>
            </w:pPr>
            <w:r>
              <w:rPr>
                <w:rFonts w:ascii="宋体" w:hAnsi="宋体" w:eastAsia="宋体" w:cs="宋体"/>
                <w:sz w:val="18"/>
                <w:szCs w:val="18"/>
              </w:rPr>
              <w:t>15</w:t>
            </w:r>
          </w:p>
        </w:tc>
        <w:tc>
          <w:tcPr>
            <w:tcW w:w="904" w:type="pct"/>
            <w:tcBorders>
              <w:top w:val="nil"/>
              <w:left w:val="nil"/>
              <w:bottom w:val="single" w:color="000000" w:sz="4" w:space="0"/>
              <w:right w:val="single" w:color="000000" w:sz="4" w:space="0"/>
            </w:tcBorders>
            <w:vAlign w:val="center"/>
          </w:tcPr>
          <w:p w14:paraId="34C6E691">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308B6BC4">
        <w:tblPrEx>
          <w:tblCellMar>
            <w:top w:w="0" w:type="dxa"/>
            <w:left w:w="108" w:type="dxa"/>
            <w:bottom w:w="0" w:type="dxa"/>
            <w:right w:w="108" w:type="dxa"/>
          </w:tblCellMar>
        </w:tblPrEx>
        <w:trPr>
          <w:trHeight w:val="840" w:hRule="atLeast"/>
        </w:trPr>
        <w:tc>
          <w:tcPr>
            <w:tcW w:w="247" w:type="pct"/>
            <w:vMerge w:val="continue"/>
            <w:tcBorders>
              <w:top w:val="nil"/>
              <w:left w:val="single" w:color="000000" w:sz="4" w:space="0"/>
              <w:bottom w:val="single" w:color="000000" w:sz="4" w:space="0"/>
              <w:right w:val="single" w:color="000000" w:sz="4" w:space="0"/>
            </w:tcBorders>
            <w:vAlign w:val="center"/>
          </w:tcPr>
          <w:p w14:paraId="05A4B4AB">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6A81263D">
            <w:pPr>
              <w:widowControl/>
              <w:jc w:val="left"/>
              <w:rPr>
                <w:rFonts w:ascii="宋体" w:hAnsi="宋体" w:eastAsia="宋体" w:cs="Times New Roman"/>
                <w:sz w:val="18"/>
                <w:szCs w:val="18"/>
              </w:rPr>
            </w:pPr>
          </w:p>
        </w:tc>
        <w:tc>
          <w:tcPr>
            <w:tcW w:w="629" w:type="pct"/>
            <w:vMerge w:val="continue"/>
            <w:tcBorders>
              <w:top w:val="nil"/>
              <w:left w:val="single" w:color="000000" w:sz="4" w:space="0"/>
              <w:bottom w:val="single" w:color="000000" w:sz="4" w:space="0"/>
              <w:right w:val="single" w:color="000000" w:sz="4" w:space="0"/>
            </w:tcBorders>
            <w:vAlign w:val="center"/>
          </w:tcPr>
          <w:p w14:paraId="222554C6">
            <w:pPr>
              <w:widowControl/>
              <w:jc w:val="left"/>
              <w:rPr>
                <w:rFonts w:ascii="宋体" w:hAnsi="宋体" w:eastAsia="宋体" w:cs="Times New Roman"/>
                <w:sz w:val="18"/>
                <w:szCs w:val="18"/>
              </w:rPr>
            </w:pPr>
          </w:p>
        </w:tc>
        <w:tc>
          <w:tcPr>
            <w:tcW w:w="798" w:type="pct"/>
            <w:tcBorders>
              <w:top w:val="nil"/>
              <w:left w:val="nil"/>
              <w:bottom w:val="single" w:color="000000" w:sz="4" w:space="0"/>
              <w:right w:val="single" w:color="000000" w:sz="4" w:space="0"/>
            </w:tcBorders>
            <w:vAlign w:val="center"/>
          </w:tcPr>
          <w:p w14:paraId="0AF8D63A">
            <w:pPr>
              <w:widowControl/>
              <w:jc w:val="center"/>
              <w:rPr>
                <w:rFonts w:ascii="宋体" w:hAnsi="宋体" w:eastAsia="宋体" w:cs="Times New Roman"/>
                <w:sz w:val="18"/>
                <w:szCs w:val="18"/>
              </w:rPr>
            </w:pPr>
            <w:r>
              <w:rPr>
                <w:rFonts w:hint="eastAsia" w:ascii="宋体" w:hAnsi="宋体" w:eastAsia="宋体" w:cs="宋体"/>
                <w:sz w:val="18"/>
                <w:szCs w:val="18"/>
              </w:rPr>
              <w:t>授权扩容服务费第三次支付</w:t>
            </w:r>
          </w:p>
        </w:tc>
        <w:tc>
          <w:tcPr>
            <w:tcW w:w="184" w:type="pct"/>
            <w:tcBorders>
              <w:top w:val="nil"/>
              <w:left w:val="nil"/>
              <w:bottom w:val="single" w:color="000000" w:sz="4" w:space="0"/>
              <w:right w:val="single" w:color="000000" w:sz="4" w:space="0"/>
            </w:tcBorders>
            <w:vAlign w:val="center"/>
          </w:tcPr>
          <w:p w14:paraId="24E147FF">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09BB9411">
            <w:pPr>
              <w:widowControl/>
              <w:jc w:val="center"/>
              <w:rPr>
                <w:rFonts w:ascii="宋体" w:hAnsi="宋体" w:eastAsia="宋体" w:cs="宋体"/>
                <w:sz w:val="18"/>
                <w:szCs w:val="18"/>
              </w:rPr>
            </w:pPr>
            <w:r>
              <w:rPr>
                <w:rFonts w:ascii="宋体" w:hAnsi="宋体" w:eastAsia="宋体" w:cs="宋体"/>
                <w:sz w:val="18"/>
                <w:szCs w:val="18"/>
              </w:rPr>
              <w:t>114000</w:t>
            </w:r>
          </w:p>
        </w:tc>
        <w:tc>
          <w:tcPr>
            <w:tcW w:w="184" w:type="pct"/>
            <w:tcBorders>
              <w:top w:val="nil"/>
              <w:left w:val="nil"/>
              <w:bottom w:val="single" w:color="000000" w:sz="4" w:space="0"/>
              <w:right w:val="single" w:color="000000" w:sz="4" w:space="0"/>
            </w:tcBorders>
            <w:vAlign w:val="center"/>
          </w:tcPr>
          <w:p w14:paraId="08A798CF">
            <w:pPr>
              <w:widowControl/>
              <w:jc w:val="center"/>
              <w:rPr>
                <w:rFonts w:ascii="宋体" w:hAnsi="宋体" w:eastAsia="宋体" w:cs="Times New Roman"/>
                <w:sz w:val="18"/>
                <w:szCs w:val="18"/>
              </w:rPr>
            </w:pPr>
            <w:r>
              <w:rPr>
                <w:rFonts w:hint="eastAsia" w:ascii="宋体" w:hAnsi="宋体" w:eastAsia="宋体" w:cs="宋体"/>
                <w:sz w:val="18"/>
                <w:szCs w:val="18"/>
              </w:rPr>
              <w:t>元</w:t>
            </w:r>
          </w:p>
        </w:tc>
        <w:tc>
          <w:tcPr>
            <w:tcW w:w="388" w:type="pct"/>
            <w:tcBorders>
              <w:top w:val="nil"/>
              <w:left w:val="nil"/>
              <w:bottom w:val="single" w:color="000000" w:sz="4" w:space="0"/>
              <w:right w:val="single" w:color="000000" w:sz="4" w:space="0"/>
            </w:tcBorders>
            <w:vAlign w:val="center"/>
          </w:tcPr>
          <w:p w14:paraId="7BE378D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61380E18">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4F5FCCD7">
            <w:pPr>
              <w:widowControl/>
              <w:jc w:val="center"/>
              <w:rPr>
                <w:rFonts w:ascii="宋体" w:hAnsi="宋体" w:eastAsia="宋体" w:cs="宋体"/>
                <w:sz w:val="18"/>
                <w:szCs w:val="18"/>
              </w:rPr>
            </w:pPr>
            <w:r>
              <w:rPr>
                <w:rFonts w:ascii="宋体" w:hAnsi="宋体" w:eastAsia="宋体" w:cs="宋体"/>
                <w:sz w:val="18"/>
                <w:szCs w:val="18"/>
              </w:rPr>
              <w:t>5</w:t>
            </w:r>
          </w:p>
        </w:tc>
        <w:tc>
          <w:tcPr>
            <w:tcW w:w="904" w:type="pct"/>
            <w:tcBorders>
              <w:top w:val="nil"/>
              <w:left w:val="nil"/>
              <w:bottom w:val="single" w:color="000000" w:sz="4" w:space="0"/>
              <w:right w:val="single" w:color="000000" w:sz="4" w:space="0"/>
            </w:tcBorders>
            <w:vAlign w:val="center"/>
          </w:tcPr>
          <w:p w14:paraId="68B78B2A">
            <w:pPr>
              <w:widowControl/>
              <w:jc w:val="both"/>
              <w:rPr>
                <w:rFonts w:ascii="微软雅黑" w:hAnsi="微软雅黑" w:eastAsia="微软雅黑" w:cs="Times New Roman"/>
                <w:i/>
                <w:iCs/>
                <w:sz w:val="16"/>
                <w:szCs w:val="16"/>
              </w:rPr>
            </w:pPr>
            <w:r>
              <w:rPr>
                <w:rFonts w:hint="eastAsia" w:ascii="宋体" w:hAnsi="宋体" w:eastAsia="宋体" w:cs="宋体"/>
                <w:sz w:val="18"/>
                <w:szCs w:val="18"/>
              </w:rPr>
              <w:t>因全市OA系统升级，原授权扩容服务费第三次费用11.4万元不需再交付。</w:t>
            </w:r>
          </w:p>
        </w:tc>
      </w:tr>
      <w:tr w14:paraId="1AE37246">
        <w:tblPrEx>
          <w:tblCellMar>
            <w:top w:w="0" w:type="dxa"/>
            <w:left w:w="108" w:type="dxa"/>
            <w:bottom w:w="0" w:type="dxa"/>
            <w:right w:w="108" w:type="dxa"/>
          </w:tblCellMar>
        </w:tblPrEx>
        <w:trPr>
          <w:trHeight w:val="285" w:hRule="atLeast"/>
        </w:trPr>
        <w:tc>
          <w:tcPr>
            <w:tcW w:w="3750" w:type="pct"/>
            <w:gridSpan w:val="8"/>
            <w:tcBorders>
              <w:top w:val="single" w:color="000000" w:sz="4" w:space="0"/>
              <w:left w:val="single" w:color="000000" w:sz="4" w:space="0"/>
              <w:bottom w:val="single" w:color="000000" w:sz="4" w:space="0"/>
              <w:right w:val="single" w:color="000000" w:sz="4" w:space="0"/>
            </w:tcBorders>
            <w:vAlign w:val="center"/>
          </w:tcPr>
          <w:p w14:paraId="04F784EB">
            <w:pPr>
              <w:widowControl/>
              <w:jc w:val="center"/>
              <w:rPr>
                <w:rFonts w:ascii="宋体" w:hAnsi="宋体" w:eastAsia="宋体" w:cs="Times New Roman"/>
                <w:sz w:val="18"/>
                <w:szCs w:val="18"/>
              </w:rPr>
            </w:pPr>
            <w:r>
              <w:rPr>
                <w:rFonts w:hint="eastAsia" w:ascii="宋体" w:hAnsi="宋体" w:eastAsia="宋体" w:cs="宋体"/>
                <w:sz w:val="18"/>
                <w:szCs w:val="18"/>
              </w:rPr>
              <w:t>合计</w:t>
            </w:r>
          </w:p>
        </w:tc>
        <w:tc>
          <w:tcPr>
            <w:tcW w:w="184" w:type="pct"/>
            <w:tcBorders>
              <w:top w:val="nil"/>
              <w:left w:val="nil"/>
              <w:bottom w:val="single" w:color="000000" w:sz="4" w:space="0"/>
              <w:right w:val="single" w:color="000000" w:sz="4" w:space="0"/>
            </w:tcBorders>
            <w:vAlign w:val="center"/>
          </w:tcPr>
          <w:p w14:paraId="2F2A88D8">
            <w:pPr>
              <w:widowControl/>
              <w:jc w:val="center"/>
              <w:rPr>
                <w:rFonts w:ascii="宋体" w:hAnsi="宋体" w:eastAsia="宋体" w:cs="宋体"/>
                <w:sz w:val="18"/>
                <w:szCs w:val="18"/>
              </w:rPr>
            </w:pPr>
            <w:r>
              <w:rPr>
                <w:rFonts w:ascii="宋体" w:hAnsi="宋体" w:eastAsia="宋体" w:cs="宋体"/>
                <w:sz w:val="18"/>
                <w:szCs w:val="18"/>
              </w:rPr>
              <w:t>100</w:t>
            </w:r>
          </w:p>
        </w:tc>
        <w:tc>
          <w:tcPr>
            <w:tcW w:w="162" w:type="pct"/>
            <w:tcBorders>
              <w:top w:val="nil"/>
              <w:left w:val="nil"/>
              <w:bottom w:val="single" w:color="000000" w:sz="4" w:space="0"/>
              <w:right w:val="single" w:color="000000" w:sz="4" w:space="0"/>
            </w:tcBorders>
            <w:vAlign w:val="center"/>
          </w:tcPr>
          <w:p w14:paraId="57B199EF">
            <w:pPr>
              <w:widowControl/>
              <w:jc w:val="right"/>
              <w:rPr>
                <w:rFonts w:ascii="宋体" w:hAnsi="宋体" w:eastAsia="宋体" w:cs="宋体"/>
                <w:sz w:val="18"/>
                <w:szCs w:val="18"/>
              </w:rPr>
            </w:pPr>
            <w:r>
              <w:rPr>
                <w:rFonts w:ascii="宋体" w:hAnsi="宋体" w:eastAsia="宋体" w:cs="宋体"/>
                <w:sz w:val="18"/>
                <w:szCs w:val="18"/>
              </w:rPr>
              <w:t>93</w:t>
            </w:r>
          </w:p>
        </w:tc>
        <w:tc>
          <w:tcPr>
            <w:tcW w:w="904" w:type="pct"/>
            <w:tcBorders>
              <w:top w:val="nil"/>
              <w:left w:val="nil"/>
              <w:bottom w:val="single" w:color="000000" w:sz="4" w:space="0"/>
              <w:right w:val="single" w:color="000000" w:sz="4" w:space="0"/>
            </w:tcBorders>
            <w:vAlign w:val="center"/>
          </w:tcPr>
          <w:p w14:paraId="76C843A3">
            <w:pPr>
              <w:widowControl/>
              <w:jc w:val="left"/>
              <w:rPr>
                <w:rFonts w:ascii="宋体" w:hAnsi="宋体" w:eastAsia="宋体" w:cs="Times New Roman"/>
                <w:sz w:val="18"/>
                <w:szCs w:val="18"/>
              </w:rPr>
            </w:pPr>
            <w:r>
              <w:rPr>
                <w:rFonts w:hint="eastAsia" w:ascii="宋体" w:hAnsi="宋体" w:eastAsia="宋体" w:cs="宋体"/>
                <w:sz w:val="18"/>
                <w:szCs w:val="18"/>
              </w:rPr>
              <w:t>　</w:t>
            </w:r>
          </w:p>
        </w:tc>
      </w:tr>
      <w:tr w14:paraId="0416777B">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vAlign w:val="center"/>
          </w:tcPr>
          <w:p w14:paraId="1B7742EC">
            <w:pPr>
              <w:widowControl/>
              <w:jc w:val="center"/>
              <w:rPr>
                <w:rFonts w:ascii="宋体" w:hAnsi="宋体" w:eastAsia="宋体" w:cs="Times New Roman"/>
                <w:sz w:val="18"/>
                <w:szCs w:val="18"/>
              </w:rPr>
            </w:pPr>
            <w:r>
              <w:rPr>
                <w:rFonts w:hint="eastAsia" w:ascii="宋体" w:hAnsi="宋体" w:eastAsia="宋体" w:cs="宋体"/>
                <w:sz w:val="18"/>
                <w:szCs w:val="18"/>
              </w:rPr>
              <w:t>评价结论</w:t>
            </w:r>
          </w:p>
        </w:tc>
        <w:tc>
          <w:tcPr>
            <w:tcW w:w="4753" w:type="pct"/>
            <w:gridSpan w:val="10"/>
            <w:tcBorders>
              <w:top w:val="single" w:color="000000" w:sz="4" w:space="0"/>
              <w:left w:val="nil"/>
              <w:bottom w:val="single" w:color="000000" w:sz="4" w:space="0"/>
              <w:right w:val="single" w:color="000000" w:sz="4" w:space="0"/>
            </w:tcBorders>
            <w:vAlign w:val="center"/>
          </w:tcPr>
          <w:p w14:paraId="48C4552A">
            <w:pPr>
              <w:widowControl/>
              <w:jc w:val="both"/>
              <w:rPr>
                <w:rFonts w:hint="eastAsia" w:ascii="宋体" w:hAnsi="宋体" w:eastAsia="宋体" w:cs="宋体"/>
                <w:sz w:val="18"/>
                <w:szCs w:val="18"/>
              </w:rPr>
            </w:pPr>
            <w:r>
              <w:rPr>
                <w:rFonts w:hint="eastAsia" w:ascii="宋体" w:hAnsi="宋体" w:eastAsia="宋体" w:cs="宋体"/>
                <w:sz w:val="18"/>
                <w:szCs w:val="18"/>
              </w:rPr>
              <w:t>经过对项目资料、财务资料及台账等资料的分析，逐项进行自我评价，并结合社会评估得分，最终项目综合得分为93分。通过该项目实施提升了全区党政机关及企事业单位的办公办事效率，加强了各党政机关和企事业单位的紧密联系，极大缩短了办公审阅流程时间，强化了政府职能职责。</w:t>
            </w:r>
          </w:p>
        </w:tc>
      </w:tr>
      <w:tr w14:paraId="2AC55436">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vAlign w:val="center"/>
          </w:tcPr>
          <w:p w14:paraId="2F25D925">
            <w:pPr>
              <w:widowControl/>
              <w:jc w:val="center"/>
              <w:rPr>
                <w:rFonts w:ascii="宋体" w:hAnsi="宋体" w:eastAsia="宋体" w:cs="Times New Roman"/>
                <w:sz w:val="18"/>
                <w:szCs w:val="18"/>
              </w:rPr>
            </w:pPr>
            <w:r>
              <w:rPr>
                <w:rFonts w:hint="eastAsia" w:ascii="宋体" w:hAnsi="宋体" w:eastAsia="宋体" w:cs="宋体"/>
                <w:sz w:val="18"/>
                <w:szCs w:val="18"/>
              </w:rPr>
              <w:t>存在问题</w:t>
            </w:r>
          </w:p>
        </w:tc>
        <w:tc>
          <w:tcPr>
            <w:tcW w:w="4753" w:type="pct"/>
            <w:gridSpan w:val="10"/>
            <w:tcBorders>
              <w:top w:val="single" w:color="000000" w:sz="4" w:space="0"/>
              <w:left w:val="nil"/>
              <w:bottom w:val="single" w:color="000000" w:sz="4" w:space="0"/>
              <w:right w:val="single" w:color="000000" w:sz="4" w:space="0"/>
            </w:tcBorders>
            <w:vAlign w:val="center"/>
          </w:tcPr>
          <w:p w14:paraId="35161BE9">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39FE7DBA">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vAlign w:val="center"/>
          </w:tcPr>
          <w:p w14:paraId="7A8EC5A8">
            <w:pPr>
              <w:widowControl/>
              <w:jc w:val="center"/>
              <w:rPr>
                <w:rFonts w:ascii="宋体" w:hAnsi="宋体" w:eastAsia="宋体" w:cs="Times New Roman"/>
                <w:sz w:val="18"/>
                <w:szCs w:val="18"/>
              </w:rPr>
            </w:pPr>
            <w:r>
              <w:rPr>
                <w:rFonts w:hint="eastAsia" w:ascii="宋体" w:hAnsi="宋体" w:eastAsia="宋体" w:cs="宋体"/>
                <w:sz w:val="18"/>
                <w:szCs w:val="18"/>
              </w:rPr>
              <w:t>改进措施</w:t>
            </w:r>
          </w:p>
        </w:tc>
        <w:tc>
          <w:tcPr>
            <w:tcW w:w="4753" w:type="pct"/>
            <w:gridSpan w:val="10"/>
            <w:tcBorders>
              <w:top w:val="single" w:color="000000" w:sz="4" w:space="0"/>
              <w:left w:val="nil"/>
              <w:bottom w:val="single" w:color="000000" w:sz="4" w:space="0"/>
              <w:right w:val="single" w:color="000000" w:sz="4" w:space="0"/>
            </w:tcBorders>
            <w:vAlign w:val="center"/>
          </w:tcPr>
          <w:p w14:paraId="74807CC6">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17F5BAF5">
        <w:tblPrEx>
          <w:tblCellMar>
            <w:top w:w="0" w:type="dxa"/>
            <w:left w:w="108" w:type="dxa"/>
            <w:bottom w:w="0" w:type="dxa"/>
            <w:right w:w="108" w:type="dxa"/>
          </w:tblCellMar>
        </w:tblPrEx>
        <w:trPr>
          <w:trHeight w:val="285" w:hRule="atLeast"/>
        </w:trPr>
        <w:tc>
          <w:tcPr>
            <w:tcW w:w="2585" w:type="pct"/>
            <w:gridSpan w:val="5"/>
            <w:tcBorders>
              <w:top w:val="single" w:color="000000" w:sz="4" w:space="0"/>
              <w:left w:val="single" w:color="000000" w:sz="4" w:space="0"/>
              <w:bottom w:val="single" w:color="000000" w:sz="4" w:space="0"/>
              <w:right w:val="single" w:color="000000" w:sz="4" w:space="0"/>
            </w:tcBorders>
            <w:vAlign w:val="center"/>
          </w:tcPr>
          <w:p w14:paraId="44C0815C">
            <w:pPr>
              <w:widowControl/>
              <w:jc w:val="left"/>
              <w:rPr>
                <w:rFonts w:ascii="Courier New" w:hAnsi="Courier New" w:eastAsia="宋体" w:cs="Times New Roman"/>
                <w:sz w:val="18"/>
                <w:szCs w:val="18"/>
              </w:rPr>
            </w:pPr>
            <w:r>
              <w:rPr>
                <w:rFonts w:hint="eastAsia" w:ascii="Courier New" w:hAnsi="Courier New" w:eastAsia="宋体" w:cs="宋体"/>
                <w:sz w:val="18"/>
                <w:szCs w:val="18"/>
              </w:rPr>
              <w:t>项目负责人：谭春乔</w:t>
            </w:r>
          </w:p>
        </w:tc>
        <w:tc>
          <w:tcPr>
            <w:tcW w:w="2415" w:type="pct"/>
            <w:gridSpan w:val="6"/>
            <w:tcBorders>
              <w:top w:val="single" w:color="000000" w:sz="4" w:space="0"/>
              <w:left w:val="nil"/>
              <w:bottom w:val="single" w:color="000000" w:sz="4" w:space="0"/>
              <w:right w:val="single" w:color="000000" w:sz="4" w:space="0"/>
            </w:tcBorders>
            <w:vAlign w:val="center"/>
          </w:tcPr>
          <w:p w14:paraId="6EC1768A">
            <w:pPr>
              <w:widowControl/>
              <w:jc w:val="left"/>
              <w:rPr>
                <w:rFonts w:ascii="Courier New" w:hAnsi="Courier New" w:eastAsia="宋体" w:cs="Times New Roman"/>
                <w:sz w:val="18"/>
                <w:szCs w:val="18"/>
              </w:rPr>
            </w:pPr>
            <w:r>
              <w:rPr>
                <w:rFonts w:hint="eastAsia" w:ascii="Courier New" w:hAnsi="Courier New" w:eastAsia="宋体" w:cs="宋体"/>
                <w:sz w:val="18"/>
                <w:szCs w:val="18"/>
              </w:rPr>
              <w:t>财务负责人：谭春乔</w:t>
            </w:r>
          </w:p>
        </w:tc>
      </w:tr>
    </w:tbl>
    <w:p w14:paraId="1C6726B0">
      <w:pPr>
        <w:rPr>
          <w:rFonts w:hint="eastAsia" w:ascii="Times New Roman" w:hAnsi="Times New Roman" w:eastAsia="黑体" w:cs="黑体"/>
          <w:color w:val="000000"/>
          <w:shd w:val="clear" w:color="auto" w:fill="FFFFFF"/>
          <w:lang w:val="zh-CN"/>
        </w:rPr>
      </w:pPr>
      <w:bookmarkStart w:id="114" w:name="_Toc14542"/>
    </w:p>
    <w:p w14:paraId="62682E11">
      <w:pPr>
        <w:rPr>
          <w:rFonts w:ascii="Times New Roman" w:hAnsi="Times New Roman" w:eastAsia="黑体" w:cs="Times New Roman"/>
          <w:color w:val="000000"/>
        </w:rPr>
      </w:pPr>
      <w:r>
        <w:rPr>
          <w:rFonts w:hint="eastAsia" w:ascii="Times New Roman" w:hAnsi="Times New Roman" w:eastAsia="黑体" w:cs="黑体"/>
          <w:color w:val="000000"/>
          <w:shd w:val="clear" w:color="auto" w:fill="FFFFFF"/>
          <w:lang w:val="zh-CN"/>
        </w:rPr>
        <w:t>附件</w:t>
      </w:r>
      <w:r>
        <w:rPr>
          <w:rFonts w:ascii="Times New Roman" w:hAnsi="Times New Roman" w:eastAsia="黑体" w:cs="Times New Roman"/>
          <w:color w:val="000000"/>
          <w:shd w:val="clear" w:color="auto" w:fill="FFFFFF"/>
        </w:rPr>
        <w:t>2</w:t>
      </w:r>
    </w:p>
    <w:p w14:paraId="0BEF2E88">
      <w:pPr>
        <w:pStyle w:val="227"/>
        <w:keepNext w:val="0"/>
        <w:keepLines w:val="0"/>
        <w:pageBreakBefore w:val="0"/>
        <w:kinsoku/>
        <w:wordWrap/>
        <w:overflowPunct/>
        <w:topLinePunct w:val="0"/>
        <w:autoSpaceDE/>
        <w:autoSpaceDN/>
        <w:bidi w:val="0"/>
        <w:spacing w:line="560" w:lineRule="exact"/>
        <w:ind w:firstLine="1760" w:firstLineChars="400"/>
        <w:textAlignment w:val="auto"/>
        <w:rPr>
          <w:rFonts w:ascii="Times New Roman" w:hAnsi="Times New Roman" w:eastAsia="方正小标宋简体" w:cs="Times New Roman"/>
          <w:kern w:val="2"/>
          <w:sz w:val="44"/>
          <w:szCs w:val="44"/>
          <w:lang w:val="en-US"/>
        </w:rPr>
      </w:pPr>
      <w:r>
        <w:rPr>
          <w:rFonts w:hint="eastAsia" w:ascii="Times New Roman" w:hAnsi="Times New Roman" w:eastAsia="方正小标宋简体" w:cs="方正小标宋简体"/>
          <w:kern w:val="2"/>
          <w:sz w:val="44"/>
          <w:szCs w:val="44"/>
          <w:lang w:val="en-US"/>
        </w:rPr>
        <w:t>专项预算项目绩效评价报告</w:t>
      </w:r>
    </w:p>
    <w:p w14:paraId="519CB9DB">
      <w:pPr>
        <w:pStyle w:val="227"/>
        <w:keepNext w:val="0"/>
        <w:keepLines w:val="0"/>
        <w:pageBreakBefore w:val="0"/>
        <w:kinsoku/>
        <w:wordWrap/>
        <w:overflowPunct/>
        <w:topLinePunct w:val="0"/>
        <w:autoSpaceDE/>
        <w:autoSpaceDN/>
        <w:bidi w:val="0"/>
        <w:spacing w:line="560" w:lineRule="exact"/>
        <w:jc w:val="center"/>
        <w:textAlignment w:val="auto"/>
        <w:rPr>
          <w:rFonts w:ascii="Times New Roman" w:hAnsi="Times New Roman" w:cs="Times New Roman"/>
          <w:kern w:val="2"/>
          <w:sz w:val="32"/>
          <w:szCs w:val="32"/>
        </w:rPr>
      </w:pPr>
      <w:r>
        <w:rPr>
          <w:rFonts w:hint="eastAsia" w:ascii="Times New Roman" w:hAnsi="Times New Roman" w:cs="宋体"/>
          <w:kern w:val="2"/>
          <w:sz w:val="32"/>
          <w:szCs w:val="32"/>
        </w:rPr>
        <w:t>（</w:t>
      </w:r>
      <w:r>
        <w:rPr>
          <w:rFonts w:hint="eastAsia" w:ascii="Times New Roman" w:hAnsi="Times New Roman" w:eastAsia="楷体_GB2312" w:cs="楷体_GB2312"/>
          <w:sz w:val="32"/>
          <w:szCs w:val="32"/>
          <w:lang w:val="en-US"/>
        </w:rPr>
        <w:t>政务服务综合大楼广场升级改造费</w:t>
      </w:r>
      <w:r>
        <w:rPr>
          <w:rFonts w:hint="eastAsia" w:ascii="Times New Roman" w:hAnsi="Times New Roman" w:cs="宋体"/>
          <w:kern w:val="2"/>
          <w:sz w:val="32"/>
          <w:szCs w:val="32"/>
        </w:rPr>
        <w:t>）</w:t>
      </w:r>
    </w:p>
    <w:p w14:paraId="1EF57F8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color w:val="000000"/>
          <w:lang w:val="zh-CN"/>
        </w:rPr>
      </w:pPr>
      <w:bookmarkStart w:id="115" w:name="_Toc11993"/>
      <w:r>
        <w:rPr>
          <w:rFonts w:hint="eastAsia" w:ascii="Times New Roman" w:hAnsi="Times New Roman" w:eastAsia="黑体" w:cs="黑体"/>
          <w:color w:val="000000"/>
        </w:rPr>
        <w:t>一、</w:t>
      </w:r>
      <w:r>
        <w:rPr>
          <w:rFonts w:hint="eastAsia" w:ascii="Times New Roman" w:hAnsi="Times New Roman" w:eastAsia="黑体" w:cs="黑体"/>
          <w:color w:val="000000"/>
          <w:lang w:val="zh-CN"/>
        </w:rPr>
        <w:t>项目概况</w:t>
      </w:r>
      <w:bookmarkEnd w:id="115"/>
    </w:p>
    <w:p w14:paraId="7E249DC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楷体_GB2312" w:cs="Times New Roman"/>
          <w:color w:val="000000"/>
          <w:lang w:val="zh-CN"/>
        </w:rPr>
      </w:pPr>
      <w:r>
        <w:rPr>
          <w:rFonts w:hint="eastAsia" w:ascii="Times New Roman" w:hAnsi="Times New Roman" w:eastAsia="楷体_GB2312" w:cs="楷体_GB2312"/>
          <w:color w:val="000000"/>
          <w:lang w:val="zh-CN"/>
        </w:rPr>
        <w:t>（一）设立背景及基本情况。</w:t>
      </w:r>
    </w:p>
    <w:p w14:paraId="5AF788D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1政务服务综合大楼广场升级改造费预算39万元，主要用于对2000㎡广场进行升级改造，先后建成连廊2个，旗杆1个，石碑1个，门楼2个，大道2个，花园4 个，并顺利通过验收</w:t>
      </w:r>
      <w:r>
        <w:rPr>
          <w:rFonts w:hint="eastAsia" w:ascii="仿宋_GB2312" w:hAnsi="仿宋_GB2312" w:eastAsia="仿宋_GB2312" w:cs="仿宋_GB2312"/>
          <w:color w:val="000000"/>
          <w:lang w:val="zh-CN"/>
        </w:rPr>
        <w:t xml:space="preserve">。 </w:t>
      </w:r>
    </w:p>
    <w:p w14:paraId="715EAD9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zh-CN"/>
        </w:rPr>
        <w:t>项目立项、资金申报的依据。支付升级改造尾款。</w:t>
      </w:r>
    </w:p>
    <w:p w14:paraId="330E5A4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val="zh-CN"/>
        </w:rPr>
        <w:t>项目主要内容、部门职能。</w:t>
      </w:r>
      <w:r>
        <w:rPr>
          <w:rFonts w:hint="eastAsia" w:ascii="仿宋_GB2312" w:hAnsi="仿宋_GB2312" w:eastAsia="仿宋_GB2312" w:cs="仿宋_GB2312"/>
          <w:color w:val="000000"/>
        </w:rPr>
        <w:t>对2000㎡广场进行升级改造，按时保质保量完成政务服务综合大楼广场升级改造，</w:t>
      </w:r>
      <w:r>
        <w:rPr>
          <w:rFonts w:hint="eastAsia" w:ascii="仿宋_GB2312" w:hAnsi="仿宋_GB2312" w:cs="仿宋_GB2312"/>
          <w:color w:val="000000"/>
          <w:lang w:eastAsia="zh-CN"/>
        </w:rPr>
        <w:t>极大地美化</w:t>
      </w:r>
      <w:r>
        <w:rPr>
          <w:rFonts w:hint="eastAsia" w:ascii="仿宋_GB2312" w:hAnsi="仿宋_GB2312" w:eastAsia="仿宋_GB2312" w:cs="仿宋_GB2312"/>
          <w:color w:val="000000"/>
        </w:rPr>
        <w:t>了政务服务环境，提升了办事群众的体验感。</w:t>
      </w:r>
    </w:p>
    <w:p w14:paraId="3B5891A2">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w:t>
      </w:r>
      <w:r>
        <w:rPr>
          <w:rFonts w:hint="eastAsia" w:ascii="Times New Roman" w:hAnsi="Times New Roman" w:eastAsia="楷体_GB2312" w:cs="楷体_GB2312"/>
          <w:color w:val="000000"/>
        </w:rPr>
        <w:t>实施目的及支持方向。</w:t>
      </w:r>
      <w:r>
        <w:rPr>
          <w:rFonts w:hint="eastAsia" w:ascii="仿宋_GB2312" w:hAnsi="仿宋_GB2312" w:eastAsia="仿宋_GB2312" w:cs="仿宋_GB2312"/>
          <w:color w:val="000000"/>
        </w:rPr>
        <w:t>按时保质保量完成政务服务综合大楼广场升级改造，</w:t>
      </w:r>
      <w:r>
        <w:rPr>
          <w:rFonts w:hint="eastAsia" w:ascii="仿宋_GB2312" w:hAnsi="仿宋_GB2312" w:cs="仿宋_GB2312"/>
          <w:color w:val="000000"/>
          <w:lang w:eastAsia="zh-CN"/>
        </w:rPr>
        <w:t>极大地美化</w:t>
      </w:r>
      <w:r>
        <w:rPr>
          <w:rFonts w:hint="eastAsia" w:ascii="仿宋_GB2312" w:hAnsi="仿宋_GB2312" w:eastAsia="仿宋_GB2312" w:cs="仿宋_GB2312"/>
          <w:color w:val="000000"/>
        </w:rPr>
        <w:t>了政务服务环境，提升了办事群众的体验感，服务对象满意度=100%。该项目资金根据区行政审批和数据局实际支出情况按需支取。</w:t>
      </w:r>
    </w:p>
    <w:p w14:paraId="4216EB2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（三）</w:t>
      </w:r>
      <w:r>
        <w:rPr>
          <w:rFonts w:hint="eastAsia" w:ascii="Times New Roman" w:hAnsi="Times New Roman" w:eastAsia="楷体_GB2312" w:cs="楷体_GB2312"/>
          <w:color w:val="000000"/>
        </w:rPr>
        <w:t>预算安排及分配管理</w:t>
      </w:r>
      <w:r>
        <w:rPr>
          <w:rFonts w:hint="eastAsia" w:ascii="Times New Roman" w:hAnsi="Times New Roman" w:eastAsia="楷体_GB2312" w:cs="楷体_GB2312"/>
          <w:color w:val="000000"/>
          <w:lang w:val="zh-CN"/>
        </w:rPr>
        <w:t>。</w:t>
      </w:r>
      <w:r>
        <w:rPr>
          <w:rFonts w:hint="eastAsia" w:ascii="仿宋_GB2312" w:hAnsi="仿宋_GB2312" w:eastAsia="仿宋_GB2312" w:cs="仿宋_GB2312"/>
          <w:color w:val="000000"/>
        </w:rPr>
        <w:t>预算安排39万元，使用39万元。项目资金由区行政审批和数据局监管，并严格按照相关财经纪律执行。</w:t>
      </w:r>
    </w:p>
    <w:p w14:paraId="013AF19F">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（四）项目绩效目标设置。</w:t>
      </w:r>
      <w:r>
        <w:rPr>
          <w:rFonts w:hint="eastAsia" w:ascii="仿宋_GB2312" w:hAnsi="仿宋_GB2312" w:eastAsia="仿宋_GB2312" w:cs="仿宋_GB2312"/>
          <w:color w:val="000000"/>
        </w:rPr>
        <w:t>营造安居最好最优的广场阵地建设，为办事群众提供温馨的办事环境，服务对象满意度=100%。组建自评工作组收集和整理自评的相关数据和信息进行自我分析和评估，对自评的结果进行总结和归纳并制定改进计划和措施，及时跟进和落实。</w:t>
      </w:r>
    </w:p>
    <w:p w14:paraId="7CBD738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color w:val="000000"/>
        </w:rPr>
      </w:pPr>
      <w:bookmarkStart w:id="116" w:name="_Toc24232"/>
      <w:r>
        <w:rPr>
          <w:rFonts w:hint="eastAsia" w:ascii="Times New Roman" w:hAnsi="Times New Roman" w:eastAsia="黑体" w:cs="黑体"/>
          <w:color w:val="000000"/>
        </w:rPr>
        <w:t>二、评价实施</w:t>
      </w:r>
      <w:bookmarkEnd w:id="116"/>
    </w:p>
    <w:p w14:paraId="65617A2B">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（一）评价目的。</w:t>
      </w:r>
      <w:r>
        <w:rPr>
          <w:rFonts w:hint="eastAsia" w:ascii="仿宋_GB2312" w:hAnsi="仿宋_GB2312" w:eastAsia="仿宋_GB2312" w:cs="仿宋_GB2312"/>
          <w:color w:val="000000"/>
          <w:lang w:val="zh-CN"/>
        </w:rPr>
        <w:t>反映项目实施是否偏离目标，并总结经验，为改善管理，纠正目标与实际的偏差提供依据。</w:t>
      </w:r>
    </w:p>
    <w:p w14:paraId="4E3E37F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（二）预设问题及评价重点</w:t>
      </w:r>
      <w:r>
        <w:rPr>
          <w:rFonts w:hint="eastAsia" w:ascii="仿宋" w:hAnsi="仿宋" w:eastAsia="仿宋" w:cs="仿宋"/>
          <w:color w:val="000000"/>
          <w:lang w:val="zh-CN"/>
        </w:rPr>
        <w:t>。</w:t>
      </w:r>
      <w:r>
        <w:rPr>
          <w:rFonts w:hint="eastAsia" w:ascii="仿宋_GB2312" w:hAnsi="仿宋_GB2312" w:eastAsia="仿宋_GB2312" w:cs="仿宋_GB2312"/>
          <w:color w:val="000000"/>
          <w:lang w:val="zh-CN"/>
        </w:rPr>
        <w:t>政务服务综合大楼广场升级改造费</w:t>
      </w:r>
      <w:r>
        <w:rPr>
          <w:rFonts w:hint="eastAsia" w:ascii="仿宋_GB2312" w:hAnsi="仿宋_GB2312" w:eastAsia="仿宋_GB2312" w:cs="仿宋_GB2312"/>
          <w:color w:val="000000"/>
        </w:rPr>
        <w:t>项目严格按照专款专用原则，及时通知有关单位提供合法票据，完善报账手续，严格票据审核，规范报账程序，确保资金使用的及时性、规范性，同时财政部门对资金支付严格审核，确保资金使用安全。</w:t>
      </w:r>
    </w:p>
    <w:p w14:paraId="163C89B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（三）评价选点。</w:t>
      </w:r>
      <w:r>
        <w:rPr>
          <w:rFonts w:hint="eastAsia" w:ascii="仿宋_GB2312" w:hAnsi="仿宋_GB2312" w:eastAsia="仿宋_GB2312" w:cs="仿宋_GB2312"/>
          <w:color w:val="000000"/>
          <w:lang w:val="zh-CN"/>
        </w:rPr>
        <w:t>项目实际完成情况。</w:t>
      </w:r>
    </w:p>
    <w:p w14:paraId="07AF5B64">
      <w:pPr>
        <w:keepNext w:val="0"/>
        <w:keepLines w:val="0"/>
        <w:pageBreakBefore w:val="0"/>
        <w:kinsoku/>
        <w:wordWrap/>
        <w:overflowPunct/>
        <w:topLinePunct w:val="0"/>
        <w:autoSpaceDE/>
        <w:autoSpaceDN/>
        <w:bidi w:val="0"/>
        <w:spacing w:line="560" w:lineRule="exact"/>
        <w:ind w:left="640" w:left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（四）评价方法。</w:t>
      </w:r>
      <w:r>
        <w:rPr>
          <w:rFonts w:hint="eastAsia" w:ascii="仿宋_GB2312" w:hAnsi="仿宋_GB2312" w:eastAsia="仿宋_GB2312" w:cs="仿宋_GB2312"/>
          <w:color w:val="000000"/>
        </w:rPr>
        <w:t>本次项目支出绩效评价采取分级评分法。</w:t>
      </w:r>
      <w:r>
        <w:rPr>
          <w:rFonts w:hint="eastAsia" w:ascii="Times New Roman" w:hAnsi="Times New Roman" w:eastAsia="楷体_GB2312" w:cs="楷体_GB2312"/>
          <w:color w:val="000000"/>
          <w:lang w:val="zh-CN"/>
        </w:rPr>
        <w:t>（五）评价组织</w:t>
      </w:r>
      <w:r>
        <w:rPr>
          <w:rFonts w:hint="eastAsia" w:ascii="仿宋" w:hAnsi="仿宋" w:eastAsia="仿宋" w:cs="仿宋"/>
          <w:color w:val="000000"/>
          <w:lang w:val="zh-CN"/>
        </w:rPr>
        <w:t>。</w:t>
      </w:r>
      <w:r>
        <w:rPr>
          <w:rFonts w:hint="eastAsia" w:ascii="仿宋_GB2312" w:hAnsi="仿宋_GB2312" w:eastAsia="仿宋_GB2312" w:cs="仿宋_GB2312"/>
          <w:color w:val="000000"/>
          <w:lang w:val="zh-CN"/>
        </w:rPr>
        <w:t>成立工作专班，落实工作责任，有力有序开展2024年部门预算项目支出绩效自评工作。</w:t>
      </w:r>
    </w:p>
    <w:p w14:paraId="482D153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cs="Times New Roman"/>
          <w:color w:val="000000"/>
          <w:lang w:val="zh-CN"/>
        </w:rPr>
      </w:pPr>
      <w:bookmarkStart w:id="117" w:name="_Toc4357"/>
      <w:r>
        <w:rPr>
          <w:rFonts w:hint="eastAsia" w:ascii="Times New Roman" w:hAnsi="Times New Roman" w:eastAsia="黑体" w:cs="黑体"/>
          <w:color w:val="000000"/>
        </w:rPr>
        <w:t>三、绩效分析</w:t>
      </w:r>
      <w:bookmarkEnd w:id="117"/>
      <w:r>
        <w:rPr>
          <w:rFonts w:ascii="Times New Roman" w:hAnsi="Times New Roman" w:cs="Times New Roman"/>
          <w:color w:val="000000"/>
          <w:lang w:val="zh-CN"/>
        </w:rPr>
        <w:tab/>
      </w:r>
    </w:p>
    <w:p w14:paraId="3165125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根据项目预算绩效评价指标体系“通用指标”“专用指标”“个性指标”涉及二、三级指标进行逐项绩效分析并评分。</w:t>
      </w:r>
    </w:p>
    <w:p w14:paraId="4FF2D81C">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ascii="Times New Roman" w:hAnsi="Times New Roman" w:eastAsia="楷体_GB2312" w:cs="Times New Roman"/>
          <w:color w:val="000000"/>
        </w:rPr>
      </w:pPr>
      <w:r>
        <w:rPr>
          <w:rFonts w:hint="eastAsia" w:ascii="Times New Roman" w:hAnsi="Times New Roman" w:eastAsia="楷体_GB2312" w:cs="楷体_GB2312"/>
          <w:color w:val="000000"/>
          <w:lang w:val="zh-CN"/>
        </w:rPr>
        <w:t>（一）</w:t>
      </w:r>
      <w:r>
        <w:rPr>
          <w:rFonts w:hint="eastAsia" w:ascii="Times New Roman" w:hAnsi="Times New Roman" w:eastAsia="楷体_GB2312" w:cs="楷体_GB2312"/>
          <w:color w:val="000000"/>
        </w:rPr>
        <w:t>通用指标</w:t>
      </w:r>
      <w:r>
        <w:rPr>
          <w:rFonts w:hint="eastAsia" w:ascii="Times New Roman" w:hAnsi="Times New Roman" w:eastAsia="楷体_GB2312" w:cs="楷体_GB2312"/>
          <w:color w:val="000000"/>
          <w:lang w:val="zh-CN"/>
        </w:rPr>
        <w:t>绩效分析。</w:t>
      </w:r>
    </w:p>
    <w:p w14:paraId="6AA949C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1.项目决策。从综合评价来看，区</w:t>
      </w:r>
      <w:bookmarkStart w:id="118" w:name="OLE_LINK104"/>
      <w:bookmarkStart w:id="119" w:name="OLE_LINK105"/>
      <w:r>
        <w:rPr>
          <w:rFonts w:hint="eastAsia" w:ascii="仿宋_GB2312" w:hAnsi="仿宋_GB2312" w:eastAsia="仿宋_GB2312" w:cs="仿宋_GB2312"/>
          <w:color w:val="000000"/>
          <w:lang w:val="zh-CN"/>
        </w:rPr>
        <w:t>行政审批和数据局</w:t>
      </w:r>
      <w:bookmarkEnd w:id="118"/>
      <w:bookmarkEnd w:id="119"/>
      <w:r>
        <w:rPr>
          <w:rFonts w:hint="eastAsia" w:ascii="仿宋_GB2312" w:hAnsi="仿宋_GB2312" w:eastAsia="仿宋_GB2312" w:cs="仿宋_GB2312"/>
          <w:color w:val="000000"/>
          <w:lang w:val="zh-CN"/>
        </w:rPr>
        <w:t>各预算项目设立依据基本充分，均设定了各项目绩效目标，对资金配置方面均有明确的测算依据，整体情况良好。</w:t>
      </w:r>
    </w:p>
    <w:p w14:paraId="4E1C167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2.项目管理。从整体评价来看，区行政审批和数据局建立了基本能全面覆盖的管理制度，各项目按照财政局相关要求稳步推进，并根据年度工作计划做好各项目工作。预算批复后，根据项目推进情况申请资金下达，截至2024年12月31日，项目资金到位39万元，支出39万元，项目资金执行率为100%。项目运行成本均在可控制范围内。</w:t>
      </w:r>
    </w:p>
    <w:p w14:paraId="34103B2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3.项目实施。项目经费严格按照专款专用原则，预算安排39万元，使用39万元。单位无截留、挤占、挪用、虚列支出等情况。</w:t>
      </w:r>
    </w:p>
    <w:p w14:paraId="1ED20D6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4.项目结果。按时保质保量完成政务服务综合大楼广场升级改造，</w:t>
      </w:r>
      <w:r>
        <w:rPr>
          <w:rFonts w:hint="eastAsia" w:ascii="仿宋_GB2312" w:hAnsi="仿宋_GB2312" w:cs="仿宋_GB2312"/>
          <w:color w:val="000000"/>
          <w:lang w:val="zh-CN"/>
        </w:rPr>
        <w:t>极大地美化</w:t>
      </w:r>
      <w:r>
        <w:rPr>
          <w:rFonts w:hint="eastAsia" w:ascii="仿宋_GB2312" w:hAnsi="仿宋_GB2312" w:eastAsia="仿宋_GB2312" w:cs="仿宋_GB2312"/>
          <w:color w:val="000000"/>
          <w:lang w:val="zh-CN"/>
        </w:rPr>
        <w:t>了政务服务环境，提升了办事群众的体验感，服务对象满意度=100%，项目完成时效1年。</w:t>
      </w:r>
    </w:p>
    <w:p w14:paraId="7982D705">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（二）专用指标绩效分析。</w:t>
      </w:r>
      <w:r>
        <w:rPr>
          <w:rFonts w:hint="eastAsia" w:ascii="仿宋_GB2312" w:hAnsi="仿宋_GB2312" w:eastAsia="仿宋_GB2312" w:cs="仿宋_GB2312"/>
          <w:color w:val="000000"/>
          <w:lang w:val="zh-CN"/>
        </w:rPr>
        <w:t>根据专项预算项目资金支持对象选择所属指标进行绩效分析。支持对象包括产业发展、民生保障、基础设施、行政运转等方面。</w:t>
      </w:r>
    </w:p>
    <w:p w14:paraId="24AA411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1.产业发展。围绕符合性、成长性、经济性进行绩效分析。</w:t>
      </w:r>
    </w:p>
    <w:p w14:paraId="4900304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2.民生保障。围绕区域均衡性、对象精准性、标准合理性、群众满意度进行绩效分析。</w:t>
      </w:r>
    </w:p>
    <w:p w14:paraId="1D61B7B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3.基础设施。在建项目围绕工程进度和资金拨付进行绩效分析；建成项目围绕项目验收、功能实现、后续管护进行绩效分析。</w:t>
      </w:r>
    </w:p>
    <w:p w14:paraId="40B851E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4.行政运转。围绕用途合规性、程序合规性、标准合规性进行绩效分析。</w:t>
      </w:r>
    </w:p>
    <w:p w14:paraId="7E0809AF">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（三）</w:t>
      </w:r>
      <w:r>
        <w:rPr>
          <w:rFonts w:hint="eastAsia" w:ascii="Times New Roman" w:hAnsi="Times New Roman" w:eastAsia="楷体_GB2312" w:cs="楷体_GB2312"/>
          <w:color w:val="000000"/>
        </w:rPr>
        <w:t>个性指标</w:t>
      </w:r>
      <w:r>
        <w:rPr>
          <w:rFonts w:hint="eastAsia" w:ascii="Times New Roman" w:hAnsi="Times New Roman" w:eastAsia="楷体_GB2312" w:cs="楷体_GB2312"/>
          <w:color w:val="000000"/>
          <w:lang w:val="zh-CN"/>
        </w:rPr>
        <w:t>绩效分析。</w:t>
      </w:r>
      <w:r>
        <w:rPr>
          <w:rFonts w:hint="eastAsia" w:ascii="仿宋_GB2312" w:hAnsi="仿宋_GB2312" w:eastAsia="仿宋_GB2312" w:cs="仿宋_GB2312"/>
          <w:color w:val="000000"/>
          <w:lang w:val="zh-CN"/>
        </w:rPr>
        <w:t>根据项目个性自行设定部分指标，反映该项指标执行完成情况。</w:t>
      </w:r>
    </w:p>
    <w:p w14:paraId="2DB389CD">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outlineLvl w:val="1"/>
        <w:rPr>
          <w:rFonts w:ascii="Times New Roman" w:hAnsi="Times New Roman" w:eastAsia="黑体" w:cs="Times New Roman"/>
          <w:color w:val="000000"/>
        </w:rPr>
      </w:pPr>
      <w:bookmarkStart w:id="120" w:name="_Toc8319"/>
      <w:r>
        <w:rPr>
          <w:rFonts w:hint="eastAsia" w:ascii="Times New Roman" w:hAnsi="Times New Roman" w:eastAsia="黑体" w:cs="黑体"/>
          <w:color w:val="000000"/>
        </w:rPr>
        <w:t>四、评价结论</w:t>
      </w:r>
      <w:bookmarkEnd w:id="120"/>
    </w:p>
    <w:p w14:paraId="338E9120">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eastAsia="zh-CN"/>
        </w:rPr>
      </w:pPr>
      <w:r>
        <w:rPr>
          <w:rFonts w:hint="eastAsia" w:ascii="仿宋_GB2312" w:hAnsi="仿宋_GB2312" w:eastAsia="仿宋_GB2312" w:cs="仿宋_GB2312"/>
          <w:color w:val="000000"/>
          <w:lang w:val="zh-CN"/>
        </w:rPr>
        <w:t>政务服务综合大楼广场升级改造</w:t>
      </w:r>
      <w:r>
        <w:rPr>
          <w:rFonts w:hint="eastAsia" w:ascii="仿宋_GB2312" w:hAnsi="仿宋_GB2312" w:eastAsia="仿宋_GB2312" w:cs="仿宋_GB2312"/>
          <w:color w:val="000000"/>
          <w:lang w:val="zh-CN" w:eastAsia="zh-CN"/>
        </w:rPr>
        <w:t>项目绩效总体评价良好,自评得分98分。</w:t>
      </w:r>
    </w:p>
    <w:p w14:paraId="02868B60">
      <w:pPr>
        <w:pStyle w:val="15"/>
        <w:keepNext w:val="0"/>
        <w:keepLines w:val="0"/>
        <w:pageBreakBefore w:val="0"/>
        <w:tabs>
          <w:tab w:val="left" w:pos="2160"/>
        </w:tabs>
        <w:kinsoku/>
        <w:wordWrap/>
        <w:overflowPunct/>
        <w:topLinePunct w:val="0"/>
        <w:autoSpaceDE/>
        <w:autoSpaceDN/>
        <w:bidi w:val="0"/>
        <w:spacing w:after="0" w:line="560" w:lineRule="exact"/>
        <w:ind w:left="640"/>
        <w:textAlignment w:val="auto"/>
        <w:outlineLvl w:val="1"/>
        <w:rPr>
          <w:rFonts w:ascii="Times New Roman" w:hAnsi="Times New Roman" w:eastAsia="黑体" w:cs="Times New Roman"/>
          <w:color w:val="000000"/>
        </w:rPr>
      </w:pPr>
      <w:bookmarkStart w:id="121" w:name="_Toc31373"/>
      <w:r>
        <w:rPr>
          <w:rFonts w:hint="eastAsia" w:ascii="Times New Roman" w:hAnsi="Times New Roman" w:eastAsia="黑体" w:cs="黑体"/>
          <w:color w:val="000000"/>
        </w:rPr>
        <w:t>五、存在主要问题</w:t>
      </w:r>
      <w:bookmarkEnd w:id="121"/>
    </w:p>
    <w:p w14:paraId="470008ED">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rPr>
          <w:rFonts w:ascii="仿宋" w:hAnsi="仿宋" w:eastAsia="仿宋" w:cs="Times New Roman"/>
          <w:color w:val="000000"/>
        </w:rPr>
      </w:pPr>
      <w:r>
        <w:rPr>
          <w:rFonts w:hint="eastAsia" w:ascii="仿宋" w:hAnsi="仿宋" w:eastAsia="仿宋" w:cs="仿宋"/>
          <w:color w:val="000000"/>
        </w:rPr>
        <w:t>无</w:t>
      </w:r>
    </w:p>
    <w:p w14:paraId="56BBDFC7">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outlineLvl w:val="1"/>
        <w:rPr>
          <w:rFonts w:ascii="Times New Roman" w:hAnsi="Times New Roman" w:eastAsia="黑体" w:cs="Times New Roman"/>
          <w:color w:val="000000"/>
          <w:position w:val="3"/>
          <w:lang w:val="zh-CN"/>
        </w:rPr>
      </w:pPr>
      <w:bookmarkStart w:id="122" w:name="_Toc7777"/>
      <w:r>
        <w:rPr>
          <w:rFonts w:hint="eastAsia" w:ascii="Times New Roman" w:hAnsi="Times New Roman" w:eastAsia="黑体" w:cs="黑体"/>
          <w:color w:val="000000"/>
          <w:position w:val="3"/>
          <w:lang w:val="zh-CN"/>
        </w:rPr>
        <w:t>六、改进建议</w:t>
      </w:r>
      <w:bookmarkEnd w:id="122"/>
    </w:p>
    <w:p w14:paraId="3A44F880">
      <w:pPr>
        <w:keepNext w:val="0"/>
        <w:keepLines w:val="0"/>
        <w:pageBreakBefore w:val="0"/>
        <w:tabs>
          <w:tab w:val="left" w:pos="1911"/>
        </w:tabs>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rPr>
      </w:pPr>
      <w:r>
        <w:rPr>
          <w:rFonts w:hint="eastAsia" w:ascii="仿宋" w:hAnsi="仿宋" w:eastAsia="仿宋" w:cs="仿宋"/>
          <w:color w:val="000000"/>
        </w:rPr>
        <w:t>无</w:t>
      </w:r>
    </w:p>
    <w:p w14:paraId="601DE825">
      <w:pPr>
        <w:keepNext w:val="0"/>
        <w:keepLines w:val="0"/>
        <w:pageBreakBefore w:val="0"/>
        <w:tabs>
          <w:tab w:val="left" w:pos="1911"/>
        </w:tabs>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rPr>
      </w:pPr>
    </w:p>
    <w:p w14:paraId="3AB5ECE5">
      <w:pPr>
        <w:keepNext w:val="0"/>
        <w:keepLines w:val="0"/>
        <w:pageBreakBefore w:val="0"/>
        <w:tabs>
          <w:tab w:val="left" w:pos="1911"/>
        </w:tabs>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000000"/>
        </w:rPr>
      </w:pPr>
    </w:p>
    <w:tbl>
      <w:tblPr>
        <w:tblStyle w:val="35"/>
        <w:tblW w:w="5000" w:type="pct"/>
        <w:tblInd w:w="2" w:type="dxa"/>
        <w:tblLayout w:type="autofit"/>
        <w:tblCellMar>
          <w:top w:w="0" w:type="dxa"/>
          <w:left w:w="108" w:type="dxa"/>
          <w:bottom w:w="0" w:type="dxa"/>
          <w:right w:w="108" w:type="dxa"/>
        </w:tblCellMar>
      </w:tblPr>
      <w:tblGrid>
        <w:gridCol w:w="576"/>
        <w:gridCol w:w="1225"/>
        <w:gridCol w:w="1042"/>
        <w:gridCol w:w="1354"/>
        <w:gridCol w:w="396"/>
        <w:gridCol w:w="975"/>
        <w:gridCol w:w="396"/>
        <w:gridCol w:w="846"/>
        <w:gridCol w:w="486"/>
        <w:gridCol w:w="397"/>
        <w:gridCol w:w="1549"/>
      </w:tblGrid>
      <w:tr w14:paraId="02561F6E">
        <w:tblPrEx>
          <w:tblCellMar>
            <w:top w:w="0" w:type="dxa"/>
            <w:left w:w="108" w:type="dxa"/>
            <w:bottom w:w="0" w:type="dxa"/>
            <w:right w:w="108" w:type="dxa"/>
          </w:tblCellMar>
        </w:tblPrEx>
        <w:trPr>
          <w:trHeight w:val="509"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03C1536F">
            <w:pPr>
              <w:widowControl/>
              <w:jc w:val="center"/>
              <w:rPr>
                <w:rFonts w:ascii="黑体" w:hAnsi="黑体" w:eastAsia="黑体" w:cs="Times New Roman"/>
                <w:b/>
                <w:bCs/>
                <w:color w:val="000000"/>
                <w:sz w:val="30"/>
                <w:szCs w:val="30"/>
              </w:rPr>
            </w:pPr>
            <w:r>
              <w:rPr>
                <w:rFonts w:hint="eastAsia" w:ascii="黑体" w:hAnsi="黑体" w:eastAsia="黑体" w:cs="黑体"/>
                <w:b/>
                <w:bCs/>
                <w:color w:val="000000"/>
                <w:sz w:val="28"/>
                <w:szCs w:val="28"/>
              </w:rPr>
              <w:t>部门预算项目支出绩效自评表（</w:t>
            </w:r>
            <w:r>
              <w:rPr>
                <w:rFonts w:ascii="黑体" w:hAnsi="黑体" w:eastAsia="黑体" w:cs="黑体"/>
                <w:b/>
                <w:bCs/>
                <w:color w:val="000000"/>
                <w:sz w:val="28"/>
                <w:szCs w:val="28"/>
              </w:rPr>
              <w:t>2024</w:t>
            </w:r>
            <w:r>
              <w:rPr>
                <w:rFonts w:hint="eastAsia" w:ascii="黑体" w:hAnsi="黑体" w:eastAsia="黑体" w:cs="黑体"/>
                <w:b/>
                <w:bCs/>
                <w:color w:val="000000"/>
                <w:sz w:val="28"/>
                <w:szCs w:val="28"/>
              </w:rPr>
              <w:t>年度）</w:t>
            </w:r>
          </w:p>
        </w:tc>
      </w:tr>
      <w:tr w14:paraId="6A35EDE3">
        <w:tblPrEx>
          <w:tblCellMar>
            <w:top w:w="0" w:type="dxa"/>
            <w:left w:w="108" w:type="dxa"/>
            <w:bottom w:w="0" w:type="dxa"/>
            <w:right w:w="108" w:type="dxa"/>
          </w:tblCellMar>
        </w:tblPrEx>
        <w:trPr>
          <w:trHeight w:val="285" w:hRule="atLeast"/>
        </w:trPr>
        <w:tc>
          <w:tcPr>
            <w:tcW w:w="975" w:type="pct"/>
            <w:gridSpan w:val="2"/>
            <w:tcBorders>
              <w:top w:val="single" w:color="000000" w:sz="4" w:space="0"/>
              <w:left w:val="single" w:color="000000" w:sz="4" w:space="0"/>
              <w:bottom w:val="single" w:color="000000" w:sz="4" w:space="0"/>
              <w:right w:val="single" w:color="000000" w:sz="4" w:space="0"/>
            </w:tcBorders>
            <w:vAlign w:val="center"/>
          </w:tcPr>
          <w:p w14:paraId="1B2F1B62">
            <w:pPr>
              <w:widowControl/>
              <w:jc w:val="left"/>
              <w:rPr>
                <w:rFonts w:ascii="宋体" w:hAnsi="宋体" w:eastAsia="宋体" w:cs="Times New Roman"/>
                <w:sz w:val="18"/>
                <w:szCs w:val="18"/>
              </w:rPr>
            </w:pPr>
            <w:r>
              <w:rPr>
                <w:rFonts w:hint="eastAsia" w:ascii="宋体" w:hAnsi="宋体" w:eastAsia="宋体" w:cs="宋体"/>
                <w:sz w:val="18"/>
                <w:szCs w:val="18"/>
              </w:rPr>
              <w:t>项目名称</w:t>
            </w:r>
          </w:p>
        </w:tc>
        <w:tc>
          <w:tcPr>
            <w:tcW w:w="4025" w:type="pct"/>
            <w:gridSpan w:val="9"/>
            <w:tcBorders>
              <w:top w:val="single" w:color="000000" w:sz="4" w:space="0"/>
              <w:left w:val="nil"/>
              <w:bottom w:val="single" w:color="000000" w:sz="4" w:space="0"/>
              <w:right w:val="single" w:color="000000" w:sz="4" w:space="0"/>
            </w:tcBorders>
            <w:vAlign w:val="center"/>
          </w:tcPr>
          <w:p w14:paraId="0975E949">
            <w:pPr>
              <w:widowControl/>
              <w:jc w:val="left"/>
              <w:rPr>
                <w:rFonts w:ascii="宋体" w:hAnsi="宋体" w:eastAsia="宋体" w:cs="Times New Roman"/>
                <w:sz w:val="18"/>
                <w:szCs w:val="18"/>
              </w:rPr>
            </w:pPr>
            <w:r>
              <w:rPr>
                <w:rFonts w:ascii="宋体" w:hAnsi="宋体" w:eastAsia="宋体" w:cs="宋体"/>
                <w:sz w:val="18"/>
                <w:szCs w:val="18"/>
              </w:rPr>
              <w:t>51090422T000000397461-</w:t>
            </w:r>
            <w:r>
              <w:rPr>
                <w:rFonts w:hint="eastAsia" w:ascii="宋体" w:hAnsi="宋体" w:eastAsia="宋体" w:cs="宋体"/>
                <w:sz w:val="18"/>
                <w:szCs w:val="18"/>
              </w:rPr>
              <w:t>政务服务综合大楼广场升级改造费</w:t>
            </w:r>
          </w:p>
        </w:tc>
      </w:tr>
      <w:tr w14:paraId="42AD6253">
        <w:tblPrEx>
          <w:tblCellMar>
            <w:top w:w="0" w:type="dxa"/>
            <w:left w:w="108" w:type="dxa"/>
            <w:bottom w:w="0" w:type="dxa"/>
            <w:right w:w="108" w:type="dxa"/>
          </w:tblCellMar>
        </w:tblPrEx>
        <w:trPr>
          <w:trHeight w:val="514" w:hRule="atLeast"/>
        </w:trPr>
        <w:tc>
          <w:tcPr>
            <w:tcW w:w="975" w:type="pct"/>
            <w:gridSpan w:val="2"/>
            <w:tcBorders>
              <w:top w:val="single" w:color="000000" w:sz="4" w:space="0"/>
              <w:left w:val="single" w:color="000000" w:sz="4" w:space="0"/>
              <w:bottom w:val="single" w:color="000000" w:sz="4" w:space="0"/>
              <w:right w:val="single" w:color="000000" w:sz="4" w:space="0"/>
            </w:tcBorders>
            <w:vAlign w:val="center"/>
          </w:tcPr>
          <w:p w14:paraId="64C19644">
            <w:pPr>
              <w:widowControl/>
              <w:jc w:val="left"/>
              <w:rPr>
                <w:rFonts w:ascii="宋体" w:hAnsi="宋体" w:eastAsia="宋体" w:cs="Times New Roman"/>
                <w:sz w:val="18"/>
                <w:szCs w:val="18"/>
              </w:rPr>
            </w:pPr>
            <w:r>
              <w:rPr>
                <w:rFonts w:hint="eastAsia" w:ascii="宋体" w:hAnsi="宋体" w:eastAsia="宋体" w:cs="宋体"/>
                <w:sz w:val="18"/>
                <w:szCs w:val="18"/>
              </w:rPr>
              <w:t>主管部门</w:t>
            </w:r>
          </w:p>
        </w:tc>
        <w:tc>
          <w:tcPr>
            <w:tcW w:w="2387" w:type="pct"/>
            <w:gridSpan w:val="5"/>
            <w:tcBorders>
              <w:top w:val="single" w:color="000000" w:sz="4" w:space="0"/>
              <w:left w:val="nil"/>
              <w:bottom w:val="single" w:color="000000" w:sz="4" w:space="0"/>
              <w:right w:val="single" w:color="000000" w:sz="4" w:space="0"/>
            </w:tcBorders>
            <w:vAlign w:val="center"/>
          </w:tcPr>
          <w:p w14:paraId="453D8AED">
            <w:pPr>
              <w:widowControl/>
              <w:jc w:val="left"/>
              <w:rPr>
                <w:rFonts w:ascii="宋体" w:hAnsi="宋体" w:eastAsia="宋体" w:cs="Times New Roman"/>
                <w:sz w:val="18"/>
                <w:szCs w:val="18"/>
              </w:rPr>
            </w:pPr>
            <w:r>
              <w:rPr>
                <w:rFonts w:hint="eastAsia" w:ascii="宋体" w:hAnsi="宋体" w:eastAsia="宋体" w:cs="宋体"/>
                <w:sz w:val="18"/>
                <w:szCs w:val="18"/>
              </w:rPr>
              <w:t>遂宁市安居区行政审批和数据局部门</w:t>
            </w:r>
          </w:p>
        </w:tc>
        <w:tc>
          <w:tcPr>
            <w:tcW w:w="388" w:type="pct"/>
            <w:tcBorders>
              <w:top w:val="nil"/>
              <w:left w:val="nil"/>
              <w:bottom w:val="nil"/>
              <w:right w:val="nil"/>
            </w:tcBorders>
            <w:vAlign w:val="center"/>
          </w:tcPr>
          <w:p w14:paraId="3798EEE9">
            <w:pPr>
              <w:widowControl/>
              <w:jc w:val="left"/>
              <w:rPr>
                <w:rFonts w:ascii="Courier New" w:hAnsi="Courier New" w:eastAsia="宋体" w:cs="Times New Roman"/>
                <w:sz w:val="18"/>
                <w:szCs w:val="18"/>
              </w:rPr>
            </w:pPr>
            <w:r>
              <w:rPr>
                <w:rFonts w:hint="eastAsia" w:ascii="Courier New" w:hAnsi="Courier New" w:eastAsia="宋体" w:cs="宋体"/>
                <w:sz w:val="18"/>
                <w:szCs w:val="18"/>
              </w:rPr>
              <w:t>实施单位</w:t>
            </w:r>
            <w:r>
              <w:rPr>
                <w:rFonts w:ascii="Courier New" w:hAnsi="Courier New" w:eastAsia="宋体" w:cs="Courier New"/>
                <w:sz w:val="18"/>
                <w:szCs w:val="18"/>
              </w:rPr>
              <w:t xml:space="preserve"> </w:t>
            </w:r>
            <w:r>
              <w:rPr>
                <w:rFonts w:hint="eastAsia" w:ascii="Courier New" w:hAnsi="Courier New" w:eastAsia="宋体" w:cs="宋体"/>
                <w:sz w:val="18"/>
                <w:szCs w:val="18"/>
              </w:rPr>
              <w:t>（盖章）</w:t>
            </w: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59D66E61">
            <w:pPr>
              <w:widowControl/>
              <w:jc w:val="center"/>
              <w:rPr>
                <w:rFonts w:ascii="宋体" w:hAnsi="宋体" w:eastAsia="宋体" w:cs="Times New Roman"/>
                <w:sz w:val="18"/>
                <w:szCs w:val="18"/>
              </w:rPr>
            </w:pPr>
            <w:r>
              <w:rPr>
                <w:rFonts w:hint="eastAsia" w:ascii="宋体" w:hAnsi="宋体" w:eastAsia="宋体" w:cs="宋体"/>
                <w:sz w:val="18"/>
                <w:szCs w:val="18"/>
              </w:rPr>
              <w:t>遂宁市安居区行政审批和数据局</w:t>
            </w:r>
          </w:p>
        </w:tc>
      </w:tr>
      <w:tr w14:paraId="420B73E2">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vAlign w:val="center"/>
          </w:tcPr>
          <w:p w14:paraId="0A1445DC">
            <w:pPr>
              <w:widowControl/>
              <w:jc w:val="left"/>
              <w:rPr>
                <w:rFonts w:ascii="宋体" w:hAnsi="宋体" w:eastAsia="宋体" w:cs="Times New Roman"/>
                <w:sz w:val="18"/>
                <w:szCs w:val="18"/>
              </w:rPr>
            </w:pPr>
            <w:r>
              <w:rPr>
                <w:rFonts w:hint="eastAsia" w:ascii="宋体" w:hAnsi="宋体" w:eastAsia="宋体" w:cs="宋体"/>
                <w:sz w:val="18"/>
                <w:szCs w:val="18"/>
              </w:rPr>
              <w:t>项目基本情况</w:t>
            </w:r>
          </w:p>
        </w:tc>
        <w:tc>
          <w:tcPr>
            <w:tcW w:w="727" w:type="pct"/>
            <w:vMerge w:val="restart"/>
            <w:tcBorders>
              <w:top w:val="nil"/>
              <w:left w:val="single" w:color="000000" w:sz="4" w:space="0"/>
              <w:bottom w:val="single" w:color="000000" w:sz="4" w:space="0"/>
              <w:right w:val="single" w:color="000000" w:sz="4" w:space="0"/>
            </w:tcBorders>
            <w:vAlign w:val="center"/>
          </w:tcPr>
          <w:p w14:paraId="0EB6D864">
            <w:pPr>
              <w:widowControl/>
              <w:jc w:val="left"/>
              <w:rPr>
                <w:rFonts w:ascii="宋体" w:hAnsi="宋体" w:eastAsia="宋体" w:cs="Times New Roman"/>
                <w:sz w:val="18"/>
                <w:szCs w:val="18"/>
              </w:rPr>
            </w:pPr>
            <w:r>
              <w:rPr>
                <w:rFonts w:ascii="宋体" w:hAnsi="宋体" w:eastAsia="宋体" w:cs="宋体"/>
                <w:sz w:val="18"/>
                <w:szCs w:val="18"/>
              </w:rPr>
              <w:t>1.</w:t>
            </w:r>
            <w:r>
              <w:rPr>
                <w:rFonts w:hint="eastAsia" w:ascii="宋体" w:hAnsi="宋体" w:eastAsia="宋体" w:cs="宋体"/>
                <w:sz w:val="18"/>
                <w:szCs w:val="18"/>
              </w:rPr>
              <w:t>项目年度目标完成情况</w:t>
            </w:r>
          </w:p>
        </w:tc>
        <w:tc>
          <w:tcPr>
            <w:tcW w:w="2387" w:type="pct"/>
            <w:gridSpan w:val="5"/>
            <w:tcBorders>
              <w:top w:val="single" w:color="000000" w:sz="4" w:space="0"/>
              <w:left w:val="nil"/>
              <w:bottom w:val="single" w:color="000000" w:sz="4" w:space="0"/>
              <w:right w:val="single" w:color="000000" w:sz="4" w:space="0"/>
            </w:tcBorders>
            <w:vAlign w:val="center"/>
          </w:tcPr>
          <w:p w14:paraId="6B5DDCA2">
            <w:pPr>
              <w:widowControl/>
              <w:jc w:val="center"/>
              <w:rPr>
                <w:rFonts w:ascii="宋体" w:hAnsi="宋体" w:eastAsia="宋体" w:cs="Times New Roman"/>
                <w:sz w:val="18"/>
                <w:szCs w:val="18"/>
              </w:rPr>
            </w:pPr>
            <w:r>
              <w:rPr>
                <w:rFonts w:hint="eastAsia" w:ascii="宋体" w:hAnsi="宋体" w:eastAsia="宋体" w:cs="宋体"/>
                <w:sz w:val="18"/>
                <w:szCs w:val="18"/>
              </w:rPr>
              <w:t>项目年度目标</w:t>
            </w:r>
          </w:p>
        </w:tc>
        <w:tc>
          <w:tcPr>
            <w:tcW w:w="1638" w:type="pct"/>
            <w:gridSpan w:val="4"/>
            <w:tcBorders>
              <w:top w:val="single" w:color="000000" w:sz="4" w:space="0"/>
              <w:left w:val="nil"/>
              <w:bottom w:val="single" w:color="000000" w:sz="4" w:space="0"/>
              <w:right w:val="single" w:color="000000" w:sz="4" w:space="0"/>
            </w:tcBorders>
            <w:vAlign w:val="center"/>
          </w:tcPr>
          <w:p w14:paraId="380EF535">
            <w:pPr>
              <w:widowControl/>
              <w:jc w:val="center"/>
              <w:rPr>
                <w:rFonts w:ascii="Courier New" w:hAnsi="Courier New" w:eastAsia="宋体" w:cs="Times New Roman"/>
                <w:sz w:val="18"/>
                <w:szCs w:val="18"/>
              </w:rPr>
            </w:pPr>
            <w:r>
              <w:rPr>
                <w:rFonts w:hint="eastAsia" w:ascii="Courier New" w:hAnsi="Courier New" w:eastAsia="宋体" w:cs="宋体"/>
                <w:sz w:val="18"/>
                <w:szCs w:val="18"/>
              </w:rPr>
              <w:t>年度目标完成情况</w:t>
            </w:r>
          </w:p>
        </w:tc>
      </w:tr>
      <w:tr w14:paraId="30A8FFB1">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14:paraId="65B7C3ED">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152CCAD6">
            <w:pPr>
              <w:widowControl/>
              <w:jc w:val="left"/>
              <w:rPr>
                <w:rFonts w:ascii="宋体" w:hAnsi="宋体" w:eastAsia="宋体" w:cs="Times New Roman"/>
                <w:sz w:val="18"/>
                <w:szCs w:val="18"/>
              </w:rPr>
            </w:pPr>
          </w:p>
        </w:tc>
        <w:tc>
          <w:tcPr>
            <w:tcW w:w="2387" w:type="pct"/>
            <w:gridSpan w:val="5"/>
            <w:tcBorders>
              <w:top w:val="single" w:color="000000" w:sz="4" w:space="0"/>
              <w:left w:val="nil"/>
              <w:bottom w:val="single" w:color="000000" w:sz="4" w:space="0"/>
              <w:right w:val="single" w:color="000000" w:sz="4" w:space="0"/>
            </w:tcBorders>
            <w:vAlign w:val="center"/>
          </w:tcPr>
          <w:p w14:paraId="6FB160C0">
            <w:pPr>
              <w:widowControl/>
              <w:jc w:val="left"/>
              <w:rPr>
                <w:rFonts w:ascii="宋体" w:hAnsi="宋体" w:eastAsia="宋体" w:cs="Times New Roman"/>
                <w:sz w:val="18"/>
                <w:szCs w:val="18"/>
              </w:rPr>
            </w:pPr>
            <w:r>
              <w:rPr>
                <w:rFonts w:hint="eastAsia" w:ascii="宋体" w:hAnsi="宋体" w:eastAsia="宋体" w:cs="宋体"/>
                <w:sz w:val="18"/>
                <w:szCs w:val="18"/>
              </w:rPr>
              <w:t>营造安居最好最优的广场阵地建设，为办事群众提供温馨的办事环境，对政务综合大楼广场进行升级改造。</w:t>
            </w:r>
          </w:p>
        </w:tc>
        <w:tc>
          <w:tcPr>
            <w:tcW w:w="1638" w:type="pct"/>
            <w:gridSpan w:val="4"/>
            <w:tcBorders>
              <w:top w:val="single" w:color="000000" w:sz="4" w:space="0"/>
              <w:left w:val="nil"/>
              <w:bottom w:val="single" w:color="000000" w:sz="4" w:space="0"/>
              <w:right w:val="single" w:color="000000" w:sz="4" w:space="0"/>
            </w:tcBorders>
            <w:vAlign w:val="center"/>
          </w:tcPr>
          <w:p w14:paraId="79BA3EDF">
            <w:pPr>
              <w:widowControl/>
              <w:jc w:val="left"/>
              <w:rPr>
                <w:rFonts w:ascii="宋体" w:hAnsi="宋体" w:eastAsia="宋体" w:cs="Times New Roman"/>
                <w:sz w:val="18"/>
                <w:szCs w:val="18"/>
              </w:rPr>
            </w:pPr>
            <w:r>
              <w:rPr>
                <w:rFonts w:hint="eastAsia" w:ascii="宋体" w:hAnsi="宋体" w:eastAsia="宋体" w:cs="宋体"/>
                <w:sz w:val="18"/>
                <w:szCs w:val="18"/>
              </w:rPr>
              <w:t>按时保质保量完成政务服务综合大楼广场升级改造，</w:t>
            </w:r>
            <w:r>
              <w:rPr>
                <w:rFonts w:hint="eastAsia" w:ascii="宋体" w:hAnsi="宋体" w:eastAsia="宋体" w:cs="宋体"/>
                <w:sz w:val="18"/>
                <w:szCs w:val="18"/>
                <w:lang w:eastAsia="zh-CN"/>
              </w:rPr>
              <w:t>极大地美化</w:t>
            </w:r>
            <w:r>
              <w:rPr>
                <w:rFonts w:hint="eastAsia" w:ascii="宋体" w:hAnsi="宋体" w:eastAsia="宋体" w:cs="宋体"/>
                <w:sz w:val="18"/>
                <w:szCs w:val="18"/>
              </w:rPr>
              <w:t>了政务服务环境，提升了办事群众的体验感。</w:t>
            </w:r>
          </w:p>
        </w:tc>
      </w:tr>
      <w:tr w14:paraId="41C354BA">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14:paraId="7CCE55E3">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2F2DD450">
            <w:pPr>
              <w:widowControl/>
              <w:jc w:val="left"/>
              <w:rPr>
                <w:rFonts w:ascii="宋体" w:hAnsi="宋体" w:eastAsia="宋体" w:cs="Times New Roman"/>
                <w:sz w:val="18"/>
                <w:szCs w:val="18"/>
              </w:rPr>
            </w:pPr>
            <w:r>
              <w:rPr>
                <w:rFonts w:ascii="宋体" w:hAnsi="宋体" w:eastAsia="宋体" w:cs="宋体"/>
                <w:sz w:val="18"/>
                <w:szCs w:val="18"/>
              </w:rPr>
              <w:t>2.</w:t>
            </w:r>
            <w:r>
              <w:rPr>
                <w:rFonts w:hint="eastAsia" w:ascii="宋体" w:hAnsi="宋体" w:eastAsia="宋体" w:cs="宋体"/>
                <w:sz w:val="18"/>
                <w:szCs w:val="18"/>
              </w:rPr>
              <w:t>项目实施内容及过程概述</w:t>
            </w:r>
          </w:p>
        </w:tc>
        <w:tc>
          <w:tcPr>
            <w:tcW w:w="4025" w:type="pct"/>
            <w:gridSpan w:val="9"/>
            <w:tcBorders>
              <w:top w:val="single" w:color="000000" w:sz="4" w:space="0"/>
              <w:left w:val="nil"/>
              <w:bottom w:val="single" w:color="000000" w:sz="4" w:space="0"/>
              <w:right w:val="single" w:color="000000" w:sz="4" w:space="0"/>
            </w:tcBorders>
            <w:vAlign w:val="center"/>
          </w:tcPr>
          <w:p w14:paraId="0473A757">
            <w:pPr>
              <w:widowControl/>
              <w:jc w:val="left"/>
              <w:rPr>
                <w:rFonts w:ascii="宋体" w:hAnsi="宋体" w:eastAsia="宋体" w:cs="Times New Roman"/>
                <w:sz w:val="18"/>
                <w:szCs w:val="18"/>
              </w:rPr>
            </w:pPr>
            <w:r>
              <w:rPr>
                <w:rFonts w:hint="eastAsia" w:ascii="宋体" w:hAnsi="宋体" w:eastAsia="宋体" w:cs="宋体"/>
                <w:sz w:val="18"/>
                <w:szCs w:val="18"/>
              </w:rPr>
              <w:t>对</w:t>
            </w:r>
            <w:r>
              <w:rPr>
                <w:rFonts w:ascii="宋体" w:hAnsi="宋体" w:eastAsia="宋体" w:cs="宋体"/>
                <w:sz w:val="18"/>
                <w:szCs w:val="18"/>
              </w:rPr>
              <w:t>2000</w:t>
            </w:r>
            <w:r>
              <w:rPr>
                <w:rFonts w:hint="eastAsia" w:ascii="宋体" w:hAnsi="宋体" w:eastAsia="宋体" w:cs="宋体"/>
                <w:sz w:val="18"/>
                <w:szCs w:val="18"/>
              </w:rPr>
              <w:t>㎡广场进行升级改造，先后建成连廊</w:t>
            </w:r>
            <w:r>
              <w:rPr>
                <w:rFonts w:ascii="宋体" w:hAnsi="宋体" w:eastAsia="宋体" w:cs="宋体"/>
                <w:sz w:val="18"/>
                <w:szCs w:val="18"/>
              </w:rPr>
              <w:t>2</w:t>
            </w:r>
            <w:r>
              <w:rPr>
                <w:rFonts w:hint="eastAsia" w:ascii="宋体" w:hAnsi="宋体" w:eastAsia="宋体" w:cs="宋体"/>
                <w:sz w:val="18"/>
                <w:szCs w:val="18"/>
              </w:rPr>
              <w:t>个，旗杆</w:t>
            </w:r>
            <w:r>
              <w:rPr>
                <w:rFonts w:ascii="宋体" w:hAnsi="宋体" w:eastAsia="宋体" w:cs="宋体"/>
                <w:sz w:val="18"/>
                <w:szCs w:val="18"/>
              </w:rPr>
              <w:t>1</w:t>
            </w:r>
            <w:r>
              <w:rPr>
                <w:rFonts w:hint="eastAsia" w:ascii="宋体" w:hAnsi="宋体" w:eastAsia="宋体" w:cs="宋体"/>
                <w:sz w:val="18"/>
                <w:szCs w:val="18"/>
              </w:rPr>
              <w:t>个，石碑</w:t>
            </w:r>
            <w:r>
              <w:rPr>
                <w:rFonts w:ascii="宋体" w:hAnsi="宋体" w:eastAsia="宋体" w:cs="宋体"/>
                <w:sz w:val="18"/>
                <w:szCs w:val="18"/>
              </w:rPr>
              <w:t>1</w:t>
            </w:r>
            <w:r>
              <w:rPr>
                <w:rFonts w:hint="eastAsia" w:ascii="宋体" w:hAnsi="宋体" w:eastAsia="宋体" w:cs="宋体"/>
                <w:sz w:val="18"/>
                <w:szCs w:val="18"/>
              </w:rPr>
              <w:t>个，门楼</w:t>
            </w:r>
            <w:r>
              <w:rPr>
                <w:rFonts w:ascii="宋体" w:hAnsi="宋体" w:eastAsia="宋体" w:cs="宋体"/>
                <w:sz w:val="18"/>
                <w:szCs w:val="18"/>
              </w:rPr>
              <w:t>2</w:t>
            </w:r>
            <w:r>
              <w:rPr>
                <w:rFonts w:hint="eastAsia" w:ascii="宋体" w:hAnsi="宋体" w:eastAsia="宋体" w:cs="宋体"/>
                <w:sz w:val="18"/>
                <w:szCs w:val="18"/>
              </w:rPr>
              <w:t>个，大道</w:t>
            </w:r>
            <w:r>
              <w:rPr>
                <w:rFonts w:ascii="宋体" w:hAnsi="宋体" w:eastAsia="宋体" w:cs="宋体"/>
                <w:sz w:val="18"/>
                <w:szCs w:val="18"/>
              </w:rPr>
              <w:t>2</w:t>
            </w:r>
            <w:r>
              <w:rPr>
                <w:rFonts w:hint="eastAsia" w:ascii="宋体" w:hAnsi="宋体" w:eastAsia="宋体" w:cs="宋体"/>
                <w:sz w:val="18"/>
                <w:szCs w:val="18"/>
              </w:rPr>
              <w:t>个，花园</w:t>
            </w:r>
            <w:r>
              <w:rPr>
                <w:rFonts w:ascii="宋体" w:hAnsi="宋体" w:eastAsia="宋体" w:cs="宋体"/>
                <w:sz w:val="18"/>
                <w:szCs w:val="18"/>
              </w:rPr>
              <w:t xml:space="preserve">4 </w:t>
            </w:r>
            <w:r>
              <w:rPr>
                <w:rFonts w:hint="eastAsia" w:ascii="宋体" w:hAnsi="宋体" w:eastAsia="宋体" w:cs="宋体"/>
                <w:sz w:val="18"/>
                <w:szCs w:val="18"/>
              </w:rPr>
              <w:t>个，并顺利通过验收</w:t>
            </w:r>
          </w:p>
        </w:tc>
      </w:tr>
      <w:tr w14:paraId="2E60174E">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vAlign w:val="center"/>
          </w:tcPr>
          <w:p w14:paraId="5701A23C">
            <w:pPr>
              <w:widowControl/>
              <w:jc w:val="center"/>
              <w:rPr>
                <w:rFonts w:ascii="宋体" w:hAnsi="宋体" w:eastAsia="宋体" w:cs="Times New Roman"/>
                <w:sz w:val="18"/>
                <w:szCs w:val="18"/>
              </w:rPr>
            </w:pPr>
            <w:r>
              <w:rPr>
                <w:rFonts w:hint="eastAsia" w:ascii="宋体" w:hAnsi="宋体" w:eastAsia="宋体" w:cs="宋体"/>
                <w:sz w:val="18"/>
                <w:szCs w:val="18"/>
              </w:rPr>
              <w:t>预算执行情况（</w:t>
            </w:r>
            <w:r>
              <w:rPr>
                <w:rFonts w:ascii="宋体" w:hAnsi="宋体" w:eastAsia="宋体" w:cs="宋体"/>
                <w:sz w:val="18"/>
                <w:szCs w:val="18"/>
              </w:rPr>
              <w:t>10</w:t>
            </w:r>
            <w:r>
              <w:rPr>
                <w:rFonts w:hint="eastAsia" w:ascii="宋体" w:hAnsi="宋体" w:eastAsia="宋体" w:cs="宋体"/>
                <w:sz w:val="18"/>
                <w:szCs w:val="18"/>
              </w:rPr>
              <w:t>分）</w:t>
            </w:r>
          </w:p>
        </w:tc>
        <w:tc>
          <w:tcPr>
            <w:tcW w:w="727" w:type="pct"/>
            <w:tcBorders>
              <w:top w:val="nil"/>
              <w:left w:val="nil"/>
              <w:bottom w:val="single" w:color="000000" w:sz="4" w:space="0"/>
              <w:right w:val="single" w:color="000000" w:sz="4" w:space="0"/>
            </w:tcBorders>
            <w:vAlign w:val="center"/>
          </w:tcPr>
          <w:p w14:paraId="67495F89">
            <w:pPr>
              <w:widowControl/>
              <w:jc w:val="center"/>
              <w:rPr>
                <w:rFonts w:ascii="宋体" w:hAnsi="宋体" w:eastAsia="宋体" w:cs="Times New Roman"/>
                <w:sz w:val="18"/>
                <w:szCs w:val="18"/>
              </w:rPr>
            </w:pPr>
            <w:r>
              <w:rPr>
                <w:rFonts w:hint="eastAsia" w:ascii="宋体" w:hAnsi="宋体" w:eastAsia="宋体" w:cs="宋体"/>
                <w:sz w:val="18"/>
                <w:szCs w:val="18"/>
              </w:rPr>
              <w:t>年度预算数（万元）</w:t>
            </w:r>
          </w:p>
        </w:tc>
        <w:tc>
          <w:tcPr>
            <w:tcW w:w="629" w:type="pct"/>
            <w:tcBorders>
              <w:top w:val="nil"/>
              <w:left w:val="nil"/>
              <w:bottom w:val="single" w:color="000000" w:sz="4" w:space="0"/>
              <w:right w:val="single" w:color="000000" w:sz="4" w:space="0"/>
            </w:tcBorders>
            <w:vAlign w:val="center"/>
          </w:tcPr>
          <w:p w14:paraId="4A14F1D8">
            <w:pPr>
              <w:widowControl/>
              <w:jc w:val="center"/>
              <w:rPr>
                <w:rFonts w:ascii="宋体" w:hAnsi="宋体" w:eastAsia="宋体" w:cs="Times New Roman"/>
                <w:sz w:val="18"/>
                <w:szCs w:val="18"/>
              </w:rPr>
            </w:pPr>
            <w:r>
              <w:rPr>
                <w:rFonts w:hint="eastAsia" w:ascii="宋体" w:hAnsi="宋体" w:eastAsia="宋体" w:cs="宋体"/>
                <w:sz w:val="18"/>
                <w:szCs w:val="18"/>
              </w:rPr>
              <w:t>年初预算</w:t>
            </w:r>
          </w:p>
        </w:tc>
        <w:tc>
          <w:tcPr>
            <w:tcW w:w="798" w:type="pct"/>
            <w:tcBorders>
              <w:top w:val="nil"/>
              <w:left w:val="nil"/>
              <w:bottom w:val="single" w:color="000000" w:sz="4" w:space="0"/>
              <w:right w:val="single" w:color="000000" w:sz="4" w:space="0"/>
            </w:tcBorders>
            <w:vAlign w:val="center"/>
          </w:tcPr>
          <w:p w14:paraId="6C2B57DD">
            <w:pPr>
              <w:widowControl/>
              <w:jc w:val="center"/>
              <w:rPr>
                <w:rFonts w:ascii="宋体" w:hAnsi="宋体" w:eastAsia="宋体" w:cs="Times New Roman"/>
                <w:sz w:val="18"/>
                <w:szCs w:val="18"/>
              </w:rPr>
            </w:pPr>
            <w:r>
              <w:rPr>
                <w:rFonts w:hint="eastAsia" w:ascii="宋体" w:hAnsi="宋体" w:eastAsia="宋体" w:cs="宋体"/>
                <w:sz w:val="18"/>
                <w:szCs w:val="18"/>
              </w:rPr>
              <w:t>调整后预算数</w:t>
            </w:r>
          </w:p>
        </w:tc>
        <w:tc>
          <w:tcPr>
            <w:tcW w:w="960" w:type="pct"/>
            <w:gridSpan w:val="3"/>
            <w:tcBorders>
              <w:top w:val="single" w:color="000000" w:sz="4" w:space="0"/>
              <w:left w:val="nil"/>
              <w:bottom w:val="single" w:color="000000" w:sz="4" w:space="0"/>
              <w:right w:val="single" w:color="000000" w:sz="4" w:space="0"/>
            </w:tcBorders>
            <w:vAlign w:val="center"/>
          </w:tcPr>
          <w:p w14:paraId="40027CB6">
            <w:pPr>
              <w:widowControl/>
              <w:jc w:val="center"/>
              <w:rPr>
                <w:rFonts w:ascii="宋体" w:hAnsi="宋体" w:eastAsia="宋体" w:cs="Times New Roman"/>
                <w:sz w:val="18"/>
                <w:szCs w:val="18"/>
              </w:rPr>
            </w:pPr>
            <w:r>
              <w:rPr>
                <w:rFonts w:hint="eastAsia" w:ascii="宋体" w:hAnsi="宋体" w:eastAsia="宋体" w:cs="宋体"/>
                <w:sz w:val="18"/>
                <w:szCs w:val="18"/>
              </w:rPr>
              <w:t>预算执行数</w:t>
            </w:r>
          </w:p>
        </w:tc>
        <w:tc>
          <w:tcPr>
            <w:tcW w:w="388" w:type="pct"/>
            <w:tcBorders>
              <w:top w:val="nil"/>
              <w:left w:val="nil"/>
              <w:bottom w:val="single" w:color="000000" w:sz="4" w:space="0"/>
              <w:right w:val="single" w:color="000000" w:sz="4" w:space="0"/>
            </w:tcBorders>
            <w:vAlign w:val="center"/>
          </w:tcPr>
          <w:p w14:paraId="562D0857">
            <w:pPr>
              <w:widowControl/>
              <w:jc w:val="center"/>
              <w:rPr>
                <w:rFonts w:ascii="宋体" w:hAnsi="宋体" w:eastAsia="宋体" w:cs="Times New Roman"/>
                <w:sz w:val="18"/>
                <w:szCs w:val="18"/>
              </w:rPr>
            </w:pPr>
            <w:r>
              <w:rPr>
                <w:rFonts w:hint="eastAsia" w:ascii="宋体" w:hAnsi="宋体" w:eastAsia="宋体" w:cs="宋体"/>
                <w:sz w:val="18"/>
                <w:szCs w:val="18"/>
              </w:rPr>
              <w:t>预算执行率</w:t>
            </w:r>
          </w:p>
        </w:tc>
        <w:tc>
          <w:tcPr>
            <w:tcW w:w="184" w:type="pct"/>
            <w:tcBorders>
              <w:top w:val="nil"/>
              <w:left w:val="nil"/>
              <w:bottom w:val="single" w:color="000000" w:sz="4" w:space="0"/>
              <w:right w:val="single" w:color="000000" w:sz="4" w:space="0"/>
            </w:tcBorders>
            <w:vAlign w:val="center"/>
          </w:tcPr>
          <w:p w14:paraId="0247B6C3">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162" w:type="pct"/>
            <w:tcBorders>
              <w:top w:val="nil"/>
              <w:left w:val="nil"/>
              <w:bottom w:val="single" w:color="000000" w:sz="4" w:space="0"/>
              <w:right w:val="single" w:color="000000" w:sz="4" w:space="0"/>
            </w:tcBorders>
            <w:vAlign w:val="center"/>
          </w:tcPr>
          <w:p w14:paraId="00DCE8DA">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904" w:type="pct"/>
            <w:tcBorders>
              <w:top w:val="nil"/>
              <w:left w:val="nil"/>
              <w:bottom w:val="single" w:color="000000" w:sz="4" w:space="0"/>
              <w:right w:val="single" w:color="000000" w:sz="4" w:space="0"/>
            </w:tcBorders>
            <w:vAlign w:val="center"/>
          </w:tcPr>
          <w:p w14:paraId="3128E9D1">
            <w:pPr>
              <w:widowControl/>
              <w:jc w:val="center"/>
              <w:rPr>
                <w:rFonts w:ascii="宋体" w:hAnsi="宋体" w:eastAsia="宋体" w:cs="Times New Roman"/>
                <w:sz w:val="18"/>
                <w:szCs w:val="18"/>
              </w:rPr>
            </w:pPr>
            <w:r>
              <w:rPr>
                <w:rFonts w:hint="eastAsia" w:ascii="宋体" w:hAnsi="宋体" w:eastAsia="宋体" w:cs="宋体"/>
                <w:sz w:val="18"/>
                <w:szCs w:val="18"/>
              </w:rPr>
              <w:t>原因</w:t>
            </w:r>
          </w:p>
        </w:tc>
      </w:tr>
      <w:tr w14:paraId="1A8E6B4F">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14:paraId="7287F973">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40BFEEE7">
            <w:pPr>
              <w:widowControl/>
              <w:jc w:val="center"/>
              <w:rPr>
                <w:rFonts w:ascii="宋体" w:hAnsi="宋体" w:eastAsia="宋体" w:cs="Times New Roman"/>
                <w:sz w:val="18"/>
                <w:szCs w:val="18"/>
              </w:rPr>
            </w:pPr>
            <w:r>
              <w:rPr>
                <w:rFonts w:hint="eastAsia" w:ascii="宋体" w:hAnsi="宋体" w:eastAsia="宋体" w:cs="宋体"/>
                <w:sz w:val="18"/>
                <w:szCs w:val="18"/>
              </w:rPr>
              <w:t>总额</w:t>
            </w:r>
          </w:p>
        </w:tc>
        <w:tc>
          <w:tcPr>
            <w:tcW w:w="629" w:type="pct"/>
            <w:tcBorders>
              <w:top w:val="nil"/>
              <w:left w:val="nil"/>
              <w:bottom w:val="single" w:color="000000" w:sz="4" w:space="0"/>
              <w:right w:val="single" w:color="000000" w:sz="4" w:space="0"/>
            </w:tcBorders>
            <w:vAlign w:val="center"/>
          </w:tcPr>
          <w:p w14:paraId="76D74461">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33B0C7D3">
            <w:pPr>
              <w:widowControl/>
              <w:jc w:val="center"/>
              <w:rPr>
                <w:rFonts w:ascii="宋体" w:hAnsi="宋体" w:eastAsia="宋体" w:cs="宋体"/>
                <w:sz w:val="18"/>
                <w:szCs w:val="18"/>
              </w:rPr>
            </w:pPr>
            <w:r>
              <w:rPr>
                <w:rFonts w:ascii="宋体" w:hAnsi="宋体" w:eastAsia="宋体" w:cs="宋体"/>
                <w:sz w:val="18"/>
                <w:szCs w:val="18"/>
              </w:rPr>
              <w:t>39.00</w:t>
            </w:r>
          </w:p>
        </w:tc>
        <w:tc>
          <w:tcPr>
            <w:tcW w:w="960" w:type="pct"/>
            <w:gridSpan w:val="3"/>
            <w:tcBorders>
              <w:top w:val="single" w:color="000000" w:sz="4" w:space="0"/>
              <w:left w:val="nil"/>
              <w:bottom w:val="single" w:color="000000" w:sz="4" w:space="0"/>
              <w:right w:val="single" w:color="000000" w:sz="4" w:space="0"/>
            </w:tcBorders>
            <w:vAlign w:val="center"/>
          </w:tcPr>
          <w:p w14:paraId="69D9C1DD">
            <w:pPr>
              <w:widowControl/>
              <w:jc w:val="center"/>
              <w:rPr>
                <w:rFonts w:ascii="宋体" w:hAnsi="宋体" w:eastAsia="宋体" w:cs="宋体"/>
                <w:sz w:val="18"/>
                <w:szCs w:val="18"/>
              </w:rPr>
            </w:pPr>
            <w:r>
              <w:rPr>
                <w:rFonts w:ascii="宋体" w:hAnsi="宋体" w:eastAsia="宋体" w:cs="宋体"/>
                <w:sz w:val="18"/>
                <w:szCs w:val="18"/>
              </w:rPr>
              <w:t>39.00</w:t>
            </w:r>
          </w:p>
        </w:tc>
        <w:tc>
          <w:tcPr>
            <w:tcW w:w="388" w:type="pct"/>
            <w:tcBorders>
              <w:top w:val="nil"/>
              <w:left w:val="nil"/>
              <w:bottom w:val="single" w:color="000000" w:sz="4" w:space="0"/>
              <w:right w:val="single" w:color="000000" w:sz="4" w:space="0"/>
            </w:tcBorders>
            <w:vAlign w:val="center"/>
          </w:tcPr>
          <w:p w14:paraId="1524845E">
            <w:pPr>
              <w:widowControl/>
              <w:jc w:val="center"/>
              <w:rPr>
                <w:rFonts w:ascii="宋体" w:hAnsi="宋体" w:eastAsia="宋体" w:cs="宋体"/>
                <w:sz w:val="18"/>
                <w:szCs w:val="18"/>
              </w:rPr>
            </w:pPr>
            <w:r>
              <w:rPr>
                <w:rFonts w:ascii="宋体" w:hAnsi="宋体" w:eastAsia="宋体" w:cs="宋体"/>
                <w:sz w:val="18"/>
                <w:szCs w:val="18"/>
              </w:rPr>
              <w:t>100.00%</w:t>
            </w:r>
          </w:p>
        </w:tc>
        <w:tc>
          <w:tcPr>
            <w:tcW w:w="184" w:type="pct"/>
            <w:tcBorders>
              <w:top w:val="nil"/>
              <w:left w:val="nil"/>
              <w:bottom w:val="single" w:color="000000" w:sz="4" w:space="0"/>
              <w:right w:val="single" w:color="000000" w:sz="4" w:space="0"/>
            </w:tcBorders>
            <w:vAlign w:val="center"/>
          </w:tcPr>
          <w:p w14:paraId="1C010A52">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56B25ED7">
            <w:pPr>
              <w:widowControl/>
              <w:jc w:val="center"/>
              <w:rPr>
                <w:rFonts w:ascii="宋体" w:hAnsi="宋体" w:eastAsia="宋体" w:cs="宋体"/>
                <w:sz w:val="18"/>
                <w:szCs w:val="18"/>
              </w:rPr>
            </w:pPr>
            <w:r>
              <w:rPr>
                <w:rFonts w:ascii="宋体" w:hAnsi="宋体" w:eastAsia="宋体" w:cs="宋体"/>
                <w:sz w:val="18"/>
                <w:szCs w:val="18"/>
              </w:rPr>
              <w:t>10</w:t>
            </w:r>
          </w:p>
        </w:tc>
        <w:tc>
          <w:tcPr>
            <w:tcW w:w="904" w:type="pct"/>
            <w:vMerge w:val="restart"/>
            <w:tcBorders>
              <w:top w:val="nil"/>
              <w:left w:val="single" w:color="000000" w:sz="4" w:space="0"/>
              <w:bottom w:val="single" w:color="000000" w:sz="4" w:space="0"/>
              <w:right w:val="single" w:color="000000" w:sz="4" w:space="0"/>
            </w:tcBorders>
            <w:vAlign w:val="center"/>
          </w:tcPr>
          <w:p w14:paraId="7236ED7E">
            <w:pPr>
              <w:widowControl/>
              <w:jc w:val="left"/>
              <w:rPr>
                <w:rFonts w:ascii="Courier New" w:hAnsi="Courier New" w:eastAsia="宋体" w:cs="Times New Roman"/>
                <w:i/>
                <w:iCs/>
                <w:sz w:val="18"/>
                <w:szCs w:val="18"/>
              </w:rPr>
            </w:pPr>
            <w:r>
              <w:rPr>
                <w:rFonts w:hint="eastAsia" w:ascii="Courier New" w:hAnsi="Courier New" w:eastAsia="宋体" w:cs="宋体"/>
                <w:i/>
                <w:iCs/>
                <w:sz w:val="18"/>
                <w:szCs w:val="18"/>
              </w:rPr>
              <w:t>　</w:t>
            </w:r>
          </w:p>
        </w:tc>
      </w:tr>
      <w:tr w14:paraId="2386F5BF">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14:paraId="370BF0A8">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3051D1FE">
            <w:pPr>
              <w:widowControl/>
              <w:jc w:val="center"/>
              <w:rPr>
                <w:rFonts w:ascii="宋体" w:hAnsi="宋体" w:eastAsia="宋体" w:cs="Times New Roman"/>
                <w:sz w:val="18"/>
                <w:szCs w:val="18"/>
              </w:rPr>
            </w:pPr>
            <w:r>
              <w:rPr>
                <w:rFonts w:hint="eastAsia" w:ascii="宋体" w:hAnsi="宋体" w:eastAsia="宋体" w:cs="宋体"/>
                <w:sz w:val="18"/>
                <w:szCs w:val="18"/>
              </w:rPr>
              <w:t>其中：财政资金</w:t>
            </w:r>
          </w:p>
        </w:tc>
        <w:tc>
          <w:tcPr>
            <w:tcW w:w="629" w:type="pct"/>
            <w:tcBorders>
              <w:top w:val="nil"/>
              <w:left w:val="nil"/>
              <w:bottom w:val="single" w:color="000000" w:sz="4" w:space="0"/>
              <w:right w:val="single" w:color="000000" w:sz="4" w:space="0"/>
            </w:tcBorders>
            <w:vAlign w:val="center"/>
          </w:tcPr>
          <w:p w14:paraId="3E0E3265">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1019A7C6">
            <w:pPr>
              <w:widowControl/>
              <w:jc w:val="center"/>
              <w:rPr>
                <w:rFonts w:ascii="宋体" w:hAnsi="宋体" w:eastAsia="宋体" w:cs="宋体"/>
                <w:sz w:val="18"/>
                <w:szCs w:val="18"/>
              </w:rPr>
            </w:pPr>
            <w:r>
              <w:rPr>
                <w:rFonts w:ascii="宋体" w:hAnsi="宋体" w:eastAsia="宋体" w:cs="宋体"/>
                <w:sz w:val="18"/>
                <w:szCs w:val="18"/>
              </w:rPr>
              <w:t>39.00</w:t>
            </w:r>
          </w:p>
        </w:tc>
        <w:tc>
          <w:tcPr>
            <w:tcW w:w="960" w:type="pct"/>
            <w:gridSpan w:val="3"/>
            <w:tcBorders>
              <w:top w:val="single" w:color="000000" w:sz="4" w:space="0"/>
              <w:left w:val="nil"/>
              <w:bottom w:val="single" w:color="000000" w:sz="4" w:space="0"/>
              <w:right w:val="single" w:color="000000" w:sz="4" w:space="0"/>
            </w:tcBorders>
            <w:vAlign w:val="center"/>
          </w:tcPr>
          <w:p w14:paraId="2DB77BC4">
            <w:pPr>
              <w:widowControl/>
              <w:jc w:val="center"/>
              <w:rPr>
                <w:rFonts w:ascii="宋体" w:hAnsi="宋体" w:eastAsia="宋体" w:cs="宋体"/>
                <w:sz w:val="18"/>
                <w:szCs w:val="18"/>
              </w:rPr>
            </w:pPr>
            <w:r>
              <w:rPr>
                <w:rFonts w:ascii="宋体" w:hAnsi="宋体" w:eastAsia="宋体" w:cs="宋体"/>
                <w:sz w:val="18"/>
                <w:szCs w:val="18"/>
              </w:rPr>
              <w:t>39.00</w:t>
            </w:r>
          </w:p>
        </w:tc>
        <w:tc>
          <w:tcPr>
            <w:tcW w:w="388" w:type="pct"/>
            <w:tcBorders>
              <w:top w:val="nil"/>
              <w:left w:val="nil"/>
              <w:bottom w:val="single" w:color="000000" w:sz="4" w:space="0"/>
              <w:right w:val="single" w:color="000000" w:sz="4" w:space="0"/>
            </w:tcBorders>
            <w:vAlign w:val="center"/>
          </w:tcPr>
          <w:p w14:paraId="2C09D14B">
            <w:pPr>
              <w:widowControl/>
              <w:jc w:val="center"/>
              <w:rPr>
                <w:rFonts w:ascii="宋体" w:hAnsi="宋体" w:eastAsia="宋体" w:cs="宋体"/>
                <w:sz w:val="18"/>
                <w:szCs w:val="18"/>
              </w:rPr>
            </w:pPr>
            <w:r>
              <w:rPr>
                <w:rFonts w:ascii="宋体" w:hAnsi="宋体" w:eastAsia="宋体" w:cs="宋体"/>
                <w:sz w:val="18"/>
                <w:szCs w:val="18"/>
              </w:rPr>
              <w:t>100.00%</w:t>
            </w:r>
          </w:p>
        </w:tc>
        <w:tc>
          <w:tcPr>
            <w:tcW w:w="184" w:type="pct"/>
            <w:tcBorders>
              <w:top w:val="nil"/>
              <w:left w:val="nil"/>
              <w:bottom w:val="single" w:color="000000" w:sz="4" w:space="0"/>
              <w:right w:val="single" w:color="000000" w:sz="4" w:space="0"/>
            </w:tcBorders>
            <w:vAlign w:val="center"/>
          </w:tcPr>
          <w:p w14:paraId="4848AF64">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46DF1B7C">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681A40A5">
            <w:pPr>
              <w:widowControl/>
              <w:jc w:val="left"/>
              <w:rPr>
                <w:rFonts w:ascii="Courier New" w:hAnsi="Courier New" w:eastAsia="宋体" w:cs="Times New Roman"/>
                <w:i/>
                <w:iCs/>
                <w:sz w:val="18"/>
                <w:szCs w:val="18"/>
              </w:rPr>
            </w:pPr>
          </w:p>
        </w:tc>
      </w:tr>
      <w:tr w14:paraId="4DBE2198">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14:paraId="11D47B15">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19270F86">
            <w:pPr>
              <w:widowControl/>
              <w:jc w:val="center"/>
              <w:rPr>
                <w:rFonts w:ascii="宋体" w:hAnsi="宋体" w:eastAsia="宋体" w:cs="Times New Roman"/>
                <w:sz w:val="18"/>
                <w:szCs w:val="18"/>
              </w:rPr>
            </w:pPr>
            <w:r>
              <w:rPr>
                <w:rFonts w:hint="eastAsia" w:ascii="宋体" w:hAnsi="宋体" w:eastAsia="宋体" w:cs="宋体"/>
                <w:sz w:val="18"/>
                <w:szCs w:val="18"/>
              </w:rPr>
              <w:t>财政专户管理资金</w:t>
            </w:r>
          </w:p>
        </w:tc>
        <w:tc>
          <w:tcPr>
            <w:tcW w:w="629" w:type="pct"/>
            <w:tcBorders>
              <w:top w:val="nil"/>
              <w:left w:val="nil"/>
              <w:bottom w:val="single" w:color="000000" w:sz="4" w:space="0"/>
              <w:right w:val="single" w:color="000000" w:sz="4" w:space="0"/>
            </w:tcBorders>
            <w:vAlign w:val="center"/>
          </w:tcPr>
          <w:p w14:paraId="7F0C7EB7">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6FD84A8C">
            <w:pPr>
              <w:widowControl/>
              <w:jc w:val="center"/>
              <w:rPr>
                <w:rFonts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nil"/>
              <w:bottom w:val="single" w:color="000000" w:sz="4" w:space="0"/>
              <w:right w:val="single" w:color="000000" w:sz="4" w:space="0"/>
            </w:tcBorders>
            <w:vAlign w:val="center"/>
          </w:tcPr>
          <w:p w14:paraId="09F0E429">
            <w:pPr>
              <w:widowControl/>
              <w:jc w:val="center"/>
              <w:rPr>
                <w:rFonts w:ascii="宋体" w:hAnsi="宋体" w:eastAsia="宋体" w:cs="宋体"/>
                <w:sz w:val="18"/>
                <w:szCs w:val="18"/>
              </w:rPr>
            </w:pPr>
            <w:r>
              <w:rPr>
                <w:rFonts w:ascii="宋体" w:hAnsi="宋体" w:eastAsia="宋体" w:cs="宋体"/>
                <w:sz w:val="18"/>
                <w:szCs w:val="18"/>
              </w:rPr>
              <w:t>0.00</w:t>
            </w:r>
          </w:p>
        </w:tc>
        <w:tc>
          <w:tcPr>
            <w:tcW w:w="388" w:type="pct"/>
            <w:tcBorders>
              <w:top w:val="nil"/>
              <w:left w:val="nil"/>
              <w:bottom w:val="single" w:color="000000" w:sz="4" w:space="0"/>
              <w:right w:val="single" w:color="000000" w:sz="4" w:space="0"/>
            </w:tcBorders>
            <w:vAlign w:val="center"/>
          </w:tcPr>
          <w:p w14:paraId="34619B71">
            <w:pPr>
              <w:widowControl/>
              <w:jc w:val="center"/>
              <w:rPr>
                <w:rFonts w:ascii="宋体" w:hAnsi="宋体" w:eastAsia="宋体" w:cs="宋体"/>
                <w:sz w:val="18"/>
                <w:szCs w:val="18"/>
              </w:rPr>
            </w:pPr>
            <w:r>
              <w:rPr>
                <w:rFonts w:ascii="宋体" w:hAnsi="宋体" w:eastAsia="宋体" w:cs="宋体"/>
                <w:sz w:val="18"/>
                <w:szCs w:val="18"/>
              </w:rPr>
              <w:t>0.00%</w:t>
            </w:r>
          </w:p>
        </w:tc>
        <w:tc>
          <w:tcPr>
            <w:tcW w:w="184" w:type="pct"/>
            <w:tcBorders>
              <w:top w:val="nil"/>
              <w:left w:val="nil"/>
              <w:bottom w:val="single" w:color="000000" w:sz="4" w:space="0"/>
              <w:right w:val="single" w:color="000000" w:sz="4" w:space="0"/>
            </w:tcBorders>
            <w:vAlign w:val="center"/>
          </w:tcPr>
          <w:p w14:paraId="40EC16DF">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18B61CCD">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1AC0ACDB">
            <w:pPr>
              <w:widowControl/>
              <w:jc w:val="left"/>
              <w:rPr>
                <w:rFonts w:ascii="Courier New" w:hAnsi="Courier New" w:eastAsia="宋体" w:cs="Times New Roman"/>
                <w:i/>
                <w:iCs/>
                <w:sz w:val="18"/>
                <w:szCs w:val="18"/>
              </w:rPr>
            </w:pPr>
          </w:p>
        </w:tc>
      </w:tr>
      <w:tr w14:paraId="225CFEAD">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14:paraId="4FAA176D">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08CB5E40">
            <w:pPr>
              <w:widowControl/>
              <w:jc w:val="center"/>
              <w:rPr>
                <w:rFonts w:ascii="宋体" w:hAnsi="宋体" w:eastAsia="宋体" w:cs="Times New Roman"/>
                <w:sz w:val="18"/>
                <w:szCs w:val="18"/>
              </w:rPr>
            </w:pPr>
            <w:r>
              <w:rPr>
                <w:rFonts w:hint="eastAsia" w:ascii="宋体" w:hAnsi="宋体" w:eastAsia="宋体" w:cs="宋体"/>
                <w:sz w:val="18"/>
                <w:szCs w:val="18"/>
              </w:rPr>
              <w:t>单位资金</w:t>
            </w:r>
          </w:p>
        </w:tc>
        <w:tc>
          <w:tcPr>
            <w:tcW w:w="629" w:type="pct"/>
            <w:tcBorders>
              <w:top w:val="nil"/>
              <w:left w:val="nil"/>
              <w:bottom w:val="single" w:color="000000" w:sz="4" w:space="0"/>
              <w:right w:val="single" w:color="000000" w:sz="4" w:space="0"/>
            </w:tcBorders>
            <w:vAlign w:val="center"/>
          </w:tcPr>
          <w:p w14:paraId="01D64C25">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73EFFE61">
            <w:pPr>
              <w:widowControl/>
              <w:jc w:val="center"/>
              <w:rPr>
                <w:rFonts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nil"/>
              <w:bottom w:val="single" w:color="000000" w:sz="4" w:space="0"/>
              <w:right w:val="single" w:color="000000" w:sz="4" w:space="0"/>
            </w:tcBorders>
            <w:vAlign w:val="center"/>
          </w:tcPr>
          <w:p w14:paraId="05FA707E">
            <w:pPr>
              <w:widowControl/>
              <w:jc w:val="center"/>
              <w:rPr>
                <w:rFonts w:ascii="宋体" w:hAnsi="宋体" w:eastAsia="宋体" w:cs="宋体"/>
                <w:sz w:val="18"/>
                <w:szCs w:val="18"/>
              </w:rPr>
            </w:pPr>
            <w:r>
              <w:rPr>
                <w:rFonts w:ascii="宋体" w:hAnsi="宋体" w:eastAsia="宋体" w:cs="宋体"/>
                <w:sz w:val="18"/>
                <w:szCs w:val="18"/>
              </w:rPr>
              <w:t>0.00</w:t>
            </w:r>
          </w:p>
        </w:tc>
        <w:tc>
          <w:tcPr>
            <w:tcW w:w="388" w:type="pct"/>
            <w:tcBorders>
              <w:top w:val="nil"/>
              <w:left w:val="nil"/>
              <w:bottom w:val="single" w:color="000000" w:sz="4" w:space="0"/>
              <w:right w:val="single" w:color="000000" w:sz="4" w:space="0"/>
            </w:tcBorders>
            <w:vAlign w:val="center"/>
          </w:tcPr>
          <w:p w14:paraId="2420AE42">
            <w:pPr>
              <w:widowControl/>
              <w:jc w:val="center"/>
              <w:rPr>
                <w:rFonts w:ascii="宋体" w:hAnsi="宋体" w:eastAsia="宋体" w:cs="宋体"/>
                <w:sz w:val="18"/>
                <w:szCs w:val="18"/>
              </w:rPr>
            </w:pPr>
            <w:r>
              <w:rPr>
                <w:rFonts w:ascii="宋体" w:hAnsi="宋体" w:eastAsia="宋体" w:cs="宋体"/>
                <w:sz w:val="18"/>
                <w:szCs w:val="18"/>
              </w:rPr>
              <w:t>0.00%</w:t>
            </w:r>
          </w:p>
        </w:tc>
        <w:tc>
          <w:tcPr>
            <w:tcW w:w="184" w:type="pct"/>
            <w:tcBorders>
              <w:top w:val="nil"/>
              <w:left w:val="nil"/>
              <w:bottom w:val="single" w:color="000000" w:sz="4" w:space="0"/>
              <w:right w:val="single" w:color="000000" w:sz="4" w:space="0"/>
            </w:tcBorders>
            <w:vAlign w:val="center"/>
          </w:tcPr>
          <w:p w14:paraId="34FC3CA4">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07F73564">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4E03C0B1">
            <w:pPr>
              <w:widowControl/>
              <w:jc w:val="left"/>
              <w:rPr>
                <w:rFonts w:ascii="Courier New" w:hAnsi="Courier New" w:eastAsia="宋体" w:cs="Times New Roman"/>
                <w:i/>
                <w:iCs/>
                <w:sz w:val="18"/>
                <w:szCs w:val="18"/>
              </w:rPr>
            </w:pPr>
          </w:p>
        </w:tc>
      </w:tr>
      <w:tr w14:paraId="5871AACA">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3240976B">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6F36F1D7">
            <w:pPr>
              <w:widowControl/>
              <w:jc w:val="center"/>
              <w:rPr>
                <w:rFonts w:ascii="宋体" w:hAnsi="宋体" w:eastAsia="宋体" w:cs="Times New Roman"/>
                <w:sz w:val="18"/>
                <w:szCs w:val="18"/>
              </w:rPr>
            </w:pPr>
            <w:r>
              <w:rPr>
                <w:rFonts w:hint="eastAsia" w:ascii="宋体" w:hAnsi="宋体" w:eastAsia="宋体" w:cs="宋体"/>
                <w:sz w:val="18"/>
                <w:szCs w:val="18"/>
              </w:rPr>
              <w:t>其他资金</w:t>
            </w:r>
          </w:p>
        </w:tc>
        <w:tc>
          <w:tcPr>
            <w:tcW w:w="629" w:type="pct"/>
            <w:tcBorders>
              <w:top w:val="nil"/>
              <w:left w:val="nil"/>
              <w:bottom w:val="single" w:color="000000" w:sz="4" w:space="0"/>
              <w:right w:val="single" w:color="000000" w:sz="4" w:space="0"/>
            </w:tcBorders>
            <w:vAlign w:val="center"/>
          </w:tcPr>
          <w:p w14:paraId="39A1013F">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798" w:type="pct"/>
            <w:tcBorders>
              <w:top w:val="nil"/>
              <w:left w:val="nil"/>
              <w:bottom w:val="single" w:color="000000" w:sz="4" w:space="0"/>
              <w:right w:val="single" w:color="000000" w:sz="4" w:space="0"/>
            </w:tcBorders>
            <w:vAlign w:val="center"/>
          </w:tcPr>
          <w:p w14:paraId="41229AFB">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960" w:type="pct"/>
            <w:gridSpan w:val="3"/>
            <w:tcBorders>
              <w:top w:val="single" w:color="000000" w:sz="4" w:space="0"/>
              <w:left w:val="nil"/>
              <w:bottom w:val="single" w:color="000000" w:sz="4" w:space="0"/>
              <w:right w:val="single" w:color="000000" w:sz="4" w:space="0"/>
            </w:tcBorders>
            <w:vAlign w:val="center"/>
          </w:tcPr>
          <w:p w14:paraId="7531E17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88" w:type="pct"/>
            <w:tcBorders>
              <w:top w:val="nil"/>
              <w:left w:val="nil"/>
              <w:bottom w:val="single" w:color="000000" w:sz="4" w:space="0"/>
              <w:right w:val="single" w:color="000000" w:sz="4" w:space="0"/>
            </w:tcBorders>
            <w:vAlign w:val="center"/>
          </w:tcPr>
          <w:p w14:paraId="23A654B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332C779D">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08DBEA98">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21879628">
            <w:pPr>
              <w:widowControl/>
              <w:jc w:val="left"/>
              <w:rPr>
                <w:rFonts w:ascii="Courier New" w:hAnsi="Courier New" w:eastAsia="宋体" w:cs="Times New Roman"/>
                <w:i/>
                <w:iCs/>
                <w:sz w:val="18"/>
                <w:szCs w:val="18"/>
              </w:rPr>
            </w:pPr>
          </w:p>
        </w:tc>
      </w:tr>
      <w:tr w14:paraId="6443BF73">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vAlign w:val="center"/>
          </w:tcPr>
          <w:p w14:paraId="10EAA43C">
            <w:pPr>
              <w:widowControl/>
              <w:jc w:val="center"/>
              <w:rPr>
                <w:rFonts w:ascii="宋体" w:hAnsi="宋体" w:eastAsia="宋体" w:cs="Times New Roman"/>
                <w:sz w:val="18"/>
                <w:szCs w:val="18"/>
              </w:rPr>
            </w:pPr>
            <w:r>
              <w:rPr>
                <w:rFonts w:hint="eastAsia" w:ascii="宋体" w:hAnsi="宋体" w:eastAsia="宋体" w:cs="宋体"/>
                <w:sz w:val="18"/>
                <w:szCs w:val="18"/>
              </w:rPr>
              <w:t>绩效指标（</w:t>
            </w:r>
            <w:r>
              <w:rPr>
                <w:rFonts w:ascii="宋体" w:hAnsi="宋体" w:eastAsia="宋体" w:cs="宋体"/>
                <w:sz w:val="18"/>
                <w:szCs w:val="18"/>
              </w:rPr>
              <w:t>90</w:t>
            </w:r>
            <w:r>
              <w:rPr>
                <w:rFonts w:hint="eastAsia" w:ascii="宋体" w:hAnsi="宋体" w:eastAsia="宋体" w:cs="宋体"/>
                <w:sz w:val="18"/>
                <w:szCs w:val="18"/>
              </w:rPr>
              <w:t>分）</w:t>
            </w:r>
          </w:p>
        </w:tc>
        <w:tc>
          <w:tcPr>
            <w:tcW w:w="727" w:type="pct"/>
            <w:tcBorders>
              <w:top w:val="nil"/>
              <w:left w:val="nil"/>
              <w:bottom w:val="single" w:color="000000" w:sz="4" w:space="0"/>
              <w:right w:val="single" w:color="000000" w:sz="4" w:space="0"/>
            </w:tcBorders>
            <w:vAlign w:val="center"/>
          </w:tcPr>
          <w:p w14:paraId="62946A82">
            <w:pPr>
              <w:widowControl/>
              <w:jc w:val="center"/>
              <w:rPr>
                <w:rFonts w:ascii="宋体" w:hAnsi="宋体" w:eastAsia="宋体" w:cs="Times New Roman"/>
                <w:sz w:val="18"/>
                <w:szCs w:val="18"/>
              </w:rPr>
            </w:pPr>
            <w:r>
              <w:rPr>
                <w:rFonts w:hint="eastAsia" w:ascii="宋体" w:hAnsi="宋体" w:eastAsia="宋体" w:cs="宋体"/>
                <w:sz w:val="18"/>
                <w:szCs w:val="18"/>
              </w:rPr>
              <w:t>一级指标</w:t>
            </w:r>
          </w:p>
        </w:tc>
        <w:tc>
          <w:tcPr>
            <w:tcW w:w="629" w:type="pct"/>
            <w:tcBorders>
              <w:top w:val="nil"/>
              <w:left w:val="nil"/>
              <w:bottom w:val="single" w:color="000000" w:sz="4" w:space="0"/>
              <w:right w:val="single" w:color="000000" w:sz="4" w:space="0"/>
            </w:tcBorders>
            <w:vAlign w:val="center"/>
          </w:tcPr>
          <w:p w14:paraId="791FBBF6">
            <w:pPr>
              <w:widowControl/>
              <w:jc w:val="center"/>
              <w:rPr>
                <w:rFonts w:ascii="宋体" w:hAnsi="宋体" w:eastAsia="宋体" w:cs="Times New Roman"/>
                <w:sz w:val="18"/>
                <w:szCs w:val="18"/>
              </w:rPr>
            </w:pPr>
            <w:r>
              <w:rPr>
                <w:rFonts w:hint="eastAsia" w:ascii="宋体" w:hAnsi="宋体" w:eastAsia="宋体" w:cs="宋体"/>
                <w:sz w:val="18"/>
                <w:szCs w:val="18"/>
              </w:rPr>
              <w:t>二级指标</w:t>
            </w:r>
          </w:p>
        </w:tc>
        <w:tc>
          <w:tcPr>
            <w:tcW w:w="798" w:type="pct"/>
            <w:tcBorders>
              <w:top w:val="nil"/>
              <w:left w:val="nil"/>
              <w:bottom w:val="single" w:color="000000" w:sz="4" w:space="0"/>
              <w:right w:val="single" w:color="000000" w:sz="4" w:space="0"/>
            </w:tcBorders>
            <w:vAlign w:val="center"/>
          </w:tcPr>
          <w:p w14:paraId="6CA64CD3">
            <w:pPr>
              <w:widowControl/>
              <w:jc w:val="center"/>
              <w:rPr>
                <w:rFonts w:ascii="宋体" w:hAnsi="宋体" w:eastAsia="宋体" w:cs="Times New Roman"/>
                <w:sz w:val="18"/>
                <w:szCs w:val="18"/>
              </w:rPr>
            </w:pPr>
            <w:r>
              <w:rPr>
                <w:rFonts w:hint="eastAsia" w:ascii="宋体" w:hAnsi="宋体" w:eastAsia="宋体" w:cs="宋体"/>
                <w:sz w:val="18"/>
                <w:szCs w:val="18"/>
              </w:rPr>
              <w:t>三级指标</w:t>
            </w:r>
          </w:p>
        </w:tc>
        <w:tc>
          <w:tcPr>
            <w:tcW w:w="184" w:type="pct"/>
            <w:tcBorders>
              <w:top w:val="nil"/>
              <w:left w:val="nil"/>
              <w:bottom w:val="single" w:color="000000" w:sz="4" w:space="0"/>
              <w:right w:val="single" w:color="000000" w:sz="4" w:space="0"/>
            </w:tcBorders>
            <w:vAlign w:val="center"/>
          </w:tcPr>
          <w:p w14:paraId="43E21374">
            <w:pPr>
              <w:widowControl/>
              <w:jc w:val="center"/>
              <w:rPr>
                <w:rFonts w:ascii="宋体" w:hAnsi="宋体" w:eastAsia="宋体" w:cs="Times New Roman"/>
                <w:sz w:val="18"/>
                <w:szCs w:val="18"/>
              </w:rPr>
            </w:pPr>
            <w:r>
              <w:rPr>
                <w:rFonts w:hint="eastAsia" w:ascii="宋体" w:hAnsi="宋体" w:eastAsia="宋体" w:cs="宋体"/>
                <w:sz w:val="18"/>
                <w:szCs w:val="18"/>
              </w:rPr>
              <w:t>指标性质</w:t>
            </w:r>
          </w:p>
        </w:tc>
        <w:tc>
          <w:tcPr>
            <w:tcW w:w="593" w:type="pct"/>
            <w:tcBorders>
              <w:top w:val="nil"/>
              <w:left w:val="nil"/>
              <w:bottom w:val="single" w:color="000000" w:sz="4" w:space="0"/>
              <w:right w:val="single" w:color="000000" w:sz="4" w:space="0"/>
            </w:tcBorders>
            <w:vAlign w:val="center"/>
          </w:tcPr>
          <w:p w14:paraId="015D08BB">
            <w:pPr>
              <w:widowControl/>
              <w:jc w:val="center"/>
              <w:rPr>
                <w:rFonts w:ascii="宋体" w:hAnsi="宋体" w:eastAsia="宋体" w:cs="Times New Roman"/>
                <w:sz w:val="18"/>
                <w:szCs w:val="18"/>
              </w:rPr>
            </w:pPr>
            <w:r>
              <w:rPr>
                <w:rFonts w:hint="eastAsia" w:ascii="宋体" w:hAnsi="宋体" w:eastAsia="宋体" w:cs="宋体"/>
                <w:sz w:val="18"/>
                <w:szCs w:val="18"/>
              </w:rPr>
              <w:t>指标值</w:t>
            </w:r>
          </w:p>
        </w:tc>
        <w:tc>
          <w:tcPr>
            <w:tcW w:w="184" w:type="pct"/>
            <w:tcBorders>
              <w:top w:val="nil"/>
              <w:left w:val="nil"/>
              <w:bottom w:val="single" w:color="000000" w:sz="4" w:space="0"/>
              <w:right w:val="single" w:color="000000" w:sz="4" w:space="0"/>
            </w:tcBorders>
            <w:vAlign w:val="center"/>
          </w:tcPr>
          <w:p w14:paraId="2633ECA2">
            <w:pPr>
              <w:widowControl/>
              <w:jc w:val="center"/>
              <w:rPr>
                <w:rFonts w:ascii="宋体" w:hAnsi="宋体" w:eastAsia="宋体" w:cs="Times New Roman"/>
                <w:sz w:val="18"/>
                <w:szCs w:val="18"/>
              </w:rPr>
            </w:pPr>
            <w:r>
              <w:rPr>
                <w:rFonts w:hint="eastAsia" w:ascii="宋体" w:hAnsi="宋体" w:eastAsia="宋体" w:cs="宋体"/>
                <w:sz w:val="18"/>
                <w:szCs w:val="18"/>
              </w:rPr>
              <w:t>度量单位</w:t>
            </w:r>
          </w:p>
        </w:tc>
        <w:tc>
          <w:tcPr>
            <w:tcW w:w="388" w:type="pct"/>
            <w:tcBorders>
              <w:top w:val="nil"/>
              <w:left w:val="nil"/>
              <w:bottom w:val="single" w:color="000000" w:sz="4" w:space="0"/>
              <w:right w:val="single" w:color="000000" w:sz="4" w:space="0"/>
            </w:tcBorders>
            <w:vAlign w:val="center"/>
          </w:tcPr>
          <w:p w14:paraId="1E64E1D4">
            <w:pPr>
              <w:widowControl/>
              <w:jc w:val="center"/>
              <w:rPr>
                <w:rFonts w:ascii="宋体" w:hAnsi="宋体" w:eastAsia="宋体" w:cs="Times New Roman"/>
                <w:sz w:val="18"/>
                <w:szCs w:val="18"/>
              </w:rPr>
            </w:pPr>
            <w:r>
              <w:rPr>
                <w:rFonts w:hint="eastAsia" w:ascii="宋体" w:hAnsi="宋体" w:eastAsia="宋体" w:cs="宋体"/>
                <w:sz w:val="18"/>
                <w:szCs w:val="18"/>
              </w:rPr>
              <w:t>完成值</w:t>
            </w:r>
          </w:p>
        </w:tc>
        <w:tc>
          <w:tcPr>
            <w:tcW w:w="184" w:type="pct"/>
            <w:tcBorders>
              <w:top w:val="nil"/>
              <w:left w:val="nil"/>
              <w:bottom w:val="single" w:color="000000" w:sz="4" w:space="0"/>
              <w:right w:val="single" w:color="000000" w:sz="4" w:space="0"/>
            </w:tcBorders>
            <w:vAlign w:val="center"/>
          </w:tcPr>
          <w:p w14:paraId="3AA9B1E8">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162" w:type="pct"/>
            <w:tcBorders>
              <w:top w:val="nil"/>
              <w:left w:val="nil"/>
              <w:bottom w:val="single" w:color="000000" w:sz="4" w:space="0"/>
              <w:right w:val="single" w:color="000000" w:sz="4" w:space="0"/>
            </w:tcBorders>
            <w:vAlign w:val="center"/>
          </w:tcPr>
          <w:p w14:paraId="2553E702">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904" w:type="pct"/>
            <w:tcBorders>
              <w:top w:val="nil"/>
              <w:left w:val="nil"/>
              <w:bottom w:val="single" w:color="000000" w:sz="4" w:space="0"/>
              <w:right w:val="single" w:color="000000" w:sz="4" w:space="0"/>
            </w:tcBorders>
            <w:vAlign w:val="center"/>
          </w:tcPr>
          <w:p w14:paraId="2B979476">
            <w:pPr>
              <w:widowControl/>
              <w:jc w:val="center"/>
              <w:rPr>
                <w:rFonts w:ascii="宋体" w:hAnsi="宋体" w:eastAsia="宋体" w:cs="Times New Roman"/>
                <w:sz w:val="18"/>
                <w:szCs w:val="18"/>
              </w:rPr>
            </w:pPr>
            <w:r>
              <w:rPr>
                <w:rFonts w:hint="eastAsia" w:ascii="宋体" w:hAnsi="宋体" w:eastAsia="宋体" w:cs="宋体"/>
                <w:sz w:val="18"/>
                <w:szCs w:val="18"/>
              </w:rPr>
              <w:t>未完成原因分析</w:t>
            </w:r>
          </w:p>
        </w:tc>
      </w:tr>
      <w:tr w14:paraId="36F68B42">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0E7A83FF">
            <w:pPr>
              <w:widowControl/>
              <w:jc w:val="left"/>
              <w:rPr>
                <w:rFonts w:ascii="宋体" w:hAnsi="宋体" w:eastAsia="宋体" w:cs="Times New Roman"/>
                <w:sz w:val="18"/>
                <w:szCs w:val="18"/>
              </w:rPr>
            </w:pPr>
          </w:p>
        </w:tc>
        <w:tc>
          <w:tcPr>
            <w:tcW w:w="727" w:type="pct"/>
            <w:vMerge w:val="restart"/>
            <w:tcBorders>
              <w:top w:val="nil"/>
              <w:left w:val="single" w:color="000000" w:sz="4" w:space="0"/>
              <w:bottom w:val="single" w:color="000000" w:sz="4" w:space="0"/>
              <w:right w:val="single" w:color="000000" w:sz="4" w:space="0"/>
            </w:tcBorders>
            <w:vAlign w:val="center"/>
          </w:tcPr>
          <w:p w14:paraId="0635CDC3">
            <w:pPr>
              <w:widowControl/>
              <w:jc w:val="center"/>
              <w:rPr>
                <w:rFonts w:ascii="宋体" w:hAnsi="宋体" w:eastAsia="宋体" w:cs="Times New Roman"/>
                <w:sz w:val="18"/>
                <w:szCs w:val="18"/>
              </w:rPr>
            </w:pPr>
            <w:r>
              <w:rPr>
                <w:rFonts w:hint="eastAsia" w:ascii="宋体" w:hAnsi="宋体" w:eastAsia="宋体" w:cs="宋体"/>
                <w:sz w:val="18"/>
                <w:szCs w:val="18"/>
              </w:rPr>
              <w:t>产出指标</w:t>
            </w:r>
          </w:p>
        </w:tc>
        <w:tc>
          <w:tcPr>
            <w:tcW w:w="629" w:type="pct"/>
            <w:vMerge w:val="restart"/>
            <w:tcBorders>
              <w:top w:val="nil"/>
              <w:left w:val="single" w:color="000000" w:sz="4" w:space="0"/>
              <w:bottom w:val="single" w:color="000000" w:sz="4" w:space="0"/>
              <w:right w:val="single" w:color="000000" w:sz="4" w:space="0"/>
            </w:tcBorders>
            <w:vAlign w:val="center"/>
          </w:tcPr>
          <w:p w14:paraId="6249A7E1">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798" w:type="pct"/>
            <w:tcBorders>
              <w:top w:val="nil"/>
              <w:left w:val="nil"/>
              <w:bottom w:val="single" w:color="000000" w:sz="4" w:space="0"/>
              <w:right w:val="single" w:color="000000" w:sz="4" w:space="0"/>
            </w:tcBorders>
            <w:vAlign w:val="center"/>
          </w:tcPr>
          <w:p w14:paraId="68F67E96">
            <w:pPr>
              <w:widowControl/>
              <w:jc w:val="center"/>
              <w:rPr>
                <w:rFonts w:ascii="宋体" w:hAnsi="宋体" w:eastAsia="宋体" w:cs="Times New Roman"/>
                <w:sz w:val="18"/>
                <w:szCs w:val="18"/>
              </w:rPr>
            </w:pPr>
            <w:r>
              <w:rPr>
                <w:rFonts w:hint="eastAsia" w:ascii="宋体" w:hAnsi="宋体" w:eastAsia="宋体" w:cs="宋体"/>
                <w:sz w:val="18"/>
                <w:szCs w:val="18"/>
              </w:rPr>
              <w:t>广场升级改造面积</w:t>
            </w:r>
          </w:p>
        </w:tc>
        <w:tc>
          <w:tcPr>
            <w:tcW w:w="184" w:type="pct"/>
            <w:tcBorders>
              <w:top w:val="nil"/>
              <w:left w:val="nil"/>
              <w:bottom w:val="single" w:color="000000" w:sz="4" w:space="0"/>
              <w:right w:val="single" w:color="000000" w:sz="4" w:space="0"/>
            </w:tcBorders>
            <w:vAlign w:val="center"/>
          </w:tcPr>
          <w:p w14:paraId="228192C8">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4C95774F">
            <w:pPr>
              <w:widowControl/>
              <w:jc w:val="center"/>
              <w:rPr>
                <w:rFonts w:ascii="宋体" w:hAnsi="宋体" w:eastAsia="宋体" w:cs="宋体"/>
                <w:sz w:val="18"/>
                <w:szCs w:val="18"/>
              </w:rPr>
            </w:pPr>
            <w:r>
              <w:rPr>
                <w:rFonts w:ascii="宋体" w:hAnsi="宋体" w:eastAsia="宋体" w:cs="宋体"/>
                <w:sz w:val="18"/>
                <w:szCs w:val="18"/>
              </w:rPr>
              <w:t>2000</w:t>
            </w:r>
          </w:p>
        </w:tc>
        <w:tc>
          <w:tcPr>
            <w:tcW w:w="184" w:type="pct"/>
            <w:tcBorders>
              <w:top w:val="nil"/>
              <w:left w:val="nil"/>
              <w:bottom w:val="single" w:color="000000" w:sz="4" w:space="0"/>
              <w:right w:val="single" w:color="000000" w:sz="4" w:space="0"/>
            </w:tcBorders>
            <w:vAlign w:val="center"/>
          </w:tcPr>
          <w:p w14:paraId="52D38C36">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59826AA9">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51DC8C6E">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28ABFDCC">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5AA1E5BC">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3B0CCEA4">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523EB2EF">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6DD20151">
            <w:pPr>
              <w:widowControl/>
              <w:jc w:val="left"/>
              <w:rPr>
                <w:rFonts w:ascii="宋体" w:hAnsi="宋体" w:eastAsia="宋体" w:cs="Times New Roman"/>
                <w:sz w:val="18"/>
                <w:szCs w:val="18"/>
              </w:rPr>
            </w:pPr>
          </w:p>
        </w:tc>
        <w:tc>
          <w:tcPr>
            <w:tcW w:w="629" w:type="pct"/>
            <w:vMerge w:val="continue"/>
            <w:tcBorders>
              <w:top w:val="nil"/>
              <w:left w:val="single" w:color="000000" w:sz="4" w:space="0"/>
              <w:bottom w:val="single" w:color="000000" w:sz="4" w:space="0"/>
              <w:right w:val="single" w:color="000000" w:sz="4" w:space="0"/>
            </w:tcBorders>
            <w:vAlign w:val="center"/>
          </w:tcPr>
          <w:p w14:paraId="76EFE066">
            <w:pPr>
              <w:widowControl/>
              <w:jc w:val="left"/>
              <w:rPr>
                <w:rFonts w:ascii="宋体" w:hAnsi="宋体" w:eastAsia="宋体" w:cs="Times New Roman"/>
                <w:sz w:val="18"/>
                <w:szCs w:val="18"/>
              </w:rPr>
            </w:pPr>
          </w:p>
        </w:tc>
        <w:tc>
          <w:tcPr>
            <w:tcW w:w="798" w:type="pct"/>
            <w:tcBorders>
              <w:top w:val="nil"/>
              <w:left w:val="nil"/>
              <w:bottom w:val="single" w:color="000000" w:sz="4" w:space="0"/>
              <w:right w:val="single" w:color="000000" w:sz="4" w:space="0"/>
            </w:tcBorders>
            <w:vAlign w:val="center"/>
          </w:tcPr>
          <w:p w14:paraId="4FBA4CB6">
            <w:pPr>
              <w:widowControl/>
              <w:jc w:val="center"/>
              <w:rPr>
                <w:rFonts w:ascii="宋体" w:hAnsi="宋体" w:eastAsia="宋体" w:cs="Times New Roman"/>
                <w:sz w:val="18"/>
                <w:szCs w:val="18"/>
              </w:rPr>
            </w:pPr>
            <w:r>
              <w:rPr>
                <w:rFonts w:hint="eastAsia" w:ascii="宋体" w:hAnsi="宋体" w:eastAsia="宋体" w:cs="宋体"/>
                <w:sz w:val="18"/>
                <w:szCs w:val="18"/>
              </w:rPr>
              <w:t>花园</w:t>
            </w:r>
          </w:p>
        </w:tc>
        <w:tc>
          <w:tcPr>
            <w:tcW w:w="184" w:type="pct"/>
            <w:tcBorders>
              <w:top w:val="nil"/>
              <w:left w:val="nil"/>
              <w:bottom w:val="single" w:color="000000" w:sz="4" w:space="0"/>
              <w:right w:val="single" w:color="000000" w:sz="4" w:space="0"/>
            </w:tcBorders>
            <w:vAlign w:val="center"/>
          </w:tcPr>
          <w:p w14:paraId="088BF066">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3223F403">
            <w:pPr>
              <w:widowControl/>
              <w:jc w:val="center"/>
              <w:rPr>
                <w:rFonts w:ascii="宋体" w:hAnsi="宋体" w:eastAsia="宋体" w:cs="宋体"/>
                <w:sz w:val="18"/>
                <w:szCs w:val="18"/>
              </w:rPr>
            </w:pPr>
            <w:r>
              <w:rPr>
                <w:rFonts w:ascii="宋体" w:hAnsi="宋体" w:eastAsia="宋体" w:cs="宋体"/>
                <w:sz w:val="18"/>
                <w:szCs w:val="18"/>
              </w:rPr>
              <w:t>4</w:t>
            </w:r>
          </w:p>
        </w:tc>
        <w:tc>
          <w:tcPr>
            <w:tcW w:w="184" w:type="pct"/>
            <w:tcBorders>
              <w:top w:val="nil"/>
              <w:left w:val="nil"/>
              <w:bottom w:val="single" w:color="000000" w:sz="4" w:space="0"/>
              <w:right w:val="single" w:color="000000" w:sz="4" w:space="0"/>
            </w:tcBorders>
            <w:vAlign w:val="center"/>
          </w:tcPr>
          <w:p w14:paraId="440A7634">
            <w:pPr>
              <w:widowControl/>
              <w:jc w:val="center"/>
              <w:rPr>
                <w:rFonts w:ascii="宋体" w:hAnsi="宋体" w:eastAsia="宋体" w:cs="Times New Roman"/>
                <w:sz w:val="18"/>
                <w:szCs w:val="18"/>
              </w:rPr>
            </w:pPr>
            <w:r>
              <w:rPr>
                <w:rFonts w:hint="eastAsia" w:ascii="宋体" w:hAnsi="宋体" w:eastAsia="宋体" w:cs="宋体"/>
                <w:sz w:val="18"/>
                <w:szCs w:val="18"/>
              </w:rPr>
              <w:t>个</w:t>
            </w:r>
          </w:p>
        </w:tc>
        <w:tc>
          <w:tcPr>
            <w:tcW w:w="388" w:type="pct"/>
            <w:tcBorders>
              <w:top w:val="nil"/>
              <w:left w:val="nil"/>
              <w:bottom w:val="single" w:color="000000" w:sz="4" w:space="0"/>
              <w:right w:val="single" w:color="000000" w:sz="4" w:space="0"/>
            </w:tcBorders>
            <w:vAlign w:val="center"/>
          </w:tcPr>
          <w:p w14:paraId="3A9C81DB">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19BB972C">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6703918A">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7C2E2B74">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8207E21">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41A8C96C">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7252F470">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20827A28">
            <w:pPr>
              <w:widowControl/>
              <w:jc w:val="center"/>
              <w:rPr>
                <w:rFonts w:ascii="宋体" w:hAnsi="宋体" w:eastAsia="宋体" w:cs="Times New Roman"/>
                <w:sz w:val="18"/>
                <w:szCs w:val="18"/>
              </w:rPr>
            </w:pPr>
            <w:r>
              <w:rPr>
                <w:rFonts w:hint="eastAsia" w:ascii="宋体" w:hAnsi="宋体" w:eastAsia="宋体" w:cs="宋体"/>
                <w:sz w:val="18"/>
                <w:szCs w:val="18"/>
              </w:rPr>
              <w:t>质量指标</w:t>
            </w:r>
          </w:p>
        </w:tc>
        <w:tc>
          <w:tcPr>
            <w:tcW w:w="798" w:type="pct"/>
            <w:tcBorders>
              <w:top w:val="nil"/>
              <w:left w:val="nil"/>
              <w:bottom w:val="single" w:color="000000" w:sz="4" w:space="0"/>
              <w:right w:val="single" w:color="000000" w:sz="4" w:space="0"/>
            </w:tcBorders>
            <w:vAlign w:val="center"/>
          </w:tcPr>
          <w:p w14:paraId="628590C2">
            <w:pPr>
              <w:widowControl/>
              <w:jc w:val="center"/>
              <w:rPr>
                <w:rFonts w:ascii="宋体" w:hAnsi="宋体" w:eastAsia="宋体" w:cs="Times New Roman"/>
                <w:sz w:val="18"/>
                <w:szCs w:val="18"/>
              </w:rPr>
            </w:pPr>
            <w:r>
              <w:rPr>
                <w:rFonts w:hint="eastAsia" w:ascii="宋体" w:hAnsi="宋体" w:eastAsia="宋体" w:cs="宋体"/>
                <w:sz w:val="18"/>
                <w:szCs w:val="18"/>
              </w:rPr>
              <w:t>验收合格率</w:t>
            </w:r>
          </w:p>
        </w:tc>
        <w:tc>
          <w:tcPr>
            <w:tcW w:w="184" w:type="pct"/>
            <w:tcBorders>
              <w:top w:val="nil"/>
              <w:left w:val="nil"/>
              <w:bottom w:val="single" w:color="000000" w:sz="4" w:space="0"/>
              <w:right w:val="single" w:color="000000" w:sz="4" w:space="0"/>
            </w:tcBorders>
            <w:vAlign w:val="center"/>
          </w:tcPr>
          <w:p w14:paraId="7D079CE4">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7D92AFF2">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01515A40">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3953C951">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03930E68">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023532BF">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7C6CE4AB">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01F4BFB0">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1B5A8F68">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11C2B12A">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51C67EB3">
            <w:pPr>
              <w:widowControl/>
              <w:jc w:val="center"/>
              <w:rPr>
                <w:rFonts w:ascii="宋体" w:hAnsi="宋体" w:eastAsia="宋体" w:cs="Times New Roman"/>
                <w:sz w:val="18"/>
                <w:szCs w:val="18"/>
              </w:rPr>
            </w:pPr>
            <w:r>
              <w:rPr>
                <w:rFonts w:hint="eastAsia" w:ascii="宋体" w:hAnsi="宋体" w:eastAsia="宋体" w:cs="宋体"/>
                <w:sz w:val="18"/>
                <w:szCs w:val="18"/>
              </w:rPr>
              <w:t>时效指标</w:t>
            </w:r>
          </w:p>
        </w:tc>
        <w:tc>
          <w:tcPr>
            <w:tcW w:w="798" w:type="pct"/>
            <w:tcBorders>
              <w:top w:val="nil"/>
              <w:left w:val="nil"/>
              <w:bottom w:val="single" w:color="000000" w:sz="4" w:space="0"/>
              <w:right w:val="single" w:color="000000" w:sz="4" w:space="0"/>
            </w:tcBorders>
            <w:vAlign w:val="center"/>
          </w:tcPr>
          <w:p w14:paraId="0370A660">
            <w:pPr>
              <w:widowControl/>
              <w:jc w:val="center"/>
              <w:rPr>
                <w:rFonts w:ascii="宋体" w:hAnsi="宋体" w:eastAsia="宋体" w:cs="Times New Roman"/>
                <w:sz w:val="18"/>
                <w:szCs w:val="18"/>
              </w:rPr>
            </w:pPr>
            <w:r>
              <w:rPr>
                <w:rFonts w:hint="eastAsia" w:ascii="宋体" w:hAnsi="宋体" w:eastAsia="宋体" w:cs="宋体"/>
                <w:sz w:val="18"/>
                <w:szCs w:val="18"/>
              </w:rPr>
              <w:t>完成时效</w:t>
            </w:r>
          </w:p>
        </w:tc>
        <w:tc>
          <w:tcPr>
            <w:tcW w:w="184" w:type="pct"/>
            <w:tcBorders>
              <w:top w:val="nil"/>
              <w:left w:val="nil"/>
              <w:bottom w:val="single" w:color="000000" w:sz="4" w:space="0"/>
              <w:right w:val="single" w:color="000000" w:sz="4" w:space="0"/>
            </w:tcBorders>
            <w:vAlign w:val="center"/>
          </w:tcPr>
          <w:p w14:paraId="0B1C2BFF">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6B007B59">
            <w:pPr>
              <w:widowControl/>
              <w:jc w:val="center"/>
              <w:rPr>
                <w:rFonts w:ascii="宋体" w:hAnsi="宋体" w:eastAsia="宋体" w:cs="宋体"/>
                <w:sz w:val="18"/>
                <w:szCs w:val="18"/>
              </w:rPr>
            </w:pPr>
            <w:r>
              <w:rPr>
                <w:rFonts w:ascii="宋体" w:hAnsi="宋体" w:eastAsia="宋体" w:cs="宋体"/>
                <w:sz w:val="18"/>
                <w:szCs w:val="18"/>
              </w:rPr>
              <w:t>8</w:t>
            </w:r>
          </w:p>
        </w:tc>
        <w:tc>
          <w:tcPr>
            <w:tcW w:w="184" w:type="pct"/>
            <w:tcBorders>
              <w:top w:val="nil"/>
              <w:left w:val="nil"/>
              <w:bottom w:val="single" w:color="000000" w:sz="4" w:space="0"/>
              <w:right w:val="single" w:color="000000" w:sz="4" w:space="0"/>
            </w:tcBorders>
            <w:vAlign w:val="center"/>
          </w:tcPr>
          <w:p w14:paraId="7A4916DD">
            <w:pPr>
              <w:widowControl/>
              <w:jc w:val="center"/>
              <w:rPr>
                <w:rFonts w:ascii="宋体" w:hAnsi="宋体" w:eastAsia="宋体" w:cs="Times New Roman"/>
                <w:sz w:val="18"/>
                <w:szCs w:val="18"/>
              </w:rPr>
            </w:pPr>
            <w:r>
              <w:rPr>
                <w:rFonts w:hint="eastAsia" w:ascii="宋体" w:hAnsi="宋体" w:eastAsia="宋体" w:cs="宋体"/>
                <w:sz w:val="18"/>
                <w:szCs w:val="18"/>
              </w:rPr>
              <w:t>个月</w:t>
            </w:r>
          </w:p>
        </w:tc>
        <w:tc>
          <w:tcPr>
            <w:tcW w:w="388" w:type="pct"/>
            <w:tcBorders>
              <w:top w:val="nil"/>
              <w:left w:val="nil"/>
              <w:bottom w:val="single" w:color="000000" w:sz="4" w:space="0"/>
              <w:right w:val="single" w:color="000000" w:sz="4" w:space="0"/>
            </w:tcBorders>
            <w:vAlign w:val="center"/>
          </w:tcPr>
          <w:p w14:paraId="215A10F5">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08109225">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2CC2CDFE">
            <w:pPr>
              <w:widowControl/>
              <w:jc w:val="center"/>
              <w:rPr>
                <w:rFonts w:ascii="宋体" w:hAnsi="宋体" w:eastAsia="宋体" w:cs="宋体"/>
                <w:sz w:val="18"/>
                <w:szCs w:val="18"/>
              </w:rPr>
            </w:pPr>
            <w:r>
              <w:rPr>
                <w:rFonts w:ascii="宋体" w:hAnsi="宋体" w:eastAsia="宋体" w:cs="宋体"/>
                <w:sz w:val="18"/>
                <w:szCs w:val="18"/>
              </w:rPr>
              <w:t>8</w:t>
            </w:r>
          </w:p>
        </w:tc>
        <w:tc>
          <w:tcPr>
            <w:tcW w:w="904" w:type="pct"/>
            <w:tcBorders>
              <w:top w:val="nil"/>
              <w:left w:val="nil"/>
              <w:bottom w:val="single" w:color="000000" w:sz="4" w:space="0"/>
              <w:right w:val="single" w:color="000000" w:sz="4" w:space="0"/>
            </w:tcBorders>
            <w:vAlign w:val="center"/>
          </w:tcPr>
          <w:p w14:paraId="42058B03">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7C5A5FA2">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17ADABFD">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08586F36">
            <w:pPr>
              <w:widowControl/>
              <w:jc w:val="center"/>
              <w:rPr>
                <w:rFonts w:ascii="宋体" w:hAnsi="宋体" w:eastAsia="宋体" w:cs="Times New Roman"/>
                <w:sz w:val="18"/>
                <w:szCs w:val="18"/>
              </w:rPr>
            </w:pPr>
            <w:r>
              <w:rPr>
                <w:rFonts w:hint="eastAsia" w:ascii="宋体" w:hAnsi="宋体" w:eastAsia="宋体" w:cs="宋体"/>
                <w:sz w:val="18"/>
                <w:szCs w:val="18"/>
              </w:rPr>
              <w:t>效益指标</w:t>
            </w:r>
          </w:p>
        </w:tc>
        <w:tc>
          <w:tcPr>
            <w:tcW w:w="629" w:type="pct"/>
            <w:tcBorders>
              <w:top w:val="nil"/>
              <w:left w:val="nil"/>
              <w:bottom w:val="single" w:color="000000" w:sz="4" w:space="0"/>
              <w:right w:val="single" w:color="000000" w:sz="4" w:space="0"/>
            </w:tcBorders>
            <w:vAlign w:val="center"/>
          </w:tcPr>
          <w:p w14:paraId="6B5CDA59">
            <w:pPr>
              <w:widowControl/>
              <w:jc w:val="center"/>
              <w:rPr>
                <w:rFonts w:ascii="宋体" w:hAnsi="宋体" w:eastAsia="宋体" w:cs="Times New Roman"/>
                <w:sz w:val="18"/>
                <w:szCs w:val="18"/>
              </w:rPr>
            </w:pPr>
            <w:r>
              <w:rPr>
                <w:rFonts w:hint="eastAsia" w:ascii="宋体" w:hAnsi="宋体" w:eastAsia="宋体" w:cs="宋体"/>
                <w:sz w:val="18"/>
                <w:szCs w:val="18"/>
              </w:rPr>
              <w:t>社会效益指标</w:t>
            </w:r>
          </w:p>
        </w:tc>
        <w:tc>
          <w:tcPr>
            <w:tcW w:w="798" w:type="pct"/>
            <w:tcBorders>
              <w:top w:val="nil"/>
              <w:left w:val="nil"/>
              <w:bottom w:val="single" w:color="000000" w:sz="4" w:space="0"/>
              <w:right w:val="single" w:color="000000" w:sz="4" w:space="0"/>
            </w:tcBorders>
            <w:vAlign w:val="center"/>
          </w:tcPr>
          <w:p w14:paraId="40790235">
            <w:pPr>
              <w:widowControl/>
              <w:jc w:val="center"/>
              <w:rPr>
                <w:rFonts w:ascii="宋体" w:hAnsi="宋体" w:eastAsia="宋体" w:cs="Times New Roman"/>
                <w:sz w:val="18"/>
                <w:szCs w:val="18"/>
              </w:rPr>
            </w:pPr>
            <w:r>
              <w:rPr>
                <w:rFonts w:hint="eastAsia" w:ascii="宋体" w:hAnsi="宋体" w:eastAsia="宋体" w:cs="宋体"/>
                <w:sz w:val="18"/>
                <w:szCs w:val="18"/>
              </w:rPr>
              <w:t>办事群众满意度</w:t>
            </w:r>
          </w:p>
        </w:tc>
        <w:tc>
          <w:tcPr>
            <w:tcW w:w="184" w:type="pct"/>
            <w:tcBorders>
              <w:top w:val="nil"/>
              <w:left w:val="nil"/>
              <w:bottom w:val="single" w:color="000000" w:sz="4" w:space="0"/>
              <w:right w:val="single" w:color="000000" w:sz="4" w:space="0"/>
            </w:tcBorders>
            <w:vAlign w:val="center"/>
          </w:tcPr>
          <w:p w14:paraId="4485E80F">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28039DF9">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7637C723">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016CED2B">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03BF76E0">
            <w:pPr>
              <w:widowControl/>
              <w:jc w:val="center"/>
              <w:rPr>
                <w:rFonts w:ascii="宋体" w:hAnsi="宋体" w:eastAsia="宋体" w:cs="宋体"/>
                <w:sz w:val="18"/>
                <w:szCs w:val="18"/>
              </w:rPr>
            </w:pPr>
            <w:r>
              <w:rPr>
                <w:rFonts w:ascii="宋体" w:hAnsi="宋体" w:eastAsia="宋体" w:cs="宋体"/>
                <w:sz w:val="18"/>
                <w:szCs w:val="18"/>
              </w:rPr>
              <w:t>20</w:t>
            </w:r>
          </w:p>
        </w:tc>
        <w:tc>
          <w:tcPr>
            <w:tcW w:w="162" w:type="pct"/>
            <w:tcBorders>
              <w:top w:val="nil"/>
              <w:left w:val="nil"/>
              <w:bottom w:val="single" w:color="000000" w:sz="4" w:space="0"/>
              <w:right w:val="single" w:color="000000" w:sz="4" w:space="0"/>
            </w:tcBorders>
            <w:vAlign w:val="center"/>
          </w:tcPr>
          <w:p w14:paraId="479C4FC8">
            <w:pPr>
              <w:widowControl/>
              <w:jc w:val="center"/>
              <w:rPr>
                <w:rFonts w:ascii="宋体" w:hAnsi="宋体" w:eastAsia="宋体" w:cs="宋体"/>
                <w:sz w:val="18"/>
                <w:szCs w:val="18"/>
              </w:rPr>
            </w:pPr>
            <w:r>
              <w:rPr>
                <w:rFonts w:ascii="宋体" w:hAnsi="宋体" w:eastAsia="宋体" w:cs="宋体"/>
                <w:sz w:val="18"/>
                <w:szCs w:val="18"/>
              </w:rPr>
              <w:t>20</w:t>
            </w:r>
          </w:p>
        </w:tc>
        <w:tc>
          <w:tcPr>
            <w:tcW w:w="904" w:type="pct"/>
            <w:tcBorders>
              <w:top w:val="nil"/>
              <w:left w:val="nil"/>
              <w:bottom w:val="single" w:color="000000" w:sz="4" w:space="0"/>
              <w:right w:val="single" w:color="000000" w:sz="4" w:space="0"/>
            </w:tcBorders>
            <w:vAlign w:val="center"/>
          </w:tcPr>
          <w:p w14:paraId="56511202">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7AB0811D">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7327E3A1">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778410EB">
            <w:pPr>
              <w:widowControl/>
              <w:jc w:val="center"/>
              <w:rPr>
                <w:rFonts w:ascii="宋体" w:hAnsi="宋体" w:eastAsia="宋体" w:cs="Times New Roman"/>
                <w:sz w:val="18"/>
                <w:szCs w:val="18"/>
              </w:rPr>
            </w:pPr>
            <w:r>
              <w:rPr>
                <w:rFonts w:hint="eastAsia" w:ascii="宋体" w:hAnsi="宋体" w:eastAsia="宋体" w:cs="宋体"/>
                <w:sz w:val="18"/>
                <w:szCs w:val="18"/>
              </w:rPr>
              <w:t>满意度指标</w:t>
            </w:r>
          </w:p>
        </w:tc>
        <w:tc>
          <w:tcPr>
            <w:tcW w:w="629" w:type="pct"/>
            <w:tcBorders>
              <w:top w:val="nil"/>
              <w:left w:val="nil"/>
              <w:bottom w:val="single" w:color="000000" w:sz="4" w:space="0"/>
              <w:right w:val="single" w:color="000000" w:sz="4" w:space="0"/>
            </w:tcBorders>
            <w:vAlign w:val="center"/>
          </w:tcPr>
          <w:p w14:paraId="461E8BC8">
            <w:pPr>
              <w:widowControl/>
              <w:jc w:val="center"/>
              <w:rPr>
                <w:rFonts w:ascii="宋体" w:hAnsi="宋体" w:eastAsia="宋体" w:cs="Times New Roman"/>
                <w:sz w:val="18"/>
                <w:szCs w:val="18"/>
              </w:rPr>
            </w:pPr>
            <w:r>
              <w:rPr>
                <w:rFonts w:hint="eastAsia" w:ascii="宋体" w:hAnsi="宋体" w:eastAsia="宋体" w:cs="宋体"/>
                <w:sz w:val="18"/>
                <w:szCs w:val="18"/>
              </w:rPr>
              <w:t>服务对象满意度指标</w:t>
            </w:r>
          </w:p>
        </w:tc>
        <w:tc>
          <w:tcPr>
            <w:tcW w:w="798" w:type="pct"/>
            <w:tcBorders>
              <w:top w:val="nil"/>
              <w:left w:val="nil"/>
              <w:bottom w:val="single" w:color="000000" w:sz="4" w:space="0"/>
              <w:right w:val="single" w:color="000000" w:sz="4" w:space="0"/>
            </w:tcBorders>
            <w:vAlign w:val="center"/>
          </w:tcPr>
          <w:p w14:paraId="3A6FA7C9">
            <w:pPr>
              <w:widowControl/>
              <w:jc w:val="center"/>
              <w:rPr>
                <w:rFonts w:ascii="宋体" w:hAnsi="宋体" w:eastAsia="宋体" w:cs="Times New Roman"/>
                <w:sz w:val="18"/>
                <w:szCs w:val="18"/>
              </w:rPr>
            </w:pPr>
            <w:r>
              <w:rPr>
                <w:rFonts w:hint="eastAsia" w:ascii="宋体" w:hAnsi="宋体" w:eastAsia="宋体" w:cs="宋体"/>
                <w:sz w:val="18"/>
                <w:szCs w:val="18"/>
              </w:rPr>
              <w:t>服务对象满意度</w:t>
            </w:r>
          </w:p>
        </w:tc>
        <w:tc>
          <w:tcPr>
            <w:tcW w:w="184" w:type="pct"/>
            <w:tcBorders>
              <w:top w:val="nil"/>
              <w:left w:val="nil"/>
              <w:bottom w:val="single" w:color="000000" w:sz="4" w:space="0"/>
              <w:right w:val="single" w:color="000000" w:sz="4" w:space="0"/>
            </w:tcBorders>
            <w:vAlign w:val="center"/>
          </w:tcPr>
          <w:p w14:paraId="47017CD2">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0BD5B8B2">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16972B0C">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2A132760">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62BBF0A7">
            <w:pPr>
              <w:widowControl/>
              <w:jc w:val="center"/>
              <w:rPr>
                <w:rFonts w:ascii="宋体" w:hAnsi="宋体" w:eastAsia="宋体" w:cs="宋体"/>
                <w:sz w:val="18"/>
                <w:szCs w:val="18"/>
              </w:rPr>
            </w:pPr>
            <w:r>
              <w:rPr>
                <w:rFonts w:ascii="宋体" w:hAnsi="宋体" w:eastAsia="宋体" w:cs="宋体"/>
                <w:sz w:val="18"/>
                <w:szCs w:val="18"/>
              </w:rPr>
              <w:t>20</w:t>
            </w:r>
          </w:p>
        </w:tc>
        <w:tc>
          <w:tcPr>
            <w:tcW w:w="162" w:type="pct"/>
            <w:tcBorders>
              <w:top w:val="nil"/>
              <w:left w:val="nil"/>
              <w:bottom w:val="single" w:color="000000" w:sz="4" w:space="0"/>
              <w:right w:val="single" w:color="000000" w:sz="4" w:space="0"/>
            </w:tcBorders>
            <w:vAlign w:val="center"/>
          </w:tcPr>
          <w:p w14:paraId="0CA12E7B">
            <w:pPr>
              <w:widowControl/>
              <w:jc w:val="center"/>
              <w:rPr>
                <w:rFonts w:ascii="宋体" w:hAnsi="宋体" w:eastAsia="宋体" w:cs="宋体"/>
                <w:sz w:val="18"/>
                <w:szCs w:val="18"/>
              </w:rPr>
            </w:pPr>
            <w:r>
              <w:rPr>
                <w:rFonts w:ascii="宋体" w:hAnsi="宋体" w:eastAsia="宋体" w:cs="宋体"/>
                <w:sz w:val="18"/>
                <w:szCs w:val="18"/>
              </w:rPr>
              <w:t>20</w:t>
            </w:r>
          </w:p>
        </w:tc>
        <w:tc>
          <w:tcPr>
            <w:tcW w:w="904" w:type="pct"/>
            <w:tcBorders>
              <w:top w:val="nil"/>
              <w:left w:val="nil"/>
              <w:bottom w:val="single" w:color="000000" w:sz="4" w:space="0"/>
              <w:right w:val="single" w:color="000000" w:sz="4" w:space="0"/>
            </w:tcBorders>
            <w:vAlign w:val="center"/>
          </w:tcPr>
          <w:p w14:paraId="2C9662FE">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36E01681">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0D787387">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643683DA">
            <w:pPr>
              <w:widowControl/>
              <w:jc w:val="center"/>
              <w:rPr>
                <w:rFonts w:ascii="宋体" w:hAnsi="宋体" w:eastAsia="宋体" w:cs="Times New Roman"/>
                <w:sz w:val="18"/>
                <w:szCs w:val="18"/>
              </w:rPr>
            </w:pPr>
            <w:r>
              <w:rPr>
                <w:rFonts w:hint="eastAsia" w:ascii="宋体" w:hAnsi="宋体" w:eastAsia="宋体" w:cs="宋体"/>
                <w:sz w:val="18"/>
                <w:szCs w:val="18"/>
              </w:rPr>
              <w:t>成本指标</w:t>
            </w:r>
          </w:p>
        </w:tc>
        <w:tc>
          <w:tcPr>
            <w:tcW w:w="629" w:type="pct"/>
            <w:tcBorders>
              <w:top w:val="nil"/>
              <w:left w:val="nil"/>
              <w:bottom w:val="single" w:color="000000" w:sz="4" w:space="0"/>
              <w:right w:val="single" w:color="000000" w:sz="4" w:space="0"/>
            </w:tcBorders>
            <w:vAlign w:val="center"/>
          </w:tcPr>
          <w:p w14:paraId="1DE00D90">
            <w:pPr>
              <w:widowControl/>
              <w:jc w:val="center"/>
              <w:rPr>
                <w:rFonts w:ascii="宋体" w:hAnsi="宋体" w:eastAsia="宋体" w:cs="Times New Roman"/>
                <w:sz w:val="18"/>
                <w:szCs w:val="18"/>
              </w:rPr>
            </w:pPr>
            <w:r>
              <w:rPr>
                <w:rFonts w:hint="eastAsia" w:ascii="宋体" w:hAnsi="宋体" w:eastAsia="宋体" w:cs="宋体"/>
                <w:sz w:val="18"/>
                <w:szCs w:val="18"/>
              </w:rPr>
              <w:t>经济成本</w:t>
            </w:r>
          </w:p>
        </w:tc>
        <w:tc>
          <w:tcPr>
            <w:tcW w:w="798" w:type="pct"/>
            <w:tcBorders>
              <w:top w:val="nil"/>
              <w:left w:val="nil"/>
              <w:bottom w:val="single" w:color="000000" w:sz="4" w:space="0"/>
              <w:right w:val="single" w:color="000000" w:sz="4" w:space="0"/>
            </w:tcBorders>
            <w:vAlign w:val="center"/>
          </w:tcPr>
          <w:p w14:paraId="152FE669">
            <w:pPr>
              <w:widowControl/>
              <w:jc w:val="center"/>
              <w:rPr>
                <w:rFonts w:ascii="宋体" w:hAnsi="宋体" w:eastAsia="宋体" w:cs="Times New Roman"/>
                <w:sz w:val="18"/>
                <w:szCs w:val="18"/>
              </w:rPr>
            </w:pPr>
            <w:r>
              <w:rPr>
                <w:rFonts w:hint="eastAsia" w:ascii="宋体" w:hAnsi="宋体" w:eastAsia="宋体" w:cs="宋体"/>
                <w:sz w:val="18"/>
                <w:szCs w:val="18"/>
              </w:rPr>
              <w:t>支付升级改造尾款</w:t>
            </w:r>
          </w:p>
        </w:tc>
        <w:tc>
          <w:tcPr>
            <w:tcW w:w="184" w:type="pct"/>
            <w:tcBorders>
              <w:top w:val="nil"/>
              <w:left w:val="nil"/>
              <w:bottom w:val="single" w:color="000000" w:sz="4" w:space="0"/>
              <w:right w:val="single" w:color="000000" w:sz="4" w:space="0"/>
            </w:tcBorders>
            <w:vAlign w:val="center"/>
          </w:tcPr>
          <w:p w14:paraId="5FE54599">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00D6C038">
            <w:pPr>
              <w:widowControl/>
              <w:jc w:val="center"/>
              <w:rPr>
                <w:rFonts w:ascii="宋体" w:hAnsi="宋体" w:eastAsia="宋体" w:cs="宋体"/>
                <w:sz w:val="18"/>
                <w:szCs w:val="18"/>
              </w:rPr>
            </w:pPr>
            <w:r>
              <w:rPr>
                <w:rFonts w:ascii="宋体" w:hAnsi="宋体" w:eastAsia="宋体" w:cs="宋体"/>
                <w:sz w:val="18"/>
                <w:szCs w:val="18"/>
              </w:rPr>
              <w:t>39</w:t>
            </w:r>
          </w:p>
        </w:tc>
        <w:tc>
          <w:tcPr>
            <w:tcW w:w="184" w:type="pct"/>
            <w:tcBorders>
              <w:top w:val="nil"/>
              <w:left w:val="nil"/>
              <w:bottom w:val="single" w:color="000000" w:sz="4" w:space="0"/>
              <w:right w:val="single" w:color="000000" w:sz="4" w:space="0"/>
            </w:tcBorders>
            <w:vAlign w:val="center"/>
          </w:tcPr>
          <w:p w14:paraId="0F88A451">
            <w:pPr>
              <w:widowControl/>
              <w:jc w:val="center"/>
              <w:rPr>
                <w:rFonts w:ascii="宋体" w:hAnsi="宋体" w:eastAsia="宋体" w:cs="Times New Roman"/>
                <w:sz w:val="18"/>
                <w:szCs w:val="18"/>
              </w:rPr>
            </w:pPr>
            <w:r>
              <w:rPr>
                <w:rFonts w:hint="eastAsia" w:ascii="宋体" w:hAnsi="宋体" w:eastAsia="宋体" w:cs="宋体"/>
                <w:sz w:val="18"/>
                <w:szCs w:val="18"/>
              </w:rPr>
              <w:t>万元</w:t>
            </w:r>
          </w:p>
        </w:tc>
        <w:tc>
          <w:tcPr>
            <w:tcW w:w="388" w:type="pct"/>
            <w:tcBorders>
              <w:top w:val="nil"/>
              <w:left w:val="nil"/>
              <w:bottom w:val="single" w:color="000000" w:sz="4" w:space="0"/>
              <w:right w:val="single" w:color="000000" w:sz="4" w:space="0"/>
            </w:tcBorders>
            <w:vAlign w:val="center"/>
          </w:tcPr>
          <w:p w14:paraId="33631A51">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2B9A0D84">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67DF93C4">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27D90A1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r>
      <w:tr w14:paraId="6C5CF462">
        <w:tblPrEx>
          <w:tblCellMar>
            <w:top w:w="0" w:type="dxa"/>
            <w:left w:w="108" w:type="dxa"/>
            <w:bottom w:w="0" w:type="dxa"/>
            <w:right w:w="108" w:type="dxa"/>
          </w:tblCellMar>
        </w:tblPrEx>
        <w:trPr>
          <w:trHeight w:val="285" w:hRule="atLeast"/>
        </w:trPr>
        <w:tc>
          <w:tcPr>
            <w:tcW w:w="3750" w:type="pct"/>
            <w:gridSpan w:val="8"/>
            <w:tcBorders>
              <w:top w:val="single" w:color="000000" w:sz="4" w:space="0"/>
              <w:left w:val="single" w:color="000000" w:sz="4" w:space="0"/>
              <w:bottom w:val="single" w:color="000000" w:sz="4" w:space="0"/>
              <w:right w:val="single" w:color="000000" w:sz="4" w:space="0"/>
            </w:tcBorders>
            <w:vAlign w:val="center"/>
          </w:tcPr>
          <w:p w14:paraId="677F81B0">
            <w:pPr>
              <w:widowControl/>
              <w:jc w:val="center"/>
              <w:rPr>
                <w:rFonts w:ascii="宋体" w:hAnsi="宋体" w:eastAsia="宋体" w:cs="Times New Roman"/>
                <w:sz w:val="18"/>
                <w:szCs w:val="18"/>
              </w:rPr>
            </w:pPr>
            <w:r>
              <w:rPr>
                <w:rFonts w:hint="eastAsia" w:ascii="宋体" w:hAnsi="宋体" w:eastAsia="宋体" w:cs="宋体"/>
                <w:sz w:val="18"/>
                <w:szCs w:val="18"/>
              </w:rPr>
              <w:t>合计</w:t>
            </w:r>
          </w:p>
        </w:tc>
        <w:tc>
          <w:tcPr>
            <w:tcW w:w="184" w:type="pct"/>
            <w:tcBorders>
              <w:top w:val="nil"/>
              <w:left w:val="nil"/>
              <w:bottom w:val="single" w:color="000000" w:sz="4" w:space="0"/>
              <w:right w:val="single" w:color="000000" w:sz="4" w:space="0"/>
            </w:tcBorders>
            <w:vAlign w:val="center"/>
          </w:tcPr>
          <w:p w14:paraId="145F1BC2">
            <w:pPr>
              <w:widowControl/>
              <w:jc w:val="center"/>
              <w:rPr>
                <w:rFonts w:ascii="宋体" w:hAnsi="宋体" w:eastAsia="宋体" w:cs="宋体"/>
                <w:sz w:val="18"/>
                <w:szCs w:val="18"/>
              </w:rPr>
            </w:pPr>
            <w:r>
              <w:rPr>
                <w:rFonts w:ascii="宋体" w:hAnsi="宋体" w:eastAsia="宋体" w:cs="宋体"/>
                <w:sz w:val="18"/>
                <w:szCs w:val="18"/>
              </w:rPr>
              <w:t>100</w:t>
            </w:r>
          </w:p>
        </w:tc>
        <w:tc>
          <w:tcPr>
            <w:tcW w:w="162" w:type="pct"/>
            <w:tcBorders>
              <w:top w:val="nil"/>
              <w:left w:val="nil"/>
              <w:bottom w:val="single" w:color="000000" w:sz="4" w:space="0"/>
              <w:right w:val="single" w:color="000000" w:sz="4" w:space="0"/>
            </w:tcBorders>
            <w:vAlign w:val="center"/>
          </w:tcPr>
          <w:p w14:paraId="068277B4">
            <w:pPr>
              <w:widowControl/>
              <w:jc w:val="right"/>
              <w:rPr>
                <w:rFonts w:ascii="宋体" w:hAnsi="宋体" w:eastAsia="宋体" w:cs="宋体"/>
                <w:sz w:val="18"/>
                <w:szCs w:val="18"/>
              </w:rPr>
            </w:pPr>
            <w:r>
              <w:rPr>
                <w:rFonts w:ascii="宋体" w:hAnsi="宋体" w:eastAsia="宋体" w:cs="宋体"/>
                <w:sz w:val="18"/>
                <w:szCs w:val="18"/>
              </w:rPr>
              <w:t>98</w:t>
            </w:r>
          </w:p>
        </w:tc>
        <w:tc>
          <w:tcPr>
            <w:tcW w:w="904" w:type="pct"/>
            <w:tcBorders>
              <w:top w:val="nil"/>
              <w:left w:val="nil"/>
              <w:bottom w:val="single" w:color="000000" w:sz="4" w:space="0"/>
              <w:right w:val="single" w:color="000000" w:sz="4" w:space="0"/>
            </w:tcBorders>
            <w:vAlign w:val="center"/>
          </w:tcPr>
          <w:p w14:paraId="1B1A218F">
            <w:pPr>
              <w:widowControl/>
              <w:jc w:val="left"/>
              <w:rPr>
                <w:rFonts w:ascii="宋体" w:hAnsi="宋体" w:eastAsia="宋体" w:cs="Times New Roman"/>
                <w:sz w:val="18"/>
                <w:szCs w:val="18"/>
              </w:rPr>
            </w:pPr>
            <w:r>
              <w:rPr>
                <w:rFonts w:hint="eastAsia" w:ascii="宋体" w:hAnsi="宋体" w:eastAsia="宋体" w:cs="宋体"/>
                <w:sz w:val="18"/>
                <w:szCs w:val="18"/>
              </w:rPr>
              <w:t>　</w:t>
            </w:r>
          </w:p>
        </w:tc>
      </w:tr>
      <w:tr w14:paraId="576E1F2D">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vAlign w:val="center"/>
          </w:tcPr>
          <w:p w14:paraId="6CDC07AE">
            <w:pPr>
              <w:widowControl/>
              <w:jc w:val="center"/>
              <w:rPr>
                <w:rFonts w:ascii="宋体" w:hAnsi="宋体" w:eastAsia="宋体" w:cs="Times New Roman"/>
                <w:sz w:val="18"/>
                <w:szCs w:val="18"/>
              </w:rPr>
            </w:pPr>
            <w:r>
              <w:rPr>
                <w:rFonts w:hint="eastAsia" w:ascii="宋体" w:hAnsi="宋体" w:eastAsia="宋体" w:cs="宋体"/>
                <w:sz w:val="18"/>
                <w:szCs w:val="18"/>
              </w:rPr>
              <w:t>评价结论</w:t>
            </w:r>
          </w:p>
        </w:tc>
        <w:tc>
          <w:tcPr>
            <w:tcW w:w="4753" w:type="pct"/>
            <w:gridSpan w:val="10"/>
            <w:tcBorders>
              <w:top w:val="single" w:color="000000" w:sz="4" w:space="0"/>
              <w:left w:val="nil"/>
              <w:bottom w:val="single" w:color="000000" w:sz="4" w:space="0"/>
              <w:right w:val="single" w:color="000000" w:sz="4" w:space="0"/>
            </w:tcBorders>
            <w:vAlign w:val="center"/>
          </w:tcPr>
          <w:p w14:paraId="6D7CC6E1">
            <w:pPr>
              <w:widowControl/>
              <w:jc w:val="left"/>
              <w:rPr>
                <w:rFonts w:ascii="微软雅黑" w:hAnsi="微软雅黑" w:eastAsia="微软雅黑" w:cs="Times New Roman"/>
                <w:i/>
                <w:iCs/>
                <w:sz w:val="16"/>
                <w:szCs w:val="16"/>
              </w:rPr>
            </w:pPr>
            <w:r>
              <w:rPr>
                <w:rFonts w:hint="eastAsia" w:ascii="宋体" w:hAnsi="宋体" w:eastAsia="宋体" w:cs="宋体"/>
                <w:sz w:val="18"/>
                <w:szCs w:val="18"/>
              </w:rPr>
              <w:t>经过对项目资料、财务资料及台账等资料的分析，逐项进行自我评价，并结合社会评估得分，最终项目综合得分为98分。通过该项目的实施，</w:t>
            </w:r>
            <w:r>
              <w:rPr>
                <w:rFonts w:hint="eastAsia" w:ascii="宋体" w:hAnsi="宋体" w:eastAsia="宋体" w:cs="宋体"/>
                <w:sz w:val="18"/>
                <w:szCs w:val="18"/>
                <w:lang w:eastAsia="zh-CN"/>
              </w:rPr>
              <w:t>极大地美化</w:t>
            </w:r>
            <w:r>
              <w:rPr>
                <w:rFonts w:hint="eastAsia" w:ascii="宋体" w:hAnsi="宋体" w:eastAsia="宋体" w:cs="宋体"/>
                <w:sz w:val="18"/>
                <w:szCs w:val="18"/>
              </w:rPr>
              <w:t>了政务服务环境，提升了办事群众的体验感。</w:t>
            </w:r>
          </w:p>
        </w:tc>
      </w:tr>
      <w:tr w14:paraId="4C3E4CFF">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vAlign w:val="center"/>
          </w:tcPr>
          <w:p w14:paraId="0F335429">
            <w:pPr>
              <w:widowControl/>
              <w:jc w:val="left"/>
              <w:rPr>
                <w:rFonts w:hint="eastAsia" w:ascii="宋体" w:hAnsi="宋体" w:eastAsia="宋体" w:cs="宋体"/>
                <w:sz w:val="18"/>
                <w:szCs w:val="18"/>
              </w:rPr>
            </w:pPr>
            <w:r>
              <w:rPr>
                <w:rFonts w:hint="eastAsia" w:ascii="宋体" w:hAnsi="宋体" w:eastAsia="宋体" w:cs="宋体"/>
                <w:sz w:val="18"/>
                <w:szCs w:val="18"/>
              </w:rPr>
              <w:t>存在问题</w:t>
            </w:r>
          </w:p>
        </w:tc>
        <w:tc>
          <w:tcPr>
            <w:tcW w:w="4753" w:type="pct"/>
            <w:gridSpan w:val="10"/>
            <w:tcBorders>
              <w:top w:val="single" w:color="000000" w:sz="4" w:space="0"/>
              <w:left w:val="nil"/>
              <w:bottom w:val="single" w:color="000000" w:sz="4" w:space="0"/>
              <w:right w:val="single" w:color="000000" w:sz="4" w:space="0"/>
            </w:tcBorders>
            <w:vAlign w:val="center"/>
          </w:tcPr>
          <w:p w14:paraId="7984C6F4">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54314FB5">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vAlign w:val="center"/>
          </w:tcPr>
          <w:p w14:paraId="36C6A15B">
            <w:pPr>
              <w:widowControl/>
              <w:jc w:val="left"/>
              <w:rPr>
                <w:rFonts w:hint="eastAsia" w:ascii="宋体" w:hAnsi="宋体" w:eastAsia="宋体" w:cs="宋体"/>
                <w:sz w:val="18"/>
                <w:szCs w:val="18"/>
              </w:rPr>
            </w:pPr>
            <w:r>
              <w:rPr>
                <w:rFonts w:hint="eastAsia" w:ascii="宋体" w:hAnsi="宋体" w:eastAsia="宋体" w:cs="宋体"/>
                <w:sz w:val="18"/>
                <w:szCs w:val="18"/>
              </w:rPr>
              <w:t>改进措施</w:t>
            </w:r>
          </w:p>
        </w:tc>
        <w:tc>
          <w:tcPr>
            <w:tcW w:w="4753" w:type="pct"/>
            <w:gridSpan w:val="10"/>
            <w:tcBorders>
              <w:top w:val="single" w:color="000000" w:sz="4" w:space="0"/>
              <w:left w:val="nil"/>
              <w:bottom w:val="single" w:color="000000" w:sz="4" w:space="0"/>
              <w:right w:val="single" w:color="000000" w:sz="4" w:space="0"/>
            </w:tcBorders>
            <w:vAlign w:val="center"/>
          </w:tcPr>
          <w:p w14:paraId="588DC244">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7FB205D3">
        <w:tblPrEx>
          <w:tblCellMar>
            <w:top w:w="0" w:type="dxa"/>
            <w:left w:w="108" w:type="dxa"/>
            <w:bottom w:w="0" w:type="dxa"/>
            <w:right w:w="108" w:type="dxa"/>
          </w:tblCellMar>
        </w:tblPrEx>
        <w:trPr>
          <w:trHeight w:val="285" w:hRule="atLeast"/>
        </w:trPr>
        <w:tc>
          <w:tcPr>
            <w:tcW w:w="2585" w:type="pct"/>
            <w:gridSpan w:val="5"/>
            <w:tcBorders>
              <w:top w:val="single" w:color="000000" w:sz="4" w:space="0"/>
              <w:left w:val="single" w:color="000000" w:sz="4" w:space="0"/>
              <w:bottom w:val="single" w:color="000000" w:sz="4" w:space="0"/>
              <w:right w:val="single" w:color="000000" w:sz="4" w:space="0"/>
            </w:tcBorders>
            <w:vAlign w:val="center"/>
          </w:tcPr>
          <w:p w14:paraId="26CCE310">
            <w:pPr>
              <w:widowControl/>
              <w:jc w:val="left"/>
              <w:rPr>
                <w:rFonts w:ascii="Courier New" w:hAnsi="Courier New" w:eastAsia="宋体" w:cs="Times New Roman"/>
                <w:sz w:val="18"/>
                <w:szCs w:val="18"/>
              </w:rPr>
            </w:pPr>
            <w:r>
              <w:rPr>
                <w:rFonts w:hint="eastAsia" w:ascii="Courier New" w:hAnsi="Courier New" w:eastAsia="宋体" w:cs="宋体"/>
                <w:sz w:val="18"/>
                <w:szCs w:val="18"/>
              </w:rPr>
              <w:t>项目负责人：蒙晓萍</w:t>
            </w:r>
          </w:p>
        </w:tc>
        <w:tc>
          <w:tcPr>
            <w:tcW w:w="2415" w:type="pct"/>
            <w:gridSpan w:val="6"/>
            <w:tcBorders>
              <w:top w:val="single" w:color="000000" w:sz="4" w:space="0"/>
              <w:left w:val="nil"/>
              <w:bottom w:val="single" w:color="000000" w:sz="4" w:space="0"/>
              <w:right w:val="single" w:color="000000" w:sz="4" w:space="0"/>
            </w:tcBorders>
            <w:vAlign w:val="center"/>
          </w:tcPr>
          <w:p w14:paraId="2DB684D1">
            <w:pPr>
              <w:widowControl/>
              <w:jc w:val="left"/>
              <w:rPr>
                <w:rFonts w:ascii="Courier New" w:hAnsi="Courier New" w:eastAsia="宋体" w:cs="Times New Roman"/>
                <w:sz w:val="18"/>
                <w:szCs w:val="18"/>
              </w:rPr>
            </w:pPr>
            <w:r>
              <w:rPr>
                <w:rFonts w:hint="eastAsia" w:ascii="Courier New" w:hAnsi="Courier New" w:eastAsia="宋体" w:cs="宋体"/>
                <w:sz w:val="18"/>
                <w:szCs w:val="18"/>
              </w:rPr>
              <w:t>财务负责人：谭春乔</w:t>
            </w:r>
          </w:p>
        </w:tc>
      </w:tr>
    </w:tbl>
    <w:p w14:paraId="2E90E803">
      <w:pPr>
        <w:pStyle w:val="227"/>
        <w:keepNext w:val="0"/>
        <w:keepLines w:val="0"/>
        <w:pageBreakBefore w:val="0"/>
        <w:kinsoku/>
        <w:wordWrap/>
        <w:overflowPunct/>
        <w:topLinePunct w:val="0"/>
        <w:autoSpaceDE/>
        <w:autoSpaceDN/>
        <w:bidi w:val="0"/>
        <w:spacing w:line="540" w:lineRule="exact"/>
        <w:jc w:val="center"/>
        <w:textAlignment w:val="auto"/>
        <w:rPr>
          <w:rFonts w:ascii="Times New Roman" w:hAnsi="Times New Roman" w:eastAsia="方正小标宋简体" w:cs="Times New Roman"/>
          <w:kern w:val="2"/>
          <w:sz w:val="44"/>
          <w:szCs w:val="44"/>
          <w:lang w:val="en-US"/>
        </w:rPr>
      </w:pPr>
      <w:r>
        <w:rPr>
          <w:rFonts w:hint="eastAsia" w:ascii="Times New Roman" w:hAnsi="Times New Roman" w:eastAsia="方正小标宋简体" w:cs="方正小标宋简体"/>
          <w:kern w:val="2"/>
          <w:sz w:val="44"/>
          <w:szCs w:val="44"/>
          <w:lang w:val="en-US"/>
        </w:rPr>
        <w:br w:type="page"/>
      </w:r>
      <w:r>
        <w:rPr>
          <w:rFonts w:hint="eastAsia" w:ascii="Times New Roman" w:hAnsi="Times New Roman" w:eastAsia="方正小标宋简体" w:cs="方正小标宋简体"/>
          <w:kern w:val="2"/>
          <w:sz w:val="44"/>
          <w:szCs w:val="44"/>
          <w:lang w:val="en-US"/>
        </w:rPr>
        <w:t>专项预算项目绩效评价报告</w:t>
      </w:r>
    </w:p>
    <w:p w14:paraId="4A261D00">
      <w:pPr>
        <w:pStyle w:val="227"/>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楷体_GB2312" w:cs="楷体_GB2312"/>
          <w:sz w:val="32"/>
          <w:szCs w:val="32"/>
          <w:lang w:val="en-US"/>
        </w:rPr>
      </w:pPr>
      <w:r>
        <w:rPr>
          <w:rFonts w:hint="eastAsia" w:ascii="Times New Roman" w:hAnsi="Times New Roman" w:eastAsia="楷体_GB2312" w:cs="楷体_GB2312"/>
          <w:sz w:val="32"/>
          <w:szCs w:val="32"/>
          <w:lang w:val="en-US"/>
        </w:rPr>
        <w:t>（</w:t>
      </w:r>
      <w:bookmarkStart w:id="123" w:name="OLE_LINK107"/>
      <w:bookmarkStart w:id="124" w:name="OLE_LINK106"/>
      <w:r>
        <w:rPr>
          <w:rFonts w:hint="eastAsia" w:ascii="Times New Roman" w:hAnsi="Times New Roman" w:eastAsia="楷体_GB2312" w:cs="楷体_GB2312"/>
          <w:sz w:val="32"/>
          <w:szCs w:val="32"/>
          <w:lang w:val="en-US"/>
        </w:rPr>
        <w:t>政务服务综合大楼设施设备采购费</w:t>
      </w:r>
      <w:bookmarkEnd w:id="123"/>
      <w:bookmarkEnd w:id="124"/>
      <w:r>
        <w:rPr>
          <w:rFonts w:hint="eastAsia" w:ascii="Times New Roman" w:hAnsi="Times New Roman" w:eastAsia="楷体_GB2312" w:cs="楷体_GB2312"/>
          <w:sz w:val="32"/>
          <w:szCs w:val="32"/>
          <w:lang w:val="en-US"/>
        </w:rPr>
        <w:t>）</w:t>
      </w:r>
    </w:p>
    <w:p w14:paraId="2C7069DB">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黑体" w:cs="Times New Roman"/>
          <w:color w:val="000000"/>
          <w:lang w:val="zh-CN"/>
        </w:rPr>
      </w:pPr>
      <w:bookmarkStart w:id="125" w:name="_Toc15003"/>
      <w:r>
        <w:rPr>
          <w:rFonts w:hint="eastAsia" w:ascii="Times New Roman" w:hAnsi="Times New Roman" w:eastAsia="黑体" w:cs="黑体"/>
          <w:color w:val="000000"/>
        </w:rPr>
        <w:t>一、</w:t>
      </w:r>
      <w:r>
        <w:rPr>
          <w:rFonts w:hint="eastAsia" w:ascii="Times New Roman" w:hAnsi="Times New Roman" w:eastAsia="黑体" w:cs="黑体"/>
          <w:color w:val="000000"/>
          <w:lang w:val="zh-CN"/>
        </w:rPr>
        <w:t>项目概况</w:t>
      </w:r>
      <w:bookmarkEnd w:id="125"/>
    </w:p>
    <w:p w14:paraId="244007B4">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ascii="Times New Roman" w:hAnsi="Times New Roman" w:eastAsia="楷体_GB2312" w:cs="Times New Roman"/>
          <w:color w:val="000000"/>
          <w:lang w:val="zh-CN"/>
        </w:rPr>
      </w:pPr>
      <w:r>
        <w:rPr>
          <w:rFonts w:hint="eastAsia" w:ascii="Times New Roman" w:hAnsi="Times New Roman" w:eastAsia="楷体_GB2312" w:cs="楷体_GB2312"/>
          <w:color w:val="000000"/>
          <w:lang w:val="zh-CN"/>
        </w:rPr>
        <w:t>（一）设立背景及基本情况。</w:t>
      </w:r>
    </w:p>
    <w:p w14:paraId="6AD848E9">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 xml:space="preserve">1. </w:t>
      </w:r>
      <w:r>
        <w:rPr>
          <w:rFonts w:hint="eastAsia" w:ascii="仿宋_GB2312" w:hAnsi="仿宋_GB2312" w:eastAsia="仿宋_GB2312" w:cs="仿宋_GB2312"/>
        </w:rPr>
        <w:t>政务服务综合大楼设施设备采购费</w:t>
      </w:r>
      <w:r>
        <w:rPr>
          <w:rFonts w:hint="eastAsia" w:ascii="仿宋_GB2312" w:hAnsi="仿宋_GB2312" w:eastAsia="仿宋_GB2312" w:cs="仿宋_GB2312"/>
          <w:color w:val="000000"/>
        </w:rPr>
        <w:t>预算64.59万元。主要用于2020年1月通过采购招标，采购政务服服综合大楼办公家具一批</w:t>
      </w:r>
      <w:r>
        <w:rPr>
          <w:rFonts w:hint="eastAsia" w:ascii="仿宋_GB2312" w:hAnsi="仿宋_GB2312" w:eastAsia="仿宋_GB2312" w:cs="仿宋_GB2312"/>
          <w:color w:val="000000"/>
          <w:lang w:val="zh-CN"/>
        </w:rPr>
        <w:t xml:space="preserve">。 </w:t>
      </w:r>
    </w:p>
    <w:p w14:paraId="1772C28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zh-CN"/>
        </w:rPr>
        <w:t>项目立项、资金申报的依据。区相关文件。</w:t>
      </w:r>
    </w:p>
    <w:p w14:paraId="658945D6">
      <w:pPr>
        <w:keepNext w:val="0"/>
        <w:keepLines w:val="0"/>
        <w:pageBreakBefore w:val="0"/>
        <w:kinsoku/>
        <w:wordWrap/>
        <w:overflowPunct/>
        <w:topLinePunct w:val="0"/>
        <w:autoSpaceDE/>
        <w:autoSpaceDN/>
        <w:bidi w:val="0"/>
        <w:spacing w:line="540" w:lineRule="exact"/>
        <w:ind w:firstLine="640" w:firstLineChars="200"/>
        <w:textAlignment w:val="auto"/>
        <w:rPr>
          <w:rStyle w:val="232"/>
          <w:rFonts w:hint="eastAsia"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val="zh-CN"/>
        </w:rPr>
        <w:t>项目主要内容、部门职能。</w:t>
      </w:r>
      <w:r>
        <w:rPr>
          <w:rFonts w:hint="eastAsia" w:ascii="仿宋_GB2312" w:hAnsi="仿宋_GB2312" w:eastAsia="仿宋_GB2312" w:cs="仿宋_GB2312"/>
          <w:color w:val="000000"/>
        </w:rPr>
        <w:t>通过本项目的实施，完善了为民办事阵地，规范了服务标准，提升了服务水平，优化了办事流程，获得了群众的极大认可。</w:t>
      </w:r>
    </w:p>
    <w:p w14:paraId="1A0D6EE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w:t>
      </w:r>
      <w:r>
        <w:rPr>
          <w:rFonts w:hint="eastAsia" w:ascii="Times New Roman" w:hAnsi="Times New Roman" w:eastAsia="楷体_GB2312" w:cs="楷体_GB2312"/>
          <w:color w:val="000000"/>
        </w:rPr>
        <w:t>实施目的及支持方向。</w:t>
      </w:r>
      <w:r>
        <w:rPr>
          <w:rFonts w:hint="eastAsia" w:ascii="仿宋_GB2312" w:hAnsi="仿宋_GB2312" w:eastAsia="仿宋_GB2312" w:cs="仿宋_GB2312"/>
          <w:color w:val="000000"/>
        </w:rPr>
        <w:t>完善了为民办事阵地，规范了服务标准，提升了服务水平，优化了办事流程。该项目资金根据区</w:t>
      </w:r>
      <w:bookmarkStart w:id="126" w:name="OLE_LINK108"/>
      <w:bookmarkStart w:id="127" w:name="OLE_LINK109"/>
      <w:r>
        <w:rPr>
          <w:rFonts w:hint="eastAsia" w:ascii="仿宋_GB2312" w:hAnsi="仿宋_GB2312" w:eastAsia="仿宋_GB2312" w:cs="仿宋_GB2312"/>
          <w:color w:val="000000"/>
        </w:rPr>
        <w:t>行政审批和数据局</w:t>
      </w:r>
      <w:bookmarkEnd w:id="126"/>
      <w:bookmarkEnd w:id="127"/>
      <w:r>
        <w:rPr>
          <w:rFonts w:hint="eastAsia" w:ascii="仿宋_GB2312" w:hAnsi="仿宋_GB2312" w:eastAsia="仿宋_GB2312" w:cs="仿宋_GB2312"/>
          <w:color w:val="000000"/>
        </w:rPr>
        <w:t>实际支出情况按需支取。</w:t>
      </w:r>
    </w:p>
    <w:p w14:paraId="6154FBA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（三）预算安排及分配管理。</w:t>
      </w:r>
      <w:r>
        <w:rPr>
          <w:rFonts w:hint="eastAsia" w:ascii="仿宋_GB2312" w:hAnsi="仿宋_GB2312" w:eastAsia="仿宋_GB2312" w:cs="仿宋_GB2312"/>
          <w:color w:val="000000"/>
        </w:rPr>
        <w:t>年初预算安排0万元，使用64.59万元。项目资金由区行政审批和数据局监管，并严格按照相关财经纪律执行。</w:t>
      </w:r>
    </w:p>
    <w:p w14:paraId="53F63D35">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（四）项目绩效目标设置。</w:t>
      </w:r>
      <w:r>
        <w:rPr>
          <w:rFonts w:hint="eastAsia" w:ascii="仿宋_GB2312" w:hAnsi="仿宋_GB2312" w:eastAsia="仿宋_GB2312" w:cs="仿宋_GB2312"/>
          <w:color w:val="000000"/>
        </w:rPr>
        <w:t>完善了为民办事阵地，规范了服务标准，提升了服务水平。组建自评工作组收集和整理自评的相关数据和信息进行自我分析和评估，对自评的结果进行总结和归纳并制定改进计划和措施，及时跟进和落实。</w:t>
      </w:r>
    </w:p>
    <w:p w14:paraId="57E1F217">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ascii="Times New Roman" w:hAnsi="Times New Roman" w:eastAsia="黑体" w:cs="Times New Roman"/>
          <w:color w:val="000000"/>
        </w:rPr>
      </w:pPr>
      <w:bookmarkStart w:id="128" w:name="_Toc21476"/>
      <w:r>
        <w:rPr>
          <w:rFonts w:hint="eastAsia" w:ascii="Times New Roman" w:hAnsi="Times New Roman" w:eastAsia="黑体" w:cs="黑体"/>
          <w:color w:val="000000"/>
        </w:rPr>
        <w:t>二、评价实施</w:t>
      </w:r>
      <w:bookmarkEnd w:id="128"/>
    </w:p>
    <w:p w14:paraId="0FAB20D3">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（一）评价目的。</w:t>
      </w:r>
      <w:r>
        <w:rPr>
          <w:rFonts w:hint="eastAsia" w:ascii="仿宋_GB2312" w:hAnsi="仿宋_GB2312" w:eastAsia="仿宋_GB2312" w:cs="仿宋_GB2312"/>
          <w:color w:val="000000"/>
          <w:lang w:val="zh-CN"/>
        </w:rPr>
        <w:t>反映项目实施是否偏离目标，并总结经验，为改善管理，纠正目标与实际的偏差提供依据。</w:t>
      </w:r>
    </w:p>
    <w:p w14:paraId="4B6EB7BB">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（二）预设问题及评价重点。</w:t>
      </w:r>
      <w:r>
        <w:rPr>
          <w:rFonts w:hint="eastAsia" w:ascii="仿宋_GB2312" w:hAnsi="仿宋_GB2312" w:eastAsia="仿宋_GB2312" w:cs="仿宋_GB2312"/>
          <w:color w:val="000000"/>
          <w:lang w:val="zh-CN"/>
        </w:rPr>
        <w:t>政务服务综合大楼设施设备采购费</w:t>
      </w:r>
      <w:r>
        <w:rPr>
          <w:rFonts w:hint="eastAsia" w:ascii="仿宋_GB2312" w:hAnsi="仿宋_GB2312" w:eastAsia="仿宋_GB2312" w:cs="仿宋_GB2312"/>
          <w:color w:val="000000"/>
        </w:rPr>
        <w:t>严格按照专款专用原则，及时通知有关单位提供合法票据，完善报账手续，严格票据审核，规范报账程序，确保资金使用的规范性，同时财政部门对资金支付严格审核，确保资金使用安全。</w:t>
      </w:r>
    </w:p>
    <w:p w14:paraId="54631B5C">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（三）评价选点。</w:t>
      </w:r>
      <w:r>
        <w:rPr>
          <w:rFonts w:hint="eastAsia" w:ascii="仿宋_GB2312" w:hAnsi="仿宋_GB2312" w:eastAsia="仿宋_GB2312" w:cs="仿宋_GB2312"/>
          <w:color w:val="000000"/>
          <w:lang w:val="zh-CN"/>
        </w:rPr>
        <w:t>项目实际完成情况。</w:t>
      </w:r>
    </w:p>
    <w:p w14:paraId="24F2F15A">
      <w:pPr>
        <w:keepNext w:val="0"/>
        <w:keepLines w:val="0"/>
        <w:pageBreakBefore w:val="0"/>
        <w:kinsoku/>
        <w:wordWrap/>
        <w:overflowPunct/>
        <w:topLinePunct w:val="0"/>
        <w:autoSpaceDE/>
        <w:autoSpaceDN/>
        <w:bidi w:val="0"/>
        <w:spacing w:line="540" w:lineRule="exact"/>
        <w:ind w:left="640" w:leftChars="200"/>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（四）评价方法。</w:t>
      </w:r>
      <w:r>
        <w:rPr>
          <w:rFonts w:hint="eastAsia" w:ascii="仿宋_GB2312" w:hAnsi="仿宋_GB2312" w:eastAsia="仿宋_GB2312" w:cs="仿宋_GB2312"/>
          <w:color w:val="000000"/>
        </w:rPr>
        <w:t>本次项目支出绩效评价采取分级评分法。</w:t>
      </w:r>
      <w:r>
        <w:rPr>
          <w:rFonts w:hint="eastAsia" w:ascii="Times New Roman" w:hAnsi="Times New Roman" w:eastAsia="楷体_GB2312" w:cs="楷体_GB2312"/>
          <w:color w:val="000000"/>
          <w:lang w:val="zh-CN"/>
        </w:rPr>
        <w:t>（五）评价组织。</w:t>
      </w:r>
      <w:r>
        <w:rPr>
          <w:rFonts w:hint="eastAsia" w:ascii="仿宋_GB2312" w:hAnsi="仿宋_GB2312" w:eastAsia="仿宋_GB2312" w:cs="仿宋_GB2312"/>
          <w:color w:val="000000"/>
        </w:rPr>
        <w:t>成立工作专班，落实工作责任，有力有序</w:t>
      </w:r>
    </w:p>
    <w:p w14:paraId="2B02C594">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开展2024年部门预算项目支出绩效自评工作。</w:t>
      </w:r>
    </w:p>
    <w:p w14:paraId="300950CD">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cs="Times New Roman"/>
          <w:color w:val="000000"/>
          <w:lang w:val="zh-CN"/>
        </w:rPr>
      </w:pPr>
      <w:bookmarkStart w:id="129" w:name="_Toc25919"/>
      <w:r>
        <w:rPr>
          <w:rFonts w:hint="eastAsia" w:ascii="Times New Roman" w:hAnsi="Times New Roman" w:eastAsia="黑体" w:cs="黑体"/>
          <w:color w:val="000000"/>
        </w:rPr>
        <w:t>三、绩效分析</w:t>
      </w:r>
      <w:bookmarkEnd w:id="129"/>
      <w:r>
        <w:rPr>
          <w:rFonts w:ascii="Times New Roman" w:hAnsi="Times New Roman" w:cs="Times New Roman"/>
          <w:color w:val="000000"/>
          <w:lang w:val="zh-CN"/>
        </w:rPr>
        <w:tab/>
      </w:r>
    </w:p>
    <w:p w14:paraId="546A0D8B">
      <w:pPr>
        <w:keepNext w:val="0"/>
        <w:keepLines w:val="0"/>
        <w:pageBreakBefore w:val="0"/>
        <w:kinsoku/>
        <w:wordWrap/>
        <w:overflowPunct/>
        <w:topLinePunct w:val="0"/>
        <w:autoSpaceDE/>
        <w:autoSpaceDN/>
        <w:bidi w:val="0"/>
        <w:spacing w:line="540" w:lineRule="exact"/>
        <w:ind w:left="640" w:left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根据项目预算绩效评价指标体系“通用指标”“专用指标”</w:t>
      </w:r>
    </w:p>
    <w:p w14:paraId="3805F1C8">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zh-CN"/>
        </w:rPr>
        <w:t>“个性指标”涉及二、三级指标进行逐项绩效分析并评分</w:t>
      </w:r>
      <w:r>
        <w:rPr>
          <w:rFonts w:hint="eastAsia" w:ascii="仿宋_GB2312" w:hAnsi="仿宋_GB2312" w:eastAsia="仿宋_GB2312" w:cs="仿宋_GB2312"/>
          <w:color w:val="000000"/>
        </w:rPr>
        <w:t>。</w:t>
      </w:r>
    </w:p>
    <w:p w14:paraId="6F4BD729">
      <w:pPr>
        <w:keepNext w:val="0"/>
        <w:keepLines w:val="0"/>
        <w:pageBreakBefore w:val="0"/>
        <w:kinsoku/>
        <w:wordWrap/>
        <w:overflowPunct/>
        <w:topLinePunct w:val="0"/>
        <w:autoSpaceDE/>
        <w:autoSpaceDN/>
        <w:bidi w:val="0"/>
        <w:spacing w:line="540" w:lineRule="exact"/>
        <w:ind w:firstLine="640" w:firstLineChars="200"/>
        <w:textAlignment w:val="auto"/>
        <w:outlineLvl w:val="2"/>
        <w:rPr>
          <w:rFonts w:ascii="Times New Roman" w:hAnsi="Times New Roman" w:eastAsia="楷体_GB2312" w:cs="Times New Roman"/>
          <w:color w:val="000000"/>
        </w:rPr>
      </w:pPr>
      <w:r>
        <w:rPr>
          <w:rFonts w:hint="eastAsia" w:ascii="Times New Roman" w:hAnsi="Times New Roman" w:eastAsia="楷体_GB2312" w:cs="楷体_GB2312"/>
          <w:color w:val="000000"/>
          <w:lang w:val="zh-CN"/>
        </w:rPr>
        <w:t>（一）</w:t>
      </w:r>
      <w:r>
        <w:rPr>
          <w:rFonts w:hint="eastAsia" w:ascii="Times New Roman" w:hAnsi="Times New Roman" w:eastAsia="楷体_GB2312" w:cs="楷体_GB2312"/>
          <w:color w:val="000000"/>
        </w:rPr>
        <w:t>通用指标</w:t>
      </w:r>
      <w:r>
        <w:rPr>
          <w:rFonts w:hint="eastAsia" w:ascii="Times New Roman" w:hAnsi="Times New Roman" w:eastAsia="楷体_GB2312" w:cs="楷体_GB2312"/>
          <w:color w:val="000000"/>
          <w:lang w:val="zh-CN"/>
        </w:rPr>
        <w:t>绩效分析。</w:t>
      </w:r>
    </w:p>
    <w:p w14:paraId="6FC1AD60">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1.项目决策。从综合评价来看，区</w:t>
      </w:r>
      <w:bookmarkStart w:id="130" w:name="OLE_LINK110"/>
      <w:bookmarkStart w:id="131" w:name="OLE_LINK111"/>
      <w:bookmarkStart w:id="132" w:name="OLE_LINK112"/>
      <w:bookmarkStart w:id="133" w:name="OLE_LINK113"/>
      <w:r>
        <w:rPr>
          <w:rFonts w:hint="eastAsia" w:ascii="仿宋_GB2312" w:hAnsi="仿宋_GB2312" w:eastAsia="仿宋_GB2312" w:cs="仿宋_GB2312"/>
          <w:color w:val="000000"/>
        </w:rPr>
        <w:t>行政审批和数据</w:t>
      </w:r>
      <w:bookmarkEnd w:id="130"/>
      <w:bookmarkEnd w:id="131"/>
      <w:r>
        <w:rPr>
          <w:rFonts w:hint="eastAsia" w:ascii="仿宋_GB2312" w:hAnsi="仿宋_GB2312" w:eastAsia="仿宋_GB2312" w:cs="仿宋_GB2312"/>
          <w:color w:val="000000"/>
        </w:rPr>
        <w:t>局</w:t>
      </w:r>
      <w:bookmarkEnd w:id="132"/>
      <w:bookmarkEnd w:id="133"/>
      <w:r>
        <w:rPr>
          <w:rFonts w:hint="eastAsia" w:ascii="仿宋_GB2312" w:hAnsi="仿宋_GB2312" w:eastAsia="仿宋_GB2312" w:cs="仿宋_GB2312"/>
          <w:color w:val="000000"/>
        </w:rPr>
        <w:t>各预算项目设立依据基本充分，均设定了各项目绩效目标，对资金配置方面均有明确的测算依据，整体情况良好。</w:t>
      </w:r>
    </w:p>
    <w:p w14:paraId="7E7444D7">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2.项目管理。</w:t>
      </w:r>
      <w:r>
        <w:rPr>
          <w:rFonts w:hint="eastAsia" w:ascii="仿宋_GB2312" w:hAnsi="仿宋_GB2312" w:eastAsia="仿宋_GB2312" w:cs="仿宋_GB2312"/>
          <w:color w:val="000000"/>
          <w:kern w:val="2"/>
        </w:rPr>
        <w:t>从整体评价来看，区</w:t>
      </w:r>
      <w:r>
        <w:rPr>
          <w:rFonts w:hint="eastAsia" w:ascii="仿宋_GB2312" w:hAnsi="仿宋_GB2312" w:eastAsia="仿宋_GB2312" w:cs="仿宋_GB2312"/>
          <w:color w:val="000000"/>
        </w:rPr>
        <w:t>行政审批和数据局</w:t>
      </w:r>
      <w:r>
        <w:rPr>
          <w:rFonts w:hint="eastAsia" w:ascii="仿宋_GB2312" w:hAnsi="仿宋_GB2312" w:eastAsia="仿宋_GB2312" w:cs="仿宋_GB2312"/>
          <w:color w:val="000000"/>
          <w:kern w:val="2"/>
        </w:rPr>
        <w:t>建立了基本能全面覆盖的管理制度，各项目按照财政局相关要求稳步推进，并根据年度工作计划做好各项目工作。年初预算批复后，根据项目推进情况申请资金下达，截至2024年12月31日，项目资金到位64.59万元，支出64.595万元，项目资金执行率为100%。项目运行成本均在可控制范围内。</w:t>
      </w:r>
    </w:p>
    <w:p w14:paraId="67BBA6C6">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3.项目实施。项目经费严格按照专款专用原则，年初预算安排0万元，使用64.59万元。（其中：预算支出0万元，年度调增预算64.59万元)。</w:t>
      </w:r>
      <w:r>
        <w:rPr>
          <w:rFonts w:hint="eastAsia" w:ascii="仿宋_GB2312" w:hAnsi="仿宋_GB2312" w:eastAsia="仿宋_GB2312" w:cs="仿宋_GB2312"/>
          <w:color w:val="000000"/>
          <w:lang w:val="zh-CN"/>
        </w:rPr>
        <w:t>单位</w:t>
      </w:r>
      <w:r>
        <w:rPr>
          <w:rFonts w:hint="eastAsia" w:ascii="仿宋_GB2312" w:hAnsi="仿宋_GB2312" w:eastAsia="仿宋_GB2312" w:cs="仿宋_GB2312"/>
          <w:color w:val="000000"/>
        </w:rPr>
        <w:t>无截留、挤占、挪用、虚列支出等情况。</w:t>
      </w:r>
    </w:p>
    <w:p w14:paraId="3FD6886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4.项目结果。该项目验收合格，尾款支付完毕。</w:t>
      </w:r>
      <w:r>
        <w:rPr>
          <w:rFonts w:hint="eastAsia" w:ascii="仿宋_GB2312" w:hAnsi="仿宋_GB2312" w:eastAsia="仿宋_GB2312" w:cs="仿宋_GB2312"/>
          <w:color w:val="000000"/>
          <w:kern w:val="2"/>
        </w:rPr>
        <w:t>项目</w:t>
      </w:r>
      <w:r>
        <w:rPr>
          <w:rFonts w:hint="eastAsia" w:ascii="仿宋_GB2312" w:hAnsi="仿宋_GB2312" w:eastAsia="仿宋_GB2312" w:cs="仿宋_GB2312"/>
          <w:color w:val="000000"/>
          <w:lang w:val="zh-CN"/>
        </w:rPr>
        <w:t>完成时效</w:t>
      </w:r>
      <w:r>
        <w:rPr>
          <w:rFonts w:hint="eastAsia" w:ascii="仿宋_GB2312" w:hAnsi="仿宋_GB2312" w:eastAsia="仿宋_GB2312" w:cs="仿宋_GB2312"/>
          <w:color w:val="000000"/>
        </w:rPr>
        <w:t>1年</w:t>
      </w:r>
      <w:r>
        <w:rPr>
          <w:rFonts w:hint="eastAsia" w:ascii="仿宋_GB2312" w:hAnsi="仿宋_GB2312" w:eastAsia="仿宋_GB2312" w:cs="仿宋_GB2312"/>
          <w:color w:val="000000"/>
          <w:lang w:val="zh-CN"/>
        </w:rPr>
        <w:t>。</w:t>
      </w:r>
    </w:p>
    <w:p w14:paraId="4CB0575B">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（二）专用指标绩效分析。</w:t>
      </w:r>
      <w:r>
        <w:rPr>
          <w:rFonts w:hint="eastAsia" w:ascii="仿宋_GB2312" w:hAnsi="仿宋_GB2312" w:eastAsia="仿宋_GB2312" w:cs="仿宋_GB2312"/>
          <w:color w:val="000000"/>
          <w:lang w:val="zh-CN"/>
        </w:rPr>
        <w:t>根据</w:t>
      </w:r>
      <w:r>
        <w:rPr>
          <w:rFonts w:hint="eastAsia" w:ascii="仿宋_GB2312" w:hAnsi="仿宋_GB2312" w:eastAsia="仿宋_GB2312" w:cs="仿宋_GB2312"/>
          <w:color w:val="000000"/>
        </w:rPr>
        <w:t>专项预算项目资金支持对象选择所属指标进行绩效分析。支持对象</w:t>
      </w:r>
      <w:r>
        <w:rPr>
          <w:rFonts w:hint="eastAsia" w:ascii="仿宋_GB2312" w:hAnsi="仿宋_GB2312" w:eastAsia="仿宋_GB2312" w:cs="仿宋_GB2312"/>
          <w:color w:val="000000"/>
          <w:lang w:val="zh-CN"/>
        </w:rPr>
        <w:t>包括产业发展、民生保障、基础设施、行政运转等方面。</w:t>
      </w:r>
    </w:p>
    <w:p w14:paraId="176B0FE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1.产业发展。围绕符合性、成长性、经济性进行绩效分析。</w:t>
      </w:r>
    </w:p>
    <w:p w14:paraId="6350C19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zh-CN"/>
        </w:rPr>
        <w:t>民生保障。</w:t>
      </w:r>
      <w:r>
        <w:rPr>
          <w:rFonts w:hint="eastAsia" w:ascii="仿宋_GB2312" w:hAnsi="仿宋_GB2312" w:eastAsia="仿宋_GB2312" w:cs="仿宋_GB2312"/>
          <w:color w:val="000000"/>
        </w:rPr>
        <w:t>围绕区域均衡性、对象精准性、标准合理性、群众满意度进行绩效分析。</w:t>
      </w:r>
    </w:p>
    <w:p w14:paraId="3D366A03">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3.基础设施。在建项目围绕工程进度和资金拨付进行绩效分析；建成项目围绕项目验收、功能实现、后续管护进行</w:t>
      </w:r>
      <w:r>
        <w:rPr>
          <w:rFonts w:hint="eastAsia" w:ascii="仿宋_GB2312" w:hAnsi="仿宋_GB2312" w:eastAsia="仿宋_GB2312" w:cs="仿宋_GB2312"/>
          <w:color w:val="000000"/>
          <w:lang w:val="zh-CN"/>
        </w:rPr>
        <w:t>绩效分析。</w:t>
      </w:r>
    </w:p>
    <w:p w14:paraId="618F5180">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4.</w:t>
      </w:r>
      <w:r>
        <w:rPr>
          <w:rFonts w:hint="eastAsia" w:ascii="仿宋_GB2312" w:hAnsi="仿宋_GB2312" w:eastAsia="仿宋_GB2312" w:cs="仿宋_GB2312"/>
          <w:color w:val="000000"/>
          <w:lang w:val="zh-CN"/>
        </w:rPr>
        <w:t>行政运转。围绕用途合规性、程序合规性、标准合规性进行绩效分析。</w:t>
      </w:r>
    </w:p>
    <w:p w14:paraId="0DED616D">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（三）个性指标绩效分析。</w:t>
      </w:r>
      <w:r>
        <w:rPr>
          <w:rFonts w:hint="eastAsia" w:ascii="仿宋_GB2312" w:hAnsi="仿宋_GB2312" w:eastAsia="仿宋_GB2312" w:cs="仿宋_GB2312"/>
          <w:color w:val="000000"/>
          <w:lang w:val="zh-CN"/>
        </w:rPr>
        <w:t>根据项目个性自行设定部分指标，反映该项指标执行完成情况。</w:t>
      </w:r>
    </w:p>
    <w:p w14:paraId="69F07810">
      <w:pPr>
        <w:pStyle w:val="15"/>
        <w:keepNext w:val="0"/>
        <w:keepLines w:val="0"/>
        <w:pageBreakBefore w:val="0"/>
        <w:tabs>
          <w:tab w:val="left" w:pos="2160"/>
        </w:tabs>
        <w:kinsoku/>
        <w:wordWrap/>
        <w:overflowPunct/>
        <w:topLinePunct w:val="0"/>
        <w:autoSpaceDE/>
        <w:autoSpaceDN/>
        <w:bidi w:val="0"/>
        <w:spacing w:after="0" w:line="540" w:lineRule="exact"/>
        <w:ind w:firstLine="640" w:firstLineChars="200"/>
        <w:textAlignment w:val="auto"/>
        <w:outlineLvl w:val="1"/>
        <w:rPr>
          <w:rFonts w:ascii="Times New Roman" w:hAnsi="Times New Roman" w:eastAsia="黑体" w:cs="Times New Roman"/>
          <w:color w:val="000000"/>
        </w:rPr>
      </w:pPr>
      <w:bookmarkStart w:id="134" w:name="_Toc20406"/>
      <w:r>
        <w:rPr>
          <w:rFonts w:hint="eastAsia" w:ascii="Times New Roman" w:hAnsi="Times New Roman" w:eastAsia="黑体" w:cs="黑体"/>
          <w:color w:val="000000"/>
        </w:rPr>
        <w:t>四、评价结论</w:t>
      </w:r>
      <w:bookmarkEnd w:id="134"/>
    </w:p>
    <w:p w14:paraId="3CE9F1F9">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政务服务综合大楼设施设备采购费项目绩效总体评价良好,自评得分95分。</w:t>
      </w:r>
    </w:p>
    <w:p w14:paraId="1ABE0FF4">
      <w:pPr>
        <w:pStyle w:val="15"/>
        <w:keepNext w:val="0"/>
        <w:keepLines w:val="0"/>
        <w:pageBreakBefore w:val="0"/>
        <w:tabs>
          <w:tab w:val="left" w:pos="2160"/>
        </w:tabs>
        <w:kinsoku/>
        <w:wordWrap/>
        <w:overflowPunct/>
        <w:topLinePunct w:val="0"/>
        <w:autoSpaceDE/>
        <w:autoSpaceDN/>
        <w:bidi w:val="0"/>
        <w:spacing w:after="0" w:line="540" w:lineRule="exact"/>
        <w:ind w:firstLine="640" w:firstLineChars="200"/>
        <w:textAlignment w:val="auto"/>
        <w:outlineLvl w:val="1"/>
        <w:rPr>
          <w:rFonts w:ascii="Times New Roman" w:hAnsi="Times New Roman" w:eastAsia="黑体" w:cs="Times New Roman"/>
          <w:color w:val="000000"/>
        </w:rPr>
      </w:pPr>
      <w:bookmarkStart w:id="135" w:name="_Toc21033"/>
      <w:r>
        <w:rPr>
          <w:rFonts w:hint="eastAsia" w:ascii="Times New Roman" w:hAnsi="Times New Roman" w:eastAsia="黑体" w:cs="黑体"/>
          <w:color w:val="000000"/>
        </w:rPr>
        <w:t>五、存在主要问题</w:t>
      </w:r>
      <w:bookmarkEnd w:id="135"/>
    </w:p>
    <w:p w14:paraId="6BA59F10">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无</w:t>
      </w:r>
    </w:p>
    <w:p w14:paraId="23FED873">
      <w:pPr>
        <w:pStyle w:val="15"/>
        <w:keepNext w:val="0"/>
        <w:keepLines w:val="0"/>
        <w:pageBreakBefore w:val="0"/>
        <w:tabs>
          <w:tab w:val="left" w:pos="2160"/>
        </w:tabs>
        <w:kinsoku/>
        <w:wordWrap/>
        <w:overflowPunct/>
        <w:topLinePunct w:val="0"/>
        <w:autoSpaceDE/>
        <w:autoSpaceDN/>
        <w:bidi w:val="0"/>
        <w:spacing w:after="0" w:line="540" w:lineRule="exact"/>
        <w:ind w:firstLine="640" w:firstLineChars="200"/>
        <w:textAlignment w:val="auto"/>
        <w:outlineLvl w:val="1"/>
        <w:rPr>
          <w:rFonts w:ascii="Times New Roman" w:hAnsi="Times New Roman" w:eastAsia="黑体" w:cs="Times New Roman"/>
          <w:color w:val="000000"/>
          <w:position w:val="3"/>
          <w:lang w:val="zh-CN"/>
        </w:rPr>
      </w:pPr>
      <w:bookmarkStart w:id="136" w:name="_Toc27901"/>
      <w:r>
        <w:rPr>
          <w:rFonts w:hint="eastAsia" w:ascii="Times New Roman" w:hAnsi="Times New Roman" w:eastAsia="黑体" w:cs="黑体"/>
          <w:color w:val="000000"/>
          <w:position w:val="3"/>
          <w:lang w:val="zh-CN"/>
        </w:rPr>
        <w:t>六、改进建议</w:t>
      </w:r>
      <w:bookmarkEnd w:id="136"/>
    </w:p>
    <w:p w14:paraId="24F5EEC2">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无</w:t>
      </w:r>
    </w:p>
    <w:p w14:paraId="49D9B846">
      <w:pPr>
        <w:pStyle w:val="227"/>
        <w:spacing w:line="578" w:lineRule="exact"/>
        <w:jc w:val="both"/>
        <w:rPr>
          <w:rFonts w:ascii="Times New Roman" w:hAnsi="Times New Roman" w:eastAsia="方正小标宋简体" w:cs="Times New Roman"/>
          <w:kern w:val="2"/>
          <w:sz w:val="44"/>
          <w:szCs w:val="44"/>
          <w:lang w:val="en-US"/>
        </w:rPr>
      </w:pPr>
    </w:p>
    <w:tbl>
      <w:tblPr>
        <w:tblStyle w:val="35"/>
        <w:tblpPr w:leftFromText="180" w:rightFromText="180" w:vertAnchor="text" w:horzAnchor="page" w:tblpX="1442" w:tblpY="542"/>
        <w:tblOverlap w:val="never"/>
        <w:tblW w:w="5000" w:type="pct"/>
        <w:tblInd w:w="0" w:type="dxa"/>
        <w:tblLayout w:type="autofit"/>
        <w:tblCellMar>
          <w:top w:w="0" w:type="dxa"/>
          <w:left w:w="108" w:type="dxa"/>
          <w:bottom w:w="0" w:type="dxa"/>
          <w:right w:w="108" w:type="dxa"/>
        </w:tblCellMar>
      </w:tblPr>
      <w:tblGrid>
        <w:gridCol w:w="576"/>
        <w:gridCol w:w="1224"/>
        <w:gridCol w:w="1040"/>
        <w:gridCol w:w="1353"/>
        <w:gridCol w:w="397"/>
        <w:gridCol w:w="974"/>
        <w:gridCol w:w="397"/>
        <w:gridCol w:w="848"/>
        <w:gridCol w:w="486"/>
        <w:gridCol w:w="396"/>
        <w:gridCol w:w="1551"/>
      </w:tblGrid>
      <w:tr w14:paraId="6B360933">
        <w:tblPrEx>
          <w:tblCellMar>
            <w:top w:w="0" w:type="dxa"/>
            <w:left w:w="108" w:type="dxa"/>
            <w:bottom w:w="0" w:type="dxa"/>
            <w:right w:w="108" w:type="dxa"/>
          </w:tblCellMar>
        </w:tblPrEx>
        <w:trPr>
          <w:trHeight w:val="68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0E27E359">
            <w:pPr>
              <w:widowControl/>
              <w:jc w:val="center"/>
              <w:rPr>
                <w:rFonts w:ascii="黑体" w:hAnsi="黑体" w:eastAsia="黑体" w:cs="Times New Roman"/>
                <w:b/>
                <w:bCs/>
                <w:sz w:val="30"/>
                <w:szCs w:val="30"/>
              </w:rPr>
            </w:pPr>
            <w:r>
              <w:rPr>
                <w:rFonts w:hint="eastAsia" w:ascii="黑体" w:hAnsi="黑体" w:eastAsia="黑体" w:cs="黑体"/>
                <w:b/>
                <w:bCs/>
                <w:sz w:val="30"/>
                <w:szCs w:val="30"/>
              </w:rPr>
              <w:t>部门预算项目支出绩效自评表（</w:t>
            </w:r>
            <w:r>
              <w:rPr>
                <w:rFonts w:ascii="黑体" w:hAnsi="黑体" w:eastAsia="黑体" w:cs="黑体"/>
                <w:b/>
                <w:bCs/>
                <w:sz w:val="30"/>
                <w:szCs w:val="30"/>
              </w:rPr>
              <w:t>2024</w:t>
            </w:r>
            <w:r>
              <w:rPr>
                <w:rFonts w:hint="eastAsia" w:ascii="黑体" w:hAnsi="黑体" w:eastAsia="黑体" w:cs="黑体"/>
                <w:b/>
                <w:bCs/>
                <w:sz w:val="30"/>
                <w:szCs w:val="30"/>
              </w:rPr>
              <w:t>年度）</w:t>
            </w:r>
          </w:p>
        </w:tc>
      </w:tr>
      <w:tr w14:paraId="17812127">
        <w:tblPrEx>
          <w:tblCellMar>
            <w:top w:w="0" w:type="dxa"/>
            <w:left w:w="108" w:type="dxa"/>
            <w:bottom w:w="0" w:type="dxa"/>
            <w:right w:w="108" w:type="dxa"/>
          </w:tblCellMar>
        </w:tblPrEx>
        <w:trPr>
          <w:trHeight w:val="285" w:hRule="atLeast"/>
        </w:trPr>
        <w:tc>
          <w:tcPr>
            <w:tcW w:w="974" w:type="pct"/>
            <w:gridSpan w:val="2"/>
            <w:tcBorders>
              <w:top w:val="single" w:color="000000" w:sz="4" w:space="0"/>
              <w:left w:val="single" w:color="000000" w:sz="4" w:space="0"/>
              <w:bottom w:val="single" w:color="000000" w:sz="4" w:space="0"/>
              <w:right w:val="single" w:color="000000" w:sz="4" w:space="0"/>
            </w:tcBorders>
            <w:vAlign w:val="center"/>
          </w:tcPr>
          <w:p w14:paraId="02AA0FDF">
            <w:pPr>
              <w:widowControl/>
              <w:jc w:val="left"/>
              <w:rPr>
                <w:rFonts w:ascii="宋体" w:hAnsi="宋体" w:eastAsia="宋体" w:cs="Times New Roman"/>
                <w:sz w:val="18"/>
                <w:szCs w:val="18"/>
              </w:rPr>
            </w:pPr>
            <w:r>
              <w:rPr>
                <w:rFonts w:hint="eastAsia" w:ascii="宋体" w:hAnsi="宋体" w:eastAsia="宋体" w:cs="宋体"/>
                <w:sz w:val="18"/>
                <w:szCs w:val="18"/>
              </w:rPr>
              <w:t>项目名称</w:t>
            </w:r>
          </w:p>
        </w:tc>
        <w:tc>
          <w:tcPr>
            <w:tcW w:w="4025" w:type="pct"/>
            <w:gridSpan w:val="9"/>
            <w:tcBorders>
              <w:top w:val="single" w:color="000000" w:sz="4" w:space="0"/>
              <w:left w:val="nil"/>
              <w:bottom w:val="single" w:color="000000" w:sz="4" w:space="0"/>
              <w:right w:val="single" w:color="000000" w:sz="4" w:space="0"/>
            </w:tcBorders>
            <w:vAlign w:val="center"/>
          </w:tcPr>
          <w:p w14:paraId="2A6054C1">
            <w:pPr>
              <w:widowControl/>
              <w:jc w:val="left"/>
              <w:rPr>
                <w:rFonts w:ascii="宋体" w:hAnsi="宋体" w:eastAsia="宋体" w:cs="Times New Roman"/>
                <w:sz w:val="18"/>
                <w:szCs w:val="18"/>
              </w:rPr>
            </w:pPr>
            <w:r>
              <w:rPr>
                <w:rFonts w:ascii="宋体" w:hAnsi="宋体" w:eastAsia="宋体" w:cs="宋体"/>
                <w:sz w:val="18"/>
                <w:szCs w:val="18"/>
              </w:rPr>
              <w:t>51090424T000011976468-</w:t>
            </w:r>
            <w:r>
              <w:rPr>
                <w:rFonts w:hint="eastAsia" w:ascii="宋体" w:hAnsi="宋体" w:eastAsia="宋体" w:cs="宋体"/>
                <w:sz w:val="18"/>
                <w:szCs w:val="18"/>
              </w:rPr>
              <w:t>政务服务综合大楼设施设备采购费</w:t>
            </w:r>
          </w:p>
        </w:tc>
      </w:tr>
      <w:tr w14:paraId="0AC0D762">
        <w:tblPrEx>
          <w:tblCellMar>
            <w:top w:w="0" w:type="dxa"/>
            <w:left w:w="108" w:type="dxa"/>
            <w:bottom w:w="0" w:type="dxa"/>
            <w:right w:w="108" w:type="dxa"/>
          </w:tblCellMar>
        </w:tblPrEx>
        <w:trPr>
          <w:trHeight w:val="514" w:hRule="atLeast"/>
        </w:trPr>
        <w:tc>
          <w:tcPr>
            <w:tcW w:w="974" w:type="pct"/>
            <w:gridSpan w:val="2"/>
            <w:tcBorders>
              <w:top w:val="single" w:color="000000" w:sz="4" w:space="0"/>
              <w:left w:val="single" w:color="000000" w:sz="4" w:space="0"/>
              <w:bottom w:val="single" w:color="000000" w:sz="4" w:space="0"/>
              <w:right w:val="single" w:color="000000" w:sz="4" w:space="0"/>
            </w:tcBorders>
            <w:vAlign w:val="center"/>
          </w:tcPr>
          <w:p w14:paraId="039AA2E2">
            <w:pPr>
              <w:widowControl/>
              <w:jc w:val="left"/>
              <w:rPr>
                <w:rFonts w:ascii="宋体" w:hAnsi="宋体" w:eastAsia="宋体" w:cs="Times New Roman"/>
                <w:sz w:val="18"/>
                <w:szCs w:val="18"/>
              </w:rPr>
            </w:pPr>
            <w:r>
              <w:rPr>
                <w:rFonts w:hint="eastAsia" w:ascii="宋体" w:hAnsi="宋体" w:eastAsia="宋体" w:cs="宋体"/>
                <w:sz w:val="18"/>
                <w:szCs w:val="18"/>
              </w:rPr>
              <w:t>主管部门</w:t>
            </w:r>
          </w:p>
        </w:tc>
        <w:tc>
          <w:tcPr>
            <w:tcW w:w="2252" w:type="pct"/>
            <w:gridSpan w:val="5"/>
            <w:tcBorders>
              <w:top w:val="single" w:color="000000" w:sz="4" w:space="0"/>
              <w:left w:val="nil"/>
              <w:bottom w:val="single" w:color="000000" w:sz="4" w:space="0"/>
              <w:right w:val="single" w:color="000000" w:sz="4" w:space="0"/>
            </w:tcBorders>
            <w:vAlign w:val="center"/>
          </w:tcPr>
          <w:p w14:paraId="42B5C7C5">
            <w:pPr>
              <w:widowControl/>
              <w:jc w:val="left"/>
              <w:rPr>
                <w:rFonts w:ascii="宋体" w:hAnsi="宋体" w:eastAsia="宋体" w:cs="Times New Roman"/>
                <w:sz w:val="18"/>
                <w:szCs w:val="18"/>
              </w:rPr>
            </w:pPr>
            <w:r>
              <w:rPr>
                <w:rFonts w:hint="eastAsia" w:ascii="宋体" w:hAnsi="宋体" w:eastAsia="宋体" w:cs="宋体"/>
                <w:sz w:val="18"/>
                <w:szCs w:val="18"/>
              </w:rPr>
              <w:t>遂宁市安居区行政审批和数据局部门</w:t>
            </w:r>
          </w:p>
        </w:tc>
        <w:tc>
          <w:tcPr>
            <w:tcW w:w="457" w:type="pct"/>
            <w:tcBorders>
              <w:top w:val="nil"/>
              <w:left w:val="nil"/>
              <w:bottom w:val="nil"/>
              <w:right w:val="nil"/>
            </w:tcBorders>
            <w:vAlign w:val="center"/>
          </w:tcPr>
          <w:p w14:paraId="479A7BF7">
            <w:pPr>
              <w:widowControl/>
              <w:jc w:val="left"/>
              <w:rPr>
                <w:rFonts w:ascii="Courier New" w:hAnsi="Courier New" w:eastAsia="宋体" w:cs="Times New Roman"/>
                <w:sz w:val="18"/>
                <w:szCs w:val="18"/>
              </w:rPr>
            </w:pPr>
            <w:r>
              <w:rPr>
                <w:rFonts w:hint="eastAsia" w:ascii="Courier New" w:hAnsi="Courier New" w:eastAsia="宋体" w:cs="宋体"/>
                <w:sz w:val="18"/>
                <w:szCs w:val="18"/>
              </w:rPr>
              <w:t>实施单位</w:t>
            </w:r>
            <w:r>
              <w:rPr>
                <w:rFonts w:ascii="Courier New" w:hAnsi="Courier New" w:eastAsia="宋体" w:cs="Courier New"/>
                <w:sz w:val="18"/>
                <w:szCs w:val="18"/>
              </w:rPr>
              <w:t xml:space="preserve"> </w:t>
            </w:r>
            <w:r>
              <w:rPr>
                <w:rFonts w:hint="eastAsia" w:ascii="Courier New" w:hAnsi="Courier New" w:eastAsia="宋体" w:cs="宋体"/>
                <w:sz w:val="18"/>
                <w:szCs w:val="18"/>
              </w:rPr>
              <w:t>（盖章）</w:t>
            </w:r>
          </w:p>
        </w:tc>
        <w:tc>
          <w:tcPr>
            <w:tcW w:w="1315" w:type="pct"/>
            <w:gridSpan w:val="3"/>
            <w:tcBorders>
              <w:top w:val="single" w:color="000000" w:sz="4" w:space="0"/>
              <w:left w:val="single" w:color="000000" w:sz="4" w:space="0"/>
              <w:bottom w:val="single" w:color="000000" w:sz="4" w:space="0"/>
              <w:right w:val="single" w:color="000000" w:sz="4" w:space="0"/>
            </w:tcBorders>
            <w:vAlign w:val="center"/>
          </w:tcPr>
          <w:p w14:paraId="0C86642D">
            <w:pPr>
              <w:widowControl/>
              <w:jc w:val="center"/>
              <w:rPr>
                <w:rFonts w:ascii="宋体" w:hAnsi="宋体" w:eastAsia="宋体" w:cs="Times New Roman"/>
                <w:sz w:val="18"/>
                <w:szCs w:val="18"/>
              </w:rPr>
            </w:pPr>
            <w:r>
              <w:rPr>
                <w:rFonts w:hint="eastAsia" w:ascii="宋体" w:hAnsi="宋体" w:eastAsia="宋体" w:cs="宋体"/>
                <w:sz w:val="18"/>
                <w:szCs w:val="18"/>
              </w:rPr>
              <w:t>遂宁市安居区行政审批和数据局</w:t>
            </w:r>
          </w:p>
        </w:tc>
      </w:tr>
      <w:tr w14:paraId="45FE7C65">
        <w:tblPrEx>
          <w:tblCellMar>
            <w:top w:w="0" w:type="dxa"/>
            <w:left w:w="108" w:type="dxa"/>
            <w:bottom w:w="0" w:type="dxa"/>
            <w:right w:w="108" w:type="dxa"/>
          </w:tblCellMar>
        </w:tblPrEx>
        <w:trPr>
          <w:trHeight w:val="285" w:hRule="atLeast"/>
        </w:trPr>
        <w:tc>
          <w:tcPr>
            <w:tcW w:w="311" w:type="pct"/>
            <w:vMerge w:val="restart"/>
            <w:tcBorders>
              <w:top w:val="nil"/>
              <w:left w:val="single" w:color="000000" w:sz="4" w:space="0"/>
              <w:bottom w:val="single" w:color="000000" w:sz="4" w:space="0"/>
              <w:right w:val="single" w:color="000000" w:sz="4" w:space="0"/>
            </w:tcBorders>
            <w:vAlign w:val="center"/>
          </w:tcPr>
          <w:p w14:paraId="30AEC2D7">
            <w:pPr>
              <w:widowControl/>
              <w:jc w:val="left"/>
              <w:rPr>
                <w:rFonts w:ascii="宋体" w:hAnsi="宋体" w:eastAsia="宋体" w:cs="Times New Roman"/>
                <w:sz w:val="18"/>
                <w:szCs w:val="18"/>
              </w:rPr>
            </w:pPr>
            <w:r>
              <w:rPr>
                <w:rFonts w:hint="eastAsia" w:ascii="宋体" w:hAnsi="宋体" w:eastAsia="宋体" w:cs="宋体"/>
                <w:sz w:val="18"/>
                <w:szCs w:val="18"/>
              </w:rPr>
              <w:t>项目基本情况</w:t>
            </w:r>
          </w:p>
        </w:tc>
        <w:tc>
          <w:tcPr>
            <w:tcW w:w="662" w:type="pct"/>
            <w:vMerge w:val="restart"/>
            <w:tcBorders>
              <w:top w:val="nil"/>
              <w:left w:val="single" w:color="000000" w:sz="4" w:space="0"/>
              <w:bottom w:val="single" w:color="000000" w:sz="4" w:space="0"/>
              <w:right w:val="single" w:color="000000" w:sz="4" w:space="0"/>
            </w:tcBorders>
            <w:vAlign w:val="center"/>
          </w:tcPr>
          <w:p w14:paraId="0B5E0830">
            <w:pPr>
              <w:widowControl/>
              <w:jc w:val="left"/>
              <w:rPr>
                <w:rFonts w:ascii="宋体" w:hAnsi="宋体" w:eastAsia="宋体" w:cs="Times New Roman"/>
                <w:sz w:val="18"/>
                <w:szCs w:val="18"/>
              </w:rPr>
            </w:pPr>
            <w:r>
              <w:rPr>
                <w:rFonts w:ascii="宋体" w:hAnsi="宋体" w:eastAsia="宋体" w:cs="宋体"/>
                <w:sz w:val="18"/>
                <w:szCs w:val="18"/>
              </w:rPr>
              <w:t>1.</w:t>
            </w:r>
            <w:r>
              <w:rPr>
                <w:rFonts w:hint="eastAsia" w:ascii="宋体" w:hAnsi="宋体" w:eastAsia="宋体" w:cs="宋体"/>
                <w:sz w:val="18"/>
                <w:szCs w:val="18"/>
              </w:rPr>
              <w:t>项目年度目标完成情况</w:t>
            </w:r>
          </w:p>
        </w:tc>
        <w:tc>
          <w:tcPr>
            <w:tcW w:w="2252" w:type="pct"/>
            <w:gridSpan w:val="5"/>
            <w:tcBorders>
              <w:top w:val="single" w:color="000000" w:sz="4" w:space="0"/>
              <w:left w:val="nil"/>
              <w:bottom w:val="single" w:color="000000" w:sz="4" w:space="0"/>
              <w:right w:val="single" w:color="000000" w:sz="4" w:space="0"/>
            </w:tcBorders>
            <w:vAlign w:val="center"/>
          </w:tcPr>
          <w:p w14:paraId="02221FED">
            <w:pPr>
              <w:widowControl/>
              <w:jc w:val="center"/>
              <w:rPr>
                <w:rFonts w:ascii="宋体" w:hAnsi="宋体" w:eastAsia="宋体" w:cs="Times New Roman"/>
                <w:sz w:val="18"/>
                <w:szCs w:val="18"/>
              </w:rPr>
            </w:pPr>
            <w:r>
              <w:rPr>
                <w:rFonts w:hint="eastAsia" w:ascii="宋体" w:hAnsi="宋体" w:eastAsia="宋体" w:cs="宋体"/>
                <w:sz w:val="18"/>
                <w:szCs w:val="18"/>
              </w:rPr>
              <w:t>项目年度目标</w:t>
            </w:r>
          </w:p>
        </w:tc>
        <w:tc>
          <w:tcPr>
            <w:tcW w:w="1773" w:type="pct"/>
            <w:gridSpan w:val="4"/>
            <w:tcBorders>
              <w:top w:val="single" w:color="000000" w:sz="4" w:space="0"/>
              <w:left w:val="nil"/>
              <w:bottom w:val="single" w:color="000000" w:sz="4" w:space="0"/>
              <w:right w:val="single" w:color="000000" w:sz="4" w:space="0"/>
            </w:tcBorders>
            <w:vAlign w:val="center"/>
          </w:tcPr>
          <w:p w14:paraId="14C1A61F">
            <w:pPr>
              <w:widowControl/>
              <w:jc w:val="center"/>
              <w:rPr>
                <w:rFonts w:ascii="Courier New" w:hAnsi="Courier New" w:eastAsia="宋体" w:cs="Times New Roman"/>
                <w:sz w:val="18"/>
                <w:szCs w:val="18"/>
              </w:rPr>
            </w:pPr>
            <w:r>
              <w:rPr>
                <w:rFonts w:hint="eastAsia" w:ascii="Courier New" w:hAnsi="Courier New" w:eastAsia="宋体" w:cs="宋体"/>
                <w:sz w:val="18"/>
                <w:szCs w:val="18"/>
              </w:rPr>
              <w:t>年度目标完成情况</w:t>
            </w:r>
          </w:p>
        </w:tc>
      </w:tr>
      <w:tr w14:paraId="2AE39322">
        <w:tblPrEx>
          <w:tblCellMar>
            <w:top w:w="0" w:type="dxa"/>
            <w:left w:w="108" w:type="dxa"/>
            <w:bottom w:w="0" w:type="dxa"/>
            <w:right w:w="108" w:type="dxa"/>
          </w:tblCellMar>
        </w:tblPrEx>
        <w:trPr>
          <w:trHeight w:val="709" w:hRule="atLeast"/>
        </w:trPr>
        <w:tc>
          <w:tcPr>
            <w:tcW w:w="311" w:type="pct"/>
            <w:vMerge w:val="continue"/>
            <w:tcBorders>
              <w:top w:val="nil"/>
              <w:left w:val="single" w:color="000000" w:sz="4" w:space="0"/>
              <w:bottom w:val="single" w:color="000000" w:sz="4" w:space="0"/>
              <w:right w:val="single" w:color="000000" w:sz="4" w:space="0"/>
            </w:tcBorders>
            <w:vAlign w:val="center"/>
          </w:tcPr>
          <w:p w14:paraId="26B93A56">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4B4CCBB8">
            <w:pPr>
              <w:widowControl/>
              <w:jc w:val="left"/>
              <w:rPr>
                <w:rFonts w:ascii="宋体" w:hAnsi="宋体" w:eastAsia="宋体" w:cs="Times New Roman"/>
                <w:sz w:val="18"/>
                <w:szCs w:val="18"/>
              </w:rPr>
            </w:pPr>
          </w:p>
        </w:tc>
        <w:tc>
          <w:tcPr>
            <w:tcW w:w="2252" w:type="pct"/>
            <w:gridSpan w:val="5"/>
            <w:tcBorders>
              <w:top w:val="single" w:color="000000" w:sz="4" w:space="0"/>
              <w:left w:val="nil"/>
              <w:bottom w:val="single" w:color="000000" w:sz="4" w:space="0"/>
              <w:right w:val="single" w:color="000000" w:sz="4" w:space="0"/>
            </w:tcBorders>
            <w:vAlign w:val="center"/>
          </w:tcPr>
          <w:p w14:paraId="1AFA8CDE">
            <w:pPr>
              <w:widowControl/>
              <w:jc w:val="left"/>
              <w:rPr>
                <w:rFonts w:ascii="宋体" w:hAnsi="宋体" w:eastAsia="宋体" w:cs="Times New Roman"/>
                <w:sz w:val="18"/>
                <w:szCs w:val="18"/>
              </w:rPr>
            </w:pPr>
            <w:r>
              <w:rPr>
                <w:rFonts w:ascii="宋体" w:hAnsi="宋体" w:eastAsia="宋体" w:cs="宋体"/>
                <w:sz w:val="18"/>
                <w:szCs w:val="18"/>
              </w:rPr>
              <w:t>2020</w:t>
            </w:r>
            <w:r>
              <w:rPr>
                <w:rFonts w:hint="eastAsia" w:ascii="宋体" w:hAnsi="宋体" w:eastAsia="宋体" w:cs="宋体"/>
                <w:sz w:val="18"/>
                <w:szCs w:val="18"/>
              </w:rPr>
              <w:t>年</w:t>
            </w:r>
            <w:r>
              <w:rPr>
                <w:rFonts w:ascii="宋体" w:hAnsi="宋体" w:eastAsia="宋体" w:cs="宋体"/>
                <w:sz w:val="18"/>
                <w:szCs w:val="18"/>
              </w:rPr>
              <w:t>1</w:t>
            </w:r>
            <w:r>
              <w:rPr>
                <w:rFonts w:hint="eastAsia" w:ascii="宋体" w:hAnsi="宋体" w:eastAsia="宋体" w:cs="宋体"/>
                <w:sz w:val="18"/>
                <w:szCs w:val="18"/>
              </w:rPr>
              <w:t>月通过采购招标，采购政务服服综合大楼办公家具一批。</w:t>
            </w:r>
          </w:p>
        </w:tc>
        <w:tc>
          <w:tcPr>
            <w:tcW w:w="1773" w:type="pct"/>
            <w:gridSpan w:val="4"/>
            <w:tcBorders>
              <w:top w:val="single" w:color="000000" w:sz="4" w:space="0"/>
              <w:left w:val="nil"/>
              <w:bottom w:val="single" w:color="000000" w:sz="4" w:space="0"/>
              <w:right w:val="single" w:color="000000" w:sz="4" w:space="0"/>
            </w:tcBorders>
            <w:vAlign w:val="center"/>
          </w:tcPr>
          <w:p w14:paraId="55F40642">
            <w:pPr>
              <w:widowControl/>
              <w:jc w:val="left"/>
              <w:rPr>
                <w:rFonts w:ascii="Courier New" w:hAnsi="Courier New" w:eastAsia="宋体" w:cs="Times New Roman"/>
                <w:sz w:val="18"/>
                <w:szCs w:val="18"/>
              </w:rPr>
            </w:pPr>
            <w:r>
              <w:rPr>
                <w:rFonts w:hint="eastAsia" w:ascii="Courier New" w:hAnsi="Courier New" w:eastAsia="宋体" w:cs="宋体"/>
                <w:sz w:val="18"/>
                <w:szCs w:val="18"/>
              </w:rPr>
              <w:t>该项目验收合格，尾款支付完毕。</w:t>
            </w:r>
          </w:p>
        </w:tc>
      </w:tr>
      <w:tr w14:paraId="13EC66C3">
        <w:tblPrEx>
          <w:tblCellMar>
            <w:top w:w="0" w:type="dxa"/>
            <w:left w:w="108" w:type="dxa"/>
            <w:bottom w:w="0" w:type="dxa"/>
            <w:right w:w="108" w:type="dxa"/>
          </w:tblCellMar>
        </w:tblPrEx>
        <w:trPr>
          <w:trHeight w:val="694" w:hRule="atLeast"/>
        </w:trPr>
        <w:tc>
          <w:tcPr>
            <w:tcW w:w="311" w:type="pct"/>
            <w:vMerge w:val="continue"/>
            <w:tcBorders>
              <w:top w:val="nil"/>
              <w:left w:val="single" w:color="000000" w:sz="4" w:space="0"/>
              <w:bottom w:val="single" w:color="000000" w:sz="4" w:space="0"/>
              <w:right w:val="single" w:color="000000" w:sz="4" w:space="0"/>
            </w:tcBorders>
            <w:vAlign w:val="center"/>
          </w:tcPr>
          <w:p w14:paraId="57401AB4">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57306B8D">
            <w:pPr>
              <w:widowControl/>
              <w:jc w:val="left"/>
              <w:rPr>
                <w:rFonts w:ascii="宋体" w:hAnsi="宋体" w:eastAsia="宋体" w:cs="Times New Roman"/>
                <w:sz w:val="18"/>
                <w:szCs w:val="18"/>
              </w:rPr>
            </w:pPr>
            <w:r>
              <w:rPr>
                <w:rFonts w:ascii="宋体" w:hAnsi="宋体" w:eastAsia="宋体" w:cs="宋体"/>
                <w:sz w:val="18"/>
                <w:szCs w:val="18"/>
              </w:rPr>
              <w:t>2.</w:t>
            </w:r>
            <w:r>
              <w:rPr>
                <w:rFonts w:hint="eastAsia" w:ascii="宋体" w:hAnsi="宋体" w:eastAsia="宋体" w:cs="宋体"/>
                <w:sz w:val="18"/>
                <w:szCs w:val="18"/>
              </w:rPr>
              <w:t>项目实施内容及过程概述</w:t>
            </w:r>
          </w:p>
        </w:tc>
        <w:tc>
          <w:tcPr>
            <w:tcW w:w="4025" w:type="pct"/>
            <w:gridSpan w:val="9"/>
            <w:tcBorders>
              <w:top w:val="single" w:color="000000" w:sz="4" w:space="0"/>
              <w:left w:val="nil"/>
              <w:bottom w:val="single" w:color="000000" w:sz="4" w:space="0"/>
              <w:right w:val="single" w:color="000000" w:sz="4" w:space="0"/>
            </w:tcBorders>
            <w:vAlign w:val="center"/>
          </w:tcPr>
          <w:p w14:paraId="14AF6265">
            <w:pPr>
              <w:widowControl/>
              <w:jc w:val="left"/>
              <w:rPr>
                <w:rFonts w:ascii="宋体" w:hAnsi="宋体" w:eastAsia="宋体" w:cs="Times New Roman"/>
                <w:sz w:val="18"/>
                <w:szCs w:val="18"/>
              </w:rPr>
            </w:pPr>
            <w:r>
              <w:rPr>
                <w:rFonts w:hint="eastAsia" w:ascii="宋体" w:hAnsi="宋体" w:eastAsia="宋体" w:cs="宋体"/>
                <w:sz w:val="18"/>
                <w:szCs w:val="18"/>
              </w:rPr>
              <w:t>通过本项目的实施，完善了为民办事阵地，规范了服务标准，提升了服务水平，优化了办事流程，获得了群众的极大认可。</w:t>
            </w:r>
          </w:p>
        </w:tc>
      </w:tr>
      <w:tr w14:paraId="5BB3410C">
        <w:tblPrEx>
          <w:tblCellMar>
            <w:top w:w="0" w:type="dxa"/>
            <w:left w:w="108" w:type="dxa"/>
            <w:bottom w:w="0" w:type="dxa"/>
            <w:right w:w="108" w:type="dxa"/>
          </w:tblCellMar>
        </w:tblPrEx>
        <w:trPr>
          <w:trHeight w:val="360" w:hRule="atLeast"/>
        </w:trPr>
        <w:tc>
          <w:tcPr>
            <w:tcW w:w="311" w:type="pct"/>
            <w:vMerge w:val="restart"/>
            <w:tcBorders>
              <w:top w:val="nil"/>
              <w:left w:val="single" w:color="000000" w:sz="4" w:space="0"/>
              <w:bottom w:val="single" w:color="000000" w:sz="4" w:space="0"/>
              <w:right w:val="single" w:color="000000" w:sz="4" w:space="0"/>
            </w:tcBorders>
            <w:vAlign w:val="center"/>
          </w:tcPr>
          <w:p w14:paraId="74E1EBD7">
            <w:pPr>
              <w:widowControl/>
              <w:jc w:val="center"/>
              <w:rPr>
                <w:rFonts w:ascii="宋体" w:hAnsi="宋体" w:eastAsia="宋体" w:cs="Times New Roman"/>
                <w:sz w:val="18"/>
                <w:szCs w:val="18"/>
              </w:rPr>
            </w:pPr>
            <w:r>
              <w:rPr>
                <w:rFonts w:hint="eastAsia" w:ascii="宋体" w:hAnsi="宋体" w:eastAsia="宋体" w:cs="宋体"/>
                <w:sz w:val="18"/>
                <w:szCs w:val="18"/>
              </w:rPr>
              <w:t>预算执行情况（</w:t>
            </w:r>
            <w:r>
              <w:rPr>
                <w:rFonts w:ascii="宋体" w:hAnsi="宋体" w:eastAsia="宋体" w:cs="宋体"/>
                <w:sz w:val="18"/>
                <w:szCs w:val="18"/>
              </w:rPr>
              <w:t>10</w:t>
            </w:r>
            <w:r>
              <w:rPr>
                <w:rFonts w:hint="eastAsia" w:ascii="宋体" w:hAnsi="宋体" w:eastAsia="宋体" w:cs="宋体"/>
                <w:sz w:val="18"/>
                <w:szCs w:val="18"/>
              </w:rPr>
              <w:t>分）</w:t>
            </w:r>
          </w:p>
        </w:tc>
        <w:tc>
          <w:tcPr>
            <w:tcW w:w="662" w:type="pct"/>
            <w:tcBorders>
              <w:top w:val="nil"/>
              <w:left w:val="nil"/>
              <w:bottom w:val="single" w:color="000000" w:sz="4" w:space="0"/>
              <w:right w:val="single" w:color="000000" w:sz="4" w:space="0"/>
            </w:tcBorders>
            <w:vAlign w:val="center"/>
          </w:tcPr>
          <w:p w14:paraId="5CAA6912">
            <w:pPr>
              <w:widowControl/>
              <w:jc w:val="center"/>
              <w:rPr>
                <w:rFonts w:ascii="宋体" w:hAnsi="宋体" w:eastAsia="宋体" w:cs="Times New Roman"/>
                <w:sz w:val="18"/>
                <w:szCs w:val="18"/>
              </w:rPr>
            </w:pPr>
            <w:r>
              <w:rPr>
                <w:rFonts w:hint="eastAsia" w:ascii="宋体" w:hAnsi="宋体" w:eastAsia="宋体" w:cs="宋体"/>
                <w:sz w:val="18"/>
                <w:szCs w:val="18"/>
              </w:rPr>
              <w:t>年度预算数（万元）</w:t>
            </w:r>
          </w:p>
        </w:tc>
        <w:tc>
          <w:tcPr>
            <w:tcW w:w="563" w:type="pct"/>
            <w:tcBorders>
              <w:top w:val="nil"/>
              <w:left w:val="nil"/>
              <w:bottom w:val="single" w:color="000000" w:sz="4" w:space="0"/>
              <w:right w:val="single" w:color="000000" w:sz="4" w:space="0"/>
            </w:tcBorders>
            <w:vAlign w:val="center"/>
          </w:tcPr>
          <w:p w14:paraId="65A933CD">
            <w:pPr>
              <w:widowControl/>
              <w:jc w:val="center"/>
              <w:rPr>
                <w:rFonts w:ascii="宋体" w:hAnsi="宋体" w:eastAsia="宋体" w:cs="Times New Roman"/>
                <w:sz w:val="18"/>
                <w:szCs w:val="18"/>
              </w:rPr>
            </w:pPr>
            <w:r>
              <w:rPr>
                <w:rFonts w:hint="eastAsia" w:ascii="宋体" w:hAnsi="宋体" w:eastAsia="宋体" w:cs="宋体"/>
                <w:sz w:val="18"/>
                <w:szCs w:val="18"/>
              </w:rPr>
              <w:t>年初预算</w:t>
            </w:r>
          </w:p>
        </w:tc>
        <w:tc>
          <w:tcPr>
            <w:tcW w:w="732" w:type="pct"/>
            <w:tcBorders>
              <w:top w:val="nil"/>
              <w:left w:val="nil"/>
              <w:bottom w:val="single" w:color="000000" w:sz="4" w:space="0"/>
              <w:right w:val="single" w:color="000000" w:sz="4" w:space="0"/>
            </w:tcBorders>
            <w:vAlign w:val="center"/>
          </w:tcPr>
          <w:p w14:paraId="54A8F86E">
            <w:pPr>
              <w:widowControl/>
              <w:jc w:val="center"/>
              <w:rPr>
                <w:rFonts w:ascii="宋体" w:hAnsi="宋体" w:eastAsia="宋体" w:cs="Times New Roman"/>
                <w:sz w:val="18"/>
                <w:szCs w:val="18"/>
              </w:rPr>
            </w:pPr>
            <w:r>
              <w:rPr>
                <w:rFonts w:hint="eastAsia" w:ascii="宋体" w:hAnsi="宋体" w:eastAsia="宋体" w:cs="宋体"/>
                <w:sz w:val="18"/>
                <w:szCs w:val="18"/>
              </w:rPr>
              <w:t>调整后预算数</w:t>
            </w:r>
          </w:p>
        </w:tc>
        <w:tc>
          <w:tcPr>
            <w:tcW w:w="955" w:type="pct"/>
            <w:gridSpan w:val="3"/>
            <w:tcBorders>
              <w:top w:val="single" w:color="000000" w:sz="4" w:space="0"/>
              <w:left w:val="nil"/>
              <w:bottom w:val="single" w:color="000000" w:sz="4" w:space="0"/>
              <w:right w:val="single" w:color="000000" w:sz="4" w:space="0"/>
            </w:tcBorders>
            <w:vAlign w:val="center"/>
          </w:tcPr>
          <w:p w14:paraId="77277EDF">
            <w:pPr>
              <w:widowControl/>
              <w:jc w:val="center"/>
              <w:rPr>
                <w:rFonts w:ascii="宋体" w:hAnsi="宋体" w:eastAsia="宋体" w:cs="Times New Roman"/>
                <w:sz w:val="18"/>
                <w:szCs w:val="18"/>
              </w:rPr>
            </w:pPr>
            <w:r>
              <w:rPr>
                <w:rFonts w:hint="eastAsia" w:ascii="宋体" w:hAnsi="宋体" w:eastAsia="宋体" w:cs="宋体"/>
                <w:sz w:val="18"/>
                <w:szCs w:val="18"/>
              </w:rPr>
              <w:t>预算执行数</w:t>
            </w:r>
          </w:p>
        </w:tc>
        <w:tc>
          <w:tcPr>
            <w:tcW w:w="457" w:type="pct"/>
            <w:tcBorders>
              <w:top w:val="nil"/>
              <w:left w:val="nil"/>
              <w:bottom w:val="single" w:color="000000" w:sz="4" w:space="0"/>
              <w:right w:val="single" w:color="000000" w:sz="4" w:space="0"/>
            </w:tcBorders>
            <w:vAlign w:val="center"/>
          </w:tcPr>
          <w:p w14:paraId="55A80918">
            <w:pPr>
              <w:widowControl/>
              <w:jc w:val="center"/>
              <w:rPr>
                <w:rFonts w:ascii="宋体" w:hAnsi="宋体" w:eastAsia="宋体" w:cs="Times New Roman"/>
                <w:sz w:val="18"/>
                <w:szCs w:val="18"/>
              </w:rPr>
            </w:pPr>
            <w:r>
              <w:rPr>
                <w:rFonts w:hint="eastAsia" w:ascii="宋体" w:hAnsi="宋体" w:eastAsia="宋体" w:cs="宋体"/>
                <w:sz w:val="18"/>
                <w:szCs w:val="18"/>
              </w:rPr>
              <w:t>预算执行率</w:t>
            </w:r>
          </w:p>
        </w:tc>
        <w:tc>
          <w:tcPr>
            <w:tcW w:w="262" w:type="pct"/>
            <w:tcBorders>
              <w:top w:val="nil"/>
              <w:left w:val="nil"/>
              <w:bottom w:val="single" w:color="000000" w:sz="4" w:space="0"/>
              <w:right w:val="single" w:color="000000" w:sz="4" w:space="0"/>
            </w:tcBorders>
            <w:vAlign w:val="center"/>
          </w:tcPr>
          <w:p w14:paraId="3AF5F9F8">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214" w:type="pct"/>
            <w:tcBorders>
              <w:top w:val="nil"/>
              <w:left w:val="nil"/>
              <w:bottom w:val="single" w:color="000000" w:sz="4" w:space="0"/>
              <w:right w:val="single" w:color="000000" w:sz="4" w:space="0"/>
            </w:tcBorders>
            <w:vAlign w:val="center"/>
          </w:tcPr>
          <w:p w14:paraId="200C512E">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838" w:type="pct"/>
            <w:tcBorders>
              <w:top w:val="nil"/>
              <w:left w:val="nil"/>
              <w:bottom w:val="single" w:color="000000" w:sz="4" w:space="0"/>
              <w:right w:val="single" w:color="000000" w:sz="4" w:space="0"/>
            </w:tcBorders>
            <w:vAlign w:val="center"/>
          </w:tcPr>
          <w:p w14:paraId="6D347D38">
            <w:pPr>
              <w:widowControl/>
              <w:jc w:val="center"/>
              <w:rPr>
                <w:rFonts w:ascii="宋体" w:hAnsi="宋体" w:eastAsia="宋体" w:cs="Times New Roman"/>
                <w:sz w:val="18"/>
                <w:szCs w:val="18"/>
              </w:rPr>
            </w:pPr>
            <w:r>
              <w:rPr>
                <w:rFonts w:hint="eastAsia" w:ascii="宋体" w:hAnsi="宋体" w:eastAsia="宋体" w:cs="宋体"/>
                <w:sz w:val="18"/>
                <w:szCs w:val="18"/>
              </w:rPr>
              <w:t>原因</w:t>
            </w:r>
          </w:p>
        </w:tc>
      </w:tr>
      <w:tr w14:paraId="4FC1FD14">
        <w:tblPrEx>
          <w:tblCellMar>
            <w:top w:w="0" w:type="dxa"/>
            <w:left w:w="108" w:type="dxa"/>
            <w:bottom w:w="0" w:type="dxa"/>
            <w:right w:w="108" w:type="dxa"/>
          </w:tblCellMar>
        </w:tblPrEx>
        <w:trPr>
          <w:trHeight w:val="345" w:hRule="atLeast"/>
        </w:trPr>
        <w:tc>
          <w:tcPr>
            <w:tcW w:w="311" w:type="pct"/>
            <w:vMerge w:val="continue"/>
            <w:tcBorders>
              <w:top w:val="nil"/>
              <w:left w:val="single" w:color="000000" w:sz="4" w:space="0"/>
              <w:bottom w:val="single" w:color="000000" w:sz="4" w:space="0"/>
              <w:right w:val="single" w:color="000000" w:sz="4" w:space="0"/>
            </w:tcBorders>
            <w:vAlign w:val="center"/>
          </w:tcPr>
          <w:p w14:paraId="50361FDA">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31F6F461">
            <w:pPr>
              <w:widowControl/>
              <w:jc w:val="center"/>
              <w:rPr>
                <w:rFonts w:ascii="宋体" w:hAnsi="宋体" w:eastAsia="宋体" w:cs="Times New Roman"/>
                <w:sz w:val="18"/>
                <w:szCs w:val="18"/>
              </w:rPr>
            </w:pPr>
            <w:r>
              <w:rPr>
                <w:rFonts w:hint="eastAsia" w:ascii="宋体" w:hAnsi="宋体" w:eastAsia="宋体" w:cs="宋体"/>
                <w:sz w:val="18"/>
                <w:szCs w:val="18"/>
              </w:rPr>
              <w:t>总额</w:t>
            </w:r>
          </w:p>
        </w:tc>
        <w:tc>
          <w:tcPr>
            <w:tcW w:w="563" w:type="pct"/>
            <w:tcBorders>
              <w:top w:val="nil"/>
              <w:left w:val="nil"/>
              <w:bottom w:val="single" w:color="000000" w:sz="4" w:space="0"/>
              <w:right w:val="single" w:color="000000" w:sz="4" w:space="0"/>
            </w:tcBorders>
            <w:vAlign w:val="center"/>
          </w:tcPr>
          <w:p w14:paraId="562C1AAA">
            <w:pPr>
              <w:widowControl/>
              <w:jc w:val="center"/>
              <w:rPr>
                <w:rFonts w:ascii="宋体" w:hAnsi="宋体" w:eastAsia="宋体" w:cs="宋体"/>
                <w:sz w:val="18"/>
                <w:szCs w:val="18"/>
              </w:rPr>
            </w:pPr>
            <w:r>
              <w:rPr>
                <w:rFonts w:ascii="宋体" w:hAnsi="宋体" w:eastAsia="宋体" w:cs="宋体"/>
                <w:sz w:val="18"/>
                <w:szCs w:val="18"/>
              </w:rPr>
              <w:t>0.00</w:t>
            </w:r>
          </w:p>
        </w:tc>
        <w:tc>
          <w:tcPr>
            <w:tcW w:w="732" w:type="pct"/>
            <w:tcBorders>
              <w:top w:val="nil"/>
              <w:left w:val="nil"/>
              <w:bottom w:val="single" w:color="000000" w:sz="4" w:space="0"/>
              <w:right w:val="single" w:color="000000" w:sz="4" w:space="0"/>
            </w:tcBorders>
            <w:vAlign w:val="center"/>
          </w:tcPr>
          <w:p w14:paraId="2423023B">
            <w:pPr>
              <w:widowControl/>
              <w:jc w:val="center"/>
              <w:rPr>
                <w:rFonts w:ascii="宋体" w:hAnsi="宋体" w:eastAsia="宋体" w:cs="宋体"/>
                <w:sz w:val="18"/>
                <w:szCs w:val="18"/>
              </w:rPr>
            </w:pPr>
            <w:r>
              <w:rPr>
                <w:rFonts w:ascii="宋体" w:hAnsi="宋体" w:eastAsia="宋体" w:cs="宋体"/>
                <w:sz w:val="18"/>
                <w:szCs w:val="18"/>
              </w:rPr>
              <w:t>64.59</w:t>
            </w:r>
          </w:p>
        </w:tc>
        <w:tc>
          <w:tcPr>
            <w:tcW w:w="955" w:type="pct"/>
            <w:gridSpan w:val="3"/>
            <w:tcBorders>
              <w:top w:val="single" w:color="000000" w:sz="4" w:space="0"/>
              <w:left w:val="nil"/>
              <w:bottom w:val="single" w:color="000000" w:sz="4" w:space="0"/>
              <w:right w:val="single" w:color="000000" w:sz="4" w:space="0"/>
            </w:tcBorders>
            <w:vAlign w:val="center"/>
          </w:tcPr>
          <w:p w14:paraId="0BE37550">
            <w:pPr>
              <w:widowControl/>
              <w:jc w:val="center"/>
              <w:rPr>
                <w:rFonts w:ascii="宋体" w:hAnsi="宋体" w:eastAsia="宋体" w:cs="宋体"/>
                <w:sz w:val="18"/>
                <w:szCs w:val="18"/>
              </w:rPr>
            </w:pPr>
            <w:r>
              <w:rPr>
                <w:rFonts w:ascii="宋体" w:hAnsi="宋体" w:eastAsia="宋体" w:cs="宋体"/>
                <w:sz w:val="18"/>
                <w:szCs w:val="18"/>
              </w:rPr>
              <w:t>64.59</w:t>
            </w:r>
          </w:p>
        </w:tc>
        <w:tc>
          <w:tcPr>
            <w:tcW w:w="457" w:type="pct"/>
            <w:tcBorders>
              <w:top w:val="nil"/>
              <w:left w:val="nil"/>
              <w:bottom w:val="single" w:color="000000" w:sz="4" w:space="0"/>
              <w:right w:val="single" w:color="000000" w:sz="4" w:space="0"/>
            </w:tcBorders>
            <w:vAlign w:val="center"/>
          </w:tcPr>
          <w:p w14:paraId="2285C190">
            <w:pPr>
              <w:widowControl/>
              <w:jc w:val="center"/>
              <w:rPr>
                <w:rFonts w:ascii="宋体" w:hAnsi="宋体" w:eastAsia="宋体" w:cs="宋体"/>
                <w:sz w:val="18"/>
                <w:szCs w:val="18"/>
              </w:rPr>
            </w:pPr>
            <w:r>
              <w:rPr>
                <w:rFonts w:ascii="宋体" w:hAnsi="宋体" w:eastAsia="宋体" w:cs="宋体"/>
                <w:sz w:val="18"/>
                <w:szCs w:val="18"/>
              </w:rPr>
              <w:t>100.00%</w:t>
            </w:r>
          </w:p>
        </w:tc>
        <w:tc>
          <w:tcPr>
            <w:tcW w:w="262" w:type="pct"/>
            <w:tcBorders>
              <w:top w:val="nil"/>
              <w:left w:val="nil"/>
              <w:bottom w:val="single" w:color="000000" w:sz="4" w:space="0"/>
              <w:right w:val="single" w:color="000000" w:sz="4" w:space="0"/>
            </w:tcBorders>
            <w:vAlign w:val="center"/>
          </w:tcPr>
          <w:p w14:paraId="2C6BB421">
            <w:pPr>
              <w:widowControl/>
              <w:jc w:val="center"/>
              <w:rPr>
                <w:rFonts w:ascii="宋体" w:hAnsi="宋体" w:eastAsia="宋体" w:cs="宋体"/>
                <w:sz w:val="18"/>
                <w:szCs w:val="18"/>
              </w:rPr>
            </w:pPr>
            <w:r>
              <w:rPr>
                <w:rFonts w:ascii="宋体" w:hAnsi="宋体" w:eastAsia="宋体" w:cs="宋体"/>
                <w:sz w:val="18"/>
                <w:szCs w:val="18"/>
              </w:rPr>
              <w:t>10</w:t>
            </w:r>
          </w:p>
        </w:tc>
        <w:tc>
          <w:tcPr>
            <w:tcW w:w="214" w:type="pct"/>
            <w:tcBorders>
              <w:top w:val="nil"/>
              <w:left w:val="nil"/>
              <w:bottom w:val="single" w:color="000000" w:sz="4" w:space="0"/>
              <w:right w:val="single" w:color="000000" w:sz="4" w:space="0"/>
            </w:tcBorders>
            <w:vAlign w:val="center"/>
          </w:tcPr>
          <w:p w14:paraId="7DEF1072">
            <w:pPr>
              <w:widowControl/>
              <w:jc w:val="center"/>
              <w:rPr>
                <w:rFonts w:ascii="宋体" w:hAnsi="宋体" w:eastAsia="宋体" w:cs="宋体"/>
                <w:sz w:val="18"/>
                <w:szCs w:val="18"/>
              </w:rPr>
            </w:pPr>
            <w:r>
              <w:rPr>
                <w:rFonts w:ascii="宋体" w:hAnsi="宋体" w:eastAsia="宋体" w:cs="宋体"/>
                <w:sz w:val="18"/>
                <w:szCs w:val="18"/>
              </w:rPr>
              <w:t>10</w:t>
            </w:r>
          </w:p>
        </w:tc>
        <w:tc>
          <w:tcPr>
            <w:tcW w:w="838" w:type="pct"/>
            <w:vMerge w:val="restart"/>
            <w:tcBorders>
              <w:top w:val="nil"/>
              <w:left w:val="single" w:color="000000" w:sz="4" w:space="0"/>
              <w:bottom w:val="single" w:color="000000" w:sz="4" w:space="0"/>
              <w:right w:val="single" w:color="000000" w:sz="4" w:space="0"/>
            </w:tcBorders>
            <w:vAlign w:val="center"/>
          </w:tcPr>
          <w:p w14:paraId="5AA4462F">
            <w:pPr>
              <w:widowControl/>
              <w:jc w:val="left"/>
              <w:rPr>
                <w:rFonts w:ascii="Courier New" w:hAnsi="Courier New" w:eastAsia="宋体" w:cs="Times New Roman"/>
                <w:i/>
                <w:iCs/>
                <w:sz w:val="18"/>
                <w:szCs w:val="18"/>
              </w:rPr>
            </w:pPr>
            <w:r>
              <w:rPr>
                <w:rFonts w:hint="eastAsia" w:ascii="Courier New" w:hAnsi="Courier New" w:eastAsia="宋体" w:cs="宋体"/>
                <w:i/>
                <w:iCs/>
                <w:sz w:val="18"/>
                <w:szCs w:val="18"/>
              </w:rPr>
              <w:t>　</w:t>
            </w:r>
          </w:p>
        </w:tc>
      </w:tr>
      <w:tr w14:paraId="331042D9">
        <w:tblPrEx>
          <w:tblCellMar>
            <w:top w:w="0" w:type="dxa"/>
            <w:left w:w="108" w:type="dxa"/>
            <w:bottom w:w="0" w:type="dxa"/>
            <w:right w:w="108" w:type="dxa"/>
          </w:tblCellMar>
        </w:tblPrEx>
        <w:trPr>
          <w:trHeight w:val="390" w:hRule="atLeast"/>
        </w:trPr>
        <w:tc>
          <w:tcPr>
            <w:tcW w:w="311" w:type="pct"/>
            <w:vMerge w:val="continue"/>
            <w:tcBorders>
              <w:top w:val="nil"/>
              <w:left w:val="single" w:color="000000" w:sz="4" w:space="0"/>
              <w:bottom w:val="single" w:color="000000" w:sz="4" w:space="0"/>
              <w:right w:val="single" w:color="000000" w:sz="4" w:space="0"/>
            </w:tcBorders>
            <w:vAlign w:val="center"/>
          </w:tcPr>
          <w:p w14:paraId="013A75B7">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44F57B60">
            <w:pPr>
              <w:widowControl/>
              <w:jc w:val="center"/>
              <w:rPr>
                <w:rFonts w:ascii="宋体" w:hAnsi="宋体" w:eastAsia="宋体" w:cs="Times New Roman"/>
                <w:sz w:val="18"/>
                <w:szCs w:val="18"/>
              </w:rPr>
            </w:pPr>
            <w:r>
              <w:rPr>
                <w:rFonts w:hint="eastAsia" w:ascii="宋体" w:hAnsi="宋体" w:eastAsia="宋体" w:cs="宋体"/>
                <w:sz w:val="18"/>
                <w:szCs w:val="18"/>
              </w:rPr>
              <w:t>其中：财政资金</w:t>
            </w:r>
          </w:p>
        </w:tc>
        <w:tc>
          <w:tcPr>
            <w:tcW w:w="563" w:type="pct"/>
            <w:tcBorders>
              <w:top w:val="nil"/>
              <w:left w:val="nil"/>
              <w:bottom w:val="single" w:color="000000" w:sz="4" w:space="0"/>
              <w:right w:val="single" w:color="000000" w:sz="4" w:space="0"/>
            </w:tcBorders>
            <w:vAlign w:val="center"/>
          </w:tcPr>
          <w:p w14:paraId="58826A49">
            <w:pPr>
              <w:widowControl/>
              <w:jc w:val="center"/>
              <w:rPr>
                <w:rFonts w:ascii="宋体" w:hAnsi="宋体" w:eastAsia="宋体" w:cs="宋体"/>
                <w:sz w:val="18"/>
                <w:szCs w:val="18"/>
              </w:rPr>
            </w:pPr>
            <w:r>
              <w:rPr>
                <w:rFonts w:ascii="宋体" w:hAnsi="宋体" w:eastAsia="宋体" w:cs="宋体"/>
                <w:sz w:val="18"/>
                <w:szCs w:val="18"/>
              </w:rPr>
              <w:t>0.00</w:t>
            </w:r>
          </w:p>
        </w:tc>
        <w:tc>
          <w:tcPr>
            <w:tcW w:w="732" w:type="pct"/>
            <w:tcBorders>
              <w:top w:val="nil"/>
              <w:left w:val="nil"/>
              <w:bottom w:val="single" w:color="000000" w:sz="4" w:space="0"/>
              <w:right w:val="single" w:color="000000" w:sz="4" w:space="0"/>
            </w:tcBorders>
            <w:vAlign w:val="center"/>
          </w:tcPr>
          <w:p w14:paraId="27C321D9">
            <w:pPr>
              <w:widowControl/>
              <w:jc w:val="center"/>
              <w:rPr>
                <w:rFonts w:ascii="宋体" w:hAnsi="宋体" w:eastAsia="宋体" w:cs="宋体"/>
                <w:sz w:val="18"/>
                <w:szCs w:val="18"/>
              </w:rPr>
            </w:pPr>
            <w:r>
              <w:rPr>
                <w:rFonts w:ascii="宋体" w:hAnsi="宋体" w:eastAsia="宋体" w:cs="宋体"/>
                <w:sz w:val="18"/>
                <w:szCs w:val="18"/>
              </w:rPr>
              <w:t>64.59</w:t>
            </w:r>
          </w:p>
        </w:tc>
        <w:tc>
          <w:tcPr>
            <w:tcW w:w="955" w:type="pct"/>
            <w:gridSpan w:val="3"/>
            <w:tcBorders>
              <w:top w:val="single" w:color="000000" w:sz="4" w:space="0"/>
              <w:left w:val="nil"/>
              <w:bottom w:val="single" w:color="000000" w:sz="4" w:space="0"/>
              <w:right w:val="single" w:color="000000" w:sz="4" w:space="0"/>
            </w:tcBorders>
            <w:vAlign w:val="center"/>
          </w:tcPr>
          <w:p w14:paraId="3670B2B6">
            <w:pPr>
              <w:widowControl/>
              <w:jc w:val="center"/>
              <w:rPr>
                <w:rFonts w:ascii="宋体" w:hAnsi="宋体" w:eastAsia="宋体" w:cs="宋体"/>
                <w:sz w:val="18"/>
                <w:szCs w:val="18"/>
              </w:rPr>
            </w:pPr>
            <w:r>
              <w:rPr>
                <w:rFonts w:ascii="宋体" w:hAnsi="宋体" w:eastAsia="宋体" w:cs="宋体"/>
                <w:sz w:val="18"/>
                <w:szCs w:val="18"/>
              </w:rPr>
              <w:t>64.59</w:t>
            </w:r>
          </w:p>
        </w:tc>
        <w:tc>
          <w:tcPr>
            <w:tcW w:w="457" w:type="pct"/>
            <w:tcBorders>
              <w:top w:val="nil"/>
              <w:left w:val="nil"/>
              <w:bottom w:val="single" w:color="000000" w:sz="4" w:space="0"/>
              <w:right w:val="single" w:color="000000" w:sz="4" w:space="0"/>
            </w:tcBorders>
            <w:vAlign w:val="center"/>
          </w:tcPr>
          <w:p w14:paraId="45FB1D4A">
            <w:pPr>
              <w:widowControl/>
              <w:jc w:val="center"/>
              <w:rPr>
                <w:rFonts w:ascii="宋体" w:hAnsi="宋体" w:eastAsia="宋体" w:cs="宋体"/>
                <w:sz w:val="18"/>
                <w:szCs w:val="18"/>
              </w:rPr>
            </w:pPr>
            <w:r>
              <w:rPr>
                <w:rFonts w:ascii="宋体" w:hAnsi="宋体" w:eastAsia="宋体" w:cs="宋体"/>
                <w:sz w:val="18"/>
                <w:szCs w:val="18"/>
              </w:rPr>
              <w:t>100.00%</w:t>
            </w:r>
          </w:p>
        </w:tc>
        <w:tc>
          <w:tcPr>
            <w:tcW w:w="262" w:type="pct"/>
            <w:tcBorders>
              <w:top w:val="nil"/>
              <w:left w:val="nil"/>
              <w:bottom w:val="single" w:color="000000" w:sz="4" w:space="0"/>
              <w:right w:val="single" w:color="000000" w:sz="4" w:space="0"/>
            </w:tcBorders>
            <w:vAlign w:val="center"/>
          </w:tcPr>
          <w:p w14:paraId="33123AED">
            <w:pPr>
              <w:widowControl/>
              <w:jc w:val="center"/>
              <w:rPr>
                <w:rFonts w:ascii="宋体" w:hAnsi="宋体" w:eastAsia="宋体" w:cs="宋体"/>
                <w:sz w:val="18"/>
                <w:szCs w:val="18"/>
              </w:rPr>
            </w:pPr>
            <w:r>
              <w:rPr>
                <w:rFonts w:ascii="宋体" w:hAnsi="宋体" w:eastAsia="宋体" w:cs="宋体"/>
                <w:sz w:val="18"/>
                <w:szCs w:val="18"/>
              </w:rPr>
              <w:t>/</w:t>
            </w:r>
          </w:p>
        </w:tc>
        <w:tc>
          <w:tcPr>
            <w:tcW w:w="214" w:type="pct"/>
            <w:tcBorders>
              <w:top w:val="nil"/>
              <w:left w:val="nil"/>
              <w:bottom w:val="single" w:color="000000" w:sz="4" w:space="0"/>
              <w:right w:val="single" w:color="000000" w:sz="4" w:space="0"/>
            </w:tcBorders>
            <w:vAlign w:val="center"/>
          </w:tcPr>
          <w:p w14:paraId="7B0E067D">
            <w:pPr>
              <w:widowControl/>
              <w:jc w:val="center"/>
              <w:rPr>
                <w:rFonts w:ascii="宋体" w:hAnsi="宋体" w:eastAsia="宋体" w:cs="宋体"/>
                <w:sz w:val="18"/>
                <w:szCs w:val="18"/>
              </w:rPr>
            </w:pPr>
            <w:r>
              <w:rPr>
                <w:rFonts w:ascii="宋体" w:hAnsi="宋体" w:eastAsia="宋体" w:cs="宋体"/>
                <w:sz w:val="18"/>
                <w:szCs w:val="18"/>
              </w:rPr>
              <w:t>/</w:t>
            </w:r>
          </w:p>
        </w:tc>
        <w:tc>
          <w:tcPr>
            <w:tcW w:w="838" w:type="pct"/>
            <w:vMerge w:val="continue"/>
            <w:tcBorders>
              <w:top w:val="nil"/>
              <w:left w:val="single" w:color="000000" w:sz="4" w:space="0"/>
              <w:bottom w:val="single" w:color="000000" w:sz="4" w:space="0"/>
              <w:right w:val="single" w:color="000000" w:sz="4" w:space="0"/>
            </w:tcBorders>
            <w:vAlign w:val="center"/>
          </w:tcPr>
          <w:p w14:paraId="58319AF0">
            <w:pPr>
              <w:widowControl/>
              <w:jc w:val="left"/>
              <w:rPr>
                <w:rFonts w:ascii="Courier New" w:hAnsi="Courier New" w:eastAsia="宋体" w:cs="Times New Roman"/>
                <w:i/>
                <w:iCs/>
                <w:sz w:val="18"/>
                <w:szCs w:val="18"/>
              </w:rPr>
            </w:pPr>
          </w:p>
        </w:tc>
      </w:tr>
      <w:tr w14:paraId="3489680A">
        <w:tblPrEx>
          <w:tblCellMar>
            <w:top w:w="0" w:type="dxa"/>
            <w:left w:w="108" w:type="dxa"/>
            <w:bottom w:w="0" w:type="dxa"/>
            <w:right w:w="108" w:type="dxa"/>
          </w:tblCellMar>
        </w:tblPrEx>
        <w:trPr>
          <w:trHeight w:val="409" w:hRule="atLeast"/>
        </w:trPr>
        <w:tc>
          <w:tcPr>
            <w:tcW w:w="311" w:type="pct"/>
            <w:vMerge w:val="continue"/>
            <w:tcBorders>
              <w:top w:val="nil"/>
              <w:left w:val="single" w:color="000000" w:sz="4" w:space="0"/>
              <w:bottom w:val="single" w:color="000000" w:sz="4" w:space="0"/>
              <w:right w:val="single" w:color="000000" w:sz="4" w:space="0"/>
            </w:tcBorders>
            <w:vAlign w:val="center"/>
          </w:tcPr>
          <w:p w14:paraId="297D6945">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23C2B225">
            <w:pPr>
              <w:widowControl/>
              <w:jc w:val="center"/>
              <w:rPr>
                <w:rFonts w:ascii="宋体" w:hAnsi="宋体" w:eastAsia="宋体" w:cs="Times New Roman"/>
                <w:sz w:val="18"/>
                <w:szCs w:val="18"/>
              </w:rPr>
            </w:pPr>
            <w:r>
              <w:rPr>
                <w:rFonts w:hint="eastAsia" w:ascii="宋体" w:hAnsi="宋体" w:eastAsia="宋体" w:cs="宋体"/>
                <w:sz w:val="18"/>
                <w:szCs w:val="18"/>
              </w:rPr>
              <w:t>财政专户管理资金</w:t>
            </w:r>
          </w:p>
        </w:tc>
        <w:tc>
          <w:tcPr>
            <w:tcW w:w="563" w:type="pct"/>
            <w:tcBorders>
              <w:top w:val="nil"/>
              <w:left w:val="nil"/>
              <w:bottom w:val="single" w:color="000000" w:sz="4" w:space="0"/>
              <w:right w:val="single" w:color="000000" w:sz="4" w:space="0"/>
            </w:tcBorders>
            <w:vAlign w:val="center"/>
          </w:tcPr>
          <w:p w14:paraId="1EFEF745">
            <w:pPr>
              <w:widowControl/>
              <w:jc w:val="center"/>
              <w:rPr>
                <w:rFonts w:ascii="宋体" w:hAnsi="宋体" w:eastAsia="宋体" w:cs="宋体"/>
                <w:sz w:val="18"/>
                <w:szCs w:val="18"/>
              </w:rPr>
            </w:pPr>
            <w:r>
              <w:rPr>
                <w:rFonts w:ascii="宋体" w:hAnsi="宋体" w:eastAsia="宋体" w:cs="宋体"/>
                <w:sz w:val="18"/>
                <w:szCs w:val="18"/>
              </w:rPr>
              <w:t>0.00</w:t>
            </w:r>
          </w:p>
        </w:tc>
        <w:tc>
          <w:tcPr>
            <w:tcW w:w="732" w:type="pct"/>
            <w:tcBorders>
              <w:top w:val="nil"/>
              <w:left w:val="nil"/>
              <w:bottom w:val="single" w:color="000000" w:sz="4" w:space="0"/>
              <w:right w:val="single" w:color="000000" w:sz="4" w:space="0"/>
            </w:tcBorders>
            <w:vAlign w:val="center"/>
          </w:tcPr>
          <w:p w14:paraId="6765590E">
            <w:pPr>
              <w:widowControl/>
              <w:jc w:val="center"/>
              <w:rPr>
                <w:rFonts w:ascii="宋体" w:hAnsi="宋体" w:eastAsia="宋体" w:cs="宋体"/>
                <w:sz w:val="18"/>
                <w:szCs w:val="18"/>
              </w:rPr>
            </w:pPr>
            <w:r>
              <w:rPr>
                <w:rFonts w:ascii="宋体" w:hAnsi="宋体" w:eastAsia="宋体" w:cs="宋体"/>
                <w:sz w:val="18"/>
                <w:szCs w:val="18"/>
              </w:rPr>
              <w:t>0.00</w:t>
            </w:r>
          </w:p>
        </w:tc>
        <w:tc>
          <w:tcPr>
            <w:tcW w:w="955" w:type="pct"/>
            <w:gridSpan w:val="3"/>
            <w:tcBorders>
              <w:top w:val="single" w:color="000000" w:sz="4" w:space="0"/>
              <w:left w:val="nil"/>
              <w:bottom w:val="single" w:color="000000" w:sz="4" w:space="0"/>
              <w:right w:val="single" w:color="000000" w:sz="4" w:space="0"/>
            </w:tcBorders>
            <w:vAlign w:val="center"/>
          </w:tcPr>
          <w:p w14:paraId="173F6333">
            <w:pPr>
              <w:widowControl/>
              <w:jc w:val="center"/>
              <w:rPr>
                <w:rFonts w:ascii="宋体" w:hAnsi="宋体" w:eastAsia="宋体" w:cs="宋体"/>
                <w:sz w:val="18"/>
                <w:szCs w:val="18"/>
              </w:rPr>
            </w:pPr>
            <w:r>
              <w:rPr>
                <w:rFonts w:ascii="宋体" w:hAnsi="宋体" w:eastAsia="宋体" w:cs="宋体"/>
                <w:sz w:val="18"/>
                <w:szCs w:val="18"/>
              </w:rPr>
              <w:t>0.00</w:t>
            </w:r>
          </w:p>
        </w:tc>
        <w:tc>
          <w:tcPr>
            <w:tcW w:w="457" w:type="pct"/>
            <w:tcBorders>
              <w:top w:val="nil"/>
              <w:left w:val="nil"/>
              <w:bottom w:val="single" w:color="000000" w:sz="4" w:space="0"/>
              <w:right w:val="single" w:color="000000" w:sz="4" w:space="0"/>
            </w:tcBorders>
            <w:vAlign w:val="center"/>
          </w:tcPr>
          <w:p w14:paraId="1970E5E6">
            <w:pPr>
              <w:widowControl/>
              <w:jc w:val="center"/>
              <w:rPr>
                <w:rFonts w:ascii="宋体" w:hAnsi="宋体" w:eastAsia="宋体" w:cs="宋体"/>
                <w:sz w:val="18"/>
                <w:szCs w:val="18"/>
              </w:rPr>
            </w:pPr>
            <w:r>
              <w:rPr>
                <w:rFonts w:ascii="宋体" w:hAnsi="宋体" w:eastAsia="宋体" w:cs="宋体"/>
                <w:sz w:val="18"/>
                <w:szCs w:val="18"/>
              </w:rPr>
              <w:t>0.00%</w:t>
            </w:r>
          </w:p>
        </w:tc>
        <w:tc>
          <w:tcPr>
            <w:tcW w:w="262" w:type="pct"/>
            <w:tcBorders>
              <w:top w:val="nil"/>
              <w:left w:val="nil"/>
              <w:bottom w:val="single" w:color="000000" w:sz="4" w:space="0"/>
              <w:right w:val="single" w:color="000000" w:sz="4" w:space="0"/>
            </w:tcBorders>
            <w:vAlign w:val="center"/>
          </w:tcPr>
          <w:p w14:paraId="2B17D5F2">
            <w:pPr>
              <w:widowControl/>
              <w:jc w:val="center"/>
              <w:rPr>
                <w:rFonts w:ascii="宋体" w:hAnsi="宋体" w:eastAsia="宋体" w:cs="宋体"/>
                <w:sz w:val="18"/>
                <w:szCs w:val="18"/>
              </w:rPr>
            </w:pPr>
            <w:r>
              <w:rPr>
                <w:rFonts w:ascii="宋体" w:hAnsi="宋体" w:eastAsia="宋体" w:cs="宋体"/>
                <w:sz w:val="18"/>
                <w:szCs w:val="18"/>
              </w:rPr>
              <w:t>/</w:t>
            </w:r>
          </w:p>
        </w:tc>
        <w:tc>
          <w:tcPr>
            <w:tcW w:w="214" w:type="pct"/>
            <w:tcBorders>
              <w:top w:val="nil"/>
              <w:left w:val="nil"/>
              <w:bottom w:val="single" w:color="000000" w:sz="4" w:space="0"/>
              <w:right w:val="single" w:color="000000" w:sz="4" w:space="0"/>
            </w:tcBorders>
            <w:vAlign w:val="center"/>
          </w:tcPr>
          <w:p w14:paraId="20D10F2F">
            <w:pPr>
              <w:widowControl/>
              <w:jc w:val="center"/>
              <w:rPr>
                <w:rFonts w:ascii="宋体" w:hAnsi="宋体" w:eastAsia="宋体" w:cs="宋体"/>
                <w:sz w:val="18"/>
                <w:szCs w:val="18"/>
              </w:rPr>
            </w:pPr>
            <w:r>
              <w:rPr>
                <w:rFonts w:ascii="宋体" w:hAnsi="宋体" w:eastAsia="宋体" w:cs="宋体"/>
                <w:sz w:val="18"/>
                <w:szCs w:val="18"/>
              </w:rPr>
              <w:t>/</w:t>
            </w:r>
          </w:p>
        </w:tc>
        <w:tc>
          <w:tcPr>
            <w:tcW w:w="838" w:type="pct"/>
            <w:vMerge w:val="continue"/>
            <w:tcBorders>
              <w:top w:val="nil"/>
              <w:left w:val="single" w:color="000000" w:sz="4" w:space="0"/>
              <w:bottom w:val="single" w:color="000000" w:sz="4" w:space="0"/>
              <w:right w:val="single" w:color="000000" w:sz="4" w:space="0"/>
            </w:tcBorders>
            <w:vAlign w:val="center"/>
          </w:tcPr>
          <w:p w14:paraId="6502599E">
            <w:pPr>
              <w:widowControl/>
              <w:jc w:val="left"/>
              <w:rPr>
                <w:rFonts w:ascii="Courier New" w:hAnsi="Courier New" w:eastAsia="宋体" w:cs="Times New Roman"/>
                <w:i/>
                <w:iCs/>
                <w:sz w:val="18"/>
                <w:szCs w:val="18"/>
              </w:rPr>
            </w:pPr>
          </w:p>
        </w:tc>
      </w:tr>
      <w:tr w14:paraId="025F3C61">
        <w:tblPrEx>
          <w:tblCellMar>
            <w:top w:w="0" w:type="dxa"/>
            <w:left w:w="108" w:type="dxa"/>
            <w:bottom w:w="0" w:type="dxa"/>
            <w:right w:w="108" w:type="dxa"/>
          </w:tblCellMar>
        </w:tblPrEx>
        <w:trPr>
          <w:trHeight w:val="360" w:hRule="atLeast"/>
        </w:trPr>
        <w:tc>
          <w:tcPr>
            <w:tcW w:w="311" w:type="pct"/>
            <w:vMerge w:val="continue"/>
            <w:tcBorders>
              <w:top w:val="nil"/>
              <w:left w:val="single" w:color="000000" w:sz="4" w:space="0"/>
              <w:bottom w:val="single" w:color="000000" w:sz="4" w:space="0"/>
              <w:right w:val="single" w:color="000000" w:sz="4" w:space="0"/>
            </w:tcBorders>
            <w:vAlign w:val="center"/>
          </w:tcPr>
          <w:p w14:paraId="4FA1857A">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5EC76962">
            <w:pPr>
              <w:widowControl/>
              <w:jc w:val="center"/>
              <w:rPr>
                <w:rFonts w:ascii="宋体" w:hAnsi="宋体" w:eastAsia="宋体" w:cs="Times New Roman"/>
                <w:sz w:val="18"/>
                <w:szCs w:val="18"/>
              </w:rPr>
            </w:pPr>
            <w:r>
              <w:rPr>
                <w:rFonts w:hint="eastAsia" w:ascii="宋体" w:hAnsi="宋体" w:eastAsia="宋体" w:cs="宋体"/>
                <w:sz w:val="18"/>
                <w:szCs w:val="18"/>
              </w:rPr>
              <w:t>单位资金</w:t>
            </w:r>
          </w:p>
        </w:tc>
        <w:tc>
          <w:tcPr>
            <w:tcW w:w="563" w:type="pct"/>
            <w:tcBorders>
              <w:top w:val="nil"/>
              <w:left w:val="nil"/>
              <w:bottom w:val="single" w:color="000000" w:sz="4" w:space="0"/>
              <w:right w:val="single" w:color="000000" w:sz="4" w:space="0"/>
            </w:tcBorders>
            <w:vAlign w:val="center"/>
          </w:tcPr>
          <w:p w14:paraId="60461126">
            <w:pPr>
              <w:widowControl/>
              <w:jc w:val="center"/>
              <w:rPr>
                <w:rFonts w:ascii="宋体" w:hAnsi="宋体" w:eastAsia="宋体" w:cs="宋体"/>
                <w:sz w:val="18"/>
                <w:szCs w:val="18"/>
              </w:rPr>
            </w:pPr>
            <w:r>
              <w:rPr>
                <w:rFonts w:ascii="宋体" w:hAnsi="宋体" w:eastAsia="宋体" w:cs="宋体"/>
                <w:sz w:val="18"/>
                <w:szCs w:val="18"/>
              </w:rPr>
              <w:t>0.00</w:t>
            </w:r>
          </w:p>
        </w:tc>
        <w:tc>
          <w:tcPr>
            <w:tcW w:w="732" w:type="pct"/>
            <w:tcBorders>
              <w:top w:val="nil"/>
              <w:left w:val="nil"/>
              <w:bottom w:val="single" w:color="000000" w:sz="4" w:space="0"/>
              <w:right w:val="single" w:color="000000" w:sz="4" w:space="0"/>
            </w:tcBorders>
            <w:vAlign w:val="center"/>
          </w:tcPr>
          <w:p w14:paraId="3A11C678">
            <w:pPr>
              <w:widowControl/>
              <w:jc w:val="center"/>
              <w:rPr>
                <w:rFonts w:ascii="宋体" w:hAnsi="宋体" w:eastAsia="宋体" w:cs="宋体"/>
                <w:sz w:val="18"/>
                <w:szCs w:val="18"/>
              </w:rPr>
            </w:pPr>
            <w:r>
              <w:rPr>
                <w:rFonts w:ascii="宋体" w:hAnsi="宋体" w:eastAsia="宋体" w:cs="宋体"/>
                <w:sz w:val="18"/>
                <w:szCs w:val="18"/>
              </w:rPr>
              <w:t>0.00</w:t>
            </w:r>
          </w:p>
        </w:tc>
        <w:tc>
          <w:tcPr>
            <w:tcW w:w="955" w:type="pct"/>
            <w:gridSpan w:val="3"/>
            <w:tcBorders>
              <w:top w:val="single" w:color="000000" w:sz="4" w:space="0"/>
              <w:left w:val="nil"/>
              <w:bottom w:val="single" w:color="000000" w:sz="4" w:space="0"/>
              <w:right w:val="single" w:color="000000" w:sz="4" w:space="0"/>
            </w:tcBorders>
            <w:vAlign w:val="center"/>
          </w:tcPr>
          <w:p w14:paraId="507B3B3A">
            <w:pPr>
              <w:widowControl/>
              <w:jc w:val="center"/>
              <w:rPr>
                <w:rFonts w:ascii="宋体" w:hAnsi="宋体" w:eastAsia="宋体" w:cs="宋体"/>
                <w:sz w:val="18"/>
                <w:szCs w:val="18"/>
              </w:rPr>
            </w:pPr>
            <w:r>
              <w:rPr>
                <w:rFonts w:ascii="宋体" w:hAnsi="宋体" w:eastAsia="宋体" w:cs="宋体"/>
                <w:sz w:val="18"/>
                <w:szCs w:val="18"/>
              </w:rPr>
              <w:t>0.00</w:t>
            </w:r>
          </w:p>
        </w:tc>
        <w:tc>
          <w:tcPr>
            <w:tcW w:w="457" w:type="pct"/>
            <w:tcBorders>
              <w:top w:val="nil"/>
              <w:left w:val="nil"/>
              <w:bottom w:val="single" w:color="000000" w:sz="4" w:space="0"/>
              <w:right w:val="single" w:color="000000" w:sz="4" w:space="0"/>
            </w:tcBorders>
            <w:vAlign w:val="center"/>
          </w:tcPr>
          <w:p w14:paraId="235B9EE4">
            <w:pPr>
              <w:widowControl/>
              <w:jc w:val="center"/>
              <w:rPr>
                <w:rFonts w:ascii="宋体" w:hAnsi="宋体" w:eastAsia="宋体" w:cs="宋体"/>
                <w:sz w:val="18"/>
                <w:szCs w:val="18"/>
              </w:rPr>
            </w:pPr>
            <w:r>
              <w:rPr>
                <w:rFonts w:ascii="宋体" w:hAnsi="宋体" w:eastAsia="宋体" w:cs="宋体"/>
                <w:sz w:val="18"/>
                <w:szCs w:val="18"/>
              </w:rPr>
              <w:t>0.00%</w:t>
            </w:r>
          </w:p>
        </w:tc>
        <w:tc>
          <w:tcPr>
            <w:tcW w:w="262" w:type="pct"/>
            <w:tcBorders>
              <w:top w:val="nil"/>
              <w:left w:val="nil"/>
              <w:bottom w:val="single" w:color="000000" w:sz="4" w:space="0"/>
              <w:right w:val="single" w:color="000000" w:sz="4" w:space="0"/>
            </w:tcBorders>
            <w:vAlign w:val="center"/>
          </w:tcPr>
          <w:p w14:paraId="01A8CEBC">
            <w:pPr>
              <w:widowControl/>
              <w:jc w:val="center"/>
              <w:rPr>
                <w:rFonts w:ascii="宋体" w:hAnsi="宋体" w:eastAsia="宋体" w:cs="宋体"/>
                <w:sz w:val="18"/>
                <w:szCs w:val="18"/>
              </w:rPr>
            </w:pPr>
            <w:r>
              <w:rPr>
                <w:rFonts w:ascii="宋体" w:hAnsi="宋体" w:eastAsia="宋体" w:cs="宋体"/>
                <w:sz w:val="18"/>
                <w:szCs w:val="18"/>
              </w:rPr>
              <w:t>/</w:t>
            </w:r>
          </w:p>
        </w:tc>
        <w:tc>
          <w:tcPr>
            <w:tcW w:w="214" w:type="pct"/>
            <w:tcBorders>
              <w:top w:val="nil"/>
              <w:left w:val="nil"/>
              <w:bottom w:val="single" w:color="000000" w:sz="4" w:space="0"/>
              <w:right w:val="single" w:color="000000" w:sz="4" w:space="0"/>
            </w:tcBorders>
            <w:vAlign w:val="center"/>
          </w:tcPr>
          <w:p w14:paraId="372840CA">
            <w:pPr>
              <w:widowControl/>
              <w:jc w:val="center"/>
              <w:rPr>
                <w:rFonts w:ascii="宋体" w:hAnsi="宋体" w:eastAsia="宋体" w:cs="宋体"/>
                <w:sz w:val="18"/>
                <w:szCs w:val="18"/>
              </w:rPr>
            </w:pPr>
            <w:r>
              <w:rPr>
                <w:rFonts w:ascii="宋体" w:hAnsi="宋体" w:eastAsia="宋体" w:cs="宋体"/>
                <w:sz w:val="18"/>
                <w:szCs w:val="18"/>
              </w:rPr>
              <w:t>/</w:t>
            </w:r>
          </w:p>
        </w:tc>
        <w:tc>
          <w:tcPr>
            <w:tcW w:w="838" w:type="pct"/>
            <w:vMerge w:val="continue"/>
            <w:tcBorders>
              <w:top w:val="nil"/>
              <w:left w:val="single" w:color="000000" w:sz="4" w:space="0"/>
              <w:bottom w:val="single" w:color="000000" w:sz="4" w:space="0"/>
              <w:right w:val="single" w:color="000000" w:sz="4" w:space="0"/>
            </w:tcBorders>
            <w:vAlign w:val="center"/>
          </w:tcPr>
          <w:p w14:paraId="08BC5DB7">
            <w:pPr>
              <w:widowControl/>
              <w:jc w:val="left"/>
              <w:rPr>
                <w:rFonts w:ascii="Courier New" w:hAnsi="Courier New" w:eastAsia="宋体" w:cs="Times New Roman"/>
                <w:i/>
                <w:iCs/>
                <w:sz w:val="18"/>
                <w:szCs w:val="18"/>
              </w:rPr>
            </w:pPr>
          </w:p>
        </w:tc>
      </w:tr>
      <w:tr w14:paraId="168F26DD">
        <w:tblPrEx>
          <w:tblCellMar>
            <w:top w:w="0" w:type="dxa"/>
            <w:left w:w="108" w:type="dxa"/>
            <w:bottom w:w="0" w:type="dxa"/>
            <w:right w:w="108" w:type="dxa"/>
          </w:tblCellMar>
        </w:tblPrEx>
        <w:trPr>
          <w:trHeight w:val="338" w:hRule="atLeast"/>
        </w:trPr>
        <w:tc>
          <w:tcPr>
            <w:tcW w:w="311" w:type="pct"/>
            <w:vMerge w:val="continue"/>
            <w:tcBorders>
              <w:top w:val="nil"/>
              <w:left w:val="single" w:color="000000" w:sz="4" w:space="0"/>
              <w:bottom w:val="single" w:color="000000" w:sz="4" w:space="0"/>
              <w:right w:val="single" w:color="000000" w:sz="4" w:space="0"/>
            </w:tcBorders>
            <w:vAlign w:val="center"/>
          </w:tcPr>
          <w:p w14:paraId="02F89098">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0C4121EF">
            <w:pPr>
              <w:widowControl/>
              <w:jc w:val="center"/>
              <w:rPr>
                <w:rFonts w:ascii="宋体" w:hAnsi="宋体" w:eastAsia="宋体" w:cs="Times New Roman"/>
                <w:sz w:val="18"/>
                <w:szCs w:val="18"/>
              </w:rPr>
            </w:pPr>
            <w:r>
              <w:rPr>
                <w:rFonts w:hint="eastAsia" w:ascii="宋体" w:hAnsi="宋体" w:eastAsia="宋体" w:cs="宋体"/>
                <w:sz w:val="18"/>
                <w:szCs w:val="18"/>
              </w:rPr>
              <w:t>其他资金</w:t>
            </w:r>
          </w:p>
        </w:tc>
        <w:tc>
          <w:tcPr>
            <w:tcW w:w="563" w:type="pct"/>
            <w:tcBorders>
              <w:top w:val="nil"/>
              <w:left w:val="nil"/>
              <w:bottom w:val="single" w:color="000000" w:sz="4" w:space="0"/>
              <w:right w:val="single" w:color="000000" w:sz="4" w:space="0"/>
            </w:tcBorders>
            <w:vAlign w:val="center"/>
          </w:tcPr>
          <w:p w14:paraId="6F90368E">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732" w:type="pct"/>
            <w:tcBorders>
              <w:top w:val="nil"/>
              <w:left w:val="nil"/>
              <w:bottom w:val="single" w:color="000000" w:sz="4" w:space="0"/>
              <w:right w:val="single" w:color="000000" w:sz="4" w:space="0"/>
            </w:tcBorders>
            <w:vAlign w:val="center"/>
          </w:tcPr>
          <w:p w14:paraId="1BF87645">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955" w:type="pct"/>
            <w:gridSpan w:val="3"/>
            <w:tcBorders>
              <w:top w:val="single" w:color="000000" w:sz="4" w:space="0"/>
              <w:left w:val="nil"/>
              <w:bottom w:val="single" w:color="000000" w:sz="4" w:space="0"/>
              <w:right w:val="single" w:color="000000" w:sz="4" w:space="0"/>
            </w:tcBorders>
            <w:vAlign w:val="center"/>
          </w:tcPr>
          <w:p w14:paraId="59603894">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457" w:type="pct"/>
            <w:tcBorders>
              <w:top w:val="nil"/>
              <w:left w:val="nil"/>
              <w:bottom w:val="single" w:color="000000" w:sz="4" w:space="0"/>
              <w:right w:val="single" w:color="000000" w:sz="4" w:space="0"/>
            </w:tcBorders>
            <w:vAlign w:val="center"/>
          </w:tcPr>
          <w:p w14:paraId="308E357D">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262" w:type="pct"/>
            <w:tcBorders>
              <w:top w:val="nil"/>
              <w:left w:val="nil"/>
              <w:bottom w:val="single" w:color="000000" w:sz="4" w:space="0"/>
              <w:right w:val="single" w:color="000000" w:sz="4" w:space="0"/>
            </w:tcBorders>
            <w:vAlign w:val="center"/>
          </w:tcPr>
          <w:p w14:paraId="108256EF">
            <w:pPr>
              <w:widowControl/>
              <w:jc w:val="center"/>
              <w:rPr>
                <w:rFonts w:ascii="宋体" w:hAnsi="宋体" w:eastAsia="宋体" w:cs="宋体"/>
                <w:sz w:val="18"/>
                <w:szCs w:val="18"/>
              </w:rPr>
            </w:pPr>
            <w:r>
              <w:rPr>
                <w:rFonts w:ascii="宋体" w:hAnsi="宋体" w:eastAsia="宋体" w:cs="宋体"/>
                <w:sz w:val="18"/>
                <w:szCs w:val="18"/>
              </w:rPr>
              <w:t>/</w:t>
            </w:r>
          </w:p>
        </w:tc>
        <w:tc>
          <w:tcPr>
            <w:tcW w:w="214" w:type="pct"/>
            <w:tcBorders>
              <w:top w:val="nil"/>
              <w:left w:val="nil"/>
              <w:bottom w:val="single" w:color="000000" w:sz="4" w:space="0"/>
              <w:right w:val="single" w:color="000000" w:sz="4" w:space="0"/>
            </w:tcBorders>
            <w:vAlign w:val="center"/>
          </w:tcPr>
          <w:p w14:paraId="48B7C448">
            <w:pPr>
              <w:widowControl/>
              <w:jc w:val="center"/>
              <w:rPr>
                <w:rFonts w:ascii="宋体" w:hAnsi="宋体" w:eastAsia="宋体" w:cs="宋体"/>
                <w:sz w:val="18"/>
                <w:szCs w:val="18"/>
              </w:rPr>
            </w:pPr>
            <w:r>
              <w:rPr>
                <w:rFonts w:ascii="宋体" w:hAnsi="宋体" w:eastAsia="宋体" w:cs="宋体"/>
                <w:sz w:val="18"/>
                <w:szCs w:val="18"/>
              </w:rPr>
              <w:t>/</w:t>
            </w:r>
          </w:p>
        </w:tc>
        <w:tc>
          <w:tcPr>
            <w:tcW w:w="838" w:type="pct"/>
            <w:vMerge w:val="continue"/>
            <w:tcBorders>
              <w:top w:val="nil"/>
              <w:left w:val="single" w:color="000000" w:sz="4" w:space="0"/>
              <w:bottom w:val="single" w:color="000000" w:sz="4" w:space="0"/>
              <w:right w:val="single" w:color="000000" w:sz="4" w:space="0"/>
            </w:tcBorders>
            <w:vAlign w:val="center"/>
          </w:tcPr>
          <w:p w14:paraId="7B23FEC7">
            <w:pPr>
              <w:widowControl/>
              <w:jc w:val="left"/>
              <w:rPr>
                <w:rFonts w:ascii="Courier New" w:hAnsi="Courier New" w:eastAsia="宋体" w:cs="Times New Roman"/>
                <w:i/>
                <w:iCs/>
                <w:sz w:val="18"/>
                <w:szCs w:val="18"/>
              </w:rPr>
            </w:pPr>
          </w:p>
        </w:tc>
      </w:tr>
      <w:tr w14:paraId="11E21054">
        <w:tblPrEx>
          <w:tblCellMar>
            <w:top w:w="0" w:type="dxa"/>
            <w:left w:w="108" w:type="dxa"/>
            <w:bottom w:w="0" w:type="dxa"/>
            <w:right w:w="108" w:type="dxa"/>
          </w:tblCellMar>
        </w:tblPrEx>
        <w:trPr>
          <w:trHeight w:val="454" w:hRule="atLeast"/>
        </w:trPr>
        <w:tc>
          <w:tcPr>
            <w:tcW w:w="311" w:type="pct"/>
            <w:vMerge w:val="restart"/>
            <w:tcBorders>
              <w:top w:val="nil"/>
              <w:left w:val="single" w:color="000000" w:sz="4" w:space="0"/>
              <w:bottom w:val="single" w:color="000000" w:sz="4" w:space="0"/>
              <w:right w:val="single" w:color="000000" w:sz="4" w:space="0"/>
            </w:tcBorders>
            <w:vAlign w:val="center"/>
          </w:tcPr>
          <w:p w14:paraId="457169F3">
            <w:pPr>
              <w:widowControl/>
              <w:jc w:val="center"/>
              <w:rPr>
                <w:rFonts w:ascii="宋体" w:hAnsi="宋体" w:eastAsia="宋体" w:cs="Times New Roman"/>
                <w:sz w:val="18"/>
                <w:szCs w:val="18"/>
              </w:rPr>
            </w:pPr>
            <w:r>
              <w:rPr>
                <w:rFonts w:hint="eastAsia" w:ascii="宋体" w:hAnsi="宋体" w:eastAsia="宋体" w:cs="宋体"/>
                <w:sz w:val="18"/>
                <w:szCs w:val="18"/>
              </w:rPr>
              <w:t>绩效指标（</w:t>
            </w:r>
            <w:r>
              <w:rPr>
                <w:rFonts w:ascii="宋体" w:hAnsi="宋体" w:eastAsia="宋体" w:cs="宋体"/>
                <w:sz w:val="18"/>
                <w:szCs w:val="18"/>
              </w:rPr>
              <w:t>90</w:t>
            </w:r>
            <w:r>
              <w:rPr>
                <w:rFonts w:hint="eastAsia" w:ascii="宋体" w:hAnsi="宋体" w:eastAsia="宋体" w:cs="宋体"/>
                <w:sz w:val="18"/>
                <w:szCs w:val="18"/>
              </w:rPr>
              <w:t>分）</w:t>
            </w:r>
          </w:p>
        </w:tc>
        <w:tc>
          <w:tcPr>
            <w:tcW w:w="662" w:type="pct"/>
            <w:tcBorders>
              <w:top w:val="nil"/>
              <w:left w:val="nil"/>
              <w:bottom w:val="single" w:color="000000" w:sz="4" w:space="0"/>
              <w:right w:val="single" w:color="000000" w:sz="4" w:space="0"/>
            </w:tcBorders>
            <w:vAlign w:val="center"/>
          </w:tcPr>
          <w:p w14:paraId="7ABD4C46">
            <w:pPr>
              <w:widowControl/>
              <w:jc w:val="center"/>
              <w:rPr>
                <w:rFonts w:ascii="宋体" w:hAnsi="宋体" w:eastAsia="宋体" w:cs="Times New Roman"/>
                <w:sz w:val="18"/>
                <w:szCs w:val="18"/>
              </w:rPr>
            </w:pPr>
            <w:r>
              <w:rPr>
                <w:rFonts w:hint="eastAsia" w:ascii="宋体" w:hAnsi="宋体" w:eastAsia="宋体" w:cs="宋体"/>
                <w:sz w:val="18"/>
                <w:szCs w:val="18"/>
              </w:rPr>
              <w:t>一级指标</w:t>
            </w:r>
          </w:p>
        </w:tc>
        <w:tc>
          <w:tcPr>
            <w:tcW w:w="563" w:type="pct"/>
            <w:tcBorders>
              <w:top w:val="nil"/>
              <w:left w:val="nil"/>
              <w:bottom w:val="single" w:color="000000" w:sz="4" w:space="0"/>
              <w:right w:val="single" w:color="000000" w:sz="4" w:space="0"/>
            </w:tcBorders>
            <w:vAlign w:val="center"/>
          </w:tcPr>
          <w:p w14:paraId="27590A08">
            <w:pPr>
              <w:widowControl/>
              <w:jc w:val="center"/>
              <w:rPr>
                <w:rFonts w:ascii="宋体" w:hAnsi="宋体" w:eastAsia="宋体" w:cs="Times New Roman"/>
                <w:sz w:val="18"/>
                <w:szCs w:val="18"/>
              </w:rPr>
            </w:pPr>
            <w:r>
              <w:rPr>
                <w:rFonts w:hint="eastAsia" w:ascii="宋体" w:hAnsi="宋体" w:eastAsia="宋体" w:cs="宋体"/>
                <w:sz w:val="18"/>
                <w:szCs w:val="18"/>
              </w:rPr>
              <w:t>二级指标</w:t>
            </w:r>
          </w:p>
        </w:tc>
        <w:tc>
          <w:tcPr>
            <w:tcW w:w="732" w:type="pct"/>
            <w:tcBorders>
              <w:top w:val="nil"/>
              <w:left w:val="nil"/>
              <w:bottom w:val="single" w:color="000000" w:sz="4" w:space="0"/>
              <w:right w:val="single" w:color="000000" w:sz="4" w:space="0"/>
            </w:tcBorders>
            <w:vAlign w:val="center"/>
          </w:tcPr>
          <w:p w14:paraId="7D7227B4">
            <w:pPr>
              <w:widowControl/>
              <w:jc w:val="center"/>
              <w:rPr>
                <w:rFonts w:ascii="宋体" w:hAnsi="宋体" w:eastAsia="宋体" w:cs="Times New Roman"/>
                <w:sz w:val="18"/>
                <w:szCs w:val="18"/>
              </w:rPr>
            </w:pPr>
            <w:r>
              <w:rPr>
                <w:rFonts w:hint="eastAsia" w:ascii="宋体" w:hAnsi="宋体" w:eastAsia="宋体" w:cs="宋体"/>
                <w:sz w:val="18"/>
                <w:szCs w:val="18"/>
              </w:rPr>
              <w:t>三级指标</w:t>
            </w:r>
          </w:p>
        </w:tc>
        <w:tc>
          <w:tcPr>
            <w:tcW w:w="214" w:type="pct"/>
            <w:tcBorders>
              <w:top w:val="nil"/>
              <w:left w:val="nil"/>
              <w:bottom w:val="single" w:color="000000" w:sz="4" w:space="0"/>
              <w:right w:val="single" w:color="000000" w:sz="4" w:space="0"/>
            </w:tcBorders>
            <w:vAlign w:val="center"/>
          </w:tcPr>
          <w:p w14:paraId="0023FE40">
            <w:pPr>
              <w:widowControl/>
              <w:jc w:val="center"/>
              <w:rPr>
                <w:rFonts w:ascii="宋体" w:hAnsi="宋体" w:eastAsia="宋体" w:cs="Times New Roman"/>
                <w:sz w:val="18"/>
                <w:szCs w:val="18"/>
              </w:rPr>
            </w:pPr>
            <w:r>
              <w:rPr>
                <w:rFonts w:hint="eastAsia" w:ascii="宋体" w:hAnsi="宋体" w:eastAsia="宋体" w:cs="宋体"/>
                <w:sz w:val="18"/>
                <w:szCs w:val="18"/>
              </w:rPr>
              <w:t>指标性质</w:t>
            </w:r>
          </w:p>
        </w:tc>
        <w:tc>
          <w:tcPr>
            <w:tcW w:w="527" w:type="pct"/>
            <w:tcBorders>
              <w:top w:val="nil"/>
              <w:left w:val="nil"/>
              <w:bottom w:val="single" w:color="000000" w:sz="4" w:space="0"/>
              <w:right w:val="single" w:color="000000" w:sz="4" w:space="0"/>
            </w:tcBorders>
            <w:vAlign w:val="center"/>
          </w:tcPr>
          <w:p w14:paraId="56C5C10C">
            <w:pPr>
              <w:widowControl/>
              <w:jc w:val="center"/>
              <w:rPr>
                <w:rFonts w:ascii="宋体" w:hAnsi="宋体" w:eastAsia="宋体" w:cs="Times New Roman"/>
                <w:sz w:val="18"/>
                <w:szCs w:val="18"/>
              </w:rPr>
            </w:pPr>
            <w:r>
              <w:rPr>
                <w:rFonts w:hint="eastAsia" w:ascii="宋体" w:hAnsi="宋体" w:eastAsia="宋体" w:cs="宋体"/>
                <w:sz w:val="18"/>
                <w:szCs w:val="18"/>
              </w:rPr>
              <w:t>指标值</w:t>
            </w:r>
          </w:p>
        </w:tc>
        <w:tc>
          <w:tcPr>
            <w:tcW w:w="214" w:type="pct"/>
            <w:tcBorders>
              <w:top w:val="nil"/>
              <w:left w:val="nil"/>
              <w:bottom w:val="single" w:color="000000" w:sz="4" w:space="0"/>
              <w:right w:val="single" w:color="000000" w:sz="4" w:space="0"/>
            </w:tcBorders>
            <w:vAlign w:val="center"/>
          </w:tcPr>
          <w:p w14:paraId="4CF54DE3">
            <w:pPr>
              <w:widowControl/>
              <w:jc w:val="center"/>
              <w:rPr>
                <w:rFonts w:ascii="宋体" w:hAnsi="宋体" w:eastAsia="宋体" w:cs="Times New Roman"/>
                <w:sz w:val="18"/>
                <w:szCs w:val="18"/>
              </w:rPr>
            </w:pPr>
            <w:r>
              <w:rPr>
                <w:rFonts w:hint="eastAsia" w:ascii="宋体" w:hAnsi="宋体" w:eastAsia="宋体" w:cs="宋体"/>
                <w:sz w:val="18"/>
                <w:szCs w:val="18"/>
              </w:rPr>
              <w:t>度量单位</w:t>
            </w:r>
          </w:p>
        </w:tc>
        <w:tc>
          <w:tcPr>
            <w:tcW w:w="457" w:type="pct"/>
            <w:tcBorders>
              <w:top w:val="nil"/>
              <w:left w:val="nil"/>
              <w:bottom w:val="single" w:color="000000" w:sz="4" w:space="0"/>
              <w:right w:val="single" w:color="000000" w:sz="4" w:space="0"/>
            </w:tcBorders>
            <w:vAlign w:val="center"/>
          </w:tcPr>
          <w:p w14:paraId="2828348A">
            <w:pPr>
              <w:widowControl/>
              <w:jc w:val="center"/>
              <w:rPr>
                <w:rFonts w:ascii="宋体" w:hAnsi="宋体" w:eastAsia="宋体" w:cs="Times New Roman"/>
                <w:sz w:val="18"/>
                <w:szCs w:val="18"/>
              </w:rPr>
            </w:pPr>
            <w:r>
              <w:rPr>
                <w:rFonts w:hint="eastAsia" w:ascii="宋体" w:hAnsi="宋体" w:eastAsia="宋体" w:cs="宋体"/>
                <w:sz w:val="18"/>
                <w:szCs w:val="18"/>
              </w:rPr>
              <w:t>完成值</w:t>
            </w:r>
          </w:p>
        </w:tc>
        <w:tc>
          <w:tcPr>
            <w:tcW w:w="262" w:type="pct"/>
            <w:tcBorders>
              <w:top w:val="nil"/>
              <w:left w:val="nil"/>
              <w:bottom w:val="single" w:color="000000" w:sz="4" w:space="0"/>
              <w:right w:val="single" w:color="000000" w:sz="4" w:space="0"/>
            </w:tcBorders>
            <w:vAlign w:val="center"/>
          </w:tcPr>
          <w:p w14:paraId="7EB7847A">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214" w:type="pct"/>
            <w:tcBorders>
              <w:top w:val="nil"/>
              <w:left w:val="nil"/>
              <w:bottom w:val="single" w:color="000000" w:sz="4" w:space="0"/>
              <w:right w:val="single" w:color="000000" w:sz="4" w:space="0"/>
            </w:tcBorders>
            <w:vAlign w:val="center"/>
          </w:tcPr>
          <w:p w14:paraId="25CAA85F">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838" w:type="pct"/>
            <w:tcBorders>
              <w:top w:val="nil"/>
              <w:left w:val="nil"/>
              <w:bottom w:val="single" w:color="000000" w:sz="4" w:space="0"/>
              <w:right w:val="single" w:color="000000" w:sz="4" w:space="0"/>
            </w:tcBorders>
            <w:vAlign w:val="center"/>
          </w:tcPr>
          <w:p w14:paraId="0AD5C8BD">
            <w:pPr>
              <w:widowControl/>
              <w:jc w:val="center"/>
              <w:rPr>
                <w:rFonts w:ascii="宋体" w:hAnsi="宋体" w:eastAsia="宋体" w:cs="Times New Roman"/>
                <w:sz w:val="18"/>
                <w:szCs w:val="18"/>
              </w:rPr>
            </w:pPr>
            <w:r>
              <w:rPr>
                <w:rFonts w:hint="eastAsia" w:ascii="宋体" w:hAnsi="宋体" w:eastAsia="宋体" w:cs="宋体"/>
                <w:sz w:val="18"/>
                <w:szCs w:val="18"/>
              </w:rPr>
              <w:t>未完成原因分析</w:t>
            </w:r>
          </w:p>
        </w:tc>
      </w:tr>
      <w:tr w14:paraId="118B0926">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09AD26EE">
            <w:pPr>
              <w:widowControl/>
              <w:jc w:val="left"/>
              <w:rPr>
                <w:rFonts w:ascii="宋体" w:hAnsi="宋体" w:eastAsia="宋体" w:cs="Times New Roman"/>
                <w:sz w:val="18"/>
                <w:szCs w:val="18"/>
              </w:rPr>
            </w:pPr>
          </w:p>
        </w:tc>
        <w:tc>
          <w:tcPr>
            <w:tcW w:w="662" w:type="pct"/>
            <w:vMerge w:val="restart"/>
            <w:tcBorders>
              <w:top w:val="nil"/>
              <w:left w:val="single" w:color="000000" w:sz="4" w:space="0"/>
              <w:bottom w:val="single" w:color="000000" w:sz="4" w:space="0"/>
              <w:right w:val="single" w:color="000000" w:sz="4" w:space="0"/>
            </w:tcBorders>
            <w:vAlign w:val="center"/>
          </w:tcPr>
          <w:p w14:paraId="4FFBFC11">
            <w:pPr>
              <w:widowControl/>
              <w:jc w:val="center"/>
              <w:rPr>
                <w:rFonts w:ascii="宋体" w:hAnsi="宋体" w:eastAsia="宋体" w:cs="Times New Roman"/>
                <w:sz w:val="18"/>
                <w:szCs w:val="18"/>
              </w:rPr>
            </w:pPr>
            <w:r>
              <w:rPr>
                <w:rFonts w:hint="eastAsia" w:ascii="宋体" w:hAnsi="宋体" w:eastAsia="宋体" w:cs="宋体"/>
                <w:sz w:val="18"/>
                <w:szCs w:val="18"/>
              </w:rPr>
              <w:t>产出指标</w:t>
            </w:r>
          </w:p>
        </w:tc>
        <w:tc>
          <w:tcPr>
            <w:tcW w:w="563" w:type="pct"/>
            <w:tcBorders>
              <w:top w:val="nil"/>
              <w:left w:val="nil"/>
              <w:bottom w:val="single" w:color="000000" w:sz="4" w:space="0"/>
              <w:right w:val="single" w:color="000000" w:sz="4" w:space="0"/>
            </w:tcBorders>
            <w:vAlign w:val="center"/>
          </w:tcPr>
          <w:p w14:paraId="3C56467A">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732" w:type="pct"/>
            <w:tcBorders>
              <w:top w:val="nil"/>
              <w:left w:val="nil"/>
              <w:bottom w:val="single" w:color="000000" w:sz="4" w:space="0"/>
              <w:right w:val="single" w:color="000000" w:sz="4" w:space="0"/>
            </w:tcBorders>
            <w:vAlign w:val="center"/>
          </w:tcPr>
          <w:p w14:paraId="60EE9FAE">
            <w:pPr>
              <w:widowControl/>
              <w:jc w:val="center"/>
              <w:rPr>
                <w:rFonts w:ascii="宋体" w:hAnsi="宋体" w:eastAsia="宋体" w:cs="Times New Roman"/>
                <w:sz w:val="18"/>
                <w:szCs w:val="18"/>
              </w:rPr>
            </w:pPr>
            <w:r>
              <w:rPr>
                <w:rFonts w:hint="eastAsia" w:ascii="宋体" w:hAnsi="宋体" w:eastAsia="宋体" w:cs="宋体"/>
                <w:sz w:val="18"/>
                <w:szCs w:val="18"/>
              </w:rPr>
              <w:t>采购办公家具</w:t>
            </w:r>
          </w:p>
        </w:tc>
        <w:tc>
          <w:tcPr>
            <w:tcW w:w="214" w:type="pct"/>
            <w:tcBorders>
              <w:top w:val="nil"/>
              <w:left w:val="nil"/>
              <w:bottom w:val="single" w:color="000000" w:sz="4" w:space="0"/>
              <w:right w:val="single" w:color="000000" w:sz="4" w:space="0"/>
            </w:tcBorders>
            <w:vAlign w:val="center"/>
          </w:tcPr>
          <w:p w14:paraId="068336C8">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7" w:type="pct"/>
            <w:tcBorders>
              <w:top w:val="nil"/>
              <w:left w:val="nil"/>
              <w:bottom w:val="single" w:color="000000" w:sz="4" w:space="0"/>
              <w:right w:val="single" w:color="000000" w:sz="4" w:space="0"/>
            </w:tcBorders>
            <w:vAlign w:val="center"/>
          </w:tcPr>
          <w:p w14:paraId="40369560">
            <w:pPr>
              <w:widowControl/>
              <w:jc w:val="center"/>
              <w:rPr>
                <w:rFonts w:ascii="宋体" w:hAnsi="宋体" w:eastAsia="宋体" w:cs="宋体"/>
                <w:sz w:val="18"/>
                <w:szCs w:val="18"/>
              </w:rPr>
            </w:pPr>
            <w:r>
              <w:rPr>
                <w:rFonts w:ascii="宋体" w:hAnsi="宋体" w:eastAsia="宋体" w:cs="宋体"/>
                <w:sz w:val="18"/>
                <w:szCs w:val="18"/>
              </w:rPr>
              <w:t>1</w:t>
            </w:r>
          </w:p>
        </w:tc>
        <w:tc>
          <w:tcPr>
            <w:tcW w:w="214" w:type="pct"/>
            <w:tcBorders>
              <w:top w:val="nil"/>
              <w:left w:val="nil"/>
              <w:bottom w:val="single" w:color="000000" w:sz="4" w:space="0"/>
              <w:right w:val="single" w:color="000000" w:sz="4" w:space="0"/>
            </w:tcBorders>
            <w:vAlign w:val="center"/>
          </w:tcPr>
          <w:p w14:paraId="1E79A7E6">
            <w:pPr>
              <w:widowControl/>
              <w:jc w:val="center"/>
              <w:rPr>
                <w:rFonts w:ascii="宋体" w:hAnsi="宋体" w:eastAsia="宋体" w:cs="Times New Roman"/>
                <w:sz w:val="18"/>
                <w:szCs w:val="18"/>
              </w:rPr>
            </w:pPr>
            <w:r>
              <w:rPr>
                <w:rFonts w:hint="eastAsia" w:ascii="宋体" w:hAnsi="宋体" w:eastAsia="宋体" w:cs="宋体"/>
                <w:sz w:val="18"/>
                <w:szCs w:val="18"/>
              </w:rPr>
              <w:t>批</w:t>
            </w:r>
          </w:p>
        </w:tc>
        <w:tc>
          <w:tcPr>
            <w:tcW w:w="457" w:type="pct"/>
            <w:tcBorders>
              <w:top w:val="nil"/>
              <w:left w:val="nil"/>
              <w:bottom w:val="single" w:color="000000" w:sz="4" w:space="0"/>
              <w:right w:val="single" w:color="000000" w:sz="4" w:space="0"/>
            </w:tcBorders>
            <w:vAlign w:val="center"/>
          </w:tcPr>
          <w:p w14:paraId="7BF4D558">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62" w:type="pct"/>
            <w:tcBorders>
              <w:top w:val="nil"/>
              <w:left w:val="nil"/>
              <w:bottom w:val="single" w:color="000000" w:sz="4" w:space="0"/>
              <w:right w:val="single" w:color="000000" w:sz="4" w:space="0"/>
            </w:tcBorders>
            <w:vAlign w:val="center"/>
          </w:tcPr>
          <w:p w14:paraId="4E22DE3D">
            <w:pPr>
              <w:widowControl/>
              <w:jc w:val="center"/>
              <w:rPr>
                <w:rFonts w:ascii="宋体" w:hAnsi="宋体" w:eastAsia="宋体" w:cs="宋体"/>
                <w:sz w:val="18"/>
                <w:szCs w:val="18"/>
              </w:rPr>
            </w:pPr>
            <w:r>
              <w:rPr>
                <w:rFonts w:ascii="宋体" w:hAnsi="宋体" w:eastAsia="宋体" w:cs="宋体"/>
                <w:sz w:val="18"/>
                <w:szCs w:val="18"/>
              </w:rPr>
              <w:t>10</w:t>
            </w:r>
          </w:p>
        </w:tc>
        <w:tc>
          <w:tcPr>
            <w:tcW w:w="214" w:type="pct"/>
            <w:tcBorders>
              <w:top w:val="nil"/>
              <w:left w:val="nil"/>
              <w:bottom w:val="single" w:color="000000" w:sz="4" w:space="0"/>
              <w:right w:val="single" w:color="000000" w:sz="4" w:space="0"/>
            </w:tcBorders>
            <w:vAlign w:val="center"/>
          </w:tcPr>
          <w:p w14:paraId="44252C60">
            <w:pPr>
              <w:widowControl/>
              <w:jc w:val="center"/>
              <w:rPr>
                <w:rFonts w:ascii="宋体" w:hAnsi="宋体" w:eastAsia="宋体" w:cs="宋体"/>
                <w:sz w:val="18"/>
                <w:szCs w:val="18"/>
              </w:rPr>
            </w:pPr>
            <w:r>
              <w:rPr>
                <w:rFonts w:ascii="宋体" w:hAnsi="宋体" w:eastAsia="宋体" w:cs="宋体"/>
                <w:sz w:val="18"/>
                <w:szCs w:val="18"/>
              </w:rPr>
              <w:t>15</w:t>
            </w:r>
          </w:p>
        </w:tc>
        <w:tc>
          <w:tcPr>
            <w:tcW w:w="838" w:type="pct"/>
            <w:tcBorders>
              <w:top w:val="nil"/>
              <w:left w:val="nil"/>
              <w:bottom w:val="single" w:color="000000" w:sz="4" w:space="0"/>
              <w:right w:val="single" w:color="000000" w:sz="4" w:space="0"/>
            </w:tcBorders>
            <w:vAlign w:val="center"/>
          </w:tcPr>
          <w:p w14:paraId="7FDEF196">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589FB17A">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01AB4681">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40A9F162">
            <w:pPr>
              <w:widowControl/>
              <w:jc w:val="left"/>
              <w:rPr>
                <w:rFonts w:ascii="宋体" w:hAnsi="宋体" w:eastAsia="宋体" w:cs="Times New Roman"/>
                <w:sz w:val="18"/>
                <w:szCs w:val="18"/>
              </w:rPr>
            </w:pPr>
          </w:p>
        </w:tc>
        <w:tc>
          <w:tcPr>
            <w:tcW w:w="563" w:type="pct"/>
            <w:tcBorders>
              <w:top w:val="nil"/>
              <w:left w:val="nil"/>
              <w:bottom w:val="single" w:color="000000" w:sz="4" w:space="0"/>
              <w:right w:val="single" w:color="000000" w:sz="4" w:space="0"/>
            </w:tcBorders>
            <w:vAlign w:val="center"/>
          </w:tcPr>
          <w:p w14:paraId="4A4572B8">
            <w:pPr>
              <w:widowControl/>
              <w:jc w:val="center"/>
              <w:rPr>
                <w:rFonts w:ascii="宋体" w:hAnsi="宋体" w:eastAsia="宋体" w:cs="Times New Roman"/>
                <w:sz w:val="18"/>
                <w:szCs w:val="18"/>
              </w:rPr>
            </w:pPr>
            <w:r>
              <w:rPr>
                <w:rFonts w:hint="eastAsia" w:ascii="宋体" w:hAnsi="宋体" w:eastAsia="宋体" w:cs="宋体"/>
                <w:sz w:val="18"/>
                <w:szCs w:val="18"/>
              </w:rPr>
              <w:t>质量指标</w:t>
            </w:r>
          </w:p>
        </w:tc>
        <w:tc>
          <w:tcPr>
            <w:tcW w:w="732" w:type="pct"/>
            <w:tcBorders>
              <w:top w:val="nil"/>
              <w:left w:val="nil"/>
              <w:bottom w:val="single" w:color="000000" w:sz="4" w:space="0"/>
              <w:right w:val="single" w:color="000000" w:sz="4" w:space="0"/>
            </w:tcBorders>
            <w:vAlign w:val="center"/>
          </w:tcPr>
          <w:p w14:paraId="60FFECD3">
            <w:pPr>
              <w:widowControl/>
              <w:jc w:val="center"/>
              <w:rPr>
                <w:rFonts w:ascii="宋体" w:hAnsi="宋体" w:eastAsia="宋体" w:cs="Times New Roman"/>
                <w:sz w:val="18"/>
                <w:szCs w:val="18"/>
              </w:rPr>
            </w:pPr>
            <w:r>
              <w:rPr>
                <w:rFonts w:hint="eastAsia" w:ascii="宋体" w:hAnsi="宋体" w:eastAsia="宋体" w:cs="宋体"/>
                <w:sz w:val="18"/>
                <w:szCs w:val="18"/>
              </w:rPr>
              <w:t>验收合格</w:t>
            </w:r>
          </w:p>
        </w:tc>
        <w:tc>
          <w:tcPr>
            <w:tcW w:w="214" w:type="pct"/>
            <w:tcBorders>
              <w:top w:val="nil"/>
              <w:left w:val="nil"/>
              <w:bottom w:val="single" w:color="000000" w:sz="4" w:space="0"/>
              <w:right w:val="single" w:color="000000" w:sz="4" w:space="0"/>
            </w:tcBorders>
            <w:vAlign w:val="center"/>
          </w:tcPr>
          <w:p w14:paraId="7A6F5605">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7" w:type="pct"/>
            <w:tcBorders>
              <w:top w:val="nil"/>
              <w:left w:val="nil"/>
              <w:bottom w:val="single" w:color="000000" w:sz="4" w:space="0"/>
              <w:right w:val="single" w:color="000000" w:sz="4" w:space="0"/>
            </w:tcBorders>
            <w:vAlign w:val="center"/>
          </w:tcPr>
          <w:p w14:paraId="4A5E9857">
            <w:pPr>
              <w:widowControl/>
              <w:jc w:val="center"/>
              <w:rPr>
                <w:rFonts w:ascii="宋体" w:hAnsi="宋体" w:eastAsia="宋体" w:cs="宋体"/>
                <w:sz w:val="18"/>
                <w:szCs w:val="18"/>
              </w:rPr>
            </w:pPr>
            <w:r>
              <w:rPr>
                <w:rFonts w:ascii="宋体" w:hAnsi="宋体" w:eastAsia="宋体" w:cs="宋体"/>
                <w:sz w:val="18"/>
                <w:szCs w:val="18"/>
              </w:rPr>
              <w:t>100</w:t>
            </w:r>
          </w:p>
        </w:tc>
        <w:tc>
          <w:tcPr>
            <w:tcW w:w="214" w:type="pct"/>
            <w:tcBorders>
              <w:top w:val="nil"/>
              <w:left w:val="nil"/>
              <w:bottom w:val="single" w:color="000000" w:sz="4" w:space="0"/>
              <w:right w:val="single" w:color="000000" w:sz="4" w:space="0"/>
            </w:tcBorders>
            <w:vAlign w:val="center"/>
          </w:tcPr>
          <w:p w14:paraId="35BC1355">
            <w:pPr>
              <w:widowControl/>
              <w:jc w:val="center"/>
              <w:rPr>
                <w:rFonts w:ascii="宋体" w:hAnsi="宋体" w:eastAsia="宋体" w:cs="宋体"/>
                <w:sz w:val="18"/>
                <w:szCs w:val="18"/>
              </w:rPr>
            </w:pPr>
            <w:r>
              <w:rPr>
                <w:rFonts w:ascii="宋体" w:hAnsi="宋体" w:eastAsia="宋体" w:cs="宋体"/>
                <w:sz w:val="18"/>
                <w:szCs w:val="18"/>
              </w:rPr>
              <w:t>%</w:t>
            </w:r>
          </w:p>
        </w:tc>
        <w:tc>
          <w:tcPr>
            <w:tcW w:w="457" w:type="pct"/>
            <w:tcBorders>
              <w:top w:val="nil"/>
              <w:left w:val="nil"/>
              <w:bottom w:val="single" w:color="000000" w:sz="4" w:space="0"/>
              <w:right w:val="single" w:color="000000" w:sz="4" w:space="0"/>
            </w:tcBorders>
            <w:vAlign w:val="center"/>
          </w:tcPr>
          <w:p w14:paraId="2FF880C4">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62" w:type="pct"/>
            <w:tcBorders>
              <w:top w:val="nil"/>
              <w:left w:val="nil"/>
              <w:bottom w:val="single" w:color="000000" w:sz="4" w:space="0"/>
              <w:right w:val="single" w:color="000000" w:sz="4" w:space="0"/>
            </w:tcBorders>
            <w:vAlign w:val="center"/>
          </w:tcPr>
          <w:p w14:paraId="06C6520D">
            <w:pPr>
              <w:widowControl/>
              <w:jc w:val="center"/>
              <w:rPr>
                <w:rFonts w:ascii="宋体" w:hAnsi="宋体" w:eastAsia="宋体" w:cs="宋体"/>
                <w:sz w:val="18"/>
                <w:szCs w:val="18"/>
              </w:rPr>
            </w:pPr>
            <w:r>
              <w:rPr>
                <w:rFonts w:ascii="宋体" w:hAnsi="宋体" w:eastAsia="宋体" w:cs="宋体"/>
                <w:sz w:val="18"/>
                <w:szCs w:val="18"/>
              </w:rPr>
              <w:t>10</w:t>
            </w:r>
          </w:p>
        </w:tc>
        <w:tc>
          <w:tcPr>
            <w:tcW w:w="214" w:type="pct"/>
            <w:tcBorders>
              <w:top w:val="nil"/>
              <w:left w:val="nil"/>
              <w:bottom w:val="single" w:color="000000" w:sz="4" w:space="0"/>
              <w:right w:val="single" w:color="000000" w:sz="4" w:space="0"/>
            </w:tcBorders>
            <w:vAlign w:val="center"/>
          </w:tcPr>
          <w:p w14:paraId="0CBC8A32">
            <w:pPr>
              <w:widowControl/>
              <w:jc w:val="center"/>
              <w:rPr>
                <w:rFonts w:ascii="宋体" w:hAnsi="宋体" w:eastAsia="宋体" w:cs="宋体"/>
                <w:sz w:val="18"/>
                <w:szCs w:val="18"/>
              </w:rPr>
            </w:pPr>
            <w:r>
              <w:rPr>
                <w:rFonts w:ascii="宋体" w:hAnsi="宋体" w:eastAsia="宋体" w:cs="宋体"/>
                <w:sz w:val="18"/>
                <w:szCs w:val="18"/>
              </w:rPr>
              <w:t>15</w:t>
            </w:r>
          </w:p>
        </w:tc>
        <w:tc>
          <w:tcPr>
            <w:tcW w:w="838" w:type="pct"/>
            <w:tcBorders>
              <w:top w:val="nil"/>
              <w:left w:val="nil"/>
              <w:bottom w:val="single" w:color="000000" w:sz="4" w:space="0"/>
              <w:right w:val="single" w:color="000000" w:sz="4" w:space="0"/>
            </w:tcBorders>
            <w:vAlign w:val="center"/>
          </w:tcPr>
          <w:p w14:paraId="513EA444">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3779E5FB">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449C0F4D">
            <w:pPr>
              <w:widowControl/>
              <w:jc w:val="left"/>
              <w:rPr>
                <w:rFonts w:ascii="宋体" w:hAnsi="宋体" w:eastAsia="宋体" w:cs="Times New Roman"/>
                <w:sz w:val="18"/>
                <w:szCs w:val="18"/>
              </w:rPr>
            </w:pPr>
          </w:p>
        </w:tc>
        <w:tc>
          <w:tcPr>
            <w:tcW w:w="662" w:type="pct"/>
            <w:vMerge w:val="continue"/>
            <w:tcBorders>
              <w:top w:val="nil"/>
              <w:left w:val="single" w:color="000000" w:sz="4" w:space="0"/>
              <w:bottom w:val="single" w:color="000000" w:sz="4" w:space="0"/>
              <w:right w:val="single" w:color="000000" w:sz="4" w:space="0"/>
            </w:tcBorders>
            <w:vAlign w:val="center"/>
          </w:tcPr>
          <w:p w14:paraId="101DDCD2">
            <w:pPr>
              <w:widowControl/>
              <w:jc w:val="left"/>
              <w:rPr>
                <w:rFonts w:ascii="宋体" w:hAnsi="宋体" w:eastAsia="宋体" w:cs="Times New Roman"/>
                <w:sz w:val="18"/>
                <w:szCs w:val="18"/>
              </w:rPr>
            </w:pPr>
          </w:p>
        </w:tc>
        <w:tc>
          <w:tcPr>
            <w:tcW w:w="563" w:type="pct"/>
            <w:tcBorders>
              <w:top w:val="nil"/>
              <w:left w:val="nil"/>
              <w:bottom w:val="single" w:color="000000" w:sz="4" w:space="0"/>
              <w:right w:val="single" w:color="000000" w:sz="4" w:space="0"/>
            </w:tcBorders>
            <w:vAlign w:val="center"/>
          </w:tcPr>
          <w:p w14:paraId="7C397051">
            <w:pPr>
              <w:widowControl/>
              <w:jc w:val="center"/>
              <w:rPr>
                <w:rFonts w:ascii="宋体" w:hAnsi="宋体" w:eastAsia="宋体" w:cs="Times New Roman"/>
                <w:sz w:val="18"/>
                <w:szCs w:val="18"/>
              </w:rPr>
            </w:pPr>
            <w:r>
              <w:rPr>
                <w:rFonts w:hint="eastAsia" w:ascii="宋体" w:hAnsi="宋体" w:eastAsia="宋体" w:cs="宋体"/>
                <w:sz w:val="18"/>
                <w:szCs w:val="18"/>
              </w:rPr>
              <w:t>时效指标</w:t>
            </w:r>
          </w:p>
        </w:tc>
        <w:tc>
          <w:tcPr>
            <w:tcW w:w="732" w:type="pct"/>
            <w:tcBorders>
              <w:top w:val="nil"/>
              <w:left w:val="nil"/>
              <w:bottom w:val="single" w:color="000000" w:sz="4" w:space="0"/>
              <w:right w:val="single" w:color="000000" w:sz="4" w:space="0"/>
            </w:tcBorders>
            <w:vAlign w:val="center"/>
          </w:tcPr>
          <w:p w14:paraId="613E63E6">
            <w:pPr>
              <w:widowControl/>
              <w:jc w:val="center"/>
              <w:rPr>
                <w:rFonts w:ascii="宋体" w:hAnsi="宋体" w:eastAsia="宋体" w:cs="Times New Roman"/>
                <w:sz w:val="18"/>
                <w:szCs w:val="18"/>
              </w:rPr>
            </w:pPr>
            <w:r>
              <w:rPr>
                <w:rFonts w:hint="eastAsia" w:ascii="宋体" w:hAnsi="宋体" w:eastAsia="宋体" w:cs="宋体"/>
                <w:sz w:val="18"/>
                <w:szCs w:val="18"/>
              </w:rPr>
              <w:t>质保期</w:t>
            </w:r>
          </w:p>
        </w:tc>
        <w:tc>
          <w:tcPr>
            <w:tcW w:w="214" w:type="pct"/>
            <w:tcBorders>
              <w:top w:val="nil"/>
              <w:left w:val="nil"/>
              <w:bottom w:val="single" w:color="000000" w:sz="4" w:space="0"/>
              <w:right w:val="single" w:color="000000" w:sz="4" w:space="0"/>
            </w:tcBorders>
            <w:vAlign w:val="center"/>
          </w:tcPr>
          <w:p w14:paraId="20AD5CF4">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7" w:type="pct"/>
            <w:tcBorders>
              <w:top w:val="nil"/>
              <w:left w:val="nil"/>
              <w:bottom w:val="single" w:color="000000" w:sz="4" w:space="0"/>
              <w:right w:val="single" w:color="000000" w:sz="4" w:space="0"/>
            </w:tcBorders>
            <w:vAlign w:val="center"/>
          </w:tcPr>
          <w:p w14:paraId="4654EC95">
            <w:pPr>
              <w:widowControl/>
              <w:jc w:val="center"/>
              <w:rPr>
                <w:rFonts w:ascii="宋体" w:hAnsi="宋体" w:eastAsia="宋体" w:cs="宋体"/>
                <w:sz w:val="18"/>
                <w:szCs w:val="18"/>
              </w:rPr>
            </w:pPr>
            <w:r>
              <w:rPr>
                <w:rFonts w:ascii="宋体" w:hAnsi="宋体" w:eastAsia="宋体" w:cs="宋体"/>
                <w:sz w:val="18"/>
                <w:szCs w:val="18"/>
              </w:rPr>
              <w:t>3</w:t>
            </w:r>
          </w:p>
        </w:tc>
        <w:tc>
          <w:tcPr>
            <w:tcW w:w="214" w:type="pct"/>
            <w:tcBorders>
              <w:top w:val="nil"/>
              <w:left w:val="nil"/>
              <w:bottom w:val="single" w:color="000000" w:sz="4" w:space="0"/>
              <w:right w:val="single" w:color="000000" w:sz="4" w:space="0"/>
            </w:tcBorders>
            <w:vAlign w:val="center"/>
          </w:tcPr>
          <w:p w14:paraId="5CB24793">
            <w:pPr>
              <w:widowControl/>
              <w:jc w:val="center"/>
              <w:rPr>
                <w:rFonts w:ascii="宋体" w:hAnsi="宋体" w:eastAsia="宋体" w:cs="Times New Roman"/>
                <w:sz w:val="18"/>
                <w:szCs w:val="18"/>
              </w:rPr>
            </w:pPr>
            <w:r>
              <w:rPr>
                <w:rFonts w:hint="eastAsia" w:ascii="宋体" w:hAnsi="宋体" w:eastAsia="宋体" w:cs="宋体"/>
                <w:sz w:val="18"/>
                <w:szCs w:val="18"/>
              </w:rPr>
              <w:t>年</w:t>
            </w:r>
          </w:p>
        </w:tc>
        <w:tc>
          <w:tcPr>
            <w:tcW w:w="457" w:type="pct"/>
            <w:tcBorders>
              <w:top w:val="nil"/>
              <w:left w:val="nil"/>
              <w:bottom w:val="single" w:color="000000" w:sz="4" w:space="0"/>
              <w:right w:val="single" w:color="000000" w:sz="4" w:space="0"/>
            </w:tcBorders>
            <w:vAlign w:val="center"/>
          </w:tcPr>
          <w:p w14:paraId="6EE0360E">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62" w:type="pct"/>
            <w:tcBorders>
              <w:top w:val="nil"/>
              <w:left w:val="nil"/>
              <w:bottom w:val="single" w:color="000000" w:sz="4" w:space="0"/>
              <w:right w:val="single" w:color="000000" w:sz="4" w:space="0"/>
            </w:tcBorders>
            <w:vAlign w:val="center"/>
          </w:tcPr>
          <w:p w14:paraId="2FE68202">
            <w:pPr>
              <w:widowControl/>
              <w:jc w:val="center"/>
              <w:rPr>
                <w:rFonts w:ascii="宋体" w:hAnsi="宋体" w:eastAsia="宋体" w:cs="宋体"/>
                <w:sz w:val="18"/>
                <w:szCs w:val="18"/>
              </w:rPr>
            </w:pPr>
            <w:r>
              <w:rPr>
                <w:rFonts w:ascii="宋体" w:hAnsi="宋体" w:eastAsia="宋体" w:cs="宋体"/>
                <w:sz w:val="18"/>
                <w:szCs w:val="18"/>
              </w:rPr>
              <w:t>10</w:t>
            </w:r>
          </w:p>
        </w:tc>
        <w:tc>
          <w:tcPr>
            <w:tcW w:w="214" w:type="pct"/>
            <w:tcBorders>
              <w:top w:val="nil"/>
              <w:left w:val="nil"/>
              <w:bottom w:val="single" w:color="000000" w:sz="4" w:space="0"/>
              <w:right w:val="single" w:color="000000" w:sz="4" w:space="0"/>
            </w:tcBorders>
            <w:vAlign w:val="center"/>
          </w:tcPr>
          <w:p w14:paraId="1C2B5ACA">
            <w:pPr>
              <w:widowControl/>
              <w:jc w:val="center"/>
              <w:rPr>
                <w:rFonts w:ascii="宋体" w:hAnsi="宋体" w:eastAsia="宋体" w:cs="宋体"/>
                <w:sz w:val="18"/>
                <w:szCs w:val="18"/>
              </w:rPr>
            </w:pPr>
            <w:r>
              <w:rPr>
                <w:rFonts w:ascii="宋体" w:hAnsi="宋体" w:eastAsia="宋体" w:cs="宋体"/>
                <w:sz w:val="18"/>
                <w:szCs w:val="18"/>
              </w:rPr>
              <w:t>15</w:t>
            </w:r>
          </w:p>
        </w:tc>
        <w:tc>
          <w:tcPr>
            <w:tcW w:w="838" w:type="pct"/>
            <w:tcBorders>
              <w:top w:val="nil"/>
              <w:left w:val="nil"/>
              <w:bottom w:val="single" w:color="000000" w:sz="4" w:space="0"/>
              <w:right w:val="single" w:color="000000" w:sz="4" w:space="0"/>
            </w:tcBorders>
            <w:vAlign w:val="center"/>
          </w:tcPr>
          <w:p w14:paraId="749E2DDD">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33B27334">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22F681B1">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5C8C0677">
            <w:pPr>
              <w:widowControl/>
              <w:jc w:val="center"/>
              <w:rPr>
                <w:rFonts w:ascii="宋体" w:hAnsi="宋体" w:eastAsia="宋体" w:cs="Times New Roman"/>
                <w:sz w:val="18"/>
                <w:szCs w:val="18"/>
              </w:rPr>
            </w:pPr>
            <w:r>
              <w:rPr>
                <w:rFonts w:hint="eastAsia" w:ascii="宋体" w:hAnsi="宋体" w:eastAsia="宋体" w:cs="宋体"/>
                <w:sz w:val="18"/>
                <w:szCs w:val="18"/>
              </w:rPr>
              <w:t>效益指标</w:t>
            </w:r>
          </w:p>
        </w:tc>
        <w:tc>
          <w:tcPr>
            <w:tcW w:w="563" w:type="pct"/>
            <w:tcBorders>
              <w:top w:val="nil"/>
              <w:left w:val="nil"/>
              <w:bottom w:val="single" w:color="000000" w:sz="4" w:space="0"/>
              <w:right w:val="single" w:color="000000" w:sz="4" w:space="0"/>
            </w:tcBorders>
            <w:vAlign w:val="center"/>
          </w:tcPr>
          <w:p w14:paraId="52217724">
            <w:pPr>
              <w:widowControl/>
              <w:jc w:val="center"/>
              <w:rPr>
                <w:rFonts w:ascii="宋体" w:hAnsi="宋体" w:eastAsia="宋体" w:cs="Times New Roman"/>
                <w:sz w:val="18"/>
                <w:szCs w:val="18"/>
              </w:rPr>
            </w:pPr>
            <w:r>
              <w:rPr>
                <w:rFonts w:hint="eastAsia" w:ascii="宋体" w:hAnsi="宋体" w:eastAsia="宋体" w:cs="宋体"/>
                <w:sz w:val="18"/>
                <w:szCs w:val="18"/>
              </w:rPr>
              <w:t>社会效益指标</w:t>
            </w:r>
          </w:p>
        </w:tc>
        <w:tc>
          <w:tcPr>
            <w:tcW w:w="732" w:type="pct"/>
            <w:tcBorders>
              <w:top w:val="nil"/>
              <w:left w:val="nil"/>
              <w:bottom w:val="single" w:color="000000" w:sz="4" w:space="0"/>
              <w:right w:val="single" w:color="000000" w:sz="4" w:space="0"/>
            </w:tcBorders>
            <w:vAlign w:val="center"/>
          </w:tcPr>
          <w:p w14:paraId="61651876">
            <w:pPr>
              <w:widowControl/>
              <w:jc w:val="center"/>
              <w:rPr>
                <w:rFonts w:ascii="宋体" w:hAnsi="宋体" w:eastAsia="宋体" w:cs="Times New Roman"/>
                <w:sz w:val="18"/>
                <w:szCs w:val="18"/>
              </w:rPr>
            </w:pPr>
            <w:r>
              <w:rPr>
                <w:rFonts w:hint="eastAsia" w:ascii="宋体" w:hAnsi="宋体" w:eastAsia="宋体" w:cs="宋体"/>
                <w:sz w:val="18"/>
                <w:szCs w:val="18"/>
              </w:rPr>
              <w:t>保障机关正常运转</w:t>
            </w:r>
          </w:p>
        </w:tc>
        <w:tc>
          <w:tcPr>
            <w:tcW w:w="214" w:type="pct"/>
            <w:tcBorders>
              <w:top w:val="nil"/>
              <w:left w:val="nil"/>
              <w:bottom w:val="single" w:color="000000" w:sz="4" w:space="0"/>
              <w:right w:val="single" w:color="000000" w:sz="4" w:space="0"/>
            </w:tcBorders>
            <w:vAlign w:val="center"/>
          </w:tcPr>
          <w:p w14:paraId="6752FB30">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7" w:type="pct"/>
            <w:tcBorders>
              <w:top w:val="nil"/>
              <w:left w:val="nil"/>
              <w:bottom w:val="single" w:color="000000" w:sz="4" w:space="0"/>
              <w:right w:val="single" w:color="000000" w:sz="4" w:space="0"/>
            </w:tcBorders>
            <w:vAlign w:val="center"/>
          </w:tcPr>
          <w:p w14:paraId="2C3B218A">
            <w:pPr>
              <w:widowControl/>
              <w:jc w:val="center"/>
              <w:rPr>
                <w:rFonts w:ascii="宋体" w:hAnsi="宋体" w:eastAsia="宋体" w:cs="宋体"/>
                <w:sz w:val="18"/>
                <w:szCs w:val="18"/>
              </w:rPr>
            </w:pPr>
            <w:r>
              <w:rPr>
                <w:rFonts w:ascii="宋体" w:hAnsi="宋体" w:eastAsia="宋体" w:cs="宋体"/>
                <w:sz w:val="18"/>
                <w:szCs w:val="18"/>
              </w:rPr>
              <w:t>100</w:t>
            </w:r>
          </w:p>
        </w:tc>
        <w:tc>
          <w:tcPr>
            <w:tcW w:w="214" w:type="pct"/>
            <w:tcBorders>
              <w:top w:val="nil"/>
              <w:left w:val="nil"/>
              <w:bottom w:val="single" w:color="000000" w:sz="4" w:space="0"/>
              <w:right w:val="single" w:color="000000" w:sz="4" w:space="0"/>
            </w:tcBorders>
            <w:vAlign w:val="center"/>
          </w:tcPr>
          <w:p w14:paraId="290B8DB4">
            <w:pPr>
              <w:widowControl/>
              <w:jc w:val="center"/>
              <w:rPr>
                <w:rFonts w:ascii="宋体" w:hAnsi="宋体" w:eastAsia="宋体" w:cs="宋体"/>
                <w:sz w:val="18"/>
                <w:szCs w:val="18"/>
              </w:rPr>
            </w:pPr>
            <w:r>
              <w:rPr>
                <w:rFonts w:ascii="宋体" w:hAnsi="宋体" w:eastAsia="宋体" w:cs="宋体"/>
                <w:sz w:val="18"/>
                <w:szCs w:val="18"/>
              </w:rPr>
              <w:t>%</w:t>
            </w:r>
          </w:p>
        </w:tc>
        <w:tc>
          <w:tcPr>
            <w:tcW w:w="457" w:type="pct"/>
            <w:tcBorders>
              <w:top w:val="nil"/>
              <w:left w:val="nil"/>
              <w:bottom w:val="single" w:color="000000" w:sz="4" w:space="0"/>
              <w:right w:val="single" w:color="000000" w:sz="4" w:space="0"/>
            </w:tcBorders>
            <w:vAlign w:val="center"/>
          </w:tcPr>
          <w:p w14:paraId="3147C0C7">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62" w:type="pct"/>
            <w:tcBorders>
              <w:top w:val="nil"/>
              <w:left w:val="nil"/>
              <w:bottom w:val="single" w:color="000000" w:sz="4" w:space="0"/>
              <w:right w:val="single" w:color="000000" w:sz="4" w:space="0"/>
            </w:tcBorders>
            <w:vAlign w:val="center"/>
          </w:tcPr>
          <w:p w14:paraId="100B63C4">
            <w:pPr>
              <w:widowControl/>
              <w:jc w:val="center"/>
              <w:rPr>
                <w:rFonts w:ascii="宋体" w:hAnsi="宋体" w:eastAsia="宋体" w:cs="宋体"/>
                <w:sz w:val="18"/>
                <w:szCs w:val="18"/>
              </w:rPr>
            </w:pPr>
            <w:r>
              <w:rPr>
                <w:rFonts w:ascii="宋体" w:hAnsi="宋体" w:eastAsia="宋体" w:cs="宋体"/>
                <w:sz w:val="18"/>
                <w:szCs w:val="18"/>
              </w:rPr>
              <w:t>20</w:t>
            </w:r>
          </w:p>
        </w:tc>
        <w:tc>
          <w:tcPr>
            <w:tcW w:w="214" w:type="pct"/>
            <w:tcBorders>
              <w:top w:val="nil"/>
              <w:left w:val="nil"/>
              <w:bottom w:val="single" w:color="000000" w:sz="4" w:space="0"/>
              <w:right w:val="single" w:color="000000" w:sz="4" w:space="0"/>
            </w:tcBorders>
            <w:vAlign w:val="center"/>
          </w:tcPr>
          <w:p w14:paraId="046679F8">
            <w:pPr>
              <w:widowControl/>
              <w:jc w:val="center"/>
              <w:rPr>
                <w:rFonts w:ascii="宋体" w:hAnsi="宋体" w:eastAsia="宋体" w:cs="宋体"/>
                <w:sz w:val="18"/>
                <w:szCs w:val="18"/>
              </w:rPr>
            </w:pPr>
            <w:r>
              <w:rPr>
                <w:rFonts w:ascii="宋体" w:hAnsi="宋体" w:eastAsia="宋体" w:cs="宋体"/>
                <w:sz w:val="18"/>
                <w:szCs w:val="18"/>
              </w:rPr>
              <w:t>15</w:t>
            </w:r>
          </w:p>
        </w:tc>
        <w:tc>
          <w:tcPr>
            <w:tcW w:w="838" w:type="pct"/>
            <w:tcBorders>
              <w:top w:val="nil"/>
              <w:left w:val="nil"/>
              <w:bottom w:val="single" w:color="000000" w:sz="4" w:space="0"/>
              <w:right w:val="single" w:color="000000" w:sz="4" w:space="0"/>
            </w:tcBorders>
            <w:vAlign w:val="center"/>
          </w:tcPr>
          <w:p w14:paraId="35D57A9F">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1298A5A7">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18A581AD">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7E792643">
            <w:pPr>
              <w:widowControl/>
              <w:jc w:val="center"/>
              <w:rPr>
                <w:rFonts w:ascii="宋体" w:hAnsi="宋体" w:eastAsia="宋体" w:cs="Times New Roman"/>
                <w:sz w:val="18"/>
                <w:szCs w:val="18"/>
              </w:rPr>
            </w:pPr>
            <w:r>
              <w:rPr>
                <w:rFonts w:hint="eastAsia" w:ascii="宋体" w:hAnsi="宋体" w:eastAsia="宋体" w:cs="宋体"/>
                <w:sz w:val="18"/>
                <w:szCs w:val="18"/>
              </w:rPr>
              <w:t>满意度指标</w:t>
            </w:r>
          </w:p>
        </w:tc>
        <w:tc>
          <w:tcPr>
            <w:tcW w:w="563" w:type="pct"/>
            <w:tcBorders>
              <w:top w:val="nil"/>
              <w:left w:val="nil"/>
              <w:bottom w:val="single" w:color="000000" w:sz="4" w:space="0"/>
              <w:right w:val="single" w:color="000000" w:sz="4" w:space="0"/>
            </w:tcBorders>
            <w:vAlign w:val="center"/>
          </w:tcPr>
          <w:p w14:paraId="788FB9AA">
            <w:pPr>
              <w:widowControl/>
              <w:jc w:val="center"/>
              <w:rPr>
                <w:rFonts w:ascii="宋体" w:hAnsi="宋体" w:eastAsia="宋体" w:cs="Times New Roman"/>
                <w:sz w:val="18"/>
                <w:szCs w:val="18"/>
              </w:rPr>
            </w:pPr>
            <w:r>
              <w:rPr>
                <w:rFonts w:hint="eastAsia" w:ascii="宋体" w:hAnsi="宋体" w:eastAsia="宋体" w:cs="宋体"/>
                <w:sz w:val="18"/>
                <w:szCs w:val="18"/>
              </w:rPr>
              <w:t>服务对象满意度指标</w:t>
            </w:r>
          </w:p>
        </w:tc>
        <w:tc>
          <w:tcPr>
            <w:tcW w:w="732" w:type="pct"/>
            <w:tcBorders>
              <w:top w:val="nil"/>
              <w:left w:val="nil"/>
              <w:bottom w:val="single" w:color="000000" w:sz="4" w:space="0"/>
              <w:right w:val="single" w:color="000000" w:sz="4" w:space="0"/>
            </w:tcBorders>
            <w:vAlign w:val="center"/>
          </w:tcPr>
          <w:p w14:paraId="629DEFFB">
            <w:pPr>
              <w:widowControl/>
              <w:jc w:val="center"/>
              <w:rPr>
                <w:rFonts w:ascii="宋体" w:hAnsi="宋体" w:eastAsia="宋体" w:cs="Times New Roman"/>
                <w:sz w:val="18"/>
                <w:szCs w:val="18"/>
              </w:rPr>
            </w:pPr>
            <w:r>
              <w:rPr>
                <w:rFonts w:hint="eastAsia" w:ascii="宋体" w:hAnsi="宋体" w:eastAsia="宋体" w:cs="宋体"/>
                <w:sz w:val="18"/>
                <w:szCs w:val="18"/>
              </w:rPr>
              <w:t>服务对象满意度</w:t>
            </w:r>
          </w:p>
        </w:tc>
        <w:tc>
          <w:tcPr>
            <w:tcW w:w="214" w:type="pct"/>
            <w:tcBorders>
              <w:top w:val="nil"/>
              <w:left w:val="nil"/>
              <w:bottom w:val="single" w:color="000000" w:sz="4" w:space="0"/>
              <w:right w:val="single" w:color="000000" w:sz="4" w:space="0"/>
            </w:tcBorders>
            <w:vAlign w:val="center"/>
          </w:tcPr>
          <w:p w14:paraId="0C7FFADF">
            <w:pPr>
              <w:widowControl/>
              <w:jc w:val="center"/>
              <w:rPr>
                <w:rFonts w:eastAsia="宋体"/>
                <w:sz w:val="18"/>
                <w:szCs w:val="18"/>
              </w:rPr>
            </w:pPr>
            <w:r>
              <w:rPr>
                <w:rFonts w:eastAsia="宋体"/>
                <w:sz w:val="18"/>
                <w:szCs w:val="18"/>
              </w:rPr>
              <w:t>≥</w:t>
            </w:r>
          </w:p>
        </w:tc>
        <w:tc>
          <w:tcPr>
            <w:tcW w:w="527" w:type="pct"/>
            <w:tcBorders>
              <w:top w:val="nil"/>
              <w:left w:val="nil"/>
              <w:bottom w:val="single" w:color="000000" w:sz="4" w:space="0"/>
              <w:right w:val="single" w:color="000000" w:sz="4" w:space="0"/>
            </w:tcBorders>
            <w:vAlign w:val="center"/>
          </w:tcPr>
          <w:p w14:paraId="3FF299B8">
            <w:pPr>
              <w:widowControl/>
              <w:jc w:val="center"/>
              <w:rPr>
                <w:rFonts w:ascii="宋体" w:hAnsi="宋体" w:eastAsia="宋体" w:cs="宋体"/>
                <w:sz w:val="18"/>
                <w:szCs w:val="18"/>
              </w:rPr>
            </w:pPr>
            <w:r>
              <w:rPr>
                <w:rFonts w:ascii="宋体" w:hAnsi="宋体" w:eastAsia="宋体" w:cs="宋体"/>
                <w:sz w:val="18"/>
                <w:szCs w:val="18"/>
              </w:rPr>
              <w:t>98</w:t>
            </w:r>
          </w:p>
        </w:tc>
        <w:tc>
          <w:tcPr>
            <w:tcW w:w="214" w:type="pct"/>
            <w:tcBorders>
              <w:top w:val="nil"/>
              <w:left w:val="nil"/>
              <w:bottom w:val="single" w:color="000000" w:sz="4" w:space="0"/>
              <w:right w:val="single" w:color="000000" w:sz="4" w:space="0"/>
            </w:tcBorders>
            <w:vAlign w:val="center"/>
          </w:tcPr>
          <w:p w14:paraId="04EDA05D">
            <w:pPr>
              <w:widowControl/>
              <w:jc w:val="center"/>
              <w:rPr>
                <w:rFonts w:ascii="宋体" w:hAnsi="宋体" w:eastAsia="宋体" w:cs="宋体"/>
                <w:sz w:val="18"/>
                <w:szCs w:val="18"/>
              </w:rPr>
            </w:pPr>
            <w:r>
              <w:rPr>
                <w:rFonts w:ascii="宋体" w:hAnsi="宋体" w:eastAsia="宋体" w:cs="宋体"/>
                <w:sz w:val="18"/>
                <w:szCs w:val="18"/>
              </w:rPr>
              <w:t>%</w:t>
            </w:r>
          </w:p>
        </w:tc>
        <w:tc>
          <w:tcPr>
            <w:tcW w:w="457" w:type="pct"/>
            <w:tcBorders>
              <w:top w:val="nil"/>
              <w:left w:val="nil"/>
              <w:bottom w:val="single" w:color="000000" w:sz="4" w:space="0"/>
              <w:right w:val="single" w:color="000000" w:sz="4" w:space="0"/>
            </w:tcBorders>
            <w:vAlign w:val="center"/>
          </w:tcPr>
          <w:p w14:paraId="44919265">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62" w:type="pct"/>
            <w:tcBorders>
              <w:top w:val="nil"/>
              <w:left w:val="nil"/>
              <w:bottom w:val="single" w:color="000000" w:sz="4" w:space="0"/>
              <w:right w:val="single" w:color="000000" w:sz="4" w:space="0"/>
            </w:tcBorders>
            <w:vAlign w:val="center"/>
          </w:tcPr>
          <w:p w14:paraId="6F6FD334">
            <w:pPr>
              <w:widowControl/>
              <w:jc w:val="center"/>
              <w:rPr>
                <w:rFonts w:ascii="宋体" w:hAnsi="宋体" w:eastAsia="宋体" w:cs="宋体"/>
                <w:sz w:val="18"/>
                <w:szCs w:val="18"/>
              </w:rPr>
            </w:pPr>
            <w:r>
              <w:rPr>
                <w:rFonts w:ascii="宋体" w:hAnsi="宋体" w:eastAsia="宋体" w:cs="宋体"/>
                <w:sz w:val="18"/>
                <w:szCs w:val="18"/>
              </w:rPr>
              <w:t>15</w:t>
            </w:r>
          </w:p>
        </w:tc>
        <w:tc>
          <w:tcPr>
            <w:tcW w:w="214" w:type="pct"/>
            <w:tcBorders>
              <w:top w:val="nil"/>
              <w:left w:val="nil"/>
              <w:bottom w:val="single" w:color="000000" w:sz="4" w:space="0"/>
              <w:right w:val="single" w:color="000000" w:sz="4" w:space="0"/>
            </w:tcBorders>
            <w:vAlign w:val="center"/>
          </w:tcPr>
          <w:p w14:paraId="2DC5B059">
            <w:pPr>
              <w:widowControl/>
              <w:jc w:val="center"/>
              <w:rPr>
                <w:rFonts w:ascii="宋体" w:hAnsi="宋体" w:eastAsia="宋体" w:cs="宋体"/>
                <w:sz w:val="18"/>
                <w:szCs w:val="18"/>
              </w:rPr>
            </w:pPr>
            <w:r>
              <w:rPr>
                <w:rFonts w:ascii="宋体" w:hAnsi="宋体" w:eastAsia="宋体" w:cs="宋体"/>
                <w:sz w:val="18"/>
                <w:szCs w:val="18"/>
              </w:rPr>
              <w:t>15</w:t>
            </w:r>
          </w:p>
        </w:tc>
        <w:tc>
          <w:tcPr>
            <w:tcW w:w="838" w:type="pct"/>
            <w:tcBorders>
              <w:top w:val="nil"/>
              <w:left w:val="nil"/>
              <w:bottom w:val="single" w:color="000000" w:sz="4" w:space="0"/>
              <w:right w:val="single" w:color="000000" w:sz="4" w:space="0"/>
            </w:tcBorders>
            <w:vAlign w:val="center"/>
          </w:tcPr>
          <w:p w14:paraId="7DAF0F6C">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4A42B52">
        <w:tblPrEx>
          <w:tblCellMar>
            <w:top w:w="0" w:type="dxa"/>
            <w:left w:w="108" w:type="dxa"/>
            <w:bottom w:w="0" w:type="dxa"/>
            <w:right w:w="108" w:type="dxa"/>
          </w:tblCellMar>
        </w:tblPrEx>
        <w:trPr>
          <w:trHeight w:val="454" w:hRule="atLeast"/>
        </w:trPr>
        <w:tc>
          <w:tcPr>
            <w:tcW w:w="311" w:type="pct"/>
            <w:vMerge w:val="continue"/>
            <w:tcBorders>
              <w:top w:val="nil"/>
              <w:left w:val="single" w:color="000000" w:sz="4" w:space="0"/>
              <w:bottom w:val="single" w:color="000000" w:sz="4" w:space="0"/>
              <w:right w:val="single" w:color="000000" w:sz="4" w:space="0"/>
            </w:tcBorders>
            <w:vAlign w:val="center"/>
          </w:tcPr>
          <w:p w14:paraId="25E15E17">
            <w:pPr>
              <w:widowControl/>
              <w:jc w:val="left"/>
              <w:rPr>
                <w:rFonts w:ascii="宋体" w:hAnsi="宋体" w:eastAsia="宋体" w:cs="Times New Roman"/>
                <w:sz w:val="18"/>
                <w:szCs w:val="18"/>
              </w:rPr>
            </w:pPr>
          </w:p>
        </w:tc>
        <w:tc>
          <w:tcPr>
            <w:tcW w:w="662" w:type="pct"/>
            <w:tcBorders>
              <w:top w:val="nil"/>
              <w:left w:val="nil"/>
              <w:bottom w:val="single" w:color="000000" w:sz="4" w:space="0"/>
              <w:right w:val="single" w:color="000000" w:sz="4" w:space="0"/>
            </w:tcBorders>
            <w:vAlign w:val="center"/>
          </w:tcPr>
          <w:p w14:paraId="074287A5">
            <w:pPr>
              <w:widowControl/>
              <w:jc w:val="center"/>
              <w:rPr>
                <w:rFonts w:ascii="宋体" w:hAnsi="宋体" w:eastAsia="宋体" w:cs="Times New Roman"/>
                <w:sz w:val="18"/>
                <w:szCs w:val="18"/>
              </w:rPr>
            </w:pPr>
            <w:r>
              <w:rPr>
                <w:rFonts w:hint="eastAsia" w:ascii="宋体" w:hAnsi="宋体" w:eastAsia="宋体" w:cs="宋体"/>
                <w:sz w:val="18"/>
                <w:szCs w:val="18"/>
              </w:rPr>
              <w:t>成本指标</w:t>
            </w:r>
          </w:p>
        </w:tc>
        <w:tc>
          <w:tcPr>
            <w:tcW w:w="563" w:type="pct"/>
            <w:tcBorders>
              <w:top w:val="nil"/>
              <w:left w:val="nil"/>
              <w:bottom w:val="single" w:color="000000" w:sz="4" w:space="0"/>
              <w:right w:val="single" w:color="000000" w:sz="4" w:space="0"/>
            </w:tcBorders>
            <w:vAlign w:val="center"/>
          </w:tcPr>
          <w:p w14:paraId="0829E648">
            <w:pPr>
              <w:widowControl/>
              <w:jc w:val="center"/>
              <w:rPr>
                <w:rFonts w:ascii="宋体" w:hAnsi="宋体" w:eastAsia="宋体" w:cs="Times New Roman"/>
                <w:sz w:val="18"/>
                <w:szCs w:val="18"/>
              </w:rPr>
            </w:pPr>
            <w:r>
              <w:rPr>
                <w:rFonts w:hint="eastAsia" w:ascii="宋体" w:hAnsi="宋体" w:eastAsia="宋体" w:cs="宋体"/>
                <w:sz w:val="18"/>
                <w:szCs w:val="18"/>
              </w:rPr>
              <w:t>经济成本指标</w:t>
            </w:r>
          </w:p>
        </w:tc>
        <w:tc>
          <w:tcPr>
            <w:tcW w:w="732" w:type="pct"/>
            <w:tcBorders>
              <w:top w:val="nil"/>
              <w:left w:val="nil"/>
              <w:bottom w:val="single" w:color="000000" w:sz="4" w:space="0"/>
              <w:right w:val="single" w:color="000000" w:sz="4" w:space="0"/>
            </w:tcBorders>
            <w:vAlign w:val="center"/>
          </w:tcPr>
          <w:p w14:paraId="6F0D99D6">
            <w:pPr>
              <w:widowControl/>
              <w:jc w:val="center"/>
              <w:rPr>
                <w:rFonts w:ascii="宋体" w:hAnsi="宋体" w:eastAsia="宋体" w:cs="Times New Roman"/>
                <w:sz w:val="18"/>
                <w:szCs w:val="18"/>
              </w:rPr>
            </w:pPr>
            <w:r>
              <w:rPr>
                <w:rFonts w:hint="eastAsia" w:ascii="宋体" w:hAnsi="宋体" w:eastAsia="宋体" w:cs="宋体"/>
                <w:sz w:val="18"/>
                <w:szCs w:val="18"/>
              </w:rPr>
              <w:t>支付采购办公家具尾款</w:t>
            </w:r>
          </w:p>
        </w:tc>
        <w:tc>
          <w:tcPr>
            <w:tcW w:w="214" w:type="pct"/>
            <w:tcBorders>
              <w:top w:val="nil"/>
              <w:left w:val="nil"/>
              <w:bottom w:val="single" w:color="000000" w:sz="4" w:space="0"/>
              <w:right w:val="single" w:color="000000" w:sz="4" w:space="0"/>
            </w:tcBorders>
            <w:vAlign w:val="center"/>
          </w:tcPr>
          <w:p w14:paraId="5A316B1A">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27" w:type="pct"/>
            <w:tcBorders>
              <w:top w:val="nil"/>
              <w:left w:val="nil"/>
              <w:bottom w:val="single" w:color="000000" w:sz="4" w:space="0"/>
              <w:right w:val="single" w:color="000000" w:sz="4" w:space="0"/>
            </w:tcBorders>
            <w:vAlign w:val="center"/>
          </w:tcPr>
          <w:p w14:paraId="2BB475C9">
            <w:pPr>
              <w:widowControl/>
              <w:jc w:val="center"/>
              <w:rPr>
                <w:rFonts w:ascii="宋体" w:hAnsi="宋体" w:eastAsia="宋体" w:cs="宋体"/>
                <w:sz w:val="18"/>
                <w:szCs w:val="18"/>
              </w:rPr>
            </w:pPr>
            <w:r>
              <w:rPr>
                <w:rFonts w:ascii="宋体" w:hAnsi="宋体" w:eastAsia="宋体" w:cs="宋体"/>
                <w:sz w:val="18"/>
                <w:szCs w:val="18"/>
              </w:rPr>
              <w:t>64.59</w:t>
            </w:r>
          </w:p>
        </w:tc>
        <w:tc>
          <w:tcPr>
            <w:tcW w:w="214" w:type="pct"/>
            <w:tcBorders>
              <w:top w:val="nil"/>
              <w:left w:val="nil"/>
              <w:bottom w:val="single" w:color="000000" w:sz="4" w:space="0"/>
              <w:right w:val="single" w:color="000000" w:sz="4" w:space="0"/>
            </w:tcBorders>
            <w:vAlign w:val="center"/>
          </w:tcPr>
          <w:p w14:paraId="486200A0">
            <w:pPr>
              <w:widowControl/>
              <w:jc w:val="center"/>
              <w:rPr>
                <w:rFonts w:ascii="宋体" w:hAnsi="宋体" w:eastAsia="宋体" w:cs="Times New Roman"/>
                <w:sz w:val="18"/>
                <w:szCs w:val="18"/>
              </w:rPr>
            </w:pPr>
            <w:r>
              <w:rPr>
                <w:rFonts w:hint="eastAsia" w:ascii="宋体" w:hAnsi="宋体" w:eastAsia="宋体" w:cs="宋体"/>
                <w:sz w:val="18"/>
                <w:szCs w:val="18"/>
              </w:rPr>
              <w:t>万元</w:t>
            </w:r>
          </w:p>
        </w:tc>
        <w:tc>
          <w:tcPr>
            <w:tcW w:w="457" w:type="pct"/>
            <w:tcBorders>
              <w:top w:val="nil"/>
              <w:left w:val="nil"/>
              <w:bottom w:val="single" w:color="000000" w:sz="4" w:space="0"/>
              <w:right w:val="single" w:color="000000" w:sz="4" w:space="0"/>
            </w:tcBorders>
            <w:vAlign w:val="center"/>
          </w:tcPr>
          <w:p w14:paraId="1B84C39D">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262" w:type="pct"/>
            <w:tcBorders>
              <w:top w:val="nil"/>
              <w:left w:val="nil"/>
              <w:bottom w:val="single" w:color="000000" w:sz="4" w:space="0"/>
              <w:right w:val="single" w:color="000000" w:sz="4" w:space="0"/>
            </w:tcBorders>
            <w:vAlign w:val="center"/>
          </w:tcPr>
          <w:p w14:paraId="1DD1CF40">
            <w:pPr>
              <w:widowControl/>
              <w:jc w:val="center"/>
              <w:rPr>
                <w:rFonts w:ascii="宋体" w:hAnsi="宋体" w:eastAsia="宋体" w:cs="宋体"/>
                <w:sz w:val="18"/>
                <w:szCs w:val="18"/>
              </w:rPr>
            </w:pPr>
            <w:r>
              <w:rPr>
                <w:rFonts w:ascii="宋体" w:hAnsi="宋体" w:eastAsia="宋体" w:cs="宋体"/>
                <w:sz w:val="18"/>
                <w:szCs w:val="18"/>
              </w:rPr>
              <w:t>15</w:t>
            </w:r>
          </w:p>
        </w:tc>
        <w:tc>
          <w:tcPr>
            <w:tcW w:w="214" w:type="pct"/>
            <w:tcBorders>
              <w:top w:val="nil"/>
              <w:left w:val="nil"/>
              <w:bottom w:val="single" w:color="000000" w:sz="4" w:space="0"/>
              <w:right w:val="single" w:color="000000" w:sz="4" w:space="0"/>
            </w:tcBorders>
            <w:vAlign w:val="center"/>
          </w:tcPr>
          <w:p w14:paraId="54674BC4">
            <w:pPr>
              <w:widowControl/>
              <w:jc w:val="center"/>
              <w:rPr>
                <w:rFonts w:ascii="宋体" w:hAnsi="宋体" w:eastAsia="宋体" w:cs="宋体"/>
                <w:sz w:val="18"/>
                <w:szCs w:val="18"/>
              </w:rPr>
            </w:pPr>
            <w:r>
              <w:rPr>
                <w:rFonts w:ascii="宋体" w:hAnsi="宋体" w:eastAsia="宋体" w:cs="宋体"/>
                <w:sz w:val="18"/>
                <w:szCs w:val="18"/>
              </w:rPr>
              <w:t>10</w:t>
            </w:r>
          </w:p>
        </w:tc>
        <w:tc>
          <w:tcPr>
            <w:tcW w:w="838" w:type="pct"/>
            <w:tcBorders>
              <w:top w:val="nil"/>
              <w:left w:val="nil"/>
              <w:bottom w:val="single" w:color="000000" w:sz="4" w:space="0"/>
              <w:right w:val="single" w:color="000000" w:sz="4" w:space="0"/>
            </w:tcBorders>
            <w:vAlign w:val="center"/>
          </w:tcPr>
          <w:p w14:paraId="0A89E9A5">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1DD42C50">
        <w:tblPrEx>
          <w:tblCellMar>
            <w:top w:w="0" w:type="dxa"/>
            <w:left w:w="108" w:type="dxa"/>
            <w:bottom w:w="0" w:type="dxa"/>
            <w:right w:w="108" w:type="dxa"/>
          </w:tblCellMar>
        </w:tblPrEx>
        <w:trPr>
          <w:trHeight w:val="285" w:hRule="atLeast"/>
        </w:trPr>
        <w:tc>
          <w:tcPr>
            <w:tcW w:w="3684" w:type="pct"/>
            <w:gridSpan w:val="8"/>
            <w:tcBorders>
              <w:top w:val="single" w:color="000000" w:sz="4" w:space="0"/>
              <w:left w:val="single" w:color="000000" w:sz="4" w:space="0"/>
              <w:bottom w:val="single" w:color="000000" w:sz="4" w:space="0"/>
              <w:right w:val="single" w:color="000000" w:sz="4" w:space="0"/>
            </w:tcBorders>
            <w:vAlign w:val="center"/>
          </w:tcPr>
          <w:p w14:paraId="03725F43">
            <w:pPr>
              <w:widowControl/>
              <w:jc w:val="center"/>
              <w:rPr>
                <w:rFonts w:ascii="宋体" w:hAnsi="宋体" w:eastAsia="宋体" w:cs="Times New Roman"/>
                <w:sz w:val="18"/>
                <w:szCs w:val="18"/>
              </w:rPr>
            </w:pPr>
            <w:r>
              <w:rPr>
                <w:rFonts w:hint="eastAsia" w:ascii="宋体" w:hAnsi="宋体" w:eastAsia="宋体" w:cs="宋体"/>
                <w:sz w:val="18"/>
                <w:szCs w:val="18"/>
              </w:rPr>
              <w:t>合计</w:t>
            </w:r>
          </w:p>
        </w:tc>
        <w:tc>
          <w:tcPr>
            <w:tcW w:w="262" w:type="pct"/>
            <w:tcBorders>
              <w:top w:val="nil"/>
              <w:left w:val="nil"/>
              <w:bottom w:val="single" w:color="000000" w:sz="4" w:space="0"/>
              <w:right w:val="single" w:color="000000" w:sz="4" w:space="0"/>
            </w:tcBorders>
            <w:vAlign w:val="center"/>
          </w:tcPr>
          <w:p w14:paraId="2FCD4330">
            <w:pPr>
              <w:widowControl/>
              <w:jc w:val="center"/>
              <w:rPr>
                <w:rFonts w:ascii="宋体" w:hAnsi="宋体" w:eastAsia="宋体" w:cs="宋体"/>
                <w:sz w:val="18"/>
                <w:szCs w:val="18"/>
              </w:rPr>
            </w:pPr>
            <w:r>
              <w:rPr>
                <w:rFonts w:ascii="宋体" w:hAnsi="宋体" w:eastAsia="宋体" w:cs="宋体"/>
                <w:sz w:val="18"/>
                <w:szCs w:val="18"/>
              </w:rPr>
              <w:t>100</w:t>
            </w:r>
          </w:p>
        </w:tc>
        <w:tc>
          <w:tcPr>
            <w:tcW w:w="214" w:type="pct"/>
            <w:tcBorders>
              <w:top w:val="nil"/>
              <w:left w:val="nil"/>
              <w:bottom w:val="single" w:color="000000" w:sz="4" w:space="0"/>
              <w:right w:val="single" w:color="000000" w:sz="4" w:space="0"/>
            </w:tcBorders>
            <w:vAlign w:val="center"/>
          </w:tcPr>
          <w:p w14:paraId="7187E0F2">
            <w:pPr>
              <w:widowControl/>
              <w:jc w:val="right"/>
              <w:rPr>
                <w:rFonts w:ascii="宋体" w:hAnsi="宋体" w:eastAsia="宋体" w:cs="宋体"/>
                <w:sz w:val="18"/>
                <w:szCs w:val="18"/>
              </w:rPr>
            </w:pPr>
            <w:r>
              <w:rPr>
                <w:rFonts w:ascii="宋体" w:hAnsi="宋体" w:eastAsia="宋体" w:cs="宋体"/>
                <w:sz w:val="18"/>
                <w:szCs w:val="18"/>
              </w:rPr>
              <w:t>95</w:t>
            </w:r>
          </w:p>
        </w:tc>
        <w:tc>
          <w:tcPr>
            <w:tcW w:w="838" w:type="pct"/>
            <w:tcBorders>
              <w:top w:val="nil"/>
              <w:left w:val="nil"/>
              <w:bottom w:val="single" w:color="000000" w:sz="4" w:space="0"/>
              <w:right w:val="single" w:color="000000" w:sz="4" w:space="0"/>
            </w:tcBorders>
            <w:vAlign w:val="center"/>
          </w:tcPr>
          <w:p w14:paraId="110671DE">
            <w:pPr>
              <w:widowControl/>
              <w:jc w:val="left"/>
              <w:rPr>
                <w:rFonts w:ascii="宋体" w:hAnsi="宋体" w:eastAsia="宋体" w:cs="Times New Roman"/>
                <w:sz w:val="18"/>
                <w:szCs w:val="18"/>
              </w:rPr>
            </w:pPr>
            <w:r>
              <w:rPr>
                <w:rFonts w:hint="eastAsia" w:ascii="宋体" w:hAnsi="宋体" w:eastAsia="宋体" w:cs="宋体"/>
                <w:sz w:val="18"/>
                <w:szCs w:val="18"/>
              </w:rPr>
              <w:t>　</w:t>
            </w:r>
          </w:p>
        </w:tc>
      </w:tr>
      <w:tr w14:paraId="006FE411">
        <w:tblPrEx>
          <w:tblCellMar>
            <w:top w:w="0" w:type="dxa"/>
            <w:left w:w="108" w:type="dxa"/>
            <w:bottom w:w="0" w:type="dxa"/>
            <w:right w:w="108" w:type="dxa"/>
          </w:tblCellMar>
        </w:tblPrEx>
        <w:trPr>
          <w:trHeight w:val="604" w:hRule="atLeast"/>
        </w:trPr>
        <w:tc>
          <w:tcPr>
            <w:tcW w:w="311" w:type="pct"/>
            <w:tcBorders>
              <w:top w:val="nil"/>
              <w:left w:val="single" w:color="000000" w:sz="4" w:space="0"/>
              <w:bottom w:val="single" w:color="000000" w:sz="4" w:space="0"/>
              <w:right w:val="single" w:color="000000" w:sz="4" w:space="0"/>
            </w:tcBorders>
            <w:vAlign w:val="center"/>
          </w:tcPr>
          <w:p w14:paraId="396B9F2F">
            <w:pPr>
              <w:widowControl/>
              <w:jc w:val="center"/>
              <w:rPr>
                <w:rFonts w:ascii="宋体" w:hAnsi="宋体" w:eastAsia="宋体" w:cs="Times New Roman"/>
                <w:sz w:val="18"/>
                <w:szCs w:val="18"/>
              </w:rPr>
            </w:pPr>
            <w:r>
              <w:rPr>
                <w:rFonts w:hint="eastAsia" w:ascii="宋体" w:hAnsi="宋体" w:eastAsia="宋体" w:cs="宋体"/>
                <w:sz w:val="18"/>
                <w:szCs w:val="18"/>
              </w:rPr>
              <w:t>评价结论</w:t>
            </w:r>
          </w:p>
        </w:tc>
        <w:tc>
          <w:tcPr>
            <w:tcW w:w="4688" w:type="pct"/>
            <w:gridSpan w:val="10"/>
            <w:tcBorders>
              <w:top w:val="single" w:color="000000" w:sz="4" w:space="0"/>
              <w:left w:val="nil"/>
              <w:bottom w:val="single" w:color="000000" w:sz="4" w:space="0"/>
              <w:right w:val="single" w:color="000000" w:sz="4" w:space="0"/>
            </w:tcBorders>
            <w:vAlign w:val="center"/>
          </w:tcPr>
          <w:p w14:paraId="063FFF7C">
            <w:pPr>
              <w:widowControl/>
              <w:jc w:val="both"/>
              <w:rPr>
                <w:rFonts w:hint="eastAsia" w:ascii="宋体" w:hAnsi="宋体" w:eastAsia="宋体" w:cs="宋体"/>
                <w:sz w:val="18"/>
                <w:szCs w:val="18"/>
              </w:rPr>
            </w:pPr>
            <w:r>
              <w:rPr>
                <w:rFonts w:hint="eastAsia" w:ascii="宋体" w:hAnsi="宋体" w:eastAsia="宋体" w:cs="宋体"/>
                <w:sz w:val="18"/>
                <w:szCs w:val="18"/>
              </w:rPr>
              <w:t>经过对项目资料、财务资料及台账等资料的分析，逐项进行自我评价，并结合社会评估得分，最终项目综合得分为95分。通过项目实施，完善了为民办事阵地，完全达到部门入驻、事项集中办理的相关要求，为办事群众提供更加优质的办事环境，群众满意度高。</w:t>
            </w:r>
          </w:p>
        </w:tc>
      </w:tr>
      <w:tr w14:paraId="0C8A2C6E">
        <w:tblPrEx>
          <w:tblCellMar>
            <w:top w:w="0" w:type="dxa"/>
            <w:left w:w="108" w:type="dxa"/>
            <w:bottom w:w="0" w:type="dxa"/>
            <w:right w:w="108" w:type="dxa"/>
          </w:tblCellMar>
        </w:tblPrEx>
        <w:trPr>
          <w:trHeight w:val="574" w:hRule="atLeast"/>
        </w:trPr>
        <w:tc>
          <w:tcPr>
            <w:tcW w:w="311" w:type="pct"/>
            <w:tcBorders>
              <w:top w:val="nil"/>
              <w:left w:val="single" w:color="000000" w:sz="4" w:space="0"/>
              <w:bottom w:val="single" w:color="000000" w:sz="4" w:space="0"/>
              <w:right w:val="single" w:color="000000" w:sz="4" w:space="0"/>
            </w:tcBorders>
            <w:vAlign w:val="center"/>
          </w:tcPr>
          <w:p w14:paraId="12E3C27D">
            <w:pPr>
              <w:widowControl/>
              <w:jc w:val="center"/>
              <w:rPr>
                <w:rFonts w:ascii="宋体" w:hAnsi="宋体" w:eastAsia="宋体" w:cs="Times New Roman"/>
                <w:sz w:val="18"/>
                <w:szCs w:val="18"/>
              </w:rPr>
            </w:pPr>
            <w:r>
              <w:rPr>
                <w:rFonts w:hint="eastAsia" w:ascii="宋体" w:hAnsi="宋体" w:eastAsia="宋体" w:cs="宋体"/>
                <w:sz w:val="18"/>
                <w:szCs w:val="18"/>
              </w:rPr>
              <w:t>存在问题</w:t>
            </w:r>
          </w:p>
        </w:tc>
        <w:tc>
          <w:tcPr>
            <w:tcW w:w="4688" w:type="pct"/>
            <w:gridSpan w:val="10"/>
            <w:tcBorders>
              <w:top w:val="single" w:color="000000" w:sz="4" w:space="0"/>
              <w:left w:val="nil"/>
              <w:bottom w:val="single" w:color="000000" w:sz="4" w:space="0"/>
              <w:right w:val="single" w:color="000000" w:sz="4" w:space="0"/>
            </w:tcBorders>
            <w:vAlign w:val="center"/>
          </w:tcPr>
          <w:p w14:paraId="425BA830">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136477EE">
        <w:tblPrEx>
          <w:tblCellMar>
            <w:top w:w="0" w:type="dxa"/>
            <w:left w:w="108" w:type="dxa"/>
            <w:bottom w:w="0" w:type="dxa"/>
            <w:right w:w="108" w:type="dxa"/>
          </w:tblCellMar>
        </w:tblPrEx>
        <w:trPr>
          <w:trHeight w:val="634" w:hRule="atLeast"/>
        </w:trPr>
        <w:tc>
          <w:tcPr>
            <w:tcW w:w="311" w:type="pct"/>
            <w:tcBorders>
              <w:top w:val="nil"/>
              <w:left w:val="single" w:color="000000" w:sz="4" w:space="0"/>
              <w:bottom w:val="single" w:color="000000" w:sz="4" w:space="0"/>
              <w:right w:val="single" w:color="000000" w:sz="4" w:space="0"/>
            </w:tcBorders>
            <w:vAlign w:val="center"/>
          </w:tcPr>
          <w:p w14:paraId="247C987B">
            <w:pPr>
              <w:widowControl/>
              <w:jc w:val="center"/>
              <w:rPr>
                <w:rFonts w:ascii="宋体" w:hAnsi="宋体" w:eastAsia="宋体" w:cs="Times New Roman"/>
                <w:sz w:val="18"/>
                <w:szCs w:val="18"/>
              </w:rPr>
            </w:pPr>
            <w:r>
              <w:rPr>
                <w:rFonts w:hint="eastAsia" w:ascii="宋体" w:hAnsi="宋体" w:eastAsia="宋体" w:cs="宋体"/>
                <w:sz w:val="18"/>
                <w:szCs w:val="18"/>
              </w:rPr>
              <w:t>改进措施</w:t>
            </w:r>
          </w:p>
        </w:tc>
        <w:tc>
          <w:tcPr>
            <w:tcW w:w="4688" w:type="pct"/>
            <w:gridSpan w:val="10"/>
            <w:tcBorders>
              <w:top w:val="single" w:color="000000" w:sz="4" w:space="0"/>
              <w:left w:val="nil"/>
              <w:bottom w:val="single" w:color="000000" w:sz="4" w:space="0"/>
              <w:right w:val="single" w:color="000000" w:sz="4" w:space="0"/>
            </w:tcBorders>
            <w:vAlign w:val="center"/>
          </w:tcPr>
          <w:p w14:paraId="2E9101E8">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41ACA918">
        <w:tblPrEx>
          <w:tblCellMar>
            <w:top w:w="0" w:type="dxa"/>
            <w:left w:w="108" w:type="dxa"/>
            <w:bottom w:w="0" w:type="dxa"/>
            <w:right w:w="108" w:type="dxa"/>
          </w:tblCellMar>
        </w:tblPrEx>
        <w:trPr>
          <w:trHeight w:val="285" w:hRule="atLeast"/>
        </w:trPr>
        <w:tc>
          <w:tcPr>
            <w:tcW w:w="2484" w:type="pct"/>
            <w:gridSpan w:val="5"/>
            <w:tcBorders>
              <w:top w:val="single" w:color="000000" w:sz="4" w:space="0"/>
              <w:left w:val="single" w:color="000000" w:sz="4" w:space="0"/>
              <w:bottom w:val="single" w:color="000000" w:sz="4" w:space="0"/>
              <w:right w:val="single" w:color="000000" w:sz="4" w:space="0"/>
            </w:tcBorders>
            <w:vAlign w:val="center"/>
          </w:tcPr>
          <w:p w14:paraId="0AF2A3F6">
            <w:pPr>
              <w:widowControl/>
              <w:jc w:val="left"/>
              <w:rPr>
                <w:rFonts w:ascii="Courier New" w:hAnsi="Courier New" w:eastAsia="宋体" w:cs="Times New Roman"/>
                <w:sz w:val="18"/>
                <w:szCs w:val="18"/>
              </w:rPr>
            </w:pPr>
            <w:r>
              <w:rPr>
                <w:rFonts w:hint="eastAsia" w:ascii="Courier New" w:hAnsi="Courier New" w:eastAsia="宋体" w:cs="宋体"/>
                <w:sz w:val="18"/>
                <w:szCs w:val="18"/>
              </w:rPr>
              <w:t>项目负责人：蒙晓萍</w:t>
            </w:r>
          </w:p>
        </w:tc>
        <w:tc>
          <w:tcPr>
            <w:tcW w:w="2515" w:type="pct"/>
            <w:gridSpan w:val="6"/>
            <w:tcBorders>
              <w:top w:val="single" w:color="000000" w:sz="4" w:space="0"/>
              <w:left w:val="nil"/>
              <w:bottom w:val="single" w:color="000000" w:sz="4" w:space="0"/>
              <w:right w:val="single" w:color="000000" w:sz="4" w:space="0"/>
            </w:tcBorders>
            <w:vAlign w:val="center"/>
          </w:tcPr>
          <w:p w14:paraId="156613DE">
            <w:pPr>
              <w:widowControl/>
              <w:jc w:val="left"/>
              <w:rPr>
                <w:rFonts w:ascii="Courier New" w:hAnsi="Courier New" w:eastAsia="宋体" w:cs="Times New Roman"/>
                <w:sz w:val="18"/>
                <w:szCs w:val="18"/>
              </w:rPr>
            </w:pPr>
            <w:r>
              <w:rPr>
                <w:rFonts w:hint="eastAsia" w:ascii="Courier New" w:hAnsi="Courier New" w:eastAsia="宋体" w:cs="宋体"/>
                <w:sz w:val="18"/>
                <w:szCs w:val="18"/>
              </w:rPr>
              <w:t>财务负责人：谭春乔</w:t>
            </w:r>
          </w:p>
        </w:tc>
      </w:tr>
    </w:tbl>
    <w:p w14:paraId="4CA44D54">
      <w:pPr>
        <w:pStyle w:val="227"/>
        <w:spacing w:line="578" w:lineRule="exact"/>
        <w:jc w:val="center"/>
        <w:rPr>
          <w:rFonts w:ascii="Times New Roman" w:hAnsi="Times New Roman" w:eastAsia="方正小标宋简体" w:cs="Times New Roman"/>
          <w:kern w:val="2"/>
          <w:sz w:val="44"/>
          <w:szCs w:val="44"/>
          <w:lang w:val="en-US"/>
        </w:rPr>
      </w:pPr>
    </w:p>
    <w:p w14:paraId="6B6400FC">
      <w:pPr>
        <w:pStyle w:val="227"/>
        <w:keepNext w:val="0"/>
        <w:keepLines w:val="0"/>
        <w:pageBreakBefore w:val="0"/>
        <w:kinsoku/>
        <w:wordWrap/>
        <w:overflowPunct/>
        <w:topLinePunct w:val="0"/>
        <w:autoSpaceDE/>
        <w:autoSpaceDN/>
        <w:bidi w:val="0"/>
        <w:spacing w:line="540" w:lineRule="exact"/>
        <w:jc w:val="center"/>
        <w:textAlignment w:val="auto"/>
        <w:rPr>
          <w:rFonts w:ascii="Times New Roman" w:hAnsi="Times New Roman" w:eastAsia="方正小标宋简体" w:cs="Times New Roman"/>
          <w:kern w:val="2"/>
          <w:sz w:val="44"/>
          <w:szCs w:val="44"/>
          <w:lang w:val="en-US"/>
        </w:rPr>
      </w:pPr>
      <w:r>
        <w:rPr>
          <w:rFonts w:hint="eastAsia" w:ascii="Times New Roman" w:hAnsi="Times New Roman" w:eastAsia="方正小标宋简体" w:cs="方正小标宋简体"/>
          <w:kern w:val="2"/>
          <w:sz w:val="44"/>
          <w:szCs w:val="44"/>
          <w:lang w:val="en-US"/>
        </w:rPr>
        <w:t>专项预算项目绩效评价报告</w:t>
      </w:r>
    </w:p>
    <w:p w14:paraId="7D9BC571">
      <w:pPr>
        <w:pStyle w:val="227"/>
        <w:keepNext w:val="0"/>
        <w:keepLines w:val="0"/>
        <w:pageBreakBefore w:val="0"/>
        <w:kinsoku/>
        <w:wordWrap/>
        <w:overflowPunct/>
        <w:topLinePunct w:val="0"/>
        <w:autoSpaceDE/>
        <w:autoSpaceDN/>
        <w:bidi w:val="0"/>
        <w:spacing w:line="540" w:lineRule="exact"/>
        <w:ind w:firstLine="2240" w:firstLineChars="700"/>
        <w:textAlignment w:val="auto"/>
        <w:rPr>
          <w:rFonts w:hint="eastAsia" w:ascii="楷体_GB2312" w:hAnsi="楷体_GB2312" w:eastAsia="楷体_GB2312" w:cs="楷体_GB2312"/>
          <w:kern w:val="2"/>
          <w:sz w:val="32"/>
          <w:szCs w:val="32"/>
        </w:rPr>
      </w:pPr>
      <w:r>
        <w:rPr>
          <w:rFonts w:hint="eastAsia" w:ascii="楷体_GB2312" w:hAnsi="楷体_GB2312" w:eastAsia="楷体_GB2312" w:cs="楷体_GB2312"/>
          <w:kern w:val="2"/>
          <w:sz w:val="32"/>
          <w:szCs w:val="32"/>
        </w:rPr>
        <w:t>（</w:t>
      </w:r>
      <w:bookmarkStart w:id="137" w:name="OLE_LINK114"/>
      <w:bookmarkStart w:id="138" w:name="OLE_LINK115"/>
      <w:r>
        <w:rPr>
          <w:rFonts w:hint="eastAsia" w:ascii="楷体_GB2312" w:hAnsi="楷体_GB2312" w:eastAsia="楷体_GB2312" w:cs="楷体_GB2312"/>
          <w:sz w:val="32"/>
          <w:szCs w:val="32"/>
          <w:lang w:val="en-US"/>
        </w:rPr>
        <w:t>便民服务体系'三化“建设经费</w:t>
      </w:r>
      <w:bookmarkEnd w:id="137"/>
      <w:bookmarkEnd w:id="138"/>
      <w:r>
        <w:rPr>
          <w:rFonts w:hint="eastAsia" w:ascii="楷体_GB2312" w:hAnsi="楷体_GB2312" w:eastAsia="楷体_GB2312" w:cs="楷体_GB2312"/>
          <w:kern w:val="2"/>
          <w:sz w:val="32"/>
          <w:szCs w:val="32"/>
        </w:rPr>
        <w:t>）</w:t>
      </w:r>
    </w:p>
    <w:p w14:paraId="29494F25">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ascii="Times New Roman" w:hAnsi="Times New Roman" w:eastAsia="黑体" w:cs="Times New Roman"/>
          <w:color w:val="000000"/>
          <w:lang w:val="zh-CN"/>
        </w:rPr>
      </w:pPr>
      <w:bookmarkStart w:id="139" w:name="_Toc16106"/>
      <w:r>
        <w:rPr>
          <w:rFonts w:hint="eastAsia" w:ascii="Times New Roman" w:hAnsi="Times New Roman" w:eastAsia="黑体" w:cs="黑体"/>
          <w:color w:val="000000"/>
        </w:rPr>
        <w:t>一、</w:t>
      </w:r>
      <w:r>
        <w:rPr>
          <w:rFonts w:hint="eastAsia" w:ascii="Times New Roman" w:hAnsi="Times New Roman" w:eastAsia="黑体" w:cs="黑体"/>
          <w:color w:val="000000"/>
          <w:lang w:val="zh-CN"/>
        </w:rPr>
        <w:t>项目概况</w:t>
      </w:r>
      <w:bookmarkEnd w:id="139"/>
    </w:p>
    <w:p w14:paraId="65C7DD03">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楷体_GB2312" w:hAnsi="楷体_GB2312" w:eastAsia="楷体_GB2312" w:cs="楷体_GB2312"/>
          <w:color w:val="000000"/>
          <w:lang w:val="zh-CN"/>
        </w:rPr>
      </w:pPr>
      <w:r>
        <w:rPr>
          <w:rFonts w:hint="eastAsia" w:ascii="楷体_GB2312" w:hAnsi="楷体_GB2312" w:eastAsia="楷体_GB2312" w:cs="楷体_GB2312"/>
          <w:color w:val="000000"/>
          <w:lang w:val="zh-CN"/>
        </w:rPr>
        <w:t>（一）设立背景及基本情况。</w:t>
      </w:r>
    </w:p>
    <w:p w14:paraId="2468DC2B">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1.</w:t>
      </w:r>
      <w:r>
        <w:rPr>
          <w:rFonts w:hint="eastAsia" w:ascii="仿宋_GB2312" w:hAnsi="仿宋_GB2312" w:eastAsia="仿宋_GB2312" w:cs="仿宋_GB2312"/>
        </w:rPr>
        <w:t xml:space="preserve"> 便民服务体系</w:t>
      </w:r>
      <w:r>
        <w:rPr>
          <w:rFonts w:hint="eastAsia" w:ascii="仿宋_GB2312" w:hAnsi="仿宋_GB2312" w:eastAsia="仿宋_GB2312" w:cs="仿宋_GB2312"/>
          <w:lang w:val="en-US"/>
        </w:rPr>
        <w:t>'三化“</w:t>
      </w:r>
      <w:r>
        <w:rPr>
          <w:rFonts w:hint="eastAsia" w:ascii="仿宋_GB2312" w:hAnsi="仿宋_GB2312" w:eastAsia="仿宋_GB2312" w:cs="仿宋_GB2312"/>
        </w:rPr>
        <w:t>建设经费</w:t>
      </w:r>
      <w:r>
        <w:rPr>
          <w:rFonts w:hint="eastAsia" w:ascii="仿宋_GB2312" w:hAnsi="仿宋_GB2312" w:eastAsia="仿宋_GB2312" w:cs="仿宋_GB2312"/>
          <w:color w:val="000000"/>
        </w:rPr>
        <w:t>预算11.4万元，主要用于建设乡镇（含2个社区）综合窗口，窗口屏。建设工作持续推进。提升了办事工作效率，促进便民服务中心工作规范化、标准化，群众办事便利化。</w:t>
      </w:r>
      <w:r>
        <w:rPr>
          <w:rFonts w:hint="eastAsia" w:ascii="仿宋_GB2312" w:hAnsi="仿宋_GB2312" w:eastAsia="仿宋_GB2312" w:cs="仿宋_GB2312"/>
          <w:color w:val="000000"/>
          <w:lang w:val="zh-CN"/>
        </w:rPr>
        <w:t xml:space="preserve"> </w:t>
      </w:r>
    </w:p>
    <w:p w14:paraId="274EC9C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zh-CN"/>
        </w:rPr>
        <w:t>项目立项、资金申报的依据。区相关文件。</w:t>
      </w:r>
    </w:p>
    <w:p w14:paraId="77FD107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val="zh-CN"/>
        </w:rPr>
        <w:t>项目主要内容、部门职能。</w:t>
      </w:r>
      <w:r>
        <w:rPr>
          <w:rFonts w:hint="eastAsia" w:ascii="仿宋_GB2312" w:hAnsi="仿宋_GB2312" w:cs="仿宋_GB2312"/>
          <w:color w:val="000000"/>
          <w:lang w:eastAsia="zh-CN"/>
        </w:rPr>
        <w:t>截至目前</w:t>
      </w:r>
      <w:r>
        <w:rPr>
          <w:rFonts w:hint="eastAsia" w:ascii="仿宋_GB2312" w:hAnsi="仿宋_GB2312" w:eastAsia="仿宋_GB2312" w:cs="仿宋_GB2312"/>
          <w:color w:val="000000"/>
        </w:rPr>
        <w:t>共建设了18个乡镇（含2个社区）96个综合窗口，51个窗口屏。建设工作持续推进。提升了办事工作效率，促进便民服务中心工作规范化、标准化，群众办事便利化。</w:t>
      </w:r>
    </w:p>
    <w:p w14:paraId="2C0E368D">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楷体_GB2312" w:hAnsi="楷体_GB2312" w:eastAsia="楷体_GB2312" w:cs="楷体_GB2312"/>
          <w:color w:val="000000"/>
          <w:lang w:val="zh-CN"/>
        </w:rPr>
        <w:t>（二）实施目的及支持方向。</w:t>
      </w:r>
      <w:r>
        <w:rPr>
          <w:rStyle w:val="232"/>
          <w:rFonts w:hint="eastAsia" w:ascii="仿宋_GB2312" w:hAnsi="仿宋_GB2312" w:eastAsia="仿宋_GB2312" w:cs="仿宋_GB2312"/>
          <w:color w:val="000000"/>
        </w:rPr>
        <w:t>为乡镇配置评价器22台，高拍仪13台。</w:t>
      </w:r>
      <w:r>
        <w:rPr>
          <w:rFonts w:hint="eastAsia" w:ascii="仿宋_GB2312" w:hAnsi="仿宋_GB2312" w:eastAsia="仿宋_GB2312" w:cs="仿宋_GB2312"/>
          <w:color w:val="000000"/>
        </w:rPr>
        <w:t>该项目资金根据区</w:t>
      </w:r>
      <w:bookmarkStart w:id="140" w:name="OLE_LINK117"/>
      <w:bookmarkStart w:id="141" w:name="OLE_LINK116"/>
      <w:r>
        <w:rPr>
          <w:rFonts w:hint="eastAsia" w:ascii="仿宋_GB2312" w:hAnsi="仿宋_GB2312" w:eastAsia="仿宋_GB2312" w:cs="仿宋_GB2312"/>
          <w:color w:val="000000"/>
        </w:rPr>
        <w:t>行政审批和数据局</w:t>
      </w:r>
      <w:bookmarkEnd w:id="140"/>
      <w:bookmarkEnd w:id="141"/>
      <w:r>
        <w:rPr>
          <w:rFonts w:hint="eastAsia" w:ascii="仿宋_GB2312" w:hAnsi="仿宋_GB2312" w:eastAsia="仿宋_GB2312" w:cs="仿宋_GB2312"/>
          <w:color w:val="000000"/>
        </w:rPr>
        <w:t>实际支出情况按需支取。</w:t>
      </w:r>
    </w:p>
    <w:p w14:paraId="1A5AF9D0">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rPr>
      </w:pPr>
      <w:r>
        <w:rPr>
          <w:rFonts w:hint="eastAsia" w:ascii="楷体_GB2312" w:hAnsi="楷体_GB2312" w:eastAsia="楷体_GB2312" w:cs="楷体_GB2312"/>
          <w:color w:val="000000"/>
          <w:lang w:val="zh-CN"/>
        </w:rPr>
        <w:t>（三）预算安排及分配管理。</w:t>
      </w:r>
      <w:r>
        <w:rPr>
          <w:rFonts w:hint="eastAsia" w:ascii="仿宋_GB2312" w:hAnsi="仿宋_GB2312" w:eastAsia="仿宋_GB2312" w:cs="仿宋_GB2312"/>
          <w:color w:val="000000"/>
        </w:rPr>
        <w:t>年初预算安排0万元，使用11.4万元。项目资金由区</w:t>
      </w:r>
      <w:bookmarkStart w:id="142" w:name="OLE_LINK119"/>
      <w:bookmarkStart w:id="143" w:name="OLE_LINK118"/>
      <w:r>
        <w:rPr>
          <w:rFonts w:hint="eastAsia" w:ascii="仿宋_GB2312" w:hAnsi="仿宋_GB2312" w:eastAsia="仿宋_GB2312" w:cs="仿宋_GB2312"/>
          <w:color w:val="000000"/>
        </w:rPr>
        <w:t>行政审批和数据局</w:t>
      </w:r>
      <w:bookmarkEnd w:id="142"/>
      <w:bookmarkEnd w:id="143"/>
      <w:r>
        <w:rPr>
          <w:rFonts w:hint="eastAsia" w:ascii="仿宋_GB2312" w:hAnsi="仿宋_GB2312" w:eastAsia="仿宋_GB2312" w:cs="仿宋_GB2312"/>
          <w:color w:val="000000"/>
        </w:rPr>
        <w:t>监管，并严格按照相关财经纪律执行。</w:t>
      </w:r>
    </w:p>
    <w:p w14:paraId="25FCB25A">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_GB2312" w:hAnsi="仿宋_GB2312" w:eastAsia="仿宋_GB2312" w:cs="仿宋_GB2312"/>
          <w:color w:val="000000"/>
        </w:rPr>
      </w:pPr>
      <w:r>
        <w:rPr>
          <w:rFonts w:hint="eastAsia" w:ascii="楷体_GB2312" w:hAnsi="楷体_GB2312" w:eastAsia="楷体_GB2312" w:cs="楷体_GB2312"/>
          <w:color w:val="000000"/>
          <w:lang w:val="zh-CN"/>
        </w:rPr>
        <w:t>（四）项目绩效目标设置。</w:t>
      </w:r>
      <w:r>
        <w:rPr>
          <w:rStyle w:val="232"/>
          <w:rFonts w:hint="eastAsia" w:ascii="仿宋_GB2312" w:hAnsi="仿宋_GB2312" w:eastAsia="仿宋_GB2312" w:cs="仿宋_GB2312"/>
          <w:color w:val="000000"/>
        </w:rPr>
        <w:t>方便群众办事，提升便民服务中心工作效率。</w:t>
      </w:r>
      <w:r>
        <w:rPr>
          <w:rFonts w:hint="eastAsia" w:ascii="仿宋_GB2312" w:hAnsi="仿宋_GB2312" w:eastAsia="仿宋_GB2312" w:cs="仿宋_GB2312"/>
          <w:color w:val="000000"/>
        </w:rPr>
        <w:t>组建自评工作组收集和整理自评的相关数据和信息进行自我分析和评估，对自评的结果进行总结和归纳并制定改进计划和措施，及时跟进和落实。</w:t>
      </w:r>
    </w:p>
    <w:p w14:paraId="59CF3092">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黑体" w:cs="黑体"/>
          <w:color w:val="000000"/>
        </w:rPr>
      </w:pPr>
      <w:bookmarkStart w:id="144" w:name="_Toc1820"/>
      <w:r>
        <w:rPr>
          <w:rFonts w:hint="eastAsia" w:ascii="Times New Roman" w:hAnsi="Times New Roman" w:eastAsia="黑体" w:cs="黑体"/>
          <w:color w:val="000000"/>
        </w:rPr>
        <w:t>二、评价实施</w:t>
      </w:r>
      <w:bookmarkEnd w:id="144"/>
    </w:p>
    <w:p w14:paraId="22A4789B">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lang w:val="zh-CN"/>
        </w:rPr>
      </w:pPr>
      <w:r>
        <w:rPr>
          <w:rFonts w:hint="eastAsia" w:ascii="楷体_GB2312" w:hAnsi="楷体_GB2312" w:eastAsia="楷体_GB2312" w:cs="楷体_GB2312"/>
          <w:color w:val="000000"/>
          <w:lang w:val="zh-CN"/>
        </w:rPr>
        <w:t>（一）评价目的。</w:t>
      </w:r>
      <w:r>
        <w:rPr>
          <w:rFonts w:hint="eastAsia" w:ascii="仿宋_GB2312" w:hAnsi="仿宋_GB2312" w:eastAsia="仿宋_GB2312" w:cs="仿宋_GB2312"/>
          <w:color w:val="000000"/>
          <w:lang w:val="zh-CN"/>
        </w:rPr>
        <w:t>反映项目实施是否偏离目标，并总结经验，为改善管理，纠正目标与实际的偏差提供依据。</w:t>
      </w:r>
    </w:p>
    <w:p w14:paraId="078B00B2">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楷体_GB2312" w:hAnsi="楷体_GB2312" w:eastAsia="楷体_GB2312" w:cs="楷体_GB2312"/>
          <w:color w:val="000000"/>
          <w:lang w:val="zh-CN"/>
        </w:rPr>
        <w:t>（二）预设问题及评价重点。</w:t>
      </w:r>
      <w:r>
        <w:rPr>
          <w:rFonts w:hint="eastAsia" w:ascii="仿宋_GB2312" w:hAnsi="仿宋_GB2312" w:eastAsia="仿宋_GB2312" w:cs="仿宋_GB2312"/>
          <w:color w:val="000000"/>
          <w:lang w:val="zh-CN"/>
        </w:rPr>
        <w:t>便民服务体系'三化“建设经费</w:t>
      </w:r>
      <w:r>
        <w:rPr>
          <w:rFonts w:hint="eastAsia" w:ascii="仿宋_GB2312" w:hAnsi="仿宋_GB2312" w:eastAsia="仿宋_GB2312" w:cs="仿宋_GB2312"/>
          <w:color w:val="000000"/>
        </w:rPr>
        <w:t>严格按照专款专用原则，及时通知有关单位提供合法票据，完善报账手续，严格票据审核，规范报账程序，确保资金使用的规范性，同时财政部门对资金支付严格审核，确保资金使用安全。</w:t>
      </w:r>
    </w:p>
    <w:p w14:paraId="6B9ABBB0">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楷体_GB2312" w:hAnsi="楷体_GB2312" w:eastAsia="楷体_GB2312" w:cs="楷体_GB2312"/>
          <w:color w:val="000000"/>
          <w:lang w:val="zh-CN"/>
        </w:rPr>
        <w:t>（三）评价选点。</w:t>
      </w:r>
      <w:r>
        <w:rPr>
          <w:rFonts w:hint="eastAsia" w:ascii="仿宋_GB2312" w:hAnsi="仿宋_GB2312" w:eastAsia="仿宋_GB2312" w:cs="仿宋_GB2312"/>
          <w:color w:val="000000"/>
          <w:lang w:val="zh-CN"/>
        </w:rPr>
        <w:t>项目实际完成情况。</w:t>
      </w:r>
    </w:p>
    <w:p w14:paraId="2FBACE8E">
      <w:pPr>
        <w:keepNext w:val="0"/>
        <w:keepLines w:val="0"/>
        <w:pageBreakBefore w:val="0"/>
        <w:kinsoku/>
        <w:wordWrap/>
        <w:overflowPunct/>
        <w:topLinePunct w:val="0"/>
        <w:autoSpaceDE/>
        <w:autoSpaceDN/>
        <w:bidi w:val="0"/>
        <w:spacing w:line="540" w:lineRule="exact"/>
        <w:ind w:left="640" w:leftChars="200"/>
        <w:textAlignment w:val="auto"/>
        <w:rPr>
          <w:rFonts w:hint="eastAsia" w:ascii="仿宋_GB2312" w:hAnsi="仿宋_GB2312" w:eastAsia="仿宋_GB2312" w:cs="仿宋_GB2312"/>
          <w:snapToGrid w:val="0"/>
          <w:color w:val="000000"/>
        </w:rPr>
      </w:pPr>
      <w:r>
        <w:rPr>
          <w:rFonts w:hint="eastAsia" w:ascii="楷体_GB2312" w:hAnsi="楷体_GB2312" w:eastAsia="楷体_GB2312" w:cs="楷体_GB2312"/>
          <w:color w:val="000000"/>
          <w:lang w:val="zh-CN"/>
        </w:rPr>
        <w:t>（四）评价方法。</w:t>
      </w:r>
      <w:r>
        <w:rPr>
          <w:rFonts w:hint="eastAsia" w:ascii="仿宋_GB2312" w:hAnsi="仿宋_GB2312" w:eastAsia="仿宋_GB2312" w:cs="仿宋_GB2312"/>
          <w:color w:val="000000"/>
          <w:kern w:val="2"/>
        </w:rPr>
        <w:t>本次项目支出绩效评价采取分级评分法。</w:t>
      </w:r>
      <w:r>
        <w:rPr>
          <w:rFonts w:hint="eastAsia" w:ascii="楷体_GB2312" w:hAnsi="楷体_GB2312" w:eastAsia="楷体_GB2312" w:cs="楷体_GB2312"/>
          <w:color w:val="000000"/>
          <w:lang w:val="zh-CN"/>
        </w:rPr>
        <w:t>（五）评价组织。</w:t>
      </w:r>
      <w:r>
        <w:rPr>
          <w:rFonts w:hint="eastAsia" w:ascii="仿宋_GB2312" w:hAnsi="仿宋_GB2312" w:eastAsia="仿宋_GB2312" w:cs="仿宋_GB2312"/>
          <w:color w:val="000000"/>
        </w:rPr>
        <w:t>成立工作专班，</w:t>
      </w:r>
      <w:r>
        <w:rPr>
          <w:rFonts w:hint="eastAsia" w:ascii="仿宋_GB2312" w:hAnsi="仿宋_GB2312" w:eastAsia="仿宋_GB2312" w:cs="仿宋_GB2312"/>
          <w:snapToGrid w:val="0"/>
          <w:color w:val="000000"/>
        </w:rPr>
        <w:t>落实工作责任，有力有序</w:t>
      </w:r>
    </w:p>
    <w:p w14:paraId="27D92C5D">
      <w:pPr>
        <w:keepNext w:val="0"/>
        <w:keepLines w:val="0"/>
        <w:pageBreakBefore w:val="0"/>
        <w:kinsoku/>
        <w:wordWrap/>
        <w:overflowPunct/>
        <w:topLinePunct w:val="0"/>
        <w:autoSpaceDE/>
        <w:autoSpaceDN/>
        <w:bidi w:val="0"/>
        <w:spacing w:line="540" w:lineRule="exact"/>
        <w:textAlignment w:val="auto"/>
        <w:rPr>
          <w:rFonts w:hint="eastAsia" w:ascii="仿宋_GB2312" w:hAnsi="仿宋_GB2312" w:eastAsia="仿宋_GB2312" w:cs="仿宋_GB2312"/>
          <w:color w:val="000000"/>
        </w:rPr>
      </w:pPr>
      <w:r>
        <w:rPr>
          <w:rFonts w:hint="eastAsia" w:ascii="仿宋_GB2312" w:hAnsi="仿宋_GB2312" w:eastAsia="仿宋_GB2312" w:cs="仿宋_GB2312"/>
          <w:snapToGrid w:val="0"/>
          <w:color w:val="000000"/>
        </w:rPr>
        <w:t>开展2024年部门预算项目支出绩效自</w:t>
      </w:r>
      <w:r>
        <w:rPr>
          <w:rFonts w:hint="eastAsia" w:ascii="仿宋_GB2312" w:hAnsi="仿宋_GB2312" w:eastAsia="仿宋_GB2312" w:cs="仿宋_GB2312"/>
          <w:color w:val="000000"/>
        </w:rPr>
        <w:t>评工作。</w:t>
      </w:r>
    </w:p>
    <w:p w14:paraId="2479F6FB">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黑体" w:cs="黑体"/>
          <w:color w:val="000000"/>
          <w:lang w:val="zh-CN"/>
        </w:rPr>
      </w:pPr>
      <w:bookmarkStart w:id="145" w:name="_Toc17673"/>
      <w:r>
        <w:rPr>
          <w:rFonts w:hint="eastAsia" w:ascii="Times New Roman" w:hAnsi="Times New Roman" w:eastAsia="黑体" w:cs="黑体"/>
          <w:color w:val="000000"/>
        </w:rPr>
        <w:t>三、绩效分析</w:t>
      </w:r>
      <w:bookmarkEnd w:id="145"/>
      <w:r>
        <w:rPr>
          <w:rFonts w:hint="eastAsia" w:ascii="Times New Roman" w:hAnsi="Times New Roman" w:eastAsia="黑体" w:cs="黑体"/>
          <w:color w:val="000000"/>
          <w:lang w:val="zh-CN"/>
        </w:rPr>
        <w:tab/>
      </w:r>
    </w:p>
    <w:p w14:paraId="033EDB29">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lang w:val="zh-CN"/>
        </w:rPr>
        <w:t>根据项目预算绩效评价指标体系“通用指标”“专用指标”“个性指标”涉及二、三级指标进行逐项绩效分析并评分</w:t>
      </w:r>
      <w:r>
        <w:rPr>
          <w:rFonts w:hint="eastAsia" w:ascii="仿宋_GB2312" w:hAnsi="仿宋_GB2312" w:eastAsia="仿宋_GB2312" w:cs="仿宋_GB2312"/>
          <w:color w:val="000000"/>
        </w:rPr>
        <w:t>。</w:t>
      </w:r>
    </w:p>
    <w:p w14:paraId="6E5A4695">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jc w:val="left"/>
        <w:textAlignment w:val="auto"/>
        <w:rPr>
          <w:rFonts w:hint="eastAsia" w:ascii="楷体_GB2312" w:hAnsi="楷体_GB2312" w:eastAsia="楷体_GB2312" w:cs="楷体_GB2312"/>
          <w:color w:val="000000"/>
          <w:lang w:val="zh-CN"/>
        </w:rPr>
      </w:pPr>
      <w:r>
        <w:rPr>
          <w:rFonts w:hint="eastAsia" w:ascii="楷体_GB2312" w:hAnsi="楷体_GB2312" w:eastAsia="楷体_GB2312" w:cs="楷体_GB2312"/>
          <w:color w:val="000000"/>
          <w:lang w:val="zh-CN"/>
        </w:rPr>
        <w:t>（一）通用指标绩效分析。</w:t>
      </w:r>
    </w:p>
    <w:p w14:paraId="429DD8D0">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1.项目决策。从综合评价来看，区行政审批和数据局各预算项目设立依据基本充分，均设定了各项目绩效目标，对资金配置方面均有明确的测算依据，整体情况良好。</w:t>
      </w:r>
    </w:p>
    <w:p w14:paraId="5BC776DF">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2.项目管理。</w:t>
      </w:r>
      <w:r>
        <w:rPr>
          <w:rFonts w:hint="eastAsia" w:ascii="仿宋_GB2312" w:hAnsi="仿宋_GB2312" w:eastAsia="仿宋_GB2312" w:cs="仿宋_GB2312"/>
          <w:color w:val="000000"/>
          <w:kern w:val="2"/>
        </w:rPr>
        <w:t>从整体评价来看，区</w:t>
      </w:r>
      <w:r>
        <w:rPr>
          <w:rFonts w:hint="eastAsia" w:ascii="仿宋_GB2312" w:hAnsi="仿宋_GB2312" w:eastAsia="仿宋_GB2312" w:cs="仿宋_GB2312"/>
          <w:color w:val="000000"/>
        </w:rPr>
        <w:t>行政审批和数据局</w:t>
      </w:r>
      <w:r>
        <w:rPr>
          <w:rFonts w:hint="eastAsia" w:ascii="仿宋_GB2312" w:hAnsi="仿宋_GB2312" w:eastAsia="仿宋_GB2312" w:cs="仿宋_GB2312"/>
          <w:color w:val="000000"/>
          <w:kern w:val="2"/>
        </w:rPr>
        <w:t>建立了基本能全面覆盖的管理制度，各项目按照财政局相关要求稳步推进，并根据年度工作计划做好各项目工作。年初预算批复后，根据项目推进情况申请资金下达，截至2024年12月31日，项目资金到位11.4万元，支出11.4万元，项目资金执行率为100%。项目运行成本均在可控制范围内。</w:t>
      </w:r>
    </w:p>
    <w:p w14:paraId="28C6CFAD">
      <w:pPr>
        <w:keepNext w:val="0"/>
        <w:keepLines w:val="0"/>
        <w:pageBreakBefore w:val="0"/>
        <w:kinsoku/>
        <w:wordWrap/>
        <w:overflowPunct/>
        <w:topLinePunct w:val="0"/>
        <w:autoSpaceDE/>
        <w:autoSpaceDN/>
        <w:bidi w:val="0"/>
        <w:spacing w:line="540" w:lineRule="exact"/>
        <w:ind w:firstLine="626" w:firstLineChars="200"/>
        <w:textAlignment w:val="auto"/>
        <w:rPr>
          <w:rFonts w:hint="eastAsia" w:ascii="仿宋_GB2312" w:hAnsi="仿宋_GB2312" w:eastAsia="仿宋_GB2312" w:cs="仿宋_GB2312"/>
          <w:color w:val="000000"/>
          <w:w w:val="98"/>
          <w:sz w:val="32"/>
        </w:rPr>
      </w:pPr>
      <w:r>
        <w:rPr>
          <w:rFonts w:hint="eastAsia" w:ascii="仿宋_GB2312" w:hAnsi="仿宋_GB2312" w:eastAsia="仿宋_GB2312" w:cs="仿宋_GB2312"/>
          <w:color w:val="000000"/>
          <w:w w:val="98"/>
          <w:sz w:val="32"/>
        </w:rPr>
        <w:t>3.项目实施。项目经费严格按照专款专用原则，年初预算安排0万元，使用11.4万元。（其中：预算支出11.4万元，年度追加预算11.4万元)。</w:t>
      </w:r>
      <w:r>
        <w:rPr>
          <w:rFonts w:hint="eastAsia" w:ascii="仿宋_GB2312" w:hAnsi="仿宋_GB2312" w:eastAsia="仿宋_GB2312" w:cs="仿宋_GB2312"/>
          <w:color w:val="000000"/>
          <w:w w:val="98"/>
          <w:sz w:val="32"/>
          <w:lang w:val="zh-CN"/>
        </w:rPr>
        <w:t>单位</w:t>
      </w:r>
      <w:r>
        <w:rPr>
          <w:rFonts w:hint="eastAsia" w:ascii="仿宋_GB2312" w:hAnsi="仿宋_GB2312" w:eastAsia="仿宋_GB2312" w:cs="仿宋_GB2312"/>
          <w:color w:val="000000"/>
          <w:w w:val="98"/>
          <w:sz w:val="32"/>
        </w:rPr>
        <w:t>无截留、挤占、挪用、虚列支出等情况。</w:t>
      </w:r>
    </w:p>
    <w:p w14:paraId="2FED240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4.项目结果。为乡镇配置评价器22台，高拍仪13台。</w:t>
      </w:r>
      <w:r>
        <w:rPr>
          <w:rFonts w:hint="eastAsia" w:ascii="仿宋_GB2312" w:hAnsi="仿宋_GB2312" w:eastAsia="仿宋_GB2312" w:cs="仿宋_GB2312"/>
          <w:color w:val="000000"/>
          <w:kern w:val="2"/>
        </w:rPr>
        <w:t>项目</w:t>
      </w:r>
      <w:r>
        <w:rPr>
          <w:rFonts w:hint="eastAsia" w:ascii="仿宋_GB2312" w:hAnsi="仿宋_GB2312" w:eastAsia="仿宋_GB2312" w:cs="仿宋_GB2312"/>
          <w:color w:val="000000"/>
          <w:lang w:val="zh-CN"/>
        </w:rPr>
        <w:t>完成时效</w:t>
      </w:r>
      <w:r>
        <w:rPr>
          <w:rFonts w:hint="eastAsia" w:ascii="仿宋_GB2312" w:hAnsi="仿宋_GB2312" w:eastAsia="仿宋_GB2312" w:cs="仿宋_GB2312"/>
          <w:color w:val="000000"/>
        </w:rPr>
        <w:t>1年</w:t>
      </w:r>
      <w:r>
        <w:rPr>
          <w:rFonts w:hint="eastAsia" w:ascii="仿宋_GB2312" w:hAnsi="仿宋_GB2312" w:eastAsia="仿宋_GB2312" w:cs="仿宋_GB2312"/>
          <w:color w:val="000000"/>
          <w:lang w:val="zh-CN"/>
        </w:rPr>
        <w:t>。</w:t>
      </w:r>
    </w:p>
    <w:p w14:paraId="7768D902">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lang w:val="zh-CN"/>
        </w:rPr>
      </w:pPr>
      <w:r>
        <w:rPr>
          <w:rFonts w:hint="eastAsia" w:ascii="楷体_GB2312" w:hAnsi="楷体_GB2312" w:eastAsia="楷体_GB2312" w:cs="楷体_GB2312"/>
          <w:color w:val="000000"/>
          <w:lang w:val="zh-CN"/>
        </w:rPr>
        <w:t>（二）专用指标绩效分析。</w:t>
      </w:r>
      <w:r>
        <w:rPr>
          <w:rFonts w:hint="eastAsia" w:ascii="仿宋_GB2312" w:hAnsi="仿宋_GB2312" w:eastAsia="仿宋_GB2312" w:cs="仿宋_GB2312"/>
          <w:color w:val="000000"/>
          <w:lang w:val="zh-CN"/>
        </w:rPr>
        <w:t>根据</w:t>
      </w:r>
      <w:r>
        <w:rPr>
          <w:rFonts w:hint="eastAsia" w:ascii="仿宋_GB2312" w:hAnsi="仿宋_GB2312" w:eastAsia="仿宋_GB2312" w:cs="仿宋_GB2312"/>
          <w:color w:val="000000"/>
        </w:rPr>
        <w:t>专项预算项目资金支持对象选择所属指标进行绩效分析。支持对象</w:t>
      </w:r>
      <w:r>
        <w:rPr>
          <w:rFonts w:hint="eastAsia" w:ascii="仿宋_GB2312" w:hAnsi="仿宋_GB2312" w:eastAsia="仿宋_GB2312" w:cs="仿宋_GB2312"/>
          <w:color w:val="000000"/>
          <w:lang w:val="zh-CN"/>
        </w:rPr>
        <w:t>包括产业发展、民生保障、基础设施、行政运转等方面。</w:t>
      </w:r>
    </w:p>
    <w:p w14:paraId="4900E5BA">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1.产业发展。围绕符合性、成长性、经济性进行绩效分析。</w:t>
      </w:r>
    </w:p>
    <w:p w14:paraId="7AD8CB41">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zh-CN"/>
        </w:rPr>
        <w:t>民生保障。</w:t>
      </w:r>
      <w:r>
        <w:rPr>
          <w:rFonts w:hint="eastAsia" w:ascii="仿宋_GB2312" w:hAnsi="仿宋_GB2312" w:eastAsia="仿宋_GB2312" w:cs="仿宋_GB2312"/>
          <w:color w:val="000000"/>
        </w:rPr>
        <w:t>围绕区域均衡性、对象精准性、标准合理性、群众满意度进行绩效分析。</w:t>
      </w:r>
    </w:p>
    <w:p w14:paraId="4AFD8AC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3.基础设施。在建项目围绕工程进度和资金拨付进行绩效分析；建成项目围绕项目验收、功能实现、后续管护进行</w:t>
      </w:r>
      <w:r>
        <w:rPr>
          <w:rFonts w:hint="eastAsia" w:ascii="仿宋_GB2312" w:hAnsi="仿宋_GB2312" w:eastAsia="仿宋_GB2312" w:cs="仿宋_GB2312"/>
          <w:color w:val="000000"/>
          <w:lang w:val="zh-CN"/>
        </w:rPr>
        <w:t>绩效分析。</w:t>
      </w:r>
    </w:p>
    <w:p w14:paraId="26BADF15">
      <w:pPr>
        <w:keepNext w:val="0"/>
        <w:keepLines w:val="0"/>
        <w:pageBreakBefore w:val="0"/>
        <w:kinsoku/>
        <w:wordWrap/>
        <w:overflowPunct/>
        <w:topLinePunct w:val="0"/>
        <w:autoSpaceDE/>
        <w:autoSpaceDN/>
        <w:bidi w:val="0"/>
        <w:spacing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4.</w:t>
      </w:r>
      <w:r>
        <w:rPr>
          <w:rFonts w:hint="eastAsia" w:ascii="仿宋_GB2312" w:hAnsi="仿宋_GB2312" w:eastAsia="仿宋_GB2312" w:cs="仿宋_GB2312"/>
          <w:color w:val="000000"/>
          <w:lang w:val="zh-CN"/>
        </w:rPr>
        <w:t>行政运转。围绕用途合规性、程序合规性、标准合规性进行绩效分析。</w:t>
      </w:r>
    </w:p>
    <w:p w14:paraId="1FA8BA86">
      <w:pPr>
        <w:keepNext w:val="0"/>
        <w:keepLines w:val="0"/>
        <w:pageBreakBefore w:val="0"/>
        <w:kinsoku/>
        <w:wordWrap/>
        <w:overflowPunct/>
        <w:topLinePunct w:val="0"/>
        <w:autoSpaceDE/>
        <w:autoSpaceDN/>
        <w:bidi w:val="0"/>
        <w:spacing w:line="540" w:lineRule="exact"/>
        <w:ind w:firstLine="640"/>
        <w:textAlignment w:val="auto"/>
        <w:rPr>
          <w:rFonts w:hint="eastAsia" w:ascii="仿宋_GB2312" w:hAnsi="仿宋_GB2312" w:eastAsia="仿宋_GB2312" w:cs="仿宋_GB2312"/>
          <w:color w:val="000000"/>
        </w:rPr>
      </w:pPr>
      <w:r>
        <w:rPr>
          <w:rFonts w:hint="eastAsia" w:ascii="楷体_GB2312" w:hAnsi="楷体_GB2312" w:eastAsia="楷体_GB2312" w:cs="楷体_GB2312"/>
          <w:color w:val="000000"/>
          <w:lang w:val="zh-CN"/>
        </w:rPr>
        <w:t>（三）个性指标绩效分析。</w:t>
      </w:r>
      <w:r>
        <w:rPr>
          <w:rFonts w:hint="eastAsia" w:ascii="仿宋_GB2312" w:hAnsi="仿宋_GB2312" w:eastAsia="仿宋_GB2312" w:cs="仿宋_GB2312"/>
          <w:color w:val="000000"/>
          <w:lang w:val="zh-CN"/>
        </w:rPr>
        <w:t>根据项目个性自行设定部分指标，反映该项指标执行完成情况。</w:t>
      </w:r>
    </w:p>
    <w:p w14:paraId="30B21DA9">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黑体" w:cs="黑体"/>
          <w:color w:val="000000"/>
        </w:rPr>
      </w:pPr>
      <w:bookmarkStart w:id="146" w:name="_Toc5733"/>
      <w:r>
        <w:rPr>
          <w:rFonts w:hint="eastAsia" w:ascii="Times New Roman" w:hAnsi="Times New Roman" w:eastAsia="黑体" w:cs="黑体"/>
          <w:color w:val="000000"/>
        </w:rPr>
        <w:t>四、评价结论</w:t>
      </w:r>
      <w:bookmarkEnd w:id="146"/>
    </w:p>
    <w:p w14:paraId="38436DCA">
      <w:pPr>
        <w:pStyle w:val="15"/>
        <w:keepNext w:val="0"/>
        <w:keepLines w:val="0"/>
        <w:pageBreakBefore w:val="0"/>
        <w:tabs>
          <w:tab w:val="left" w:pos="2160"/>
        </w:tabs>
        <w:kinsoku/>
        <w:wordWrap/>
        <w:overflowPunct/>
        <w:topLinePunct w:val="0"/>
        <w:autoSpaceDE/>
        <w:autoSpaceDN/>
        <w:bidi w:val="0"/>
        <w:spacing w:after="0" w:line="540" w:lineRule="exact"/>
        <w:ind w:firstLine="640" w:firstLineChars="200"/>
        <w:textAlignment w:val="auto"/>
        <w:rPr>
          <w:rFonts w:hint="eastAsia" w:ascii="仿宋_GB2312" w:hAnsi="仿宋_GB2312" w:eastAsia="仿宋_GB2312" w:cs="仿宋_GB2312"/>
          <w:color w:val="000000"/>
        </w:rPr>
      </w:pPr>
      <w:r>
        <w:rPr>
          <w:rFonts w:hint="eastAsia" w:ascii="仿宋_GB2312" w:hAnsi="仿宋_GB2312" w:eastAsia="仿宋_GB2312" w:cs="仿宋_GB2312"/>
        </w:rPr>
        <w:t>便民服务体系</w:t>
      </w:r>
      <w:r>
        <w:rPr>
          <w:rFonts w:hint="eastAsia" w:ascii="仿宋_GB2312" w:hAnsi="仿宋_GB2312" w:eastAsia="仿宋_GB2312" w:cs="仿宋_GB2312"/>
          <w:lang w:val="en-US"/>
        </w:rPr>
        <w:t>'三化“</w:t>
      </w:r>
      <w:r>
        <w:rPr>
          <w:rFonts w:hint="eastAsia" w:ascii="仿宋_GB2312" w:hAnsi="仿宋_GB2312" w:eastAsia="仿宋_GB2312" w:cs="仿宋_GB2312"/>
        </w:rPr>
        <w:t>建设</w:t>
      </w:r>
      <w:r>
        <w:rPr>
          <w:rFonts w:hint="eastAsia" w:ascii="仿宋_GB2312" w:hAnsi="仿宋_GB2312" w:eastAsia="仿宋_GB2312" w:cs="仿宋_GB2312"/>
          <w:color w:val="000000"/>
        </w:rPr>
        <w:t>经费项目绩效总体评价良好,自评得分98分。</w:t>
      </w:r>
    </w:p>
    <w:p w14:paraId="0680D1AA">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黑体" w:cs="黑体"/>
          <w:color w:val="000000"/>
        </w:rPr>
      </w:pPr>
      <w:bookmarkStart w:id="147" w:name="_Toc21718"/>
      <w:r>
        <w:rPr>
          <w:rFonts w:hint="eastAsia" w:ascii="Times New Roman" w:hAnsi="Times New Roman" w:eastAsia="黑体" w:cs="黑体"/>
          <w:color w:val="000000"/>
        </w:rPr>
        <w:t>五、存在主要问题</w:t>
      </w:r>
      <w:bookmarkEnd w:id="147"/>
    </w:p>
    <w:p w14:paraId="40C7DFAF">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仿宋_GB2312" w:hAnsi="仿宋_GB2312" w:eastAsia="仿宋_GB2312" w:cs="仿宋_GB2312"/>
          <w:color w:val="000000"/>
        </w:rPr>
      </w:pPr>
      <w:r>
        <w:rPr>
          <w:rFonts w:hint="eastAsia" w:ascii="仿宋_GB2312" w:hAnsi="仿宋_GB2312" w:eastAsia="仿宋_GB2312" w:cs="仿宋_GB2312"/>
          <w:color w:val="000000"/>
        </w:rPr>
        <w:t>无</w:t>
      </w:r>
    </w:p>
    <w:p w14:paraId="7CA56DEA">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outlineLvl w:val="1"/>
        <w:rPr>
          <w:rFonts w:hint="eastAsia" w:ascii="Times New Roman" w:hAnsi="Times New Roman" w:eastAsia="黑体" w:cs="黑体"/>
          <w:color w:val="000000"/>
          <w:lang w:val="zh-CN"/>
        </w:rPr>
      </w:pPr>
      <w:bookmarkStart w:id="148" w:name="_Toc17960"/>
      <w:r>
        <w:rPr>
          <w:rFonts w:hint="eastAsia" w:ascii="Times New Roman" w:hAnsi="Times New Roman" w:eastAsia="黑体" w:cs="黑体"/>
          <w:color w:val="000000"/>
          <w:lang w:val="zh-CN"/>
        </w:rPr>
        <w:t>六、改进建议</w:t>
      </w:r>
      <w:bookmarkEnd w:id="148"/>
    </w:p>
    <w:p w14:paraId="0BBE394E">
      <w:pPr>
        <w:keepNext w:val="0"/>
        <w:keepLines w:val="0"/>
        <w:pageBreakBefore w:val="0"/>
        <w:tabs>
          <w:tab w:val="left" w:pos="1911"/>
        </w:tabs>
        <w:kinsoku/>
        <w:wordWrap/>
        <w:overflowPunct/>
        <w:topLinePunct w:val="0"/>
        <w:autoSpaceDE/>
        <w:autoSpaceDN/>
        <w:bidi w:val="0"/>
        <w:spacing w:line="540" w:lineRule="exact"/>
        <w:ind w:firstLine="640" w:firstLineChars="20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无</w:t>
      </w:r>
    </w:p>
    <w:tbl>
      <w:tblPr>
        <w:tblStyle w:val="35"/>
        <w:tblW w:w="5000" w:type="pct"/>
        <w:tblInd w:w="2" w:type="dxa"/>
        <w:tblLayout w:type="autofit"/>
        <w:tblCellMar>
          <w:top w:w="0" w:type="dxa"/>
          <w:left w:w="108" w:type="dxa"/>
          <w:bottom w:w="0" w:type="dxa"/>
          <w:right w:w="108" w:type="dxa"/>
        </w:tblCellMar>
      </w:tblPr>
      <w:tblGrid>
        <w:gridCol w:w="576"/>
        <w:gridCol w:w="1225"/>
        <w:gridCol w:w="1042"/>
        <w:gridCol w:w="1354"/>
        <w:gridCol w:w="396"/>
        <w:gridCol w:w="975"/>
        <w:gridCol w:w="396"/>
        <w:gridCol w:w="846"/>
        <w:gridCol w:w="486"/>
        <w:gridCol w:w="397"/>
        <w:gridCol w:w="1549"/>
      </w:tblGrid>
      <w:tr w14:paraId="216CBF1F">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2B2A3589">
            <w:pPr>
              <w:widowControl/>
              <w:jc w:val="center"/>
              <w:rPr>
                <w:rFonts w:ascii="黑体" w:hAnsi="黑体" w:eastAsia="黑体" w:cs="Times New Roman"/>
                <w:b/>
                <w:bCs/>
                <w:sz w:val="30"/>
                <w:szCs w:val="30"/>
              </w:rPr>
            </w:pPr>
            <w:r>
              <w:rPr>
                <w:rFonts w:hint="eastAsia" w:ascii="黑体" w:hAnsi="黑体" w:eastAsia="黑体" w:cs="黑体"/>
                <w:b/>
                <w:bCs/>
                <w:sz w:val="30"/>
                <w:szCs w:val="30"/>
              </w:rPr>
              <w:t>部门预算项目支出绩效自评表（</w:t>
            </w:r>
            <w:r>
              <w:rPr>
                <w:rFonts w:ascii="黑体" w:hAnsi="黑体" w:eastAsia="黑体" w:cs="黑体"/>
                <w:b/>
                <w:bCs/>
                <w:sz w:val="30"/>
                <w:szCs w:val="30"/>
              </w:rPr>
              <w:t>2024</w:t>
            </w:r>
            <w:r>
              <w:rPr>
                <w:rFonts w:hint="eastAsia" w:ascii="黑体" w:hAnsi="黑体" w:eastAsia="黑体" w:cs="黑体"/>
                <w:b/>
                <w:bCs/>
                <w:sz w:val="30"/>
                <w:szCs w:val="30"/>
              </w:rPr>
              <w:t>年度）</w:t>
            </w:r>
          </w:p>
        </w:tc>
      </w:tr>
      <w:tr w14:paraId="375414F2">
        <w:tblPrEx>
          <w:tblCellMar>
            <w:top w:w="0" w:type="dxa"/>
            <w:left w:w="108" w:type="dxa"/>
            <w:bottom w:w="0" w:type="dxa"/>
            <w:right w:w="108" w:type="dxa"/>
          </w:tblCellMar>
        </w:tblPrEx>
        <w:trPr>
          <w:trHeight w:val="285" w:hRule="atLeast"/>
        </w:trPr>
        <w:tc>
          <w:tcPr>
            <w:tcW w:w="975" w:type="pct"/>
            <w:gridSpan w:val="2"/>
            <w:tcBorders>
              <w:top w:val="single" w:color="000000" w:sz="4" w:space="0"/>
              <w:left w:val="single" w:color="000000" w:sz="4" w:space="0"/>
              <w:bottom w:val="single" w:color="000000" w:sz="4" w:space="0"/>
              <w:right w:val="single" w:color="000000" w:sz="4" w:space="0"/>
            </w:tcBorders>
            <w:vAlign w:val="center"/>
          </w:tcPr>
          <w:p w14:paraId="6C2C63EC">
            <w:pPr>
              <w:widowControl/>
              <w:jc w:val="left"/>
              <w:rPr>
                <w:rFonts w:ascii="宋体" w:hAnsi="宋体" w:eastAsia="宋体" w:cs="Times New Roman"/>
                <w:sz w:val="18"/>
                <w:szCs w:val="18"/>
              </w:rPr>
            </w:pPr>
            <w:r>
              <w:rPr>
                <w:rFonts w:hint="eastAsia" w:ascii="宋体" w:hAnsi="宋体" w:eastAsia="宋体" w:cs="宋体"/>
                <w:sz w:val="18"/>
                <w:szCs w:val="18"/>
              </w:rPr>
              <w:t>项目名称</w:t>
            </w:r>
          </w:p>
        </w:tc>
        <w:tc>
          <w:tcPr>
            <w:tcW w:w="4025" w:type="pct"/>
            <w:gridSpan w:val="9"/>
            <w:tcBorders>
              <w:top w:val="single" w:color="000000" w:sz="4" w:space="0"/>
              <w:left w:val="nil"/>
              <w:bottom w:val="single" w:color="000000" w:sz="4" w:space="0"/>
              <w:right w:val="single" w:color="000000" w:sz="4" w:space="0"/>
            </w:tcBorders>
            <w:vAlign w:val="center"/>
          </w:tcPr>
          <w:p w14:paraId="015C1FA9">
            <w:pPr>
              <w:widowControl/>
              <w:jc w:val="left"/>
              <w:rPr>
                <w:rFonts w:ascii="宋体" w:hAnsi="宋体" w:eastAsia="宋体" w:cs="Times New Roman"/>
                <w:sz w:val="18"/>
                <w:szCs w:val="18"/>
              </w:rPr>
            </w:pPr>
            <w:r>
              <w:rPr>
                <w:rFonts w:ascii="宋体" w:hAnsi="宋体" w:eastAsia="宋体" w:cs="宋体"/>
                <w:sz w:val="18"/>
                <w:szCs w:val="18"/>
              </w:rPr>
              <w:t>51090425T000012434048-</w:t>
            </w:r>
            <w:r>
              <w:rPr>
                <w:rFonts w:hint="eastAsia" w:ascii="宋体" w:hAnsi="宋体" w:eastAsia="宋体" w:cs="宋体"/>
                <w:sz w:val="18"/>
                <w:szCs w:val="18"/>
              </w:rPr>
              <w:t>便民服务体系</w:t>
            </w:r>
            <w:r>
              <w:rPr>
                <w:rFonts w:ascii="宋体" w:hAnsi="宋体" w:eastAsia="宋体" w:cs="宋体"/>
                <w:sz w:val="18"/>
                <w:szCs w:val="18"/>
              </w:rPr>
              <w:t>'</w:t>
            </w:r>
            <w:r>
              <w:rPr>
                <w:rFonts w:hint="eastAsia" w:ascii="宋体" w:hAnsi="宋体" w:eastAsia="宋体" w:cs="宋体"/>
                <w:sz w:val="18"/>
                <w:szCs w:val="18"/>
              </w:rPr>
              <w:t>三化“建设经费</w:t>
            </w:r>
          </w:p>
        </w:tc>
      </w:tr>
      <w:tr w14:paraId="75C79ADF">
        <w:tblPrEx>
          <w:tblCellMar>
            <w:top w:w="0" w:type="dxa"/>
            <w:left w:w="108" w:type="dxa"/>
            <w:bottom w:w="0" w:type="dxa"/>
            <w:right w:w="108" w:type="dxa"/>
          </w:tblCellMar>
        </w:tblPrEx>
        <w:trPr>
          <w:trHeight w:val="514" w:hRule="atLeast"/>
        </w:trPr>
        <w:tc>
          <w:tcPr>
            <w:tcW w:w="975" w:type="pct"/>
            <w:gridSpan w:val="2"/>
            <w:tcBorders>
              <w:top w:val="single" w:color="000000" w:sz="4" w:space="0"/>
              <w:left w:val="single" w:color="000000" w:sz="4" w:space="0"/>
              <w:bottom w:val="single" w:color="000000" w:sz="4" w:space="0"/>
              <w:right w:val="single" w:color="000000" w:sz="4" w:space="0"/>
            </w:tcBorders>
            <w:vAlign w:val="center"/>
          </w:tcPr>
          <w:p w14:paraId="187AA825">
            <w:pPr>
              <w:widowControl/>
              <w:jc w:val="left"/>
              <w:rPr>
                <w:rFonts w:ascii="宋体" w:hAnsi="宋体" w:eastAsia="宋体" w:cs="Times New Roman"/>
                <w:sz w:val="18"/>
                <w:szCs w:val="18"/>
              </w:rPr>
            </w:pPr>
            <w:r>
              <w:rPr>
                <w:rFonts w:hint="eastAsia" w:ascii="宋体" w:hAnsi="宋体" w:eastAsia="宋体" w:cs="宋体"/>
                <w:sz w:val="18"/>
                <w:szCs w:val="18"/>
              </w:rPr>
              <w:t>主管部门</w:t>
            </w:r>
          </w:p>
        </w:tc>
        <w:tc>
          <w:tcPr>
            <w:tcW w:w="2387" w:type="pct"/>
            <w:gridSpan w:val="5"/>
            <w:tcBorders>
              <w:top w:val="single" w:color="000000" w:sz="4" w:space="0"/>
              <w:left w:val="nil"/>
              <w:bottom w:val="single" w:color="000000" w:sz="4" w:space="0"/>
              <w:right w:val="single" w:color="000000" w:sz="4" w:space="0"/>
            </w:tcBorders>
            <w:vAlign w:val="center"/>
          </w:tcPr>
          <w:p w14:paraId="6626FB75">
            <w:pPr>
              <w:widowControl/>
              <w:jc w:val="left"/>
              <w:rPr>
                <w:rFonts w:ascii="宋体" w:hAnsi="宋体" w:eastAsia="宋体" w:cs="Times New Roman"/>
                <w:sz w:val="18"/>
                <w:szCs w:val="18"/>
              </w:rPr>
            </w:pPr>
            <w:r>
              <w:rPr>
                <w:rFonts w:hint="eastAsia" w:ascii="宋体" w:hAnsi="宋体" w:eastAsia="宋体" w:cs="宋体"/>
                <w:sz w:val="18"/>
                <w:szCs w:val="18"/>
              </w:rPr>
              <w:t>遂宁市安居区行政审批和数据局部门</w:t>
            </w:r>
          </w:p>
        </w:tc>
        <w:tc>
          <w:tcPr>
            <w:tcW w:w="388" w:type="pct"/>
            <w:tcBorders>
              <w:top w:val="nil"/>
              <w:left w:val="nil"/>
              <w:bottom w:val="nil"/>
              <w:right w:val="nil"/>
            </w:tcBorders>
            <w:vAlign w:val="center"/>
          </w:tcPr>
          <w:p w14:paraId="46A05483">
            <w:pPr>
              <w:widowControl/>
              <w:jc w:val="left"/>
              <w:rPr>
                <w:rFonts w:ascii="Courier New" w:hAnsi="Courier New" w:eastAsia="宋体" w:cs="Times New Roman"/>
                <w:sz w:val="18"/>
                <w:szCs w:val="18"/>
              </w:rPr>
            </w:pPr>
            <w:r>
              <w:rPr>
                <w:rFonts w:hint="eastAsia" w:ascii="Courier New" w:hAnsi="Courier New" w:eastAsia="宋体" w:cs="宋体"/>
                <w:sz w:val="18"/>
                <w:szCs w:val="18"/>
              </w:rPr>
              <w:t>实施单位</w:t>
            </w:r>
            <w:r>
              <w:rPr>
                <w:rFonts w:ascii="Courier New" w:hAnsi="Courier New" w:eastAsia="宋体" w:cs="Courier New"/>
                <w:sz w:val="18"/>
                <w:szCs w:val="18"/>
              </w:rPr>
              <w:t xml:space="preserve"> </w:t>
            </w:r>
            <w:r>
              <w:rPr>
                <w:rFonts w:hint="eastAsia" w:ascii="Courier New" w:hAnsi="Courier New" w:eastAsia="宋体" w:cs="宋体"/>
                <w:sz w:val="18"/>
                <w:szCs w:val="18"/>
              </w:rPr>
              <w:t>（盖章）</w:t>
            </w:r>
          </w:p>
        </w:tc>
        <w:tc>
          <w:tcPr>
            <w:tcW w:w="1250" w:type="pct"/>
            <w:gridSpan w:val="3"/>
            <w:tcBorders>
              <w:top w:val="single" w:color="000000" w:sz="4" w:space="0"/>
              <w:left w:val="single" w:color="000000" w:sz="4" w:space="0"/>
              <w:bottom w:val="single" w:color="000000" w:sz="4" w:space="0"/>
              <w:right w:val="single" w:color="000000" w:sz="4" w:space="0"/>
            </w:tcBorders>
            <w:vAlign w:val="center"/>
          </w:tcPr>
          <w:p w14:paraId="5C497D1E">
            <w:pPr>
              <w:widowControl/>
              <w:jc w:val="center"/>
              <w:rPr>
                <w:rFonts w:ascii="宋体" w:hAnsi="宋体" w:eastAsia="宋体" w:cs="Times New Roman"/>
                <w:sz w:val="18"/>
                <w:szCs w:val="18"/>
              </w:rPr>
            </w:pPr>
            <w:r>
              <w:rPr>
                <w:rFonts w:hint="eastAsia" w:ascii="宋体" w:hAnsi="宋体" w:eastAsia="宋体" w:cs="宋体"/>
                <w:sz w:val="18"/>
                <w:szCs w:val="18"/>
              </w:rPr>
              <w:t>遂宁市安居区行政审批和数据局</w:t>
            </w:r>
          </w:p>
        </w:tc>
      </w:tr>
      <w:tr w14:paraId="77C03648">
        <w:tblPrEx>
          <w:tblCellMar>
            <w:top w:w="0" w:type="dxa"/>
            <w:left w:w="108" w:type="dxa"/>
            <w:bottom w:w="0" w:type="dxa"/>
            <w:right w:w="108" w:type="dxa"/>
          </w:tblCellMar>
        </w:tblPrEx>
        <w:trPr>
          <w:trHeight w:val="285" w:hRule="atLeast"/>
        </w:trPr>
        <w:tc>
          <w:tcPr>
            <w:tcW w:w="247" w:type="pct"/>
            <w:vMerge w:val="restart"/>
            <w:tcBorders>
              <w:top w:val="nil"/>
              <w:left w:val="single" w:color="000000" w:sz="4" w:space="0"/>
              <w:bottom w:val="single" w:color="000000" w:sz="4" w:space="0"/>
              <w:right w:val="single" w:color="000000" w:sz="4" w:space="0"/>
            </w:tcBorders>
            <w:vAlign w:val="center"/>
          </w:tcPr>
          <w:p w14:paraId="23D11D42">
            <w:pPr>
              <w:widowControl/>
              <w:jc w:val="left"/>
              <w:rPr>
                <w:rFonts w:ascii="宋体" w:hAnsi="宋体" w:eastAsia="宋体" w:cs="Times New Roman"/>
                <w:sz w:val="18"/>
                <w:szCs w:val="18"/>
              </w:rPr>
            </w:pPr>
            <w:r>
              <w:rPr>
                <w:rFonts w:hint="eastAsia" w:ascii="宋体" w:hAnsi="宋体" w:eastAsia="宋体" w:cs="宋体"/>
                <w:sz w:val="18"/>
                <w:szCs w:val="18"/>
              </w:rPr>
              <w:t>项目基本情况</w:t>
            </w:r>
          </w:p>
        </w:tc>
        <w:tc>
          <w:tcPr>
            <w:tcW w:w="727" w:type="pct"/>
            <w:vMerge w:val="restart"/>
            <w:tcBorders>
              <w:top w:val="nil"/>
              <w:left w:val="single" w:color="000000" w:sz="4" w:space="0"/>
              <w:bottom w:val="single" w:color="000000" w:sz="4" w:space="0"/>
              <w:right w:val="single" w:color="000000" w:sz="4" w:space="0"/>
            </w:tcBorders>
            <w:vAlign w:val="center"/>
          </w:tcPr>
          <w:p w14:paraId="6D5CCE62">
            <w:pPr>
              <w:widowControl/>
              <w:jc w:val="left"/>
              <w:rPr>
                <w:rFonts w:ascii="宋体" w:hAnsi="宋体" w:eastAsia="宋体" w:cs="Times New Roman"/>
                <w:sz w:val="18"/>
                <w:szCs w:val="18"/>
              </w:rPr>
            </w:pPr>
            <w:r>
              <w:rPr>
                <w:rFonts w:ascii="宋体" w:hAnsi="宋体" w:eastAsia="宋体" w:cs="宋体"/>
                <w:sz w:val="18"/>
                <w:szCs w:val="18"/>
              </w:rPr>
              <w:t>1.</w:t>
            </w:r>
            <w:r>
              <w:rPr>
                <w:rFonts w:hint="eastAsia" w:ascii="宋体" w:hAnsi="宋体" w:eastAsia="宋体" w:cs="宋体"/>
                <w:sz w:val="18"/>
                <w:szCs w:val="18"/>
              </w:rPr>
              <w:t>项目年度目标完成情况</w:t>
            </w:r>
          </w:p>
        </w:tc>
        <w:tc>
          <w:tcPr>
            <w:tcW w:w="2387" w:type="pct"/>
            <w:gridSpan w:val="5"/>
            <w:tcBorders>
              <w:top w:val="single" w:color="000000" w:sz="4" w:space="0"/>
              <w:left w:val="nil"/>
              <w:bottom w:val="single" w:color="000000" w:sz="4" w:space="0"/>
              <w:right w:val="single" w:color="000000" w:sz="4" w:space="0"/>
            </w:tcBorders>
            <w:vAlign w:val="center"/>
          </w:tcPr>
          <w:p w14:paraId="6556172F">
            <w:pPr>
              <w:widowControl/>
              <w:jc w:val="center"/>
              <w:rPr>
                <w:rFonts w:ascii="宋体" w:hAnsi="宋体" w:eastAsia="宋体" w:cs="Times New Roman"/>
                <w:sz w:val="18"/>
                <w:szCs w:val="18"/>
              </w:rPr>
            </w:pPr>
            <w:r>
              <w:rPr>
                <w:rFonts w:hint="eastAsia" w:ascii="宋体" w:hAnsi="宋体" w:eastAsia="宋体" w:cs="宋体"/>
                <w:sz w:val="18"/>
                <w:szCs w:val="18"/>
              </w:rPr>
              <w:t>项目年度目标</w:t>
            </w:r>
          </w:p>
        </w:tc>
        <w:tc>
          <w:tcPr>
            <w:tcW w:w="1638" w:type="pct"/>
            <w:gridSpan w:val="4"/>
            <w:tcBorders>
              <w:top w:val="single" w:color="000000" w:sz="4" w:space="0"/>
              <w:left w:val="nil"/>
              <w:bottom w:val="single" w:color="000000" w:sz="4" w:space="0"/>
              <w:right w:val="single" w:color="000000" w:sz="4" w:space="0"/>
            </w:tcBorders>
            <w:vAlign w:val="center"/>
          </w:tcPr>
          <w:p w14:paraId="42B02A29">
            <w:pPr>
              <w:widowControl/>
              <w:jc w:val="center"/>
              <w:rPr>
                <w:rFonts w:ascii="Courier New" w:hAnsi="Courier New" w:eastAsia="宋体" w:cs="Times New Roman"/>
                <w:sz w:val="18"/>
                <w:szCs w:val="18"/>
              </w:rPr>
            </w:pPr>
            <w:r>
              <w:rPr>
                <w:rFonts w:hint="eastAsia" w:ascii="Courier New" w:hAnsi="Courier New" w:eastAsia="宋体" w:cs="宋体"/>
                <w:sz w:val="18"/>
                <w:szCs w:val="18"/>
              </w:rPr>
              <w:t>年度目标完成情况</w:t>
            </w:r>
          </w:p>
        </w:tc>
      </w:tr>
      <w:tr w14:paraId="24104F55">
        <w:tblPrEx>
          <w:tblCellMar>
            <w:top w:w="0" w:type="dxa"/>
            <w:left w:w="108" w:type="dxa"/>
            <w:bottom w:w="0" w:type="dxa"/>
            <w:right w:w="108" w:type="dxa"/>
          </w:tblCellMar>
        </w:tblPrEx>
        <w:trPr>
          <w:trHeight w:val="709" w:hRule="atLeast"/>
        </w:trPr>
        <w:tc>
          <w:tcPr>
            <w:tcW w:w="247" w:type="pct"/>
            <w:vMerge w:val="continue"/>
            <w:tcBorders>
              <w:top w:val="nil"/>
              <w:left w:val="single" w:color="000000" w:sz="4" w:space="0"/>
              <w:bottom w:val="single" w:color="000000" w:sz="4" w:space="0"/>
              <w:right w:val="single" w:color="000000" w:sz="4" w:space="0"/>
            </w:tcBorders>
            <w:vAlign w:val="center"/>
          </w:tcPr>
          <w:p w14:paraId="7E604EF6">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105FEA3B">
            <w:pPr>
              <w:widowControl/>
              <w:jc w:val="left"/>
              <w:rPr>
                <w:rFonts w:ascii="宋体" w:hAnsi="宋体" w:eastAsia="宋体" w:cs="Times New Roman"/>
                <w:sz w:val="18"/>
                <w:szCs w:val="18"/>
              </w:rPr>
            </w:pPr>
          </w:p>
        </w:tc>
        <w:tc>
          <w:tcPr>
            <w:tcW w:w="2387" w:type="pct"/>
            <w:gridSpan w:val="5"/>
            <w:tcBorders>
              <w:top w:val="single" w:color="000000" w:sz="4" w:space="0"/>
              <w:left w:val="nil"/>
              <w:bottom w:val="single" w:color="000000" w:sz="4" w:space="0"/>
              <w:right w:val="single" w:color="000000" w:sz="4" w:space="0"/>
            </w:tcBorders>
            <w:vAlign w:val="center"/>
          </w:tcPr>
          <w:p w14:paraId="2AFF2958">
            <w:pPr>
              <w:widowControl/>
              <w:jc w:val="left"/>
              <w:rPr>
                <w:rFonts w:ascii="宋体" w:hAnsi="宋体" w:eastAsia="宋体" w:cs="Times New Roman"/>
                <w:sz w:val="18"/>
                <w:szCs w:val="18"/>
              </w:rPr>
            </w:pPr>
            <w:r>
              <w:rPr>
                <w:rFonts w:hint="eastAsia" w:ascii="宋体" w:hAnsi="宋体" w:eastAsia="宋体" w:cs="宋体"/>
                <w:sz w:val="18"/>
                <w:szCs w:val="18"/>
              </w:rPr>
              <w:t>给各乡镇配置了评价器，高拍仪，和窗口屏信息显示。方便群众办事，提升便民服务中心工作效率。</w:t>
            </w:r>
          </w:p>
        </w:tc>
        <w:tc>
          <w:tcPr>
            <w:tcW w:w="1638" w:type="pct"/>
            <w:gridSpan w:val="4"/>
            <w:tcBorders>
              <w:top w:val="single" w:color="000000" w:sz="4" w:space="0"/>
              <w:left w:val="nil"/>
              <w:bottom w:val="single" w:color="000000" w:sz="4" w:space="0"/>
              <w:right w:val="single" w:color="000000" w:sz="4" w:space="0"/>
            </w:tcBorders>
            <w:vAlign w:val="center"/>
          </w:tcPr>
          <w:p w14:paraId="57999DB3">
            <w:pPr>
              <w:widowControl/>
              <w:jc w:val="left"/>
              <w:rPr>
                <w:rFonts w:ascii="Courier New" w:hAnsi="Courier New" w:eastAsia="宋体" w:cs="Times New Roman"/>
                <w:sz w:val="18"/>
                <w:szCs w:val="18"/>
              </w:rPr>
            </w:pPr>
            <w:r>
              <w:rPr>
                <w:rFonts w:hint="eastAsia" w:ascii="Courier New" w:hAnsi="Courier New" w:eastAsia="宋体" w:cs="宋体"/>
                <w:sz w:val="18"/>
                <w:szCs w:val="18"/>
              </w:rPr>
              <w:t>为乡镇配置评价器</w:t>
            </w:r>
            <w:r>
              <w:rPr>
                <w:rFonts w:ascii="Courier New" w:hAnsi="Courier New" w:eastAsia="宋体" w:cs="Courier New"/>
                <w:sz w:val="18"/>
                <w:szCs w:val="18"/>
              </w:rPr>
              <w:t>22</w:t>
            </w:r>
            <w:r>
              <w:rPr>
                <w:rFonts w:hint="eastAsia" w:ascii="Courier New" w:hAnsi="Courier New" w:eastAsia="宋体" w:cs="宋体"/>
                <w:sz w:val="18"/>
                <w:szCs w:val="18"/>
              </w:rPr>
              <w:t>台，高拍仪</w:t>
            </w:r>
            <w:r>
              <w:rPr>
                <w:rFonts w:ascii="Courier New" w:hAnsi="Courier New" w:eastAsia="宋体" w:cs="Courier New"/>
                <w:sz w:val="18"/>
                <w:szCs w:val="18"/>
              </w:rPr>
              <w:t>13</w:t>
            </w:r>
            <w:r>
              <w:rPr>
                <w:rFonts w:hint="eastAsia" w:ascii="Courier New" w:hAnsi="Courier New" w:eastAsia="宋体" w:cs="宋体"/>
                <w:sz w:val="18"/>
                <w:szCs w:val="18"/>
              </w:rPr>
              <w:t>台。</w:t>
            </w:r>
          </w:p>
        </w:tc>
      </w:tr>
      <w:tr w14:paraId="33FD4C0F">
        <w:tblPrEx>
          <w:tblCellMar>
            <w:top w:w="0" w:type="dxa"/>
            <w:left w:w="108" w:type="dxa"/>
            <w:bottom w:w="0" w:type="dxa"/>
            <w:right w:w="108" w:type="dxa"/>
          </w:tblCellMar>
        </w:tblPrEx>
        <w:trPr>
          <w:trHeight w:val="694" w:hRule="atLeast"/>
        </w:trPr>
        <w:tc>
          <w:tcPr>
            <w:tcW w:w="247" w:type="pct"/>
            <w:vMerge w:val="continue"/>
            <w:tcBorders>
              <w:top w:val="nil"/>
              <w:left w:val="single" w:color="000000" w:sz="4" w:space="0"/>
              <w:bottom w:val="single" w:color="000000" w:sz="4" w:space="0"/>
              <w:right w:val="single" w:color="000000" w:sz="4" w:space="0"/>
            </w:tcBorders>
            <w:vAlign w:val="center"/>
          </w:tcPr>
          <w:p w14:paraId="71267E92">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5E07E388">
            <w:pPr>
              <w:widowControl/>
              <w:jc w:val="left"/>
              <w:rPr>
                <w:rFonts w:ascii="宋体" w:hAnsi="宋体" w:eastAsia="宋体" w:cs="Times New Roman"/>
                <w:sz w:val="18"/>
                <w:szCs w:val="18"/>
              </w:rPr>
            </w:pPr>
            <w:r>
              <w:rPr>
                <w:rFonts w:ascii="宋体" w:hAnsi="宋体" w:eastAsia="宋体" w:cs="宋体"/>
                <w:sz w:val="18"/>
                <w:szCs w:val="18"/>
              </w:rPr>
              <w:t>2.</w:t>
            </w:r>
            <w:r>
              <w:rPr>
                <w:rFonts w:hint="eastAsia" w:ascii="宋体" w:hAnsi="宋体" w:eastAsia="宋体" w:cs="宋体"/>
                <w:sz w:val="18"/>
                <w:szCs w:val="18"/>
              </w:rPr>
              <w:t>项目实施内容及过程概述</w:t>
            </w:r>
          </w:p>
        </w:tc>
        <w:tc>
          <w:tcPr>
            <w:tcW w:w="4025" w:type="pct"/>
            <w:gridSpan w:val="9"/>
            <w:tcBorders>
              <w:top w:val="single" w:color="000000" w:sz="4" w:space="0"/>
              <w:left w:val="nil"/>
              <w:bottom w:val="single" w:color="000000" w:sz="4" w:space="0"/>
              <w:right w:val="single" w:color="000000" w:sz="4" w:space="0"/>
            </w:tcBorders>
            <w:vAlign w:val="center"/>
          </w:tcPr>
          <w:p w14:paraId="75E47285">
            <w:pPr>
              <w:widowControl/>
              <w:jc w:val="left"/>
              <w:rPr>
                <w:rFonts w:ascii="宋体" w:hAnsi="宋体" w:eastAsia="宋体" w:cs="Times New Roman"/>
                <w:sz w:val="18"/>
                <w:szCs w:val="18"/>
              </w:rPr>
            </w:pPr>
            <w:r>
              <w:rPr>
                <w:rFonts w:hint="eastAsia" w:ascii="宋体" w:hAnsi="宋体" w:eastAsia="宋体" w:cs="宋体"/>
                <w:sz w:val="18"/>
                <w:szCs w:val="18"/>
                <w:lang w:eastAsia="zh-CN"/>
              </w:rPr>
              <w:t>截至目前</w:t>
            </w:r>
            <w:r>
              <w:rPr>
                <w:rFonts w:hint="eastAsia" w:ascii="宋体" w:hAnsi="宋体" w:eastAsia="宋体" w:cs="宋体"/>
                <w:sz w:val="18"/>
                <w:szCs w:val="18"/>
              </w:rPr>
              <w:t>共建设了</w:t>
            </w:r>
            <w:r>
              <w:rPr>
                <w:rFonts w:ascii="宋体" w:hAnsi="宋体" w:eastAsia="宋体" w:cs="宋体"/>
                <w:sz w:val="18"/>
                <w:szCs w:val="18"/>
              </w:rPr>
              <w:t>18</w:t>
            </w:r>
            <w:r>
              <w:rPr>
                <w:rFonts w:hint="eastAsia" w:ascii="宋体" w:hAnsi="宋体" w:eastAsia="宋体" w:cs="宋体"/>
                <w:sz w:val="18"/>
                <w:szCs w:val="18"/>
              </w:rPr>
              <w:t>个乡镇（含</w:t>
            </w:r>
            <w:r>
              <w:rPr>
                <w:rFonts w:ascii="宋体" w:hAnsi="宋体" w:eastAsia="宋体" w:cs="宋体"/>
                <w:sz w:val="18"/>
                <w:szCs w:val="18"/>
              </w:rPr>
              <w:t>2</w:t>
            </w:r>
            <w:r>
              <w:rPr>
                <w:rFonts w:hint="eastAsia" w:ascii="宋体" w:hAnsi="宋体" w:eastAsia="宋体" w:cs="宋体"/>
                <w:sz w:val="18"/>
                <w:szCs w:val="18"/>
              </w:rPr>
              <w:t>个社区）</w:t>
            </w:r>
            <w:r>
              <w:rPr>
                <w:rFonts w:ascii="宋体" w:hAnsi="宋体" w:eastAsia="宋体" w:cs="宋体"/>
                <w:sz w:val="18"/>
                <w:szCs w:val="18"/>
              </w:rPr>
              <w:t>96</w:t>
            </w:r>
            <w:r>
              <w:rPr>
                <w:rFonts w:hint="eastAsia" w:ascii="宋体" w:hAnsi="宋体" w:eastAsia="宋体" w:cs="宋体"/>
                <w:sz w:val="18"/>
                <w:szCs w:val="18"/>
              </w:rPr>
              <w:t>个综合窗口，</w:t>
            </w:r>
            <w:r>
              <w:rPr>
                <w:rFonts w:ascii="宋体" w:hAnsi="宋体" w:eastAsia="宋体" w:cs="宋体"/>
                <w:sz w:val="18"/>
                <w:szCs w:val="18"/>
              </w:rPr>
              <w:t>51</w:t>
            </w:r>
            <w:r>
              <w:rPr>
                <w:rFonts w:hint="eastAsia" w:ascii="宋体" w:hAnsi="宋体" w:eastAsia="宋体" w:cs="宋体"/>
                <w:sz w:val="18"/>
                <w:szCs w:val="18"/>
              </w:rPr>
              <w:t>个窗口屏。建设工作持续推进。提升了办事工作效率，促进便民服务中心工作规范化、标准化，群众办事便利化。</w:t>
            </w:r>
          </w:p>
        </w:tc>
      </w:tr>
      <w:tr w14:paraId="6E625D30">
        <w:tblPrEx>
          <w:tblCellMar>
            <w:top w:w="0" w:type="dxa"/>
            <w:left w:w="108" w:type="dxa"/>
            <w:bottom w:w="0" w:type="dxa"/>
            <w:right w:w="108" w:type="dxa"/>
          </w:tblCellMar>
        </w:tblPrEx>
        <w:trPr>
          <w:trHeight w:val="360" w:hRule="atLeast"/>
        </w:trPr>
        <w:tc>
          <w:tcPr>
            <w:tcW w:w="247" w:type="pct"/>
            <w:vMerge w:val="restart"/>
            <w:tcBorders>
              <w:top w:val="nil"/>
              <w:left w:val="single" w:color="000000" w:sz="4" w:space="0"/>
              <w:bottom w:val="single" w:color="000000" w:sz="4" w:space="0"/>
              <w:right w:val="single" w:color="000000" w:sz="4" w:space="0"/>
            </w:tcBorders>
            <w:vAlign w:val="center"/>
          </w:tcPr>
          <w:p w14:paraId="672DB775">
            <w:pPr>
              <w:widowControl/>
              <w:jc w:val="center"/>
              <w:rPr>
                <w:rFonts w:ascii="宋体" w:hAnsi="宋体" w:eastAsia="宋体" w:cs="Times New Roman"/>
                <w:sz w:val="18"/>
                <w:szCs w:val="18"/>
              </w:rPr>
            </w:pPr>
            <w:r>
              <w:rPr>
                <w:rFonts w:hint="eastAsia" w:ascii="宋体" w:hAnsi="宋体" w:eastAsia="宋体" w:cs="宋体"/>
                <w:sz w:val="18"/>
                <w:szCs w:val="18"/>
              </w:rPr>
              <w:t>预算执行情况（</w:t>
            </w:r>
            <w:r>
              <w:rPr>
                <w:rFonts w:ascii="宋体" w:hAnsi="宋体" w:eastAsia="宋体" w:cs="宋体"/>
                <w:sz w:val="18"/>
                <w:szCs w:val="18"/>
              </w:rPr>
              <w:t>10</w:t>
            </w:r>
            <w:r>
              <w:rPr>
                <w:rFonts w:hint="eastAsia" w:ascii="宋体" w:hAnsi="宋体" w:eastAsia="宋体" w:cs="宋体"/>
                <w:sz w:val="18"/>
                <w:szCs w:val="18"/>
              </w:rPr>
              <w:t>分）</w:t>
            </w:r>
          </w:p>
        </w:tc>
        <w:tc>
          <w:tcPr>
            <w:tcW w:w="727" w:type="pct"/>
            <w:tcBorders>
              <w:top w:val="nil"/>
              <w:left w:val="nil"/>
              <w:bottom w:val="single" w:color="000000" w:sz="4" w:space="0"/>
              <w:right w:val="single" w:color="000000" w:sz="4" w:space="0"/>
            </w:tcBorders>
            <w:vAlign w:val="center"/>
          </w:tcPr>
          <w:p w14:paraId="7370D2DF">
            <w:pPr>
              <w:widowControl/>
              <w:jc w:val="center"/>
              <w:rPr>
                <w:rFonts w:ascii="宋体" w:hAnsi="宋体" w:eastAsia="宋体" w:cs="Times New Roman"/>
                <w:sz w:val="18"/>
                <w:szCs w:val="18"/>
              </w:rPr>
            </w:pPr>
            <w:r>
              <w:rPr>
                <w:rFonts w:hint="eastAsia" w:ascii="宋体" w:hAnsi="宋体" w:eastAsia="宋体" w:cs="宋体"/>
                <w:sz w:val="18"/>
                <w:szCs w:val="18"/>
              </w:rPr>
              <w:t>年度预算数（万元）</w:t>
            </w:r>
          </w:p>
        </w:tc>
        <w:tc>
          <w:tcPr>
            <w:tcW w:w="629" w:type="pct"/>
            <w:tcBorders>
              <w:top w:val="nil"/>
              <w:left w:val="nil"/>
              <w:bottom w:val="single" w:color="000000" w:sz="4" w:space="0"/>
              <w:right w:val="single" w:color="000000" w:sz="4" w:space="0"/>
            </w:tcBorders>
            <w:vAlign w:val="center"/>
          </w:tcPr>
          <w:p w14:paraId="75DE6985">
            <w:pPr>
              <w:widowControl/>
              <w:jc w:val="center"/>
              <w:rPr>
                <w:rFonts w:ascii="宋体" w:hAnsi="宋体" w:eastAsia="宋体" w:cs="Times New Roman"/>
                <w:sz w:val="18"/>
                <w:szCs w:val="18"/>
              </w:rPr>
            </w:pPr>
            <w:r>
              <w:rPr>
                <w:rFonts w:hint="eastAsia" w:ascii="宋体" w:hAnsi="宋体" w:eastAsia="宋体" w:cs="宋体"/>
                <w:sz w:val="18"/>
                <w:szCs w:val="18"/>
              </w:rPr>
              <w:t>年初预算</w:t>
            </w:r>
          </w:p>
        </w:tc>
        <w:tc>
          <w:tcPr>
            <w:tcW w:w="798" w:type="pct"/>
            <w:tcBorders>
              <w:top w:val="nil"/>
              <w:left w:val="nil"/>
              <w:bottom w:val="single" w:color="000000" w:sz="4" w:space="0"/>
              <w:right w:val="single" w:color="000000" w:sz="4" w:space="0"/>
            </w:tcBorders>
            <w:vAlign w:val="center"/>
          </w:tcPr>
          <w:p w14:paraId="366F055C">
            <w:pPr>
              <w:widowControl/>
              <w:jc w:val="center"/>
              <w:rPr>
                <w:rFonts w:ascii="宋体" w:hAnsi="宋体" w:eastAsia="宋体" w:cs="Times New Roman"/>
                <w:sz w:val="18"/>
                <w:szCs w:val="18"/>
              </w:rPr>
            </w:pPr>
            <w:r>
              <w:rPr>
                <w:rFonts w:hint="eastAsia" w:ascii="宋体" w:hAnsi="宋体" w:eastAsia="宋体" w:cs="宋体"/>
                <w:sz w:val="18"/>
                <w:szCs w:val="18"/>
              </w:rPr>
              <w:t>调整后预算数</w:t>
            </w:r>
          </w:p>
        </w:tc>
        <w:tc>
          <w:tcPr>
            <w:tcW w:w="960" w:type="pct"/>
            <w:gridSpan w:val="3"/>
            <w:tcBorders>
              <w:top w:val="single" w:color="000000" w:sz="4" w:space="0"/>
              <w:left w:val="nil"/>
              <w:bottom w:val="single" w:color="000000" w:sz="4" w:space="0"/>
              <w:right w:val="single" w:color="000000" w:sz="4" w:space="0"/>
            </w:tcBorders>
            <w:vAlign w:val="center"/>
          </w:tcPr>
          <w:p w14:paraId="03CBAE4E">
            <w:pPr>
              <w:widowControl/>
              <w:jc w:val="center"/>
              <w:rPr>
                <w:rFonts w:ascii="宋体" w:hAnsi="宋体" w:eastAsia="宋体" w:cs="Times New Roman"/>
                <w:sz w:val="18"/>
                <w:szCs w:val="18"/>
              </w:rPr>
            </w:pPr>
            <w:r>
              <w:rPr>
                <w:rFonts w:hint="eastAsia" w:ascii="宋体" w:hAnsi="宋体" w:eastAsia="宋体" w:cs="宋体"/>
                <w:sz w:val="18"/>
                <w:szCs w:val="18"/>
              </w:rPr>
              <w:t>预算执行数</w:t>
            </w:r>
          </w:p>
        </w:tc>
        <w:tc>
          <w:tcPr>
            <w:tcW w:w="388" w:type="pct"/>
            <w:tcBorders>
              <w:top w:val="nil"/>
              <w:left w:val="nil"/>
              <w:bottom w:val="single" w:color="000000" w:sz="4" w:space="0"/>
              <w:right w:val="single" w:color="000000" w:sz="4" w:space="0"/>
            </w:tcBorders>
            <w:vAlign w:val="center"/>
          </w:tcPr>
          <w:p w14:paraId="0FAFEB68">
            <w:pPr>
              <w:widowControl/>
              <w:jc w:val="center"/>
              <w:rPr>
                <w:rFonts w:ascii="宋体" w:hAnsi="宋体" w:eastAsia="宋体" w:cs="Times New Roman"/>
                <w:sz w:val="18"/>
                <w:szCs w:val="18"/>
              </w:rPr>
            </w:pPr>
            <w:r>
              <w:rPr>
                <w:rFonts w:hint="eastAsia" w:ascii="宋体" w:hAnsi="宋体" w:eastAsia="宋体" w:cs="宋体"/>
                <w:sz w:val="18"/>
                <w:szCs w:val="18"/>
              </w:rPr>
              <w:t>预算执行率</w:t>
            </w:r>
          </w:p>
        </w:tc>
        <w:tc>
          <w:tcPr>
            <w:tcW w:w="184" w:type="pct"/>
            <w:tcBorders>
              <w:top w:val="nil"/>
              <w:left w:val="nil"/>
              <w:bottom w:val="single" w:color="000000" w:sz="4" w:space="0"/>
              <w:right w:val="single" w:color="000000" w:sz="4" w:space="0"/>
            </w:tcBorders>
            <w:vAlign w:val="center"/>
          </w:tcPr>
          <w:p w14:paraId="62EC6B92">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162" w:type="pct"/>
            <w:tcBorders>
              <w:top w:val="nil"/>
              <w:left w:val="nil"/>
              <w:bottom w:val="single" w:color="000000" w:sz="4" w:space="0"/>
              <w:right w:val="single" w:color="000000" w:sz="4" w:space="0"/>
            </w:tcBorders>
            <w:vAlign w:val="center"/>
          </w:tcPr>
          <w:p w14:paraId="35A3EA11">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904" w:type="pct"/>
            <w:tcBorders>
              <w:top w:val="nil"/>
              <w:left w:val="nil"/>
              <w:bottom w:val="single" w:color="000000" w:sz="4" w:space="0"/>
              <w:right w:val="single" w:color="000000" w:sz="4" w:space="0"/>
            </w:tcBorders>
            <w:vAlign w:val="center"/>
          </w:tcPr>
          <w:p w14:paraId="2F2C49A9">
            <w:pPr>
              <w:widowControl/>
              <w:jc w:val="center"/>
              <w:rPr>
                <w:rFonts w:ascii="宋体" w:hAnsi="宋体" w:eastAsia="宋体" w:cs="Times New Roman"/>
                <w:sz w:val="18"/>
                <w:szCs w:val="18"/>
              </w:rPr>
            </w:pPr>
            <w:r>
              <w:rPr>
                <w:rFonts w:hint="eastAsia" w:ascii="宋体" w:hAnsi="宋体" w:eastAsia="宋体" w:cs="宋体"/>
                <w:sz w:val="18"/>
                <w:szCs w:val="18"/>
              </w:rPr>
              <w:t>原因</w:t>
            </w:r>
          </w:p>
        </w:tc>
      </w:tr>
      <w:tr w14:paraId="24C97797">
        <w:tblPrEx>
          <w:tblCellMar>
            <w:top w:w="0" w:type="dxa"/>
            <w:left w:w="108" w:type="dxa"/>
            <w:bottom w:w="0" w:type="dxa"/>
            <w:right w:w="108" w:type="dxa"/>
          </w:tblCellMar>
        </w:tblPrEx>
        <w:trPr>
          <w:trHeight w:val="345" w:hRule="atLeast"/>
        </w:trPr>
        <w:tc>
          <w:tcPr>
            <w:tcW w:w="247" w:type="pct"/>
            <w:vMerge w:val="continue"/>
            <w:tcBorders>
              <w:top w:val="nil"/>
              <w:left w:val="single" w:color="000000" w:sz="4" w:space="0"/>
              <w:bottom w:val="single" w:color="000000" w:sz="4" w:space="0"/>
              <w:right w:val="single" w:color="000000" w:sz="4" w:space="0"/>
            </w:tcBorders>
            <w:vAlign w:val="center"/>
          </w:tcPr>
          <w:p w14:paraId="0DB615EE">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7DDA4E42">
            <w:pPr>
              <w:widowControl/>
              <w:jc w:val="center"/>
              <w:rPr>
                <w:rFonts w:ascii="宋体" w:hAnsi="宋体" w:eastAsia="宋体" w:cs="Times New Roman"/>
                <w:sz w:val="18"/>
                <w:szCs w:val="18"/>
              </w:rPr>
            </w:pPr>
            <w:r>
              <w:rPr>
                <w:rFonts w:hint="eastAsia" w:ascii="宋体" w:hAnsi="宋体" w:eastAsia="宋体" w:cs="宋体"/>
                <w:sz w:val="18"/>
                <w:szCs w:val="18"/>
              </w:rPr>
              <w:t>总额</w:t>
            </w:r>
          </w:p>
        </w:tc>
        <w:tc>
          <w:tcPr>
            <w:tcW w:w="629" w:type="pct"/>
            <w:tcBorders>
              <w:top w:val="nil"/>
              <w:left w:val="nil"/>
              <w:bottom w:val="single" w:color="000000" w:sz="4" w:space="0"/>
              <w:right w:val="single" w:color="000000" w:sz="4" w:space="0"/>
            </w:tcBorders>
            <w:vAlign w:val="center"/>
          </w:tcPr>
          <w:p w14:paraId="639D7347">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79E1C665">
            <w:pPr>
              <w:widowControl/>
              <w:jc w:val="center"/>
              <w:rPr>
                <w:rFonts w:ascii="宋体" w:hAnsi="宋体" w:eastAsia="宋体" w:cs="宋体"/>
                <w:sz w:val="18"/>
                <w:szCs w:val="18"/>
              </w:rPr>
            </w:pPr>
            <w:r>
              <w:rPr>
                <w:rFonts w:ascii="宋体" w:hAnsi="宋体" w:eastAsia="宋体" w:cs="宋体"/>
                <w:sz w:val="18"/>
                <w:szCs w:val="18"/>
              </w:rPr>
              <w:t>11.40</w:t>
            </w:r>
          </w:p>
        </w:tc>
        <w:tc>
          <w:tcPr>
            <w:tcW w:w="960" w:type="pct"/>
            <w:gridSpan w:val="3"/>
            <w:tcBorders>
              <w:top w:val="single" w:color="000000" w:sz="4" w:space="0"/>
              <w:left w:val="nil"/>
              <w:bottom w:val="single" w:color="000000" w:sz="4" w:space="0"/>
              <w:right w:val="single" w:color="000000" w:sz="4" w:space="0"/>
            </w:tcBorders>
            <w:vAlign w:val="center"/>
          </w:tcPr>
          <w:p w14:paraId="6C27715C">
            <w:pPr>
              <w:widowControl/>
              <w:jc w:val="center"/>
              <w:rPr>
                <w:rFonts w:ascii="宋体" w:hAnsi="宋体" w:eastAsia="宋体" w:cs="宋体"/>
                <w:sz w:val="18"/>
                <w:szCs w:val="18"/>
              </w:rPr>
            </w:pPr>
            <w:r>
              <w:rPr>
                <w:rFonts w:ascii="宋体" w:hAnsi="宋体" w:eastAsia="宋体" w:cs="宋体"/>
                <w:sz w:val="18"/>
                <w:szCs w:val="18"/>
              </w:rPr>
              <w:t>11.40</w:t>
            </w:r>
          </w:p>
        </w:tc>
        <w:tc>
          <w:tcPr>
            <w:tcW w:w="388" w:type="pct"/>
            <w:tcBorders>
              <w:top w:val="nil"/>
              <w:left w:val="nil"/>
              <w:bottom w:val="single" w:color="000000" w:sz="4" w:space="0"/>
              <w:right w:val="single" w:color="000000" w:sz="4" w:space="0"/>
            </w:tcBorders>
            <w:vAlign w:val="center"/>
          </w:tcPr>
          <w:p w14:paraId="51161A0A">
            <w:pPr>
              <w:widowControl/>
              <w:jc w:val="center"/>
              <w:rPr>
                <w:rFonts w:ascii="宋体" w:hAnsi="宋体" w:eastAsia="宋体" w:cs="宋体"/>
                <w:sz w:val="18"/>
                <w:szCs w:val="18"/>
              </w:rPr>
            </w:pPr>
            <w:r>
              <w:rPr>
                <w:rFonts w:ascii="宋体" w:hAnsi="宋体" w:eastAsia="宋体" w:cs="宋体"/>
                <w:sz w:val="18"/>
                <w:szCs w:val="18"/>
              </w:rPr>
              <w:t>100.00%</w:t>
            </w:r>
          </w:p>
        </w:tc>
        <w:tc>
          <w:tcPr>
            <w:tcW w:w="184" w:type="pct"/>
            <w:tcBorders>
              <w:top w:val="nil"/>
              <w:left w:val="nil"/>
              <w:bottom w:val="single" w:color="000000" w:sz="4" w:space="0"/>
              <w:right w:val="single" w:color="000000" w:sz="4" w:space="0"/>
            </w:tcBorders>
            <w:vAlign w:val="center"/>
          </w:tcPr>
          <w:p w14:paraId="14EF5559">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4C36C27E">
            <w:pPr>
              <w:widowControl/>
              <w:jc w:val="center"/>
              <w:rPr>
                <w:rFonts w:ascii="宋体" w:hAnsi="宋体" w:eastAsia="宋体" w:cs="宋体"/>
                <w:sz w:val="18"/>
                <w:szCs w:val="18"/>
              </w:rPr>
            </w:pPr>
            <w:r>
              <w:rPr>
                <w:rFonts w:ascii="宋体" w:hAnsi="宋体" w:eastAsia="宋体" w:cs="宋体"/>
                <w:sz w:val="18"/>
                <w:szCs w:val="18"/>
              </w:rPr>
              <w:t>10</w:t>
            </w:r>
          </w:p>
        </w:tc>
        <w:tc>
          <w:tcPr>
            <w:tcW w:w="904" w:type="pct"/>
            <w:vMerge w:val="restart"/>
            <w:tcBorders>
              <w:top w:val="nil"/>
              <w:left w:val="single" w:color="000000" w:sz="4" w:space="0"/>
              <w:bottom w:val="single" w:color="000000" w:sz="4" w:space="0"/>
              <w:right w:val="single" w:color="000000" w:sz="4" w:space="0"/>
            </w:tcBorders>
            <w:vAlign w:val="center"/>
          </w:tcPr>
          <w:p w14:paraId="702E9034">
            <w:pPr>
              <w:widowControl/>
              <w:jc w:val="left"/>
              <w:rPr>
                <w:rFonts w:ascii="Courier New" w:hAnsi="Courier New" w:eastAsia="宋体" w:cs="Times New Roman"/>
                <w:i/>
                <w:iCs/>
                <w:sz w:val="18"/>
                <w:szCs w:val="18"/>
              </w:rPr>
            </w:pPr>
            <w:r>
              <w:rPr>
                <w:rFonts w:hint="eastAsia" w:ascii="Courier New" w:hAnsi="Courier New" w:eastAsia="宋体" w:cs="宋体"/>
                <w:i/>
                <w:iCs/>
                <w:sz w:val="18"/>
                <w:szCs w:val="18"/>
              </w:rPr>
              <w:t>　</w:t>
            </w:r>
          </w:p>
        </w:tc>
      </w:tr>
      <w:tr w14:paraId="072247DD">
        <w:tblPrEx>
          <w:tblCellMar>
            <w:top w:w="0" w:type="dxa"/>
            <w:left w:w="108" w:type="dxa"/>
            <w:bottom w:w="0" w:type="dxa"/>
            <w:right w:w="108" w:type="dxa"/>
          </w:tblCellMar>
        </w:tblPrEx>
        <w:trPr>
          <w:trHeight w:val="390" w:hRule="atLeast"/>
        </w:trPr>
        <w:tc>
          <w:tcPr>
            <w:tcW w:w="247" w:type="pct"/>
            <w:vMerge w:val="continue"/>
            <w:tcBorders>
              <w:top w:val="nil"/>
              <w:left w:val="single" w:color="000000" w:sz="4" w:space="0"/>
              <w:bottom w:val="single" w:color="000000" w:sz="4" w:space="0"/>
              <w:right w:val="single" w:color="000000" w:sz="4" w:space="0"/>
            </w:tcBorders>
            <w:vAlign w:val="center"/>
          </w:tcPr>
          <w:p w14:paraId="3E9A515D">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587324DF">
            <w:pPr>
              <w:widowControl/>
              <w:jc w:val="center"/>
              <w:rPr>
                <w:rFonts w:ascii="宋体" w:hAnsi="宋体" w:eastAsia="宋体" w:cs="Times New Roman"/>
                <w:sz w:val="18"/>
                <w:szCs w:val="18"/>
              </w:rPr>
            </w:pPr>
            <w:r>
              <w:rPr>
                <w:rFonts w:hint="eastAsia" w:ascii="宋体" w:hAnsi="宋体" w:eastAsia="宋体" w:cs="宋体"/>
                <w:sz w:val="18"/>
                <w:szCs w:val="18"/>
              </w:rPr>
              <w:t>其中：财政资金</w:t>
            </w:r>
          </w:p>
        </w:tc>
        <w:tc>
          <w:tcPr>
            <w:tcW w:w="629" w:type="pct"/>
            <w:tcBorders>
              <w:top w:val="nil"/>
              <w:left w:val="nil"/>
              <w:bottom w:val="single" w:color="000000" w:sz="4" w:space="0"/>
              <w:right w:val="single" w:color="000000" w:sz="4" w:space="0"/>
            </w:tcBorders>
            <w:vAlign w:val="center"/>
          </w:tcPr>
          <w:p w14:paraId="0D512249">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102A8237">
            <w:pPr>
              <w:widowControl/>
              <w:jc w:val="center"/>
              <w:rPr>
                <w:rFonts w:ascii="宋体" w:hAnsi="宋体" w:eastAsia="宋体" w:cs="宋体"/>
                <w:sz w:val="18"/>
                <w:szCs w:val="18"/>
              </w:rPr>
            </w:pPr>
            <w:r>
              <w:rPr>
                <w:rFonts w:ascii="宋体" w:hAnsi="宋体" w:eastAsia="宋体" w:cs="宋体"/>
                <w:sz w:val="18"/>
                <w:szCs w:val="18"/>
              </w:rPr>
              <w:t>11.40</w:t>
            </w:r>
          </w:p>
        </w:tc>
        <w:tc>
          <w:tcPr>
            <w:tcW w:w="960" w:type="pct"/>
            <w:gridSpan w:val="3"/>
            <w:tcBorders>
              <w:top w:val="single" w:color="000000" w:sz="4" w:space="0"/>
              <w:left w:val="nil"/>
              <w:bottom w:val="single" w:color="000000" w:sz="4" w:space="0"/>
              <w:right w:val="single" w:color="000000" w:sz="4" w:space="0"/>
            </w:tcBorders>
            <w:vAlign w:val="center"/>
          </w:tcPr>
          <w:p w14:paraId="0A4D4CE9">
            <w:pPr>
              <w:widowControl/>
              <w:jc w:val="center"/>
              <w:rPr>
                <w:rFonts w:ascii="宋体" w:hAnsi="宋体" w:eastAsia="宋体" w:cs="宋体"/>
                <w:sz w:val="18"/>
                <w:szCs w:val="18"/>
              </w:rPr>
            </w:pPr>
            <w:r>
              <w:rPr>
                <w:rFonts w:ascii="宋体" w:hAnsi="宋体" w:eastAsia="宋体" w:cs="宋体"/>
                <w:sz w:val="18"/>
                <w:szCs w:val="18"/>
              </w:rPr>
              <w:t>11.40</w:t>
            </w:r>
          </w:p>
        </w:tc>
        <w:tc>
          <w:tcPr>
            <w:tcW w:w="388" w:type="pct"/>
            <w:tcBorders>
              <w:top w:val="nil"/>
              <w:left w:val="nil"/>
              <w:bottom w:val="single" w:color="000000" w:sz="4" w:space="0"/>
              <w:right w:val="single" w:color="000000" w:sz="4" w:space="0"/>
            </w:tcBorders>
            <w:vAlign w:val="center"/>
          </w:tcPr>
          <w:p w14:paraId="28D214B7">
            <w:pPr>
              <w:widowControl/>
              <w:jc w:val="center"/>
              <w:rPr>
                <w:rFonts w:ascii="宋体" w:hAnsi="宋体" w:eastAsia="宋体" w:cs="宋体"/>
                <w:sz w:val="18"/>
                <w:szCs w:val="18"/>
              </w:rPr>
            </w:pPr>
            <w:r>
              <w:rPr>
                <w:rFonts w:ascii="宋体" w:hAnsi="宋体" w:eastAsia="宋体" w:cs="宋体"/>
                <w:sz w:val="18"/>
                <w:szCs w:val="18"/>
              </w:rPr>
              <w:t>100.00%</w:t>
            </w:r>
          </w:p>
        </w:tc>
        <w:tc>
          <w:tcPr>
            <w:tcW w:w="184" w:type="pct"/>
            <w:tcBorders>
              <w:top w:val="nil"/>
              <w:left w:val="nil"/>
              <w:bottom w:val="single" w:color="000000" w:sz="4" w:space="0"/>
              <w:right w:val="single" w:color="000000" w:sz="4" w:space="0"/>
            </w:tcBorders>
            <w:vAlign w:val="center"/>
          </w:tcPr>
          <w:p w14:paraId="667F5AEE">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096E3C60">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3EA74CD1">
            <w:pPr>
              <w:widowControl/>
              <w:jc w:val="left"/>
              <w:rPr>
                <w:rFonts w:ascii="Courier New" w:hAnsi="Courier New" w:eastAsia="宋体" w:cs="Times New Roman"/>
                <w:i/>
                <w:iCs/>
                <w:sz w:val="18"/>
                <w:szCs w:val="18"/>
              </w:rPr>
            </w:pPr>
          </w:p>
        </w:tc>
      </w:tr>
      <w:tr w14:paraId="4BCD0C2A">
        <w:tblPrEx>
          <w:tblCellMar>
            <w:top w:w="0" w:type="dxa"/>
            <w:left w:w="108" w:type="dxa"/>
            <w:bottom w:w="0" w:type="dxa"/>
            <w:right w:w="108" w:type="dxa"/>
          </w:tblCellMar>
        </w:tblPrEx>
        <w:trPr>
          <w:trHeight w:val="409" w:hRule="atLeast"/>
        </w:trPr>
        <w:tc>
          <w:tcPr>
            <w:tcW w:w="247" w:type="pct"/>
            <w:vMerge w:val="continue"/>
            <w:tcBorders>
              <w:top w:val="nil"/>
              <w:left w:val="single" w:color="000000" w:sz="4" w:space="0"/>
              <w:bottom w:val="single" w:color="000000" w:sz="4" w:space="0"/>
              <w:right w:val="single" w:color="000000" w:sz="4" w:space="0"/>
            </w:tcBorders>
            <w:vAlign w:val="center"/>
          </w:tcPr>
          <w:p w14:paraId="186B294D">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322EC5AC">
            <w:pPr>
              <w:widowControl/>
              <w:jc w:val="center"/>
              <w:rPr>
                <w:rFonts w:ascii="宋体" w:hAnsi="宋体" w:eastAsia="宋体" w:cs="Times New Roman"/>
                <w:sz w:val="18"/>
                <w:szCs w:val="18"/>
              </w:rPr>
            </w:pPr>
            <w:r>
              <w:rPr>
                <w:rFonts w:hint="eastAsia" w:ascii="宋体" w:hAnsi="宋体" w:eastAsia="宋体" w:cs="宋体"/>
                <w:sz w:val="18"/>
                <w:szCs w:val="18"/>
              </w:rPr>
              <w:t>财政专户管理资金</w:t>
            </w:r>
          </w:p>
        </w:tc>
        <w:tc>
          <w:tcPr>
            <w:tcW w:w="629" w:type="pct"/>
            <w:tcBorders>
              <w:top w:val="nil"/>
              <w:left w:val="nil"/>
              <w:bottom w:val="single" w:color="000000" w:sz="4" w:space="0"/>
              <w:right w:val="single" w:color="000000" w:sz="4" w:space="0"/>
            </w:tcBorders>
            <w:vAlign w:val="center"/>
          </w:tcPr>
          <w:p w14:paraId="0F90900A">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755AA445">
            <w:pPr>
              <w:widowControl/>
              <w:jc w:val="center"/>
              <w:rPr>
                <w:rFonts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nil"/>
              <w:bottom w:val="single" w:color="000000" w:sz="4" w:space="0"/>
              <w:right w:val="single" w:color="000000" w:sz="4" w:space="0"/>
            </w:tcBorders>
            <w:vAlign w:val="center"/>
          </w:tcPr>
          <w:p w14:paraId="1A36A0E1">
            <w:pPr>
              <w:widowControl/>
              <w:jc w:val="center"/>
              <w:rPr>
                <w:rFonts w:ascii="宋体" w:hAnsi="宋体" w:eastAsia="宋体" w:cs="宋体"/>
                <w:sz w:val="18"/>
                <w:szCs w:val="18"/>
              </w:rPr>
            </w:pPr>
            <w:r>
              <w:rPr>
                <w:rFonts w:ascii="宋体" w:hAnsi="宋体" w:eastAsia="宋体" w:cs="宋体"/>
                <w:sz w:val="18"/>
                <w:szCs w:val="18"/>
              </w:rPr>
              <w:t>0.00</w:t>
            </w:r>
          </w:p>
        </w:tc>
        <w:tc>
          <w:tcPr>
            <w:tcW w:w="388" w:type="pct"/>
            <w:tcBorders>
              <w:top w:val="nil"/>
              <w:left w:val="nil"/>
              <w:bottom w:val="single" w:color="000000" w:sz="4" w:space="0"/>
              <w:right w:val="single" w:color="000000" w:sz="4" w:space="0"/>
            </w:tcBorders>
            <w:vAlign w:val="center"/>
          </w:tcPr>
          <w:p w14:paraId="40218FC9">
            <w:pPr>
              <w:widowControl/>
              <w:jc w:val="center"/>
              <w:rPr>
                <w:rFonts w:ascii="宋体" w:hAnsi="宋体" w:eastAsia="宋体" w:cs="宋体"/>
                <w:sz w:val="18"/>
                <w:szCs w:val="18"/>
              </w:rPr>
            </w:pPr>
            <w:r>
              <w:rPr>
                <w:rFonts w:ascii="宋体" w:hAnsi="宋体" w:eastAsia="宋体" w:cs="宋体"/>
                <w:sz w:val="18"/>
                <w:szCs w:val="18"/>
              </w:rPr>
              <w:t>0.00%</w:t>
            </w:r>
          </w:p>
        </w:tc>
        <w:tc>
          <w:tcPr>
            <w:tcW w:w="184" w:type="pct"/>
            <w:tcBorders>
              <w:top w:val="nil"/>
              <w:left w:val="nil"/>
              <w:bottom w:val="single" w:color="000000" w:sz="4" w:space="0"/>
              <w:right w:val="single" w:color="000000" w:sz="4" w:space="0"/>
            </w:tcBorders>
            <w:vAlign w:val="center"/>
          </w:tcPr>
          <w:p w14:paraId="0796982E">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6E6D16C4">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1D1E92E8">
            <w:pPr>
              <w:widowControl/>
              <w:jc w:val="left"/>
              <w:rPr>
                <w:rFonts w:ascii="Courier New" w:hAnsi="Courier New" w:eastAsia="宋体" w:cs="Times New Roman"/>
                <w:i/>
                <w:iCs/>
                <w:sz w:val="18"/>
                <w:szCs w:val="18"/>
              </w:rPr>
            </w:pPr>
          </w:p>
        </w:tc>
      </w:tr>
      <w:tr w14:paraId="08DCAADA">
        <w:tblPrEx>
          <w:tblCellMar>
            <w:top w:w="0" w:type="dxa"/>
            <w:left w:w="108" w:type="dxa"/>
            <w:bottom w:w="0" w:type="dxa"/>
            <w:right w:w="108" w:type="dxa"/>
          </w:tblCellMar>
        </w:tblPrEx>
        <w:trPr>
          <w:trHeight w:val="360" w:hRule="atLeast"/>
        </w:trPr>
        <w:tc>
          <w:tcPr>
            <w:tcW w:w="247" w:type="pct"/>
            <w:vMerge w:val="continue"/>
            <w:tcBorders>
              <w:top w:val="nil"/>
              <w:left w:val="single" w:color="000000" w:sz="4" w:space="0"/>
              <w:bottom w:val="single" w:color="000000" w:sz="4" w:space="0"/>
              <w:right w:val="single" w:color="000000" w:sz="4" w:space="0"/>
            </w:tcBorders>
            <w:vAlign w:val="center"/>
          </w:tcPr>
          <w:p w14:paraId="28A585CA">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349ED733">
            <w:pPr>
              <w:widowControl/>
              <w:jc w:val="center"/>
              <w:rPr>
                <w:rFonts w:ascii="宋体" w:hAnsi="宋体" w:eastAsia="宋体" w:cs="Times New Roman"/>
                <w:sz w:val="18"/>
                <w:szCs w:val="18"/>
              </w:rPr>
            </w:pPr>
            <w:r>
              <w:rPr>
                <w:rFonts w:hint="eastAsia" w:ascii="宋体" w:hAnsi="宋体" w:eastAsia="宋体" w:cs="宋体"/>
                <w:sz w:val="18"/>
                <w:szCs w:val="18"/>
              </w:rPr>
              <w:t>单位资金</w:t>
            </w:r>
          </w:p>
        </w:tc>
        <w:tc>
          <w:tcPr>
            <w:tcW w:w="629" w:type="pct"/>
            <w:tcBorders>
              <w:top w:val="nil"/>
              <w:left w:val="nil"/>
              <w:bottom w:val="single" w:color="000000" w:sz="4" w:space="0"/>
              <w:right w:val="single" w:color="000000" w:sz="4" w:space="0"/>
            </w:tcBorders>
            <w:vAlign w:val="center"/>
          </w:tcPr>
          <w:p w14:paraId="5E902C52">
            <w:pPr>
              <w:widowControl/>
              <w:jc w:val="center"/>
              <w:rPr>
                <w:rFonts w:ascii="宋体" w:hAnsi="宋体" w:eastAsia="宋体" w:cs="宋体"/>
                <w:sz w:val="18"/>
                <w:szCs w:val="18"/>
              </w:rPr>
            </w:pPr>
            <w:r>
              <w:rPr>
                <w:rFonts w:ascii="宋体" w:hAnsi="宋体" w:eastAsia="宋体" w:cs="宋体"/>
                <w:sz w:val="18"/>
                <w:szCs w:val="18"/>
              </w:rPr>
              <w:t>0.00</w:t>
            </w:r>
          </w:p>
        </w:tc>
        <w:tc>
          <w:tcPr>
            <w:tcW w:w="798" w:type="pct"/>
            <w:tcBorders>
              <w:top w:val="nil"/>
              <w:left w:val="nil"/>
              <w:bottom w:val="single" w:color="000000" w:sz="4" w:space="0"/>
              <w:right w:val="single" w:color="000000" w:sz="4" w:space="0"/>
            </w:tcBorders>
            <w:vAlign w:val="center"/>
          </w:tcPr>
          <w:p w14:paraId="01935C59">
            <w:pPr>
              <w:widowControl/>
              <w:jc w:val="center"/>
              <w:rPr>
                <w:rFonts w:ascii="宋体" w:hAnsi="宋体" w:eastAsia="宋体" w:cs="宋体"/>
                <w:sz w:val="18"/>
                <w:szCs w:val="18"/>
              </w:rPr>
            </w:pPr>
            <w:r>
              <w:rPr>
                <w:rFonts w:ascii="宋体" w:hAnsi="宋体" w:eastAsia="宋体" w:cs="宋体"/>
                <w:sz w:val="18"/>
                <w:szCs w:val="18"/>
              </w:rPr>
              <w:t>0.00</w:t>
            </w:r>
          </w:p>
        </w:tc>
        <w:tc>
          <w:tcPr>
            <w:tcW w:w="960" w:type="pct"/>
            <w:gridSpan w:val="3"/>
            <w:tcBorders>
              <w:top w:val="single" w:color="000000" w:sz="4" w:space="0"/>
              <w:left w:val="nil"/>
              <w:bottom w:val="single" w:color="000000" w:sz="4" w:space="0"/>
              <w:right w:val="single" w:color="000000" w:sz="4" w:space="0"/>
            </w:tcBorders>
            <w:vAlign w:val="center"/>
          </w:tcPr>
          <w:p w14:paraId="5D53973B">
            <w:pPr>
              <w:widowControl/>
              <w:jc w:val="center"/>
              <w:rPr>
                <w:rFonts w:ascii="宋体" w:hAnsi="宋体" w:eastAsia="宋体" w:cs="宋体"/>
                <w:sz w:val="18"/>
                <w:szCs w:val="18"/>
              </w:rPr>
            </w:pPr>
            <w:r>
              <w:rPr>
                <w:rFonts w:ascii="宋体" w:hAnsi="宋体" w:eastAsia="宋体" w:cs="宋体"/>
                <w:sz w:val="18"/>
                <w:szCs w:val="18"/>
              </w:rPr>
              <w:t>0.00</w:t>
            </w:r>
          </w:p>
        </w:tc>
        <w:tc>
          <w:tcPr>
            <w:tcW w:w="388" w:type="pct"/>
            <w:tcBorders>
              <w:top w:val="nil"/>
              <w:left w:val="nil"/>
              <w:bottom w:val="single" w:color="000000" w:sz="4" w:space="0"/>
              <w:right w:val="single" w:color="000000" w:sz="4" w:space="0"/>
            </w:tcBorders>
            <w:vAlign w:val="center"/>
          </w:tcPr>
          <w:p w14:paraId="077137A7">
            <w:pPr>
              <w:widowControl/>
              <w:jc w:val="center"/>
              <w:rPr>
                <w:rFonts w:ascii="宋体" w:hAnsi="宋体" w:eastAsia="宋体" w:cs="宋体"/>
                <w:sz w:val="18"/>
                <w:szCs w:val="18"/>
              </w:rPr>
            </w:pPr>
            <w:r>
              <w:rPr>
                <w:rFonts w:ascii="宋体" w:hAnsi="宋体" w:eastAsia="宋体" w:cs="宋体"/>
                <w:sz w:val="18"/>
                <w:szCs w:val="18"/>
              </w:rPr>
              <w:t>0.00%</w:t>
            </w:r>
          </w:p>
        </w:tc>
        <w:tc>
          <w:tcPr>
            <w:tcW w:w="184" w:type="pct"/>
            <w:tcBorders>
              <w:top w:val="nil"/>
              <w:left w:val="nil"/>
              <w:bottom w:val="single" w:color="000000" w:sz="4" w:space="0"/>
              <w:right w:val="single" w:color="000000" w:sz="4" w:space="0"/>
            </w:tcBorders>
            <w:vAlign w:val="center"/>
          </w:tcPr>
          <w:p w14:paraId="0CC44398">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1F170973">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5C8EEC14">
            <w:pPr>
              <w:widowControl/>
              <w:jc w:val="left"/>
              <w:rPr>
                <w:rFonts w:ascii="Courier New" w:hAnsi="Courier New" w:eastAsia="宋体" w:cs="Times New Roman"/>
                <w:i/>
                <w:iCs/>
                <w:sz w:val="18"/>
                <w:szCs w:val="18"/>
              </w:rPr>
            </w:pPr>
          </w:p>
        </w:tc>
      </w:tr>
      <w:tr w14:paraId="1D487BE6">
        <w:tblPrEx>
          <w:tblCellMar>
            <w:top w:w="0" w:type="dxa"/>
            <w:left w:w="108" w:type="dxa"/>
            <w:bottom w:w="0" w:type="dxa"/>
            <w:right w:w="108" w:type="dxa"/>
          </w:tblCellMar>
        </w:tblPrEx>
        <w:trPr>
          <w:trHeight w:val="338" w:hRule="atLeast"/>
        </w:trPr>
        <w:tc>
          <w:tcPr>
            <w:tcW w:w="247" w:type="pct"/>
            <w:vMerge w:val="continue"/>
            <w:tcBorders>
              <w:top w:val="nil"/>
              <w:left w:val="single" w:color="000000" w:sz="4" w:space="0"/>
              <w:bottom w:val="single" w:color="000000" w:sz="4" w:space="0"/>
              <w:right w:val="single" w:color="000000" w:sz="4" w:space="0"/>
            </w:tcBorders>
            <w:vAlign w:val="center"/>
          </w:tcPr>
          <w:p w14:paraId="5CF52B6C">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34D61541">
            <w:pPr>
              <w:widowControl/>
              <w:jc w:val="center"/>
              <w:rPr>
                <w:rFonts w:ascii="宋体" w:hAnsi="宋体" w:eastAsia="宋体" w:cs="Times New Roman"/>
                <w:sz w:val="18"/>
                <w:szCs w:val="18"/>
              </w:rPr>
            </w:pPr>
            <w:r>
              <w:rPr>
                <w:rFonts w:hint="eastAsia" w:ascii="宋体" w:hAnsi="宋体" w:eastAsia="宋体" w:cs="宋体"/>
                <w:sz w:val="18"/>
                <w:szCs w:val="18"/>
              </w:rPr>
              <w:t>其他资金</w:t>
            </w:r>
          </w:p>
        </w:tc>
        <w:tc>
          <w:tcPr>
            <w:tcW w:w="629" w:type="pct"/>
            <w:tcBorders>
              <w:top w:val="nil"/>
              <w:left w:val="nil"/>
              <w:bottom w:val="single" w:color="000000" w:sz="4" w:space="0"/>
              <w:right w:val="single" w:color="000000" w:sz="4" w:space="0"/>
            </w:tcBorders>
            <w:vAlign w:val="center"/>
          </w:tcPr>
          <w:p w14:paraId="6657AB58">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798" w:type="pct"/>
            <w:tcBorders>
              <w:top w:val="nil"/>
              <w:left w:val="nil"/>
              <w:bottom w:val="single" w:color="000000" w:sz="4" w:space="0"/>
              <w:right w:val="single" w:color="000000" w:sz="4" w:space="0"/>
            </w:tcBorders>
            <w:vAlign w:val="center"/>
          </w:tcPr>
          <w:p w14:paraId="5237C997">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960" w:type="pct"/>
            <w:gridSpan w:val="3"/>
            <w:tcBorders>
              <w:top w:val="single" w:color="000000" w:sz="4" w:space="0"/>
              <w:left w:val="nil"/>
              <w:bottom w:val="single" w:color="000000" w:sz="4" w:space="0"/>
              <w:right w:val="single" w:color="000000" w:sz="4" w:space="0"/>
            </w:tcBorders>
            <w:vAlign w:val="center"/>
          </w:tcPr>
          <w:p w14:paraId="08A951BD">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388" w:type="pct"/>
            <w:tcBorders>
              <w:top w:val="nil"/>
              <w:left w:val="nil"/>
              <w:bottom w:val="single" w:color="000000" w:sz="4" w:space="0"/>
              <w:right w:val="single" w:color="000000" w:sz="4" w:space="0"/>
            </w:tcBorders>
            <w:vAlign w:val="center"/>
          </w:tcPr>
          <w:p w14:paraId="36E2B2ED">
            <w:pPr>
              <w:widowControl/>
              <w:jc w:val="center"/>
              <w:rPr>
                <w:rFonts w:ascii="微软雅黑" w:hAnsi="微软雅黑" w:eastAsia="微软雅黑" w:cs="Times New Roman"/>
                <w:i/>
                <w:iCs/>
                <w:sz w:val="16"/>
                <w:szCs w:val="16"/>
              </w:rPr>
            </w:pPr>
            <w:r>
              <w:rPr>
                <w:rFonts w:hint="eastAsia" w:ascii="微软雅黑" w:hAnsi="微软雅黑" w:eastAsia="微软雅黑" w:cs="微软雅黑"/>
                <w:i/>
                <w:iCs/>
                <w:sz w:val="16"/>
                <w:szCs w:val="16"/>
              </w:rPr>
              <w:t>　</w:t>
            </w:r>
          </w:p>
        </w:tc>
        <w:tc>
          <w:tcPr>
            <w:tcW w:w="184" w:type="pct"/>
            <w:tcBorders>
              <w:top w:val="nil"/>
              <w:left w:val="nil"/>
              <w:bottom w:val="single" w:color="000000" w:sz="4" w:space="0"/>
              <w:right w:val="single" w:color="000000" w:sz="4" w:space="0"/>
            </w:tcBorders>
            <w:vAlign w:val="center"/>
          </w:tcPr>
          <w:p w14:paraId="55503286">
            <w:pPr>
              <w:widowControl/>
              <w:jc w:val="center"/>
              <w:rPr>
                <w:rFonts w:ascii="宋体" w:hAnsi="宋体" w:eastAsia="宋体" w:cs="宋体"/>
                <w:sz w:val="18"/>
                <w:szCs w:val="18"/>
              </w:rPr>
            </w:pPr>
            <w:r>
              <w:rPr>
                <w:rFonts w:ascii="宋体" w:hAnsi="宋体" w:eastAsia="宋体" w:cs="宋体"/>
                <w:sz w:val="18"/>
                <w:szCs w:val="18"/>
              </w:rPr>
              <w:t>/</w:t>
            </w:r>
          </w:p>
        </w:tc>
        <w:tc>
          <w:tcPr>
            <w:tcW w:w="162" w:type="pct"/>
            <w:tcBorders>
              <w:top w:val="nil"/>
              <w:left w:val="nil"/>
              <w:bottom w:val="single" w:color="000000" w:sz="4" w:space="0"/>
              <w:right w:val="single" w:color="000000" w:sz="4" w:space="0"/>
            </w:tcBorders>
            <w:vAlign w:val="center"/>
          </w:tcPr>
          <w:p w14:paraId="5061821A">
            <w:pPr>
              <w:widowControl/>
              <w:jc w:val="center"/>
              <w:rPr>
                <w:rFonts w:ascii="宋体" w:hAnsi="宋体" w:eastAsia="宋体" w:cs="宋体"/>
                <w:sz w:val="18"/>
                <w:szCs w:val="18"/>
              </w:rPr>
            </w:pPr>
            <w:r>
              <w:rPr>
                <w:rFonts w:ascii="宋体" w:hAnsi="宋体" w:eastAsia="宋体" w:cs="宋体"/>
                <w:sz w:val="18"/>
                <w:szCs w:val="18"/>
              </w:rPr>
              <w:t>/</w:t>
            </w:r>
          </w:p>
        </w:tc>
        <w:tc>
          <w:tcPr>
            <w:tcW w:w="904" w:type="pct"/>
            <w:vMerge w:val="continue"/>
            <w:tcBorders>
              <w:top w:val="nil"/>
              <w:left w:val="single" w:color="000000" w:sz="4" w:space="0"/>
              <w:bottom w:val="single" w:color="000000" w:sz="4" w:space="0"/>
              <w:right w:val="single" w:color="000000" w:sz="4" w:space="0"/>
            </w:tcBorders>
            <w:vAlign w:val="center"/>
          </w:tcPr>
          <w:p w14:paraId="42EACBC8">
            <w:pPr>
              <w:widowControl/>
              <w:jc w:val="left"/>
              <w:rPr>
                <w:rFonts w:ascii="Courier New" w:hAnsi="Courier New" w:eastAsia="宋体" w:cs="Times New Roman"/>
                <w:i/>
                <w:iCs/>
                <w:sz w:val="18"/>
                <w:szCs w:val="18"/>
              </w:rPr>
            </w:pPr>
          </w:p>
        </w:tc>
      </w:tr>
      <w:tr w14:paraId="3C98FE05">
        <w:tblPrEx>
          <w:tblCellMar>
            <w:top w:w="0" w:type="dxa"/>
            <w:left w:w="108" w:type="dxa"/>
            <w:bottom w:w="0" w:type="dxa"/>
            <w:right w:w="108" w:type="dxa"/>
          </w:tblCellMar>
        </w:tblPrEx>
        <w:trPr>
          <w:trHeight w:val="454" w:hRule="atLeast"/>
        </w:trPr>
        <w:tc>
          <w:tcPr>
            <w:tcW w:w="247" w:type="pct"/>
            <w:vMerge w:val="restart"/>
            <w:tcBorders>
              <w:top w:val="nil"/>
              <w:left w:val="single" w:color="000000" w:sz="4" w:space="0"/>
              <w:bottom w:val="single" w:color="000000" w:sz="4" w:space="0"/>
              <w:right w:val="single" w:color="000000" w:sz="4" w:space="0"/>
            </w:tcBorders>
            <w:vAlign w:val="center"/>
          </w:tcPr>
          <w:p w14:paraId="71A17029">
            <w:pPr>
              <w:widowControl/>
              <w:jc w:val="center"/>
              <w:rPr>
                <w:rFonts w:ascii="宋体" w:hAnsi="宋体" w:eastAsia="宋体" w:cs="Times New Roman"/>
                <w:sz w:val="18"/>
                <w:szCs w:val="18"/>
              </w:rPr>
            </w:pPr>
            <w:r>
              <w:rPr>
                <w:rFonts w:hint="eastAsia" w:ascii="宋体" w:hAnsi="宋体" w:eastAsia="宋体" w:cs="宋体"/>
                <w:sz w:val="18"/>
                <w:szCs w:val="18"/>
              </w:rPr>
              <w:t>绩效指标（</w:t>
            </w:r>
            <w:r>
              <w:rPr>
                <w:rFonts w:ascii="宋体" w:hAnsi="宋体" w:eastAsia="宋体" w:cs="宋体"/>
                <w:sz w:val="18"/>
                <w:szCs w:val="18"/>
              </w:rPr>
              <w:t>90</w:t>
            </w:r>
            <w:r>
              <w:rPr>
                <w:rFonts w:hint="eastAsia" w:ascii="宋体" w:hAnsi="宋体" w:eastAsia="宋体" w:cs="宋体"/>
                <w:sz w:val="18"/>
                <w:szCs w:val="18"/>
              </w:rPr>
              <w:t>分）</w:t>
            </w:r>
          </w:p>
        </w:tc>
        <w:tc>
          <w:tcPr>
            <w:tcW w:w="727" w:type="pct"/>
            <w:tcBorders>
              <w:top w:val="nil"/>
              <w:left w:val="nil"/>
              <w:bottom w:val="single" w:color="000000" w:sz="4" w:space="0"/>
              <w:right w:val="single" w:color="000000" w:sz="4" w:space="0"/>
            </w:tcBorders>
            <w:vAlign w:val="center"/>
          </w:tcPr>
          <w:p w14:paraId="7A27CA2E">
            <w:pPr>
              <w:widowControl/>
              <w:jc w:val="center"/>
              <w:rPr>
                <w:rFonts w:ascii="宋体" w:hAnsi="宋体" w:eastAsia="宋体" w:cs="Times New Roman"/>
                <w:sz w:val="18"/>
                <w:szCs w:val="18"/>
              </w:rPr>
            </w:pPr>
            <w:r>
              <w:rPr>
                <w:rFonts w:hint="eastAsia" w:ascii="宋体" w:hAnsi="宋体" w:eastAsia="宋体" w:cs="宋体"/>
                <w:sz w:val="18"/>
                <w:szCs w:val="18"/>
              </w:rPr>
              <w:t>一级指标</w:t>
            </w:r>
          </w:p>
        </w:tc>
        <w:tc>
          <w:tcPr>
            <w:tcW w:w="629" w:type="pct"/>
            <w:tcBorders>
              <w:top w:val="nil"/>
              <w:left w:val="nil"/>
              <w:bottom w:val="single" w:color="000000" w:sz="4" w:space="0"/>
              <w:right w:val="single" w:color="000000" w:sz="4" w:space="0"/>
            </w:tcBorders>
            <w:vAlign w:val="center"/>
          </w:tcPr>
          <w:p w14:paraId="7AE1F0BD">
            <w:pPr>
              <w:widowControl/>
              <w:jc w:val="center"/>
              <w:rPr>
                <w:rFonts w:ascii="宋体" w:hAnsi="宋体" w:eastAsia="宋体" w:cs="Times New Roman"/>
                <w:sz w:val="18"/>
                <w:szCs w:val="18"/>
              </w:rPr>
            </w:pPr>
            <w:r>
              <w:rPr>
                <w:rFonts w:hint="eastAsia" w:ascii="宋体" w:hAnsi="宋体" w:eastAsia="宋体" w:cs="宋体"/>
                <w:sz w:val="18"/>
                <w:szCs w:val="18"/>
              </w:rPr>
              <w:t>二级指标</w:t>
            </w:r>
          </w:p>
        </w:tc>
        <w:tc>
          <w:tcPr>
            <w:tcW w:w="798" w:type="pct"/>
            <w:tcBorders>
              <w:top w:val="nil"/>
              <w:left w:val="nil"/>
              <w:bottom w:val="single" w:color="000000" w:sz="4" w:space="0"/>
              <w:right w:val="single" w:color="000000" w:sz="4" w:space="0"/>
            </w:tcBorders>
            <w:vAlign w:val="center"/>
          </w:tcPr>
          <w:p w14:paraId="70907A7D">
            <w:pPr>
              <w:widowControl/>
              <w:jc w:val="center"/>
              <w:rPr>
                <w:rFonts w:ascii="宋体" w:hAnsi="宋体" w:eastAsia="宋体" w:cs="Times New Roman"/>
                <w:sz w:val="18"/>
                <w:szCs w:val="18"/>
              </w:rPr>
            </w:pPr>
            <w:r>
              <w:rPr>
                <w:rFonts w:hint="eastAsia" w:ascii="宋体" w:hAnsi="宋体" w:eastAsia="宋体" w:cs="宋体"/>
                <w:sz w:val="18"/>
                <w:szCs w:val="18"/>
              </w:rPr>
              <w:t>三级指标</w:t>
            </w:r>
          </w:p>
        </w:tc>
        <w:tc>
          <w:tcPr>
            <w:tcW w:w="184" w:type="pct"/>
            <w:tcBorders>
              <w:top w:val="nil"/>
              <w:left w:val="nil"/>
              <w:bottom w:val="single" w:color="000000" w:sz="4" w:space="0"/>
              <w:right w:val="single" w:color="000000" w:sz="4" w:space="0"/>
            </w:tcBorders>
            <w:vAlign w:val="center"/>
          </w:tcPr>
          <w:p w14:paraId="523A4C2B">
            <w:pPr>
              <w:widowControl/>
              <w:jc w:val="center"/>
              <w:rPr>
                <w:rFonts w:ascii="宋体" w:hAnsi="宋体" w:eastAsia="宋体" w:cs="Times New Roman"/>
                <w:sz w:val="18"/>
                <w:szCs w:val="18"/>
              </w:rPr>
            </w:pPr>
            <w:r>
              <w:rPr>
                <w:rFonts w:hint="eastAsia" w:ascii="宋体" w:hAnsi="宋体" w:eastAsia="宋体" w:cs="宋体"/>
                <w:sz w:val="18"/>
                <w:szCs w:val="18"/>
              </w:rPr>
              <w:t>指标性质</w:t>
            </w:r>
          </w:p>
        </w:tc>
        <w:tc>
          <w:tcPr>
            <w:tcW w:w="593" w:type="pct"/>
            <w:tcBorders>
              <w:top w:val="nil"/>
              <w:left w:val="nil"/>
              <w:bottom w:val="single" w:color="000000" w:sz="4" w:space="0"/>
              <w:right w:val="single" w:color="000000" w:sz="4" w:space="0"/>
            </w:tcBorders>
            <w:vAlign w:val="center"/>
          </w:tcPr>
          <w:p w14:paraId="447F39DD">
            <w:pPr>
              <w:widowControl/>
              <w:jc w:val="center"/>
              <w:rPr>
                <w:rFonts w:ascii="宋体" w:hAnsi="宋体" w:eastAsia="宋体" w:cs="Times New Roman"/>
                <w:sz w:val="18"/>
                <w:szCs w:val="18"/>
              </w:rPr>
            </w:pPr>
            <w:r>
              <w:rPr>
                <w:rFonts w:hint="eastAsia" w:ascii="宋体" w:hAnsi="宋体" w:eastAsia="宋体" w:cs="宋体"/>
                <w:sz w:val="18"/>
                <w:szCs w:val="18"/>
              </w:rPr>
              <w:t>指标值</w:t>
            </w:r>
          </w:p>
        </w:tc>
        <w:tc>
          <w:tcPr>
            <w:tcW w:w="184" w:type="pct"/>
            <w:tcBorders>
              <w:top w:val="nil"/>
              <w:left w:val="nil"/>
              <w:bottom w:val="single" w:color="000000" w:sz="4" w:space="0"/>
              <w:right w:val="single" w:color="000000" w:sz="4" w:space="0"/>
            </w:tcBorders>
            <w:vAlign w:val="center"/>
          </w:tcPr>
          <w:p w14:paraId="678A2A10">
            <w:pPr>
              <w:widowControl/>
              <w:jc w:val="center"/>
              <w:rPr>
                <w:rFonts w:ascii="宋体" w:hAnsi="宋体" w:eastAsia="宋体" w:cs="Times New Roman"/>
                <w:sz w:val="18"/>
                <w:szCs w:val="18"/>
              </w:rPr>
            </w:pPr>
            <w:r>
              <w:rPr>
                <w:rFonts w:hint="eastAsia" w:ascii="宋体" w:hAnsi="宋体" w:eastAsia="宋体" w:cs="宋体"/>
                <w:sz w:val="18"/>
                <w:szCs w:val="18"/>
              </w:rPr>
              <w:t>度量单位</w:t>
            </w:r>
          </w:p>
        </w:tc>
        <w:tc>
          <w:tcPr>
            <w:tcW w:w="388" w:type="pct"/>
            <w:tcBorders>
              <w:top w:val="nil"/>
              <w:left w:val="nil"/>
              <w:bottom w:val="single" w:color="000000" w:sz="4" w:space="0"/>
              <w:right w:val="single" w:color="000000" w:sz="4" w:space="0"/>
            </w:tcBorders>
            <w:vAlign w:val="center"/>
          </w:tcPr>
          <w:p w14:paraId="0866E791">
            <w:pPr>
              <w:widowControl/>
              <w:jc w:val="center"/>
              <w:rPr>
                <w:rFonts w:ascii="宋体" w:hAnsi="宋体" w:eastAsia="宋体" w:cs="Times New Roman"/>
                <w:sz w:val="18"/>
                <w:szCs w:val="18"/>
              </w:rPr>
            </w:pPr>
            <w:r>
              <w:rPr>
                <w:rFonts w:hint="eastAsia" w:ascii="宋体" w:hAnsi="宋体" w:eastAsia="宋体" w:cs="宋体"/>
                <w:sz w:val="18"/>
                <w:szCs w:val="18"/>
              </w:rPr>
              <w:t>完成值</w:t>
            </w:r>
          </w:p>
        </w:tc>
        <w:tc>
          <w:tcPr>
            <w:tcW w:w="184" w:type="pct"/>
            <w:tcBorders>
              <w:top w:val="nil"/>
              <w:left w:val="nil"/>
              <w:bottom w:val="single" w:color="000000" w:sz="4" w:space="0"/>
              <w:right w:val="single" w:color="000000" w:sz="4" w:space="0"/>
            </w:tcBorders>
            <w:vAlign w:val="center"/>
          </w:tcPr>
          <w:p w14:paraId="79B78565">
            <w:pPr>
              <w:widowControl/>
              <w:jc w:val="center"/>
              <w:rPr>
                <w:rFonts w:ascii="宋体" w:hAnsi="宋体" w:eastAsia="宋体" w:cs="Times New Roman"/>
                <w:sz w:val="18"/>
                <w:szCs w:val="18"/>
              </w:rPr>
            </w:pPr>
            <w:r>
              <w:rPr>
                <w:rFonts w:hint="eastAsia" w:ascii="宋体" w:hAnsi="宋体" w:eastAsia="宋体" w:cs="宋体"/>
                <w:sz w:val="18"/>
                <w:szCs w:val="18"/>
              </w:rPr>
              <w:t>权重</w:t>
            </w:r>
          </w:p>
        </w:tc>
        <w:tc>
          <w:tcPr>
            <w:tcW w:w="162" w:type="pct"/>
            <w:tcBorders>
              <w:top w:val="nil"/>
              <w:left w:val="nil"/>
              <w:bottom w:val="single" w:color="000000" w:sz="4" w:space="0"/>
              <w:right w:val="single" w:color="000000" w:sz="4" w:space="0"/>
            </w:tcBorders>
            <w:vAlign w:val="center"/>
          </w:tcPr>
          <w:p w14:paraId="27C6CB42">
            <w:pPr>
              <w:widowControl/>
              <w:jc w:val="center"/>
              <w:rPr>
                <w:rFonts w:ascii="宋体" w:hAnsi="宋体" w:eastAsia="宋体" w:cs="Times New Roman"/>
                <w:sz w:val="18"/>
                <w:szCs w:val="18"/>
              </w:rPr>
            </w:pPr>
            <w:r>
              <w:rPr>
                <w:rFonts w:hint="eastAsia" w:ascii="宋体" w:hAnsi="宋体" w:eastAsia="宋体" w:cs="宋体"/>
                <w:sz w:val="18"/>
                <w:szCs w:val="18"/>
              </w:rPr>
              <w:t>得分</w:t>
            </w:r>
          </w:p>
        </w:tc>
        <w:tc>
          <w:tcPr>
            <w:tcW w:w="904" w:type="pct"/>
            <w:tcBorders>
              <w:top w:val="nil"/>
              <w:left w:val="nil"/>
              <w:bottom w:val="single" w:color="000000" w:sz="4" w:space="0"/>
              <w:right w:val="single" w:color="000000" w:sz="4" w:space="0"/>
            </w:tcBorders>
            <w:vAlign w:val="center"/>
          </w:tcPr>
          <w:p w14:paraId="79B1CE86">
            <w:pPr>
              <w:widowControl/>
              <w:jc w:val="center"/>
              <w:rPr>
                <w:rFonts w:ascii="宋体" w:hAnsi="宋体" w:eastAsia="宋体" w:cs="Times New Roman"/>
                <w:sz w:val="18"/>
                <w:szCs w:val="18"/>
              </w:rPr>
            </w:pPr>
            <w:r>
              <w:rPr>
                <w:rFonts w:hint="eastAsia" w:ascii="宋体" w:hAnsi="宋体" w:eastAsia="宋体" w:cs="宋体"/>
                <w:sz w:val="18"/>
                <w:szCs w:val="18"/>
              </w:rPr>
              <w:t>未完成原因分析</w:t>
            </w:r>
          </w:p>
        </w:tc>
      </w:tr>
      <w:tr w14:paraId="5AA2A07E">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174E279D">
            <w:pPr>
              <w:widowControl/>
              <w:jc w:val="left"/>
              <w:rPr>
                <w:rFonts w:ascii="宋体" w:hAnsi="宋体" w:eastAsia="宋体" w:cs="Times New Roman"/>
                <w:sz w:val="18"/>
                <w:szCs w:val="18"/>
              </w:rPr>
            </w:pPr>
          </w:p>
        </w:tc>
        <w:tc>
          <w:tcPr>
            <w:tcW w:w="727" w:type="pct"/>
            <w:vMerge w:val="restart"/>
            <w:tcBorders>
              <w:top w:val="nil"/>
              <w:left w:val="single" w:color="000000" w:sz="4" w:space="0"/>
              <w:bottom w:val="single" w:color="000000" w:sz="4" w:space="0"/>
              <w:right w:val="single" w:color="000000" w:sz="4" w:space="0"/>
            </w:tcBorders>
            <w:vAlign w:val="center"/>
          </w:tcPr>
          <w:p w14:paraId="200D6313">
            <w:pPr>
              <w:widowControl/>
              <w:jc w:val="center"/>
              <w:rPr>
                <w:rFonts w:ascii="宋体" w:hAnsi="宋体" w:eastAsia="宋体" w:cs="Times New Roman"/>
                <w:sz w:val="18"/>
                <w:szCs w:val="18"/>
              </w:rPr>
            </w:pPr>
            <w:r>
              <w:rPr>
                <w:rFonts w:hint="eastAsia" w:ascii="宋体" w:hAnsi="宋体" w:eastAsia="宋体" w:cs="宋体"/>
                <w:sz w:val="18"/>
                <w:szCs w:val="18"/>
              </w:rPr>
              <w:t>产出指标</w:t>
            </w:r>
          </w:p>
        </w:tc>
        <w:tc>
          <w:tcPr>
            <w:tcW w:w="629" w:type="pct"/>
            <w:tcBorders>
              <w:top w:val="nil"/>
              <w:left w:val="nil"/>
              <w:bottom w:val="single" w:color="000000" w:sz="4" w:space="0"/>
              <w:right w:val="single" w:color="000000" w:sz="4" w:space="0"/>
            </w:tcBorders>
            <w:vAlign w:val="center"/>
          </w:tcPr>
          <w:p w14:paraId="48B4276F">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798" w:type="pct"/>
            <w:tcBorders>
              <w:top w:val="nil"/>
              <w:left w:val="nil"/>
              <w:bottom w:val="single" w:color="000000" w:sz="4" w:space="0"/>
              <w:right w:val="single" w:color="000000" w:sz="4" w:space="0"/>
            </w:tcBorders>
            <w:vAlign w:val="center"/>
          </w:tcPr>
          <w:p w14:paraId="241405E6">
            <w:pPr>
              <w:widowControl/>
              <w:jc w:val="center"/>
              <w:rPr>
                <w:rFonts w:ascii="宋体" w:hAnsi="宋体" w:eastAsia="宋体" w:cs="Times New Roman"/>
                <w:sz w:val="18"/>
                <w:szCs w:val="18"/>
              </w:rPr>
            </w:pPr>
            <w:r>
              <w:rPr>
                <w:rFonts w:hint="eastAsia" w:ascii="宋体" w:hAnsi="宋体" w:eastAsia="宋体" w:cs="宋体"/>
                <w:sz w:val="18"/>
                <w:szCs w:val="18"/>
              </w:rPr>
              <w:t>窗口智能评价终端</w:t>
            </w:r>
          </w:p>
        </w:tc>
        <w:tc>
          <w:tcPr>
            <w:tcW w:w="184" w:type="pct"/>
            <w:tcBorders>
              <w:top w:val="nil"/>
              <w:left w:val="nil"/>
              <w:bottom w:val="single" w:color="000000" w:sz="4" w:space="0"/>
              <w:right w:val="single" w:color="000000" w:sz="4" w:space="0"/>
            </w:tcBorders>
            <w:vAlign w:val="center"/>
          </w:tcPr>
          <w:p w14:paraId="11C20D27">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5F938067">
            <w:pPr>
              <w:widowControl/>
              <w:jc w:val="center"/>
              <w:rPr>
                <w:rFonts w:ascii="宋体" w:hAnsi="宋体" w:eastAsia="宋体" w:cs="宋体"/>
                <w:sz w:val="18"/>
                <w:szCs w:val="18"/>
              </w:rPr>
            </w:pPr>
            <w:r>
              <w:rPr>
                <w:rFonts w:ascii="宋体" w:hAnsi="宋体" w:eastAsia="宋体" w:cs="宋体"/>
                <w:sz w:val="18"/>
                <w:szCs w:val="18"/>
              </w:rPr>
              <w:t>22</w:t>
            </w:r>
          </w:p>
        </w:tc>
        <w:tc>
          <w:tcPr>
            <w:tcW w:w="184" w:type="pct"/>
            <w:tcBorders>
              <w:top w:val="nil"/>
              <w:left w:val="nil"/>
              <w:bottom w:val="single" w:color="000000" w:sz="4" w:space="0"/>
              <w:right w:val="single" w:color="000000" w:sz="4" w:space="0"/>
            </w:tcBorders>
            <w:vAlign w:val="center"/>
          </w:tcPr>
          <w:p w14:paraId="3E5F4569">
            <w:pPr>
              <w:widowControl/>
              <w:jc w:val="center"/>
              <w:rPr>
                <w:rFonts w:ascii="宋体" w:hAnsi="宋体" w:eastAsia="宋体" w:cs="Times New Roman"/>
                <w:sz w:val="18"/>
                <w:szCs w:val="18"/>
              </w:rPr>
            </w:pPr>
            <w:r>
              <w:rPr>
                <w:rFonts w:hint="eastAsia" w:ascii="宋体" w:hAnsi="宋体" w:eastAsia="宋体" w:cs="宋体"/>
                <w:sz w:val="18"/>
                <w:szCs w:val="18"/>
              </w:rPr>
              <w:t>台</w:t>
            </w:r>
          </w:p>
        </w:tc>
        <w:tc>
          <w:tcPr>
            <w:tcW w:w="388" w:type="pct"/>
            <w:tcBorders>
              <w:top w:val="nil"/>
              <w:left w:val="nil"/>
              <w:bottom w:val="single" w:color="000000" w:sz="4" w:space="0"/>
              <w:right w:val="single" w:color="000000" w:sz="4" w:space="0"/>
            </w:tcBorders>
            <w:vAlign w:val="center"/>
          </w:tcPr>
          <w:p w14:paraId="24BEDA43">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4D9CCBB9">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625B882E">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25FE0945">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5E9B68CC">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002B44A4">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2DB5492D">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19A82E79">
            <w:pPr>
              <w:widowControl/>
              <w:jc w:val="center"/>
              <w:rPr>
                <w:rFonts w:ascii="宋体" w:hAnsi="宋体" w:eastAsia="宋体" w:cs="Times New Roman"/>
                <w:sz w:val="18"/>
                <w:szCs w:val="18"/>
              </w:rPr>
            </w:pPr>
            <w:r>
              <w:rPr>
                <w:rFonts w:hint="eastAsia" w:ascii="宋体" w:hAnsi="宋体" w:eastAsia="宋体" w:cs="宋体"/>
                <w:sz w:val="18"/>
                <w:szCs w:val="18"/>
              </w:rPr>
              <w:t>数量指标</w:t>
            </w:r>
          </w:p>
        </w:tc>
        <w:tc>
          <w:tcPr>
            <w:tcW w:w="798" w:type="pct"/>
            <w:tcBorders>
              <w:top w:val="nil"/>
              <w:left w:val="nil"/>
              <w:bottom w:val="single" w:color="000000" w:sz="4" w:space="0"/>
              <w:right w:val="single" w:color="000000" w:sz="4" w:space="0"/>
            </w:tcBorders>
            <w:vAlign w:val="center"/>
          </w:tcPr>
          <w:p w14:paraId="4D747E42">
            <w:pPr>
              <w:widowControl/>
              <w:jc w:val="center"/>
              <w:rPr>
                <w:rFonts w:ascii="宋体" w:hAnsi="宋体" w:eastAsia="宋体" w:cs="Times New Roman"/>
                <w:sz w:val="18"/>
                <w:szCs w:val="18"/>
              </w:rPr>
            </w:pPr>
            <w:r>
              <w:rPr>
                <w:rFonts w:hint="eastAsia" w:ascii="宋体" w:hAnsi="宋体" w:eastAsia="宋体" w:cs="宋体"/>
                <w:sz w:val="18"/>
                <w:szCs w:val="18"/>
              </w:rPr>
              <w:t>多功能高拍仪</w:t>
            </w:r>
          </w:p>
        </w:tc>
        <w:tc>
          <w:tcPr>
            <w:tcW w:w="184" w:type="pct"/>
            <w:tcBorders>
              <w:top w:val="nil"/>
              <w:left w:val="nil"/>
              <w:bottom w:val="single" w:color="000000" w:sz="4" w:space="0"/>
              <w:right w:val="single" w:color="000000" w:sz="4" w:space="0"/>
            </w:tcBorders>
            <w:vAlign w:val="center"/>
          </w:tcPr>
          <w:p w14:paraId="6613AE5D">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367D905E">
            <w:pPr>
              <w:widowControl/>
              <w:jc w:val="center"/>
              <w:rPr>
                <w:rFonts w:ascii="宋体" w:hAnsi="宋体" w:eastAsia="宋体" w:cs="宋体"/>
                <w:sz w:val="18"/>
                <w:szCs w:val="18"/>
              </w:rPr>
            </w:pPr>
            <w:r>
              <w:rPr>
                <w:rFonts w:ascii="宋体" w:hAnsi="宋体" w:eastAsia="宋体" w:cs="宋体"/>
                <w:sz w:val="18"/>
                <w:szCs w:val="18"/>
              </w:rPr>
              <w:t>13</w:t>
            </w:r>
          </w:p>
        </w:tc>
        <w:tc>
          <w:tcPr>
            <w:tcW w:w="184" w:type="pct"/>
            <w:tcBorders>
              <w:top w:val="nil"/>
              <w:left w:val="nil"/>
              <w:bottom w:val="single" w:color="000000" w:sz="4" w:space="0"/>
              <w:right w:val="single" w:color="000000" w:sz="4" w:space="0"/>
            </w:tcBorders>
            <w:vAlign w:val="center"/>
          </w:tcPr>
          <w:p w14:paraId="432D5BCE">
            <w:pPr>
              <w:widowControl/>
              <w:jc w:val="center"/>
              <w:rPr>
                <w:rFonts w:ascii="宋体" w:hAnsi="宋体" w:eastAsia="宋体" w:cs="Times New Roman"/>
                <w:sz w:val="18"/>
                <w:szCs w:val="18"/>
              </w:rPr>
            </w:pPr>
            <w:r>
              <w:rPr>
                <w:rFonts w:hint="eastAsia" w:ascii="宋体" w:hAnsi="宋体" w:eastAsia="宋体" w:cs="宋体"/>
                <w:sz w:val="18"/>
                <w:szCs w:val="18"/>
              </w:rPr>
              <w:t>台</w:t>
            </w:r>
          </w:p>
        </w:tc>
        <w:tc>
          <w:tcPr>
            <w:tcW w:w="388" w:type="pct"/>
            <w:tcBorders>
              <w:top w:val="nil"/>
              <w:left w:val="nil"/>
              <w:bottom w:val="single" w:color="000000" w:sz="4" w:space="0"/>
              <w:right w:val="single" w:color="000000" w:sz="4" w:space="0"/>
            </w:tcBorders>
            <w:vAlign w:val="center"/>
          </w:tcPr>
          <w:p w14:paraId="6FFC9458">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45A7D49B">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7502CE8C">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6C5CB746">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4E25D10A">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4E57C428">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37859196">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6CDF6789">
            <w:pPr>
              <w:widowControl/>
              <w:jc w:val="center"/>
              <w:rPr>
                <w:rFonts w:ascii="宋体" w:hAnsi="宋体" w:eastAsia="宋体" w:cs="Times New Roman"/>
                <w:sz w:val="18"/>
                <w:szCs w:val="18"/>
              </w:rPr>
            </w:pPr>
            <w:r>
              <w:rPr>
                <w:rFonts w:hint="eastAsia" w:ascii="宋体" w:hAnsi="宋体" w:eastAsia="宋体" w:cs="宋体"/>
                <w:sz w:val="18"/>
                <w:szCs w:val="18"/>
              </w:rPr>
              <w:t>质量指标</w:t>
            </w:r>
          </w:p>
        </w:tc>
        <w:tc>
          <w:tcPr>
            <w:tcW w:w="798" w:type="pct"/>
            <w:tcBorders>
              <w:top w:val="nil"/>
              <w:left w:val="nil"/>
              <w:bottom w:val="single" w:color="000000" w:sz="4" w:space="0"/>
              <w:right w:val="single" w:color="000000" w:sz="4" w:space="0"/>
            </w:tcBorders>
            <w:vAlign w:val="center"/>
          </w:tcPr>
          <w:p w14:paraId="639E939C">
            <w:pPr>
              <w:widowControl/>
              <w:jc w:val="center"/>
              <w:rPr>
                <w:rFonts w:ascii="宋体" w:hAnsi="宋体" w:eastAsia="宋体" w:cs="Times New Roman"/>
                <w:sz w:val="18"/>
                <w:szCs w:val="18"/>
              </w:rPr>
            </w:pPr>
            <w:r>
              <w:rPr>
                <w:rFonts w:hint="eastAsia" w:ascii="宋体" w:hAnsi="宋体" w:eastAsia="宋体" w:cs="宋体"/>
                <w:sz w:val="18"/>
                <w:szCs w:val="18"/>
              </w:rPr>
              <w:t>验收合格</w:t>
            </w:r>
          </w:p>
        </w:tc>
        <w:tc>
          <w:tcPr>
            <w:tcW w:w="184" w:type="pct"/>
            <w:tcBorders>
              <w:top w:val="nil"/>
              <w:left w:val="nil"/>
              <w:bottom w:val="single" w:color="000000" w:sz="4" w:space="0"/>
              <w:right w:val="single" w:color="000000" w:sz="4" w:space="0"/>
            </w:tcBorders>
            <w:vAlign w:val="center"/>
          </w:tcPr>
          <w:p w14:paraId="488CD65A">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051FB45C">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1E7D6340">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52D01568">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14A1D30C">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40B22278">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01614EC8">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00FB9E19">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2B584B16">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42373AD7">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74E3F01A">
            <w:pPr>
              <w:widowControl/>
              <w:jc w:val="center"/>
              <w:rPr>
                <w:rFonts w:ascii="宋体" w:hAnsi="宋体" w:eastAsia="宋体" w:cs="Times New Roman"/>
                <w:sz w:val="18"/>
                <w:szCs w:val="18"/>
              </w:rPr>
            </w:pPr>
            <w:r>
              <w:rPr>
                <w:rFonts w:hint="eastAsia" w:ascii="宋体" w:hAnsi="宋体" w:eastAsia="宋体" w:cs="宋体"/>
                <w:sz w:val="18"/>
                <w:szCs w:val="18"/>
              </w:rPr>
              <w:t>时效指标</w:t>
            </w:r>
          </w:p>
        </w:tc>
        <w:tc>
          <w:tcPr>
            <w:tcW w:w="798" w:type="pct"/>
            <w:tcBorders>
              <w:top w:val="nil"/>
              <w:left w:val="nil"/>
              <w:bottom w:val="single" w:color="000000" w:sz="4" w:space="0"/>
              <w:right w:val="single" w:color="000000" w:sz="4" w:space="0"/>
            </w:tcBorders>
            <w:vAlign w:val="center"/>
          </w:tcPr>
          <w:p w14:paraId="4C240FAD">
            <w:pPr>
              <w:widowControl/>
              <w:jc w:val="center"/>
              <w:rPr>
                <w:rFonts w:ascii="宋体" w:hAnsi="宋体" w:eastAsia="宋体" w:cs="Times New Roman"/>
                <w:sz w:val="18"/>
                <w:szCs w:val="18"/>
              </w:rPr>
            </w:pPr>
            <w:r>
              <w:rPr>
                <w:rFonts w:hint="eastAsia" w:ascii="宋体" w:hAnsi="宋体" w:eastAsia="宋体" w:cs="宋体"/>
                <w:sz w:val="18"/>
                <w:szCs w:val="18"/>
              </w:rPr>
              <w:t>质保期</w:t>
            </w:r>
          </w:p>
        </w:tc>
        <w:tc>
          <w:tcPr>
            <w:tcW w:w="184" w:type="pct"/>
            <w:tcBorders>
              <w:top w:val="nil"/>
              <w:left w:val="nil"/>
              <w:bottom w:val="single" w:color="000000" w:sz="4" w:space="0"/>
              <w:right w:val="single" w:color="000000" w:sz="4" w:space="0"/>
            </w:tcBorders>
            <w:vAlign w:val="center"/>
          </w:tcPr>
          <w:p w14:paraId="6B797F8F">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4638AE6B">
            <w:pPr>
              <w:widowControl/>
              <w:jc w:val="center"/>
              <w:rPr>
                <w:rFonts w:ascii="宋体" w:hAnsi="宋体" w:eastAsia="宋体" w:cs="宋体"/>
                <w:sz w:val="18"/>
                <w:szCs w:val="18"/>
              </w:rPr>
            </w:pPr>
            <w:r>
              <w:rPr>
                <w:rFonts w:ascii="宋体" w:hAnsi="宋体" w:eastAsia="宋体" w:cs="宋体"/>
                <w:sz w:val="18"/>
                <w:szCs w:val="18"/>
              </w:rPr>
              <w:t>1</w:t>
            </w:r>
          </w:p>
        </w:tc>
        <w:tc>
          <w:tcPr>
            <w:tcW w:w="184" w:type="pct"/>
            <w:tcBorders>
              <w:top w:val="nil"/>
              <w:left w:val="nil"/>
              <w:bottom w:val="single" w:color="000000" w:sz="4" w:space="0"/>
              <w:right w:val="single" w:color="000000" w:sz="4" w:space="0"/>
            </w:tcBorders>
            <w:vAlign w:val="center"/>
          </w:tcPr>
          <w:p w14:paraId="13F002C1">
            <w:pPr>
              <w:widowControl/>
              <w:jc w:val="center"/>
              <w:rPr>
                <w:rFonts w:ascii="宋体" w:hAnsi="宋体" w:eastAsia="宋体" w:cs="Times New Roman"/>
                <w:sz w:val="18"/>
                <w:szCs w:val="18"/>
              </w:rPr>
            </w:pPr>
            <w:r>
              <w:rPr>
                <w:rFonts w:hint="eastAsia" w:ascii="宋体" w:hAnsi="宋体" w:eastAsia="宋体" w:cs="宋体"/>
                <w:sz w:val="18"/>
                <w:szCs w:val="18"/>
              </w:rPr>
              <w:t>年</w:t>
            </w:r>
          </w:p>
        </w:tc>
        <w:tc>
          <w:tcPr>
            <w:tcW w:w="388" w:type="pct"/>
            <w:tcBorders>
              <w:top w:val="nil"/>
              <w:left w:val="nil"/>
              <w:bottom w:val="single" w:color="000000" w:sz="4" w:space="0"/>
              <w:right w:val="single" w:color="000000" w:sz="4" w:space="0"/>
            </w:tcBorders>
            <w:vAlign w:val="center"/>
          </w:tcPr>
          <w:p w14:paraId="10A90B90">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2574D190">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693836BF">
            <w:pPr>
              <w:widowControl/>
              <w:jc w:val="center"/>
              <w:rPr>
                <w:rFonts w:ascii="宋体" w:hAnsi="宋体" w:eastAsia="宋体" w:cs="宋体"/>
                <w:sz w:val="18"/>
                <w:szCs w:val="18"/>
              </w:rPr>
            </w:pPr>
            <w:r>
              <w:rPr>
                <w:rFonts w:ascii="宋体" w:hAnsi="宋体" w:eastAsia="宋体" w:cs="宋体"/>
                <w:sz w:val="18"/>
                <w:szCs w:val="18"/>
              </w:rPr>
              <w:t>8</w:t>
            </w:r>
          </w:p>
        </w:tc>
        <w:tc>
          <w:tcPr>
            <w:tcW w:w="904" w:type="pct"/>
            <w:tcBorders>
              <w:top w:val="nil"/>
              <w:left w:val="nil"/>
              <w:bottom w:val="single" w:color="000000" w:sz="4" w:space="0"/>
              <w:right w:val="single" w:color="000000" w:sz="4" w:space="0"/>
            </w:tcBorders>
            <w:vAlign w:val="center"/>
          </w:tcPr>
          <w:p w14:paraId="7F7580AE">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6B6FC269">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4237DD17">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03C2A33E">
            <w:pPr>
              <w:widowControl/>
              <w:jc w:val="center"/>
              <w:rPr>
                <w:rFonts w:ascii="宋体" w:hAnsi="宋体" w:eastAsia="宋体" w:cs="Times New Roman"/>
                <w:sz w:val="18"/>
                <w:szCs w:val="18"/>
              </w:rPr>
            </w:pPr>
            <w:r>
              <w:rPr>
                <w:rFonts w:hint="eastAsia" w:ascii="宋体" w:hAnsi="宋体" w:eastAsia="宋体" w:cs="宋体"/>
                <w:sz w:val="18"/>
                <w:szCs w:val="18"/>
              </w:rPr>
              <w:t>效益指标</w:t>
            </w:r>
          </w:p>
        </w:tc>
        <w:tc>
          <w:tcPr>
            <w:tcW w:w="629" w:type="pct"/>
            <w:tcBorders>
              <w:top w:val="nil"/>
              <w:left w:val="nil"/>
              <w:bottom w:val="single" w:color="000000" w:sz="4" w:space="0"/>
              <w:right w:val="single" w:color="000000" w:sz="4" w:space="0"/>
            </w:tcBorders>
            <w:vAlign w:val="center"/>
          </w:tcPr>
          <w:p w14:paraId="0630F8EE">
            <w:pPr>
              <w:widowControl/>
              <w:jc w:val="center"/>
              <w:rPr>
                <w:rFonts w:ascii="宋体" w:hAnsi="宋体" w:eastAsia="宋体" w:cs="Times New Roman"/>
                <w:sz w:val="18"/>
                <w:szCs w:val="18"/>
              </w:rPr>
            </w:pPr>
            <w:r>
              <w:rPr>
                <w:rFonts w:hint="eastAsia" w:ascii="宋体" w:hAnsi="宋体" w:eastAsia="宋体" w:cs="宋体"/>
                <w:sz w:val="18"/>
                <w:szCs w:val="18"/>
              </w:rPr>
              <w:t>社会效益指标</w:t>
            </w:r>
          </w:p>
        </w:tc>
        <w:tc>
          <w:tcPr>
            <w:tcW w:w="798" w:type="pct"/>
            <w:tcBorders>
              <w:top w:val="nil"/>
              <w:left w:val="nil"/>
              <w:bottom w:val="single" w:color="000000" w:sz="4" w:space="0"/>
              <w:right w:val="single" w:color="000000" w:sz="4" w:space="0"/>
            </w:tcBorders>
            <w:vAlign w:val="center"/>
          </w:tcPr>
          <w:p w14:paraId="4517E842">
            <w:pPr>
              <w:widowControl/>
              <w:jc w:val="center"/>
              <w:rPr>
                <w:rFonts w:ascii="宋体" w:hAnsi="宋体" w:eastAsia="宋体" w:cs="Times New Roman"/>
                <w:sz w:val="18"/>
                <w:szCs w:val="18"/>
              </w:rPr>
            </w:pPr>
            <w:r>
              <w:rPr>
                <w:rFonts w:hint="eastAsia" w:ascii="宋体" w:hAnsi="宋体" w:eastAsia="宋体" w:cs="宋体"/>
                <w:sz w:val="18"/>
                <w:szCs w:val="18"/>
              </w:rPr>
              <w:t>让办事群众满意</w:t>
            </w:r>
          </w:p>
        </w:tc>
        <w:tc>
          <w:tcPr>
            <w:tcW w:w="184" w:type="pct"/>
            <w:tcBorders>
              <w:top w:val="nil"/>
              <w:left w:val="nil"/>
              <w:bottom w:val="single" w:color="000000" w:sz="4" w:space="0"/>
              <w:right w:val="single" w:color="000000" w:sz="4" w:space="0"/>
            </w:tcBorders>
            <w:vAlign w:val="center"/>
          </w:tcPr>
          <w:p w14:paraId="0844A5E6">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7A15CFD7">
            <w:pPr>
              <w:widowControl/>
              <w:jc w:val="center"/>
              <w:rPr>
                <w:rFonts w:ascii="宋体" w:hAnsi="宋体" w:eastAsia="宋体" w:cs="宋体"/>
                <w:sz w:val="18"/>
                <w:szCs w:val="18"/>
              </w:rPr>
            </w:pPr>
            <w:r>
              <w:rPr>
                <w:rFonts w:ascii="宋体" w:hAnsi="宋体" w:eastAsia="宋体" w:cs="宋体"/>
                <w:sz w:val="18"/>
                <w:szCs w:val="18"/>
              </w:rPr>
              <w:t>90</w:t>
            </w:r>
          </w:p>
        </w:tc>
        <w:tc>
          <w:tcPr>
            <w:tcW w:w="184" w:type="pct"/>
            <w:tcBorders>
              <w:top w:val="nil"/>
              <w:left w:val="nil"/>
              <w:bottom w:val="single" w:color="000000" w:sz="4" w:space="0"/>
              <w:right w:val="single" w:color="000000" w:sz="4" w:space="0"/>
            </w:tcBorders>
            <w:vAlign w:val="center"/>
          </w:tcPr>
          <w:p w14:paraId="676DD6AE">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610040D8">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5ECAFCD3">
            <w:pPr>
              <w:widowControl/>
              <w:jc w:val="center"/>
              <w:rPr>
                <w:rFonts w:ascii="宋体" w:hAnsi="宋体" w:eastAsia="宋体" w:cs="宋体"/>
                <w:sz w:val="18"/>
                <w:szCs w:val="18"/>
              </w:rPr>
            </w:pPr>
            <w:r>
              <w:rPr>
                <w:rFonts w:ascii="宋体" w:hAnsi="宋体" w:eastAsia="宋体" w:cs="宋体"/>
                <w:sz w:val="18"/>
                <w:szCs w:val="18"/>
              </w:rPr>
              <w:t>20</w:t>
            </w:r>
          </w:p>
        </w:tc>
        <w:tc>
          <w:tcPr>
            <w:tcW w:w="162" w:type="pct"/>
            <w:tcBorders>
              <w:top w:val="nil"/>
              <w:left w:val="nil"/>
              <w:bottom w:val="single" w:color="000000" w:sz="4" w:space="0"/>
              <w:right w:val="single" w:color="000000" w:sz="4" w:space="0"/>
            </w:tcBorders>
            <w:vAlign w:val="center"/>
          </w:tcPr>
          <w:p w14:paraId="15A84927">
            <w:pPr>
              <w:widowControl/>
              <w:jc w:val="center"/>
              <w:rPr>
                <w:rFonts w:ascii="宋体" w:hAnsi="宋体" w:eastAsia="宋体" w:cs="宋体"/>
                <w:sz w:val="18"/>
                <w:szCs w:val="18"/>
              </w:rPr>
            </w:pPr>
            <w:r>
              <w:rPr>
                <w:rFonts w:ascii="宋体" w:hAnsi="宋体" w:eastAsia="宋体" w:cs="宋体"/>
                <w:sz w:val="18"/>
                <w:szCs w:val="18"/>
              </w:rPr>
              <w:t>20</w:t>
            </w:r>
          </w:p>
        </w:tc>
        <w:tc>
          <w:tcPr>
            <w:tcW w:w="904" w:type="pct"/>
            <w:tcBorders>
              <w:top w:val="nil"/>
              <w:left w:val="nil"/>
              <w:bottom w:val="single" w:color="000000" w:sz="4" w:space="0"/>
              <w:right w:val="single" w:color="000000" w:sz="4" w:space="0"/>
            </w:tcBorders>
            <w:vAlign w:val="center"/>
          </w:tcPr>
          <w:p w14:paraId="2D47ED58">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0F6AD0A1">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72B42F90">
            <w:pPr>
              <w:widowControl/>
              <w:jc w:val="left"/>
              <w:rPr>
                <w:rFonts w:ascii="宋体" w:hAnsi="宋体" w:eastAsia="宋体" w:cs="Times New Roman"/>
                <w:sz w:val="18"/>
                <w:szCs w:val="18"/>
              </w:rPr>
            </w:pPr>
          </w:p>
        </w:tc>
        <w:tc>
          <w:tcPr>
            <w:tcW w:w="727" w:type="pct"/>
            <w:tcBorders>
              <w:top w:val="nil"/>
              <w:left w:val="nil"/>
              <w:bottom w:val="single" w:color="000000" w:sz="4" w:space="0"/>
              <w:right w:val="single" w:color="000000" w:sz="4" w:space="0"/>
            </w:tcBorders>
            <w:vAlign w:val="center"/>
          </w:tcPr>
          <w:p w14:paraId="7698853F">
            <w:pPr>
              <w:widowControl/>
              <w:jc w:val="center"/>
              <w:rPr>
                <w:rFonts w:ascii="宋体" w:hAnsi="宋体" w:eastAsia="宋体" w:cs="Times New Roman"/>
                <w:sz w:val="18"/>
                <w:szCs w:val="18"/>
              </w:rPr>
            </w:pPr>
            <w:r>
              <w:rPr>
                <w:rFonts w:hint="eastAsia" w:ascii="宋体" w:hAnsi="宋体" w:eastAsia="宋体" w:cs="宋体"/>
                <w:sz w:val="18"/>
                <w:szCs w:val="18"/>
              </w:rPr>
              <w:t>满意度指标</w:t>
            </w:r>
          </w:p>
        </w:tc>
        <w:tc>
          <w:tcPr>
            <w:tcW w:w="629" w:type="pct"/>
            <w:tcBorders>
              <w:top w:val="nil"/>
              <w:left w:val="nil"/>
              <w:bottom w:val="single" w:color="000000" w:sz="4" w:space="0"/>
              <w:right w:val="single" w:color="000000" w:sz="4" w:space="0"/>
            </w:tcBorders>
            <w:vAlign w:val="center"/>
          </w:tcPr>
          <w:p w14:paraId="3BDAC694">
            <w:pPr>
              <w:widowControl/>
              <w:jc w:val="center"/>
              <w:rPr>
                <w:rFonts w:ascii="宋体" w:hAnsi="宋体" w:eastAsia="宋体" w:cs="Times New Roman"/>
                <w:sz w:val="18"/>
                <w:szCs w:val="18"/>
              </w:rPr>
            </w:pPr>
            <w:r>
              <w:rPr>
                <w:rFonts w:hint="eastAsia" w:ascii="宋体" w:hAnsi="宋体" w:eastAsia="宋体" w:cs="宋体"/>
                <w:sz w:val="18"/>
                <w:szCs w:val="18"/>
              </w:rPr>
              <w:t>服务对象满意度指标</w:t>
            </w:r>
          </w:p>
        </w:tc>
        <w:tc>
          <w:tcPr>
            <w:tcW w:w="798" w:type="pct"/>
            <w:tcBorders>
              <w:top w:val="nil"/>
              <w:left w:val="nil"/>
              <w:bottom w:val="single" w:color="000000" w:sz="4" w:space="0"/>
              <w:right w:val="single" w:color="000000" w:sz="4" w:space="0"/>
            </w:tcBorders>
            <w:vAlign w:val="center"/>
          </w:tcPr>
          <w:p w14:paraId="61A8EDBC">
            <w:pPr>
              <w:widowControl/>
              <w:jc w:val="center"/>
              <w:rPr>
                <w:rFonts w:ascii="宋体" w:hAnsi="宋体" w:eastAsia="宋体" w:cs="Times New Roman"/>
                <w:sz w:val="18"/>
                <w:szCs w:val="18"/>
              </w:rPr>
            </w:pPr>
            <w:r>
              <w:rPr>
                <w:rFonts w:hint="eastAsia" w:ascii="宋体" w:hAnsi="宋体" w:eastAsia="宋体" w:cs="宋体"/>
                <w:sz w:val="18"/>
                <w:szCs w:val="18"/>
              </w:rPr>
              <w:t>服务对象满意度</w:t>
            </w:r>
          </w:p>
        </w:tc>
        <w:tc>
          <w:tcPr>
            <w:tcW w:w="184" w:type="pct"/>
            <w:tcBorders>
              <w:top w:val="nil"/>
              <w:left w:val="nil"/>
              <w:bottom w:val="single" w:color="000000" w:sz="4" w:space="0"/>
              <w:right w:val="single" w:color="000000" w:sz="4" w:space="0"/>
            </w:tcBorders>
            <w:vAlign w:val="center"/>
          </w:tcPr>
          <w:p w14:paraId="5545AD27">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09A34F69">
            <w:pPr>
              <w:widowControl/>
              <w:jc w:val="center"/>
              <w:rPr>
                <w:rFonts w:ascii="宋体" w:hAnsi="宋体" w:eastAsia="宋体" w:cs="宋体"/>
                <w:sz w:val="18"/>
                <w:szCs w:val="18"/>
              </w:rPr>
            </w:pPr>
            <w:r>
              <w:rPr>
                <w:rFonts w:ascii="宋体" w:hAnsi="宋体" w:eastAsia="宋体" w:cs="宋体"/>
                <w:sz w:val="18"/>
                <w:szCs w:val="18"/>
              </w:rPr>
              <w:t>100</w:t>
            </w:r>
          </w:p>
        </w:tc>
        <w:tc>
          <w:tcPr>
            <w:tcW w:w="184" w:type="pct"/>
            <w:tcBorders>
              <w:top w:val="nil"/>
              <w:left w:val="nil"/>
              <w:bottom w:val="single" w:color="000000" w:sz="4" w:space="0"/>
              <w:right w:val="single" w:color="000000" w:sz="4" w:space="0"/>
            </w:tcBorders>
            <w:vAlign w:val="center"/>
          </w:tcPr>
          <w:p w14:paraId="37DD493D">
            <w:pPr>
              <w:widowControl/>
              <w:jc w:val="center"/>
              <w:rPr>
                <w:rFonts w:ascii="宋体" w:hAnsi="宋体" w:eastAsia="宋体" w:cs="宋体"/>
                <w:sz w:val="18"/>
                <w:szCs w:val="18"/>
              </w:rPr>
            </w:pPr>
            <w:r>
              <w:rPr>
                <w:rFonts w:ascii="宋体" w:hAnsi="宋体" w:eastAsia="宋体" w:cs="宋体"/>
                <w:sz w:val="18"/>
                <w:szCs w:val="18"/>
              </w:rPr>
              <w:t>%</w:t>
            </w:r>
          </w:p>
        </w:tc>
        <w:tc>
          <w:tcPr>
            <w:tcW w:w="388" w:type="pct"/>
            <w:tcBorders>
              <w:top w:val="nil"/>
              <w:left w:val="nil"/>
              <w:bottom w:val="single" w:color="000000" w:sz="4" w:space="0"/>
              <w:right w:val="single" w:color="000000" w:sz="4" w:space="0"/>
            </w:tcBorders>
            <w:vAlign w:val="center"/>
          </w:tcPr>
          <w:p w14:paraId="43031467">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4CF0B52A">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3C44E786">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785DEC9B">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5C1024B0">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1A7792A4">
            <w:pPr>
              <w:widowControl/>
              <w:jc w:val="left"/>
              <w:rPr>
                <w:rFonts w:ascii="宋体" w:hAnsi="宋体" w:eastAsia="宋体" w:cs="Times New Roman"/>
                <w:sz w:val="18"/>
                <w:szCs w:val="18"/>
              </w:rPr>
            </w:pPr>
          </w:p>
        </w:tc>
        <w:tc>
          <w:tcPr>
            <w:tcW w:w="727" w:type="pct"/>
            <w:vMerge w:val="restart"/>
            <w:tcBorders>
              <w:top w:val="nil"/>
              <w:left w:val="single" w:color="000000" w:sz="4" w:space="0"/>
              <w:bottom w:val="single" w:color="000000" w:sz="4" w:space="0"/>
              <w:right w:val="single" w:color="000000" w:sz="4" w:space="0"/>
            </w:tcBorders>
            <w:vAlign w:val="center"/>
          </w:tcPr>
          <w:p w14:paraId="75436063">
            <w:pPr>
              <w:widowControl/>
              <w:jc w:val="center"/>
              <w:rPr>
                <w:rFonts w:ascii="宋体" w:hAnsi="宋体" w:eastAsia="宋体" w:cs="Times New Roman"/>
                <w:sz w:val="18"/>
                <w:szCs w:val="18"/>
              </w:rPr>
            </w:pPr>
            <w:r>
              <w:rPr>
                <w:rFonts w:hint="eastAsia" w:ascii="宋体" w:hAnsi="宋体" w:eastAsia="宋体" w:cs="宋体"/>
                <w:sz w:val="18"/>
                <w:szCs w:val="18"/>
              </w:rPr>
              <w:t>成本指标</w:t>
            </w:r>
          </w:p>
        </w:tc>
        <w:tc>
          <w:tcPr>
            <w:tcW w:w="629" w:type="pct"/>
            <w:tcBorders>
              <w:top w:val="nil"/>
              <w:left w:val="nil"/>
              <w:bottom w:val="single" w:color="000000" w:sz="4" w:space="0"/>
              <w:right w:val="single" w:color="000000" w:sz="4" w:space="0"/>
            </w:tcBorders>
            <w:vAlign w:val="center"/>
          </w:tcPr>
          <w:p w14:paraId="49288D36">
            <w:pPr>
              <w:widowControl/>
              <w:jc w:val="center"/>
              <w:rPr>
                <w:rFonts w:ascii="宋体" w:hAnsi="宋体" w:eastAsia="宋体" w:cs="Times New Roman"/>
                <w:sz w:val="18"/>
                <w:szCs w:val="18"/>
              </w:rPr>
            </w:pPr>
            <w:r>
              <w:rPr>
                <w:rFonts w:hint="eastAsia" w:ascii="宋体" w:hAnsi="宋体" w:eastAsia="宋体" w:cs="宋体"/>
                <w:sz w:val="18"/>
                <w:szCs w:val="18"/>
              </w:rPr>
              <w:t>经济成本指标</w:t>
            </w:r>
          </w:p>
        </w:tc>
        <w:tc>
          <w:tcPr>
            <w:tcW w:w="798" w:type="pct"/>
            <w:tcBorders>
              <w:top w:val="nil"/>
              <w:left w:val="nil"/>
              <w:bottom w:val="single" w:color="000000" w:sz="4" w:space="0"/>
              <w:right w:val="single" w:color="000000" w:sz="4" w:space="0"/>
            </w:tcBorders>
            <w:vAlign w:val="center"/>
          </w:tcPr>
          <w:p w14:paraId="4EB7C12D">
            <w:pPr>
              <w:widowControl/>
              <w:jc w:val="center"/>
              <w:rPr>
                <w:rFonts w:ascii="宋体" w:hAnsi="宋体" w:eastAsia="宋体" w:cs="Times New Roman"/>
                <w:sz w:val="18"/>
                <w:szCs w:val="18"/>
              </w:rPr>
            </w:pPr>
            <w:r>
              <w:rPr>
                <w:rFonts w:hint="eastAsia" w:ascii="宋体" w:hAnsi="宋体" w:eastAsia="宋体" w:cs="宋体"/>
                <w:sz w:val="18"/>
                <w:szCs w:val="18"/>
              </w:rPr>
              <w:t>多功能高拍仪成本</w:t>
            </w:r>
          </w:p>
        </w:tc>
        <w:tc>
          <w:tcPr>
            <w:tcW w:w="184" w:type="pct"/>
            <w:tcBorders>
              <w:top w:val="nil"/>
              <w:left w:val="nil"/>
              <w:bottom w:val="single" w:color="000000" w:sz="4" w:space="0"/>
              <w:right w:val="single" w:color="000000" w:sz="4" w:space="0"/>
            </w:tcBorders>
            <w:vAlign w:val="center"/>
          </w:tcPr>
          <w:p w14:paraId="6F6E9563">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52EDBB3B">
            <w:pPr>
              <w:widowControl/>
              <w:jc w:val="center"/>
              <w:rPr>
                <w:rFonts w:ascii="宋体" w:hAnsi="宋体" w:eastAsia="宋体" w:cs="宋体"/>
                <w:sz w:val="18"/>
                <w:szCs w:val="18"/>
              </w:rPr>
            </w:pPr>
            <w:r>
              <w:rPr>
                <w:rFonts w:ascii="宋体" w:hAnsi="宋体" w:eastAsia="宋体" w:cs="宋体"/>
                <w:sz w:val="18"/>
                <w:szCs w:val="18"/>
              </w:rPr>
              <w:t>3100</w:t>
            </w:r>
          </w:p>
        </w:tc>
        <w:tc>
          <w:tcPr>
            <w:tcW w:w="184" w:type="pct"/>
            <w:tcBorders>
              <w:top w:val="nil"/>
              <w:left w:val="nil"/>
              <w:bottom w:val="single" w:color="000000" w:sz="4" w:space="0"/>
              <w:right w:val="single" w:color="000000" w:sz="4" w:space="0"/>
            </w:tcBorders>
            <w:vAlign w:val="center"/>
          </w:tcPr>
          <w:p w14:paraId="3492990C">
            <w:pPr>
              <w:widowControl/>
              <w:jc w:val="center"/>
              <w:rPr>
                <w:rFonts w:ascii="宋体" w:hAnsi="宋体" w:eastAsia="宋体" w:cs="Times New Roman"/>
                <w:sz w:val="18"/>
                <w:szCs w:val="18"/>
              </w:rPr>
            </w:pPr>
            <w:r>
              <w:rPr>
                <w:rFonts w:hint="eastAsia" w:ascii="宋体" w:hAnsi="宋体" w:eastAsia="宋体" w:cs="宋体"/>
                <w:sz w:val="18"/>
                <w:szCs w:val="18"/>
              </w:rPr>
              <w:t>元</w:t>
            </w:r>
            <w:r>
              <w:rPr>
                <w:rFonts w:ascii="宋体" w:hAnsi="宋体" w:eastAsia="宋体" w:cs="宋体"/>
                <w:sz w:val="18"/>
                <w:szCs w:val="18"/>
              </w:rPr>
              <w:t>/</w:t>
            </w:r>
            <w:r>
              <w:rPr>
                <w:rFonts w:hint="eastAsia" w:ascii="宋体" w:hAnsi="宋体" w:eastAsia="宋体" w:cs="宋体"/>
                <w:sz w:val="18"/>
                <w:szCs w:val="18"/>
              </w:rPr>
              <w:t>台</w:t>
            </w:r>
          </w:p>
        </w:tc>
        <w:tc>
          <w:tcPr>
            <w:tcW w:w="388" w:type="pct"/>
            <w:tcBorders>
              <w:top w:val="nil"/>
              <w:left w:val="nil"/>
              <w:bottom w:val="single" w:color="000000" w:sz="4" w:space="0"/>
              <w:right w:val="single" w:color="000000" w:sz="4" w:space="0"/>
            </w:tcBorders>
            <w:vAlign w:val="center"/>
          </w:tcPr>
          <w:p w14:paraId="1C50E48F">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1F57B41F">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7718873B">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27340587">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510F94F3">
        <w:tblPrEx>
          <w:tblCellMar>
            <w:top w:w="0" w:type="dxa"/>
            <w:left w:w="108" w:type="dxa"/>
            <w:bottom w:w="0" w:type="dxa"/>
            <w:right w:w="108" w:type="dxa"/>
          </w:tblCellMar>
        </w:tblPrEx>
        <w:trPr>
          <w:trHeight w:val="454" w:hRule="atLeast"/>
        </w:trPr>
        <w:tc>
          <w:tcPr>
            <w:tcW w:w="247" w:type="pct"/>
            <w:vMerge w:val="continue"/>
            <w:tcBorders>
              <w:top w:val="nil"/>
              <w:left w:val="single" w:color="000000" w:sz="4" w:space="0"/>
              <w:bottom w:val="single" w:color="000000" w:sz="4" w:space="0"/>
              <w:right w:val="single" w:color="000000" w:sz="4" w:space="0"/>
            </w:tcBorders>
            <w:vAlign w:val="center"/>
          </w:tcPr>
          <w:p w14:paraId="0B56F868">
            <w:pPr>
              <w:widowControl/>
              <w:jc w:val="left"/>
              <w:rPr>
                <w:rFonts w:ascii="宋体" w:hAnsi="宋体" w:eastAsia="宋体" w:cs="Times New Roman"/>
                <w:sz w:val="18"/>
                <w:szCs w:val="18"/>
              </w:rPr>
            </w:pPr>
          </w:p>
        </w:tc>
        <w:tc>
          <w:tcPr>
            <w:tcW w:w="727" w:type="pct"/>
            <w:vMerge w:val="continue"/>
            <w:tcBorders>
              <w:top w:val="nil"/>
              <w:left w:val="single" w:color="000000" w:sz="4" w:space="0"/>
              <w:bottom w:val="single" w:color="000000" w:sz="4" w:space="0"/>
              <w:right w:val="single" w:color="000000" w:sz="4" w:space="0"/>
            </w:tcBorders>
            <w:vAlign w:val="center"/>
          </w:tcPr>
          <w:p w14:paraId="6CE14703">
            <w:pPr>
              <w:widowControl/>
              <w:jc w:val="left"/>
              <w:rPr>
                <w:rFonts w:ascii="宋体" w:hAnsi="宋体" w:eastAsia="宋体" w:cs="Times New Roman"/>
                <w:sz w:val="18"/>
                <w:szCs w:val="18"/>
              </w:rPr>
            </w:pPr>
          </w:p>
        </w:tc>
        <w:tc>
          <w:tcPr>
            <w:tcW w:w="629" w:type="pct"/>
            <w:tcBorders>
              <w:top w:val="nil"/>
              <w:left w:val="nil"/>
              <w:bottom w:val="single" w:color="000000" w:sz="4" w:space="0"/>
              <w:right w:val="single" w:color="000000" w:sz="4" w:space="0"/>
            </w:tcBorders>
            <w:vAlign w:val="center"/>
          </w:tcPr>
          <w:p w14:paraId="5BA263DD">
            <w:pPr>
              <w:widowControl/>
              <w:jc w:val="center"/>
              <w:rPr>
                <w:rFonts w:ascii="宋体" w:hAnsi="宋体" w:eastAsia="宋体" w:cs="Times New Roman"/>
                <w:sz w:val="18"/>
                <w:szCs w:val="18"/>
              </w:rPr>
            </w:pPr>
            <w:r>
              <w:rPr>
                <w:rFonts w:hint="eastAsia" w:ascii="宋体" w:hAnsi="宋体" w:eastAsia="宋体" w:cs="宋体"/>
                <w:sz w:val="18"/>
                <w:szCs w:val="18"/>
              </w:rPr>
              <w:t>经济成本指标</w:t>
            </w:r>
          </w:p>
        </w:tc>
        <w:tc>
          <w:tcPr>
            <w:tcW w:w="798" w:type="pct"/>
            <w:tcBorders>
              <w:top w:val="nil"/>
              <w:left w:val="nil"/>
              <w:bottom w:val="single" w:color="000000" w:sz="4" w:space="0"/>
              <w:right w:val="single" w:color="000000" w:sz="4" w:space="0"/>
            </w:tcBorders>
            <w:vAlign w:val="center"/>
          </w:tcPr>
          <w:p w14:paraId="1D1E5205">
            <w:pPr>
              <w:widowControl/>
              <w:jc w:val="center"/>
              <w:rPr>
                <w:rFonts w:ascii="宋体" w:hAnsi="宋体" w:eastAsia="宋体" w:cs="Times New Roman"/>
                <w:sz w:val="18"/>
                <w:szCs w:val="18"/>
              </w:rPr>
            </w:pPr>
            <w:r>
              <w:rPr>
                <w:rFonts w:hint="eastAsia" w:ascii="宋体" w:hAnsi="宋体" w:eastAsia="宋体" w:cs="宋体"/>
                <w:sz w:val="18"/>
                <w:szCs w:val="18"/>
              </w:rPr>
              <w:t>窗口智能评价终端</w:t>
            </w:r>
          </w:p>
        </w:tc>
        <w:tc>
          <w:tcPr>
            <w:tcW w:w="184" w:type="pct"/>
            <w:tcBorders>
              <w:top w:val="nil"/>
              <w:left w:val="nil"/>
              <w:bottom w:val="single" w:color="000000" w:sz="4" w:space="0"/>
              <w:right w:val="single" w:color="000000" w:sz="4" w:space="0"/>
            </w:tcBorders>
            <w:vAlign w:val="center"/>
          </w:tcPr>
          <w:p w14:paraId="2EC28975">
            <w:pPr>
              <w:widowControl/>
              <w:jc w:val="center"/>
              <w:rPr>
                <w:rFonts w:ascii="宋体" w:hAnsi="宋体" w:eastAsia="宋体" w:cs="Times New Roman"/>
                <w:sz w:val="18"/>
                <w:szCs w:val="18"/>
              </w:rPr>
            </w:pPr>
            <w:r>
              <w:rPr>
                <w:rFonts w:hint="eastAsia" w:ascii="宋体" w:hAnsi="宋体" w:eastAsia="宋体" w:cs="宋体"/>
                <w:sz w:val="18"/>
                <w:szCs w:val="18"/>
              </w:rPr>
              <w:t>＝</w:t>
            </w:r>
          </w:p>
        </w:tc>
        <w:tc>
          <w:tcPr>
            <w:tcW w:w="593" w:type="pct"/>
            <w:tcBorders>
              <w:top w:val="nil"/>
              <w:left w:val="nil"/>
              <w:bottom w:val="single" w:color="000000" w:sz="4" w:space="0"/>
              <w:right w:val="single" w:color="000000" w:sz="4" w:space="0"/>
            </w:tcBorders>
            <w:vAlign w:val="center"/>
          </w:tcPr>
          <w:p w14:paraId="44AC76D2">
            <w:pPr>
              <w:widowControl/>
              <w:jc w:val="center"/>
              <w:rPr>
                <w:rFonts w:ascii="宋体" w:hAnsi="宋体" w:eastAsia="宋体" w:cs="宋体"/>
                <w:sz w:val="18"/>
                <w:szCs w:val="18"/>
              </w:rPr>
            </w:pPr>
            <w:r>
              <w:rPr>
                <w:rFonts w:ascii="宋体" w:hAnsi="宋体" w:eastAsia="宋体" w:cs="宋体"/>
                <w:sz w:val="18"/>
                <w:szCs w:val="18"/>
              </w:rPr>
              <w:t>2700</w:t>
            </w:r>
          </w:p>
        </w:tc>
        <w:tc>
          <w:tcPr>
            <w:tcW w:w="184" w:type="pct"/>
            <w:tcBorders>
              <w:top w:val="nil"/>
              <w:left w:val="nil"/>
              <w:bottom w:val="single" w:color="000000" w:sz="4" w:space="0"/>
              <w:right w:val="single" w:color="000000" w:sz="4" w:space="0"/>
            </w:tcBorders>
            <w:vAlign w:val="center"/>
          </w:tcPr>
          <w:p w14:paraId="394252E0">
            <w:pPr>
              <w:widowControl/>
              <w:jc w:val="center"/>
              <w:rPr>
                <w:rFonts w:ascii="宋体" w:hAnsi="宋体" w:eastAsia="宋体" w:cs="Times New Roman"/>
                <w:sz w:val="18"/>
                <w:szCs w:val="18"/>
              </w:rPr>
            </w:pPr>
            <w:r>
              <w:rPr>
                <w:rFonts w:hint="eastAsia" w:ascii="宋体" w:hAnsi="宋体" w:eastAsia="宋体" w:cs="宋体"/>
                <w:sz w:val="18"/>
                <w:szCs w:val="18"/>
              </w:rPr>
              <w:t>元</w:t>
            </w:r>
            <w:r>
              <w:rPr>
                <w:rFonts w:ascii="宋体" w:hAnsi="宋体" w:eastAsia="宋体" w:cs="宋体"/>
                <w:sz w:val="18"/>
                <w:szCs w:val="18"/>
              </w:rPr>
              <w:t>/</w:t>
            </w:r>
            <w:r>
              <w:rPr>
                <w:rFonts w:hint="eastAsia" w:ascii="宋体" w:hAnsi="宋体" w:eastAsia="宋体" w:cs="宋体"/>
                <w:sz w:val="18"/>
                <w:szCs w:val="18"/>
              </w:rPr>
              <w:t>台</w:t>
            </w:r>
          </w:p>
        </w:tc>
        <w:tc>
          <w:tcPr>
            <w:tcW w:w="388" w:type="pct"/>
            <w:tcBorders>
              <w:top w:val="nil"/>
              <w:left w:val="nil"/>
              <w:bottom w:val="single" w:color="000000" w:sz="4" w:space="0"/>
              <w:right w:val="single" w:color="000000" w:sz="4" w:space="0"/>
            </w:tcBorders>
            <w:vAlign w:val="center"/>
          </w:tcPr>
          <w:p w14:paraId="7E79024A">
            <w:pPr>
              <w:widowControl/>
              <w:jc w:val="center"/>
              <w:rPr>
                <w:rFonts w:ascii="宋体" w:hAnsi="宋体" w:eastAsia="宋体" w:cs="Times New Roman"/>
                <w:sz w:val="18"/>
                <w:szCs w:val="18"/>
              </w:rPr>
            </w:pPr>
            <w:r>
              <w:rPr>
                <w:rFonts w:hint="eastAsia" w:ascii="宋体" w:hAnsi="宋体" w:eastAsia="宋体" w:cs="宋体"/>
                <w:sz w:val="18"/>
                <w:szCs w:val="18"/>
              </w:rPr>
              <w:t>　</w:t>
            </w:r>
          </w:p>
        </w:tc>
        <w:tc>
          <w:tcPr>
            <w:tcW w:w="184" w:type="pct"/>
            <w:tcBorders>
              <w:top w:val="nil"/>
              <w:left w:val="nil"/>
              <w:bottom w:val="single" w:color="000000" w:sz="4" w:space="0"/>
              <w:right w:val="single" w:color="000000" w:sz="4" w:space="0"/>
            </w:tcBorders>
            <w:vAlign w:val="center"/>
          </w:tcPr>
          <w:p w14:paraId="71C380BB">
            <w:pPr>
              <w:widowControl/>
              <w:jc w:val="center"/>
              <w:rPr>
                <w:rFonts w:ascii="宋体" w:hAnsi="宋体" w:eastAsia="宋体" w:cs="宋体"/>
                <w:sz w:val="18"/>
                <w:szCs w:val="18"/>
              </w:rPr>
            </w:pPr>
            <w:r>
              <w:rPr>
                <w:rFonts w:ascii="宋体" w:hAnsi="宋体" w:eastAsia="宋体" w:cs="宋体"/>
                <w:sz w:val="18"/>
                <w:szCs w:val="18"/>
              </w:rPr>
              <w:t>10</w:t>
            </w:r>
          </w:p>
        </w:tc>
        <w:tc>
          <w:tcPr>
            <w:tcW w:w="162" w:type="pct"/>
            <w:tcBorders>
              <w:top w:val="nil"/>
              <w:left w:val="nil"/>
              <w:bottom w:val="single" w:color="000000" w:sz="4" w:space="0"/>
              <w:right w:val="single" w:color="000000" w:sz="4" w:space="0"/>
            </w:tcBorders>
            <w:vAlign w:val="center"/>
          </w:tcPr>
          <w:p w14:paraId="35EBD1AA">
            <w:pPr>
              <w:widowControl/>
              <w:jc w:val="center"/>
              <w:rPr>
                <w:rFonts w:ascii="宋体" w:hAnsi="宋体" w:eastAsia="宋体" w:cs="宋体"/>
                <w:sz w:val="18"/>
                <w:szCs w:val="18"/>
              </w:rPr>
            </w:pPr>
            <w:r>
              <w:rPr>
                <w:rFonts w:ascii="宋体" w:hAnsi="宋体" w:eastAsia="宋体" w:cs="宋体"/>
                <w:sz w:val="18"/>
                <w:szCs w:val="18"/>
              </w:rPr>
              <w:t>10</w:t>
            </w:r>
          </w:p>
        </w:tc>
        <w:tc>
          <w:tcPr>
            <w:tcW w:w="904" w:type="pct"/>
            <w:tcBorders>
              <w:top w:val="nil"/>
              <w:left w:val="nil"/>
              <w:bottom w:val="single" w:color="000000" w:sz="4" w:space="0"/>
              <w:right w:val="single" w:color="000000" w:sz="4" w:space="0"/>
            </w:tcBorders>
            <w:vAlign w:val="center"/>
          </w:tcPr>
          <w:p w14:paraId="3757DC1F">
            <w:pPr>
              <w:widowControl/>
              <w:jc w:val="center"/>
              <w:rPr>
                <w:rFonts w:ascii="宋体" w:hAnsi="宋体" w:eastAsia="宋体" w:cs="Times New Roman"/>
                <w:sz w:val="18"/>
                <w:szCs w:val="18"/>
              </w:rPr>
            </w:pPr>
            <w:r>
              <w:rPr>
                <w:rFonts w:hint="eastAsia" w:ascii="宋体" w:hAnsi="宋体" w:eastAsia="宋体" w:cs="宋体"/>
                <w:sz w:val="18"/>
                <w:szCs w:val="18"/>
              </w:rPr>
              <w:t>　</w:t>
            </w:r>
          </w:p>
        </w:tc>
      </w:tr>
      <w:tr w14:paraId="3ED345DA">
        <w:tblPrEx>
          <w:tblCellMar>
            <w:top w:w="0" w:type="dxa"/>
            <w:left w:w="108" w:type="dxa"/>
            <w:bottom w:w="0" w:type="dxa"/>
            <w:right w:w="108" w:type="dxa"/>
          </w:tblCellMar>
        </w:tblPrEx>
        <w:trPr>
          <w:trHeight w:val="285" w:hRule="atLeast"/>
        </w:trPr>
        <w:tc>
          <w:tcPr>
            <w:tcW w:w="3750" w:type="pct"/>
            <w:gridSpan w:val="8"/>
            <w:tcBorders>
              <w:top w:val="single" w:color="000000" w:sz="4" w:space="0"/>
              <w:left w:val="single" w:color="000000" w:sz="4" w:space="0"/>
              <w:bottom w:val="single" w:color="000000" w:sz="4" w:space="0"/>
              <w:right w:val="single" w:color="000000" w:sz="4" w:space="0"/>
            </w:tcBorders>
            <w:vAlign w:val="center"/>
          </w:tcPr>
          <w:p w14:paraId="4CA9FDB0">
            <w:pPr>
              <w:widowControl/>
              <w:jc w:val="center"/>
              <w:rPr>
                <w:rFonts w:ascii="宋体" w:hAnsi="宋体" w:eastAsia="宋体" w:cs="Times New Roman"/>
                <w:sz w:val="18"/>
                <w:szCs w:val="18"/>
              </w:rPr>
            </w:pPr>
            <w:r>
              <w:rPr>
                <w:rFonts w:hint="eastAsia" w:ascii="宋体" w:hAnsi="宋体" w:eastAsia="宋体" w:cs="宋体"/>
                <w:sz w:val="18"/>
                <w:szCs w:val="18"/>
              </w:rPr>
              <w:t>合计</w:t>
            </w:r>
          </w:p>
        </w:tc>
        <w:tc>
          <w:tcPr>
            <w:tcW w:w="184" w:type="pct"/>
            <w:tcBorders>
              <w:top w:val="nil"/>
              <w:left w:val="nil"/>
              <w:bottom w:val="single" w:color="000000" w:sz="4" w:space="0"/>
              <w:right w:val="single" w:color="000000" w:sz="4" w:space="0"/>
            </w:tcBorders>
            <w:vAlign w:val="center"/>
          </w:tcPr>
          <w:p w14:paraId="5D80B0B7">
            <w:pPr>
              <w:widowControl/>
              <w:jc w:val="center"/>
              <w:rPr>
                <w:rFonts w:ascii="宋体" w:hAnsi="宋体" w:eastAsia="宋体" w:cs="宋体"/>
                <w:sz w:val="18"/>
                <w:szCs w:val="18"/>
              </w:rPr>
            </w:pPr>
            <w:r>
              <w:rPr>
                <w:rFonts w:ascii="宋体" w:hAnsi="宋体" w:eastAsia="宋体" w:cs="宋体"/>
                <w:sz w:val="18"/>
                <w:szCs w:val="18"/>
              </w:rPr>
              <w:t>100</w:t>
            </w:r>
          </w:p>
        </w:tc>
        <w:tc>
          <w:tcPr>
            <w:tcW w:w="162" w:type="pct"/>
            <w:tcBorders>
              <w:top w:val="nil"/>
              <w:left w:val="nil"/>
              <w:bottom w:val="single" w:color="000000" w:sz="4" w:space="0"/>
              <w:right w:val="single" w:color="000000" w:sz="4" w:space="0"/>
            </w:tcBorders>
            <w:vAlign w:val="center"/>
          </w:tcPr>
          <w:p w14:paraId="61A99987">
            <w:pPr>
              <w:widowControl/>
              <w:jc w:val="right"/>
              <w:rPr>
                <w:rFonts w:ascii="宋体" w:hAnsi="宋体" w:eastAsia="宋体" w:cs="宋体"/>
                <w:sz w:val="18"/>
                <w:szCs w:val="18"/>
              </w:rPr>
            </w:pPr>
            <w:r>
              <w:rPr>
                <w:rFonts w:ascii="宋体" w:hAnsi="宋体" w:eastAsia="宋体" w:cs="宋体"/>
                <w:sz w:val="18"/>
                <w:szCs w:val="18"/>
              </w:rPr>
              <w:t>98</w:t>
            </w:r>
          </w:p>
        </w:tc>
        <w:tc>
          <w:tcPr>
            <w:tcW w:w="904" w:type="pct"/>
            <w:tcBorders>
              <w:top w:val="nil"/>
              <w:left w:val="nil"/>
              <w:bottom w:val="single" w:color="000000" w:sz="4" w:space="0"/>
              <w:right w:val="single" w:color="000000" w:sz="4" w:space="0"/>
            </w:tcBorders>
            <w:vAlign w:val="center"/>
          </w:tcPr>
          <w:p w14:paraId="79C2701D">
            <w:pPr>
              <w:widowControl/>
              <w:jc w:val="left"/>
              <w:rPr>
                <w:rFonts w:ascii="宋体" w:hAnsi="宋体" w:eastAsia="宋体" w:cs="Times New Roman"/>
                <w:sz w:val="18"/>
                <w:szCs w:val="18"/>
              </w:rPr>
            </w:pPr>
            <w:r>
              <w:rPr>
                <w:rFonts w:hint="eastAsia" w:ascii="宋体" w:hAnsi="宋体" w:eastAsia="宋体" w:cs="宋体"/>
                <w:sz w:val="18"/>
                <w:szCs w:val="18"/>
              </w:rPr>
              <w:t>　</w:t>
            </w:r>
          </w:p>
        </w:tc>
      </w:tr>
      <w:tr w14:paraId="7AE79466">
        <w:tblPrEx>
          <w:tblCellMar>
            <w:top w:w="0" w:type="dxa"/>
            <w:left w:w="108" w:type="dxa"/>
            <w:bottom w:w="0" w:type="dxa"/>
            <w:right w:w="108" w:type="dxa"/>
          </w:tblCellMar>
        </w:tblPrEx>
        <w:trPr>
          <w:trHeight w:val="604" w:hRule="atLeast"/>
        </w:trPr>
        <w:tc>
          <w:tcPr>
            <w:tcW w:w="247" w:type="pct"/>
            <w:tcBorders>
              <w:top w:val="nil"/>
              <w:left w:val="single" w:color="000000" w:sz="4" w:space="0"/>
              <w:bottom w:val="single" w:color="000000" w:sz="4" w:space="0"/>
              <w:right w:val="single" w:color="000000" w:sz="4" w:space="0"/>
            </w:tcBorders>
            <w:vAlign w:val="center"/>
          </w:tcPr>
          <w:p w14:paraId="39ECBBE3">
            <w:pPr>
              <w:widowControl/>
              <w:jc w:val="center"/>
              <w:rPr>
                <w:rFonts w:ascii="宋体" w:hAnsi="宋体" w:eastAsia="宋体" w:cs="Times New Roman"/>
                <w:sz w:val="18"/>
                <w:szCs w:val="18"/>
              </w:rPr>
            </w:pPr>
            <w:r>
              <w:rPr>
                <w:rFonts w:hint="eastAsia" w:ascii="宋体" w:hAnsi="宋体" w:eastAsia="宋体" w:cs="宋体"/>
                <w:sz w:val="18"/>
                <w:szCs w:val="18"/>
              </w:rPr>
              <w:t>评价结论</w:t>
            </w:r>
          </w:p>
        </w:tc>
        <w:tc>
          <w:tcPr>
            <w:tcW w:w="4753" w:type="pct"/>
            <w:gridSpan w:val="10"/>
            <w:tcBorders>
              <w:top w:val="single" w:color="000000" w:sz="4" w:space="0"/>
              <w:left w:val="nil"/>
              <w:bottom w:val="single" w:color="000000" w:sz="4" w:space="0"/>
              <w:right w:val="single" w:color="000000" w:sz="4" w:space="0"/>
            </w:tcBorders>
            <w:vAlign w:val="center"/>
          </w:tcPr>
          <w:p w14:paraId="40B2D855">
            <w:pPr>
              <w:widowControl/>
              <w:jc w:val="left"/>
              <w:rPr>
                <w:rFonts w:hint="eastAsia" w:ascii="宋体" w:hAnsi="宋体" w:eastAsia="宋体" w:cs="宋体"/>
                <w:sz w:val="18"/>
                <w:szCs w:val="18"/>
              </w:rPr>
            </w:pPr>
            <w:r>
              <w:rPr>
                <w:rFonts w:hint="eastAsia" w:ascii="宋体" w:hAnsi="宋体" w:eastAsia="宋体" w:cs="宋体"/>
                <w:sz w:val="18"/>
                <w:szCs w:val="18"/>
              </w:rPr>
              <w:t>经过对项目资料、财务资料及台账等资料的分析，逐项进行自我评价，并结合社会评估得分，最终项目综合得分为98分。通过项目的实施提升了各乡镇便民服务中心工作效率，节约了当地群众办事流程时间，加强了群众联系。促进便民服务中心工作规范化、标准化，群众办事便利化。</w:t>
            </w:r>
          </w:p>
        </w:tc>
      </w:tr>
      <w:tr w14:paraId="59D735C9">
        <w:tblPrEx>
          <w:tblCellMar>
            <w:top w:w="0" w:type="dxa"/>
            <w:left w:w="108" w:type="dxa"/>
            <w:bottom w:w="0" w:type="dxa"/>
            <w:right w:w="108" w:type="dxa"/>
          </w:tblCellMar>
        </w:tblPrEx>
        <w:trPr>
          <w:trHeight w:val="574" w:hRule="atLeast"/>
        </w:trPr>
        <w:tc>
          <w:tcPr>
            <w:tcW w:w="247" w:type="pct"/>
            <w:tcBorders>
              <w:top w:val="nil"/>
              <w:left w:val="single" w:color="000000" w:sz="4" w:space="0"/>
              <w:bottom w:val="single" w:color="000000" w:sz="4" w:space="0"/>
              <w:right w:val="single" w:color="000000" w:sz="4" w:space="0"/>
            </w:tcBorders>
            <w:vAlign w:val="center"/>
          </w:tcPr>
          <w:p w14:paraId="2C82FD67">
            <w:pPr>
              <w:widowControl/>
              <w:jc w:val="center"/>
              <w:rPr>
                <w:rFonts w:ascii="宋体" w:hAnsi="宋体" w:eastAsia="宋体" w:cs="Times New Roman"/>
                <w:sz w:val="18"/>
                <w:szCs w:val="18"/>
              </w:rPr>
            </w:pPr>
            <w:r>
              <w:rPr>
                <w:rFonts w:hint="eastAsia" w:ascii="宋体" w:hAnsi="宋体" w:eastAsia="宋体" w:cs="宋体"/>
                <w:sz w:val="18"/>
                <w:szCs w:val="18"/>
              </w:rPr>
              <w:t>存在问题</w:t>
            </w:r>
          </w:p>
        </w:tc>
        <w:tc>
          <w:tcPr>
            <w:tcW w:w="4753" w:type="pct"/>
            <w:gridSpan w:val="10"/>
            <w:tcBorders>
              <w:top w:val="single" w:color="000000" w:sz="4" w:space="0"/>
              <w:left w:val="nil"/>
              <w:bottom w:val="single" w:color="000000" w:sz="4" w:space="0"/>
              <w:right w:val="single" w:color="000000" w:sz="4" w:space="0"/>
            </w:tcBorders>
            <w:vAlign w:val="center"/>
          </w:tcPr>
          <w:p w14:paraId="36AE0E47">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5151E362">
        <w:tblPrEx>
          <w:tblCellMar>
            <w:top w:w="0" w:type="dxa"/>
            <w:left w:w="108" w:type="dxa"/>
            <w:bottom w:w="0" w:type="dxa"/>
            <w:right w:w="108" w:type="dxa"/>
          </w:tblCellMar>
        </w:tblPrEx>
        <w:trPr>
          <w:trHeight w:val="634" w:hRule="atLeast"/>
        </w:trPr>
        <w:tc>
          <w:tcPr>
            <w:tcW w:w="247" w:type="pct"/>
            <w:tcBorders>
              <w:top w:val="nil"/>
              <w:left w:val="single" w:color="000000" w:sz="4" w:space="0"/>
              <w:bottom w:val="single" w:color="000000" w:sz="4" w:space="0"/>
              <w:right w:val="single" w:color="000000" w:sz="4" w:space="0"/>
            </w:tcBorders>
            <w:vAlign w:val="center"/>
          </w:tcPr>
          <w:p w14:paraId="4F9EB9EF">
            <w:pPr>
              <w:widowControl/>
              <w:jc w:val="center"/>
              <w:rPr>
                <w:rFonts w:ascii="宋体" w:hAnsi="宋体" w:eastAsia="宋体" w:cs="Times New Roman"/>
                <w:sz w:val="18"/>
                <w:szCs w:val="18"/>
              </w:rPr>
            </w:pPr>
            <w:r>
              <w:rPr>
                <w:rFonts w:hint="eastAsia" w:ascii="宋体" w:hAnsi="宋体" w:eastAsia="宋体" w:cs="宋体"/>
                <w:sz w:val="18"/>
                <w:szCs w:val="18"/>
              </w:rPr>
              <w:t>改进措施</w:t>
            </w:r>
          </w:p>
        </w:tc>
        <w:tc>
          <w:tcPr>
            <w:tcW w:w="4753" w:type="pct"/>
            <w:gridSpan w:val="10"/>
            <w:tcBorders>
              <w:top w:val="single" w:color="000000" w:sz="4" w:space="0"/>
              <w:left w:val="nil"/>
              <w:bottom w:val="single" w:color="000000" w:sz="4" w:space="0"/>
              <w:right w:val="single" w:color="000000" w:sz="4" w:space="0"/>
            </w:tcBorders>
            <w:vAlign w:val="center"/>
          </w:tcPr>
          <w:p w14:paraId="73903012">
            <w:pPr>
              <w:widowControl/>
              <w:jc w:val="center"/>
              <w:rPr>
                <w:rFonts w:hint="eastAsia" w:ascii="宋体" w:hAnsi="宋体" w:eastAsia="宋体" w:cs="宋体"/>
                <w:sz w:val="18"/>
                <w:szCs w:val="18"/>
              </w:rPr>
            </w:pPr>
            <w:r>
              <w:rPr>
                <w:rFonts w:hint="eastAsia" w:ascii="宋体" w:hAnsi="宋体" w:eastAsia="宋体" w:cs="宋体"/>
                <w:sz w:val="18"/>
                <w:szCs w:val="18"/>
              </w:rPr>
              <w:t>无</w:t>
            </w:r>
          </w:p>
        </w:tc>
      </w:tr>
      <w:tr w14:paraId="31A8C1F1">
        <w:tblPrEx>
          <w:tblCellMar>
            <w:top w:w="0" w:type="dxa"/>
            <w:left w:w="108" w:type="dxa"/>
            <w:bottom w:w="0" w:type="dxa"/>
            <w:right w:w="108" w:type="dxa"/>
          </w:tblCellMar>
        </w:tblPrEx>
        <w:trPr>
          <w:trHeight w:val="285" w:hRule="atLeast"/>
        </w:trPr>
        <w:tc>
          <w:tcPr>
            <w:tcW w:w="2585" w:type="pct"/>
            <w:gridSpan w:val="5"/>
            <w:tcBorders>
              <w:top w:val="single" w:color="000000" w:sz="4" w:space="0"/>
              <w:left w:val="single" w:color="000000" w:sz="4" w:space="0"/>
              <w:bottom w:val="single" w:color="000000" w:sz="4" w:space="0"/>
              <w:right w:val="single" w:color="000000" w:sz="4" w:space="0"/>
            </w:tcBorders>
            <w:vAlign w:val="center"/>
          </w:tcPr>
          <w:p w14:paraId="04CAA699">
            <w:pPr>
              <w:widowControl/>
              <w:jc w:val="left"/>
              <w:rPr>
                <w:rFonts w:ascii="Courier New" w:hAnsi="Courier New" w:eastAsia="宋体" w:cs="Times New Roman"/>
                <w:sz w:val="18"/>
                <w:szCs w:val="18"/>
              </w:rPr>
            </w:pPr>
            <w:r>
              <w:rPr>
                <w:rFonts w:hint="eastAsia" w:ascii="Courier New" w:hAnsi="Courier New" w:eastAsia="宋体" w:cs="宋体"/>
                <w:sz w:val="18"/>
                <w:szCs w:val="18"/>
              </w:rPr>
              <w:t>项目负责人：谭春乔</w:t>
            </w:r>
          </w:p>
        </w:tc>
        <w:tc>
          <w:tcPr>
            <w:tcW w:w="2415" w:type="pct"/>
            <w:gridSpan w:val="6"/>
            <w:tcBorders>
              <w:top w:val="single" w:color="000000" w:sz="4" w:space="0"/>
              <w:left w:val="nil"/>
              <w:bottom w:val="single" w:color="000000" w:sz="4" w:space="0"/>
              <w:right w:val="single" w:color="000000" w:sz="4" w:space="0"/>
            </w:tcBorders>
            <w:vAlign w:val="center"/>
          </w:tcPr>
          <w:p w14:paraId="2DA2A279">
            <w:pPr>
              <w:widowControl/>
              <w:jc w:val="left"/>
              <w:rPr>
                <w:rFonts w:ascii="Courier New" w:hAnsi="Courier New" w:eastAsia="宋体" w:cs="Times New Roman"/>
                <w:sz w:val="18"/>
                <w:szCs w:val="18"/>
              </w:rPr>
            </w:pPr>
            <w:r>
              <w:rPr>
                <w:rFonts w:hint="eastAsia" w:ascii="Courier New" w:hAnsi="Courier New" w:eastAsia="宋体" w:cs="宋体"/>
                <w:sz w:val="18"/>
                <w:szCs w:val="18"/>
              </w:rPr>
              <w:t>财务负责人：谭春乔</w:t>
            </w:r>
          </w:p>
        </w:tc>
      </w:tr>
    </w:tbl>
    <w:p w14:paraId="2581AB01">
      <w:pPr>
        <w:pStyle w:val="227"/>
        <w:keepNext w:val="0"/>
        <w:keepLines w:val="0"/>
        <w:pageBreakBefore w:val="0"/>
        <w:kinsoku/>
        <w:wordWrap/>
        <w:overflowPunct/>
        <w:topLinePunct w:val="0"/>
        <w:autoSpaceDE/>
        <w:autoSpaceDN/>
        <w:bidi w:val="0"/>
        <w:spacing w:line="560" w:lineRule="exact"/>
        <w:ind w:firstLine="1760" w:firstLineChars="400"/>
        <w:textAlignment w:val="auto"/>
        <w:rPr>
          <w:rFonts w:hint="eastAsia" w:ascii="Times New Roman" w:hAnsi="Times New Roman" w:eastAsia="方正小标宋简体" w:cs="方正小标宋简体"/>
          <w:kern w:val="2"/>
          <w:sz w:val="44"/>
          <w:szCs w:val="44"/>
          <w:lang w:val="en-US"/>
        </w:rPr>
      </w:pPr>
    </w:p>
    <w:p w14:paraId="7BFDB7B8">
      <w:pPr>
        <w:pStyle w:val="227"/>
        <w:keepNext w:val="0"/>
        <w:keepLines w:val="0"/>
        <w:pageBreakBefore w:val="0"/>
        <w:kinsoku/>
        <w:wordWrap/>
        <w:overflowPunct/>
        <w:topLinePunct w:val="0"/>
        <w:autoSpaceDE/>
        <w:autoSpaceDN/>
        <w:bidi w:val="0"/>
        <w:spacing w:line="560" w:lineRule="exact"/>
        <w:ind w:firstLine="1760" w:firstLineChars="400"/>
        <w:textAlignment w:val="auto"/>
        <w:rPr>
          <w:rFonts w:ascii="Times New Roman" w:hAnsi="Times New Roman" w:eastAsia="方正小标宋简体" w:cs="Times New Roman"/>
          <w:kern w:val="2"/>
          <w:sz w:val="44"/>
          <w:szCs w:val="44"/>
          <w:lang w:val="en-US"/>
        </w:rPr>
      </w:pPr>
      <w:r>
        <w:rPr>
          <w:rFonts w:hint="eastAsia" w:ascii="Times New Roman" w:hAnsi="Times New Roman" w:eastAsia="方正小标宋简体" w:cs="方正小标宋简体"/>
          <w:kern w:val="2"/>
          <w:sz w:val="44"/>
          <w:szCs w:val="44"/>
          <w:lang w:val="en-US"/>
        </w:rPr>
        <w:t>专项预算项目绩效评价报告</w:t>
      </w:r>
    </w:p>
    <w:p w14:paraId="4097EEBD">
      <w:pPr>
        <w:pStyle w:val="227"/>
        <w:keepNext w:val="0"/>
        <w:keepLines w:val="0"/>
        <w:pageBreakBefore w:val="0"/>
        <w:kinsoku/>
        <w:wordWrap/>
        <w:overflowPunct/>
        <w:topLinePunct w:val="0"/>
        <w:autoSpaceDE/>
        <w:autoSpaceDN/>
        <w:bidi w:val="0"/>
        <w:spacing w:line="560" w:lineRule="exact"/>
        <w:jc w:val="center"/>
        <w:textAlignment w:val="auto"/>
        <w:rPr>
          <w:rFonts w:ascii="Times New Roman" w:hAnsi="Times New Roman" w:cs="Times New Roman"/>
          <w:kern w:val="2"/>
          <w:sz w:val="32"/>
          <w:szCs w:val="32"/>
        </w:rPr>
      </w:pPr>
      <w:r>
        <w:rPr>
          <w:rFonts w:hint="eastAsia" w:ascii="Times New Roman" w:hAnsi="Times New Roman" w:cs="宋体"/>
          <w:kern w:val="2"/>
          <w:sz w:val="32"/>
          <w:szCs w:val="32"/>
        </w:rPr>
        <w:t>（</w:t>
      </w:r>
      <w:r>
        <w:rPr>
          <w:rFonts w:hint="eastAsia" w:ascii="Times New Roman" w:hAnsi="Times New Roman" w:eastAsia="楷体_GB2312" w:cs="楷体_GB2312"/>
          <w:sz w:val="32"/>
          <w:szCs w:val="32"/>
          <w:lang w:val="en-US" w:eastAsia="zh-CN"/>
        </w:rPr>
        <w:t>工作服装费</w:t>
      </w:r>
      <w:r>
        <w:rPr>
          <w:rFonts w:hint="eastAsia" w:ascii="Times New Roman" w:hAnsi="Times New Roman" w:cs="宋体"/>
          <w:kern w:val="2"/>
          <w:sz w:val="32"/>
          <w:szCs w:val="32"/>
        </w:rPr>
        <w:t>）</w:t>
      </w:r>
    </w:p>
    <w:p w14:paraId="1BDAB7C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color w:val="000000"/>
          <w:lang w:val="zh-CN"/>
        </w:rPr>
      </w:pPr>
      <w:r>
        <w:rPr>
          <w:rFonts w:hint="eastAsia" w:ascii="Times New Roman" w:hAnsi="Times New Roman" w:eastAsia="黑体" w:cs="黑体"/>
          <w:color w:val="000000"/>
        </w:rPr>
        <w:t>一、</w:t>
      </w:r>
      <w:r>
        <w:rPr>
          <w:rFonts w:hint="eastAsia" w:ascii="Times New Roman" w:hAnsi="Times New Roman" w:eastAsia="黑体" w:cs="黑体"/>
          <w:color w:val="000000"/>
          <w:lang w:val="zh-CN"/>
        </w:rPr>
        <w:t>项目概况</w:t>
      </w:r>
    </w:p>
    <w:p w14:paraId="21C50A6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楷体_GB2312" w:cs="Times New Roman"/>
          <w:color w:val="000000"/>
          <w:lang w:val="zh-CN"/>
        </w:rPr>
      </w:pPr>
      <w:r>
        <w:rPr>
          <w:rFonts w:hint="eastAsia" w:ascii="Times New Roman" w:hAnsi="Times New Roman" w:eastAsia="楷体_GB2312" w:cs="楷体_GB2312"/>
          <w:color w:val="000000"/>
          <w:lang w:val="zh-CN"/>
        </w:rPr>
        <w:t>（一）设立背景及基本情况。</w:t>
      </w:r>
    </w:p>
    <w:p w14:paraId="1EF17B27">
      <w:pPr>
        <w:keepNext w:val="0"/>
        <w:keepLines w:val="0"/>
        <w:pageBreakBefore w:val="0"/>
        <w:kinsoku/>
        <w:wordWrap/>
        <w:overflowPunct/>
        <w:topLinePunct w:val="0"/>
        <w:autoSpaceDE/>
        <w:autoSpaceDN/>
        <w:bidi w:val="0"/>
        <w:adjustRightInd/>
        <w:snapToGrid w:val="0"/>
        <w:spacing w:line="576"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rPr>
        <w:t>1</w:t>
      </w:r>
      <w:r>
        <w:rPr>
          <w:rFonts w:hint="eastAsia" w:ascii="仿宋_GB2312" w:hAnsi="仿宋_GB2312" w:cs="仿宋_GB2312"/>
          <w:color w:val="000000"/>
          <w:lang w:val="en-US" w:eastAsia="zh-CN"/>
        </w:rPr>
        <w:t>.</w:t>
      </w:r>
      <w:r>
        <w:rPr>
          <w:rFonts w:hint="eastAsia" w:ascii="仿宋_GB2312" w:hAnsi="仿宋_GB2312" w:eastAsia="仿宋_GB2312" w:cs="仿宋_GB2312"/>
          <w:color w:val="000000"/>
          <w:lang w:val="en-US" w:eastAsia="zh-CN"/>
        </w:rPr>
        <w:t>提升政务服务工作人员形象，统一工作服装</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zh-CN"/>
        </w:rPr>
        <w:t xml:space="preserve"> </w:t>
      </w:r>
    </w:p>
    <w:p w14:paraId="55795C4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zh-CN"/>
        </w:rPr>
        <w:t>项目立项、资金申报的依据。</w:t>
      </w:r>
      <w:r>
        <w:rPr>
          <w:rFonts w:hint="eastAsia" w:ascii="仿宋_GB2312" w:hAnsi="仿宋_GB2312" w:cs="仿宋_GB2312"/>
          <w:color w:val="000000"/>
          <w:lang w:val="en-US" w:eastAsia="zh-CN"/>
        </w:rPr>
        <w:t>相关文件、合同</w:t>
      </w:r>
      <w:r>
        <w:rPr>
          <w:rFonts w:hint="eastAsia" w:ascii="仿宋_GB2312" w:hAnsi="仿宋_GB2312" w:eastAsia="仿宋_GB2312" w:cs="仿宋_GB2312"/>
          <w:color w:val="000000"/>
          <w:lang w:val="zh-CN"/>
        </w:rPr>
        <w:t>。</w:t>
      </w:r>
    </w:p>
    <w:p w14:paraId="774EE227">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cs="仿宋_GB2312"/>
          <w:color w:val="000000"/>
          <w:lang w:val="en-US" w:eastAsia="zh-CN"/>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val="zh-CN"/>
        </w:rPr>
        <w:t>项目主要内容、部门职能。</w:t>
      </w:r>
      <w:r>
        <w:rPr>
          <w:rFonts w:hint="default" w:ascii="仿宋_GB2312" w:hAnsi="仿宋_GB2312" w:cs="仿宋_GB2312"/>
          <w:color w:val="000000"/>
          <w:lang w:val="en-US" w:eastAsia="zh-CN"/>
        </w:rPr>
        <w:t>为政务服务工作人员定制采购大衣53套，西服96套，衬衫188件，全体工作人员形象得到进一步提</w:t>
      </w:r>
      <w:r>
        <w:rPr>
          <w:rFonts w:hint="eastAsia" w:ascii="仿宋_GB2312" w:hAnsi="仿宋_GB2312" w:cs="仿宋_GB2312"/>
          <w:color w:val="000000"/>
          <w:lang w:val="en-US" w:eastAsia="zh-CN"/>
        </w:rPr>
        <w:t>升。</w:t>
      </w:r>
    </w:p>
    <w:p w14:paraId="79BC8BD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w:t>
      </w:r>
      <w:r>
        <w:rPr>
          <w:rFonts w:hint="eastAsia" w:ascii="Times New Roman" w:hAnsi="Times New Roman" w:eastAsia="楷体_GB2312" w:cs="楷体_GB2312"/>
          <w:color w:val="000000"/>
        </w:rPr>
        <w:t>实施目的及支持方向。</w:t>
      </w:r>
      <w:r>
        <w:rPr>
          <w:rFonts w:hint="eastAsia" w:cs="Times New Roman"/>
          <w:color w:val="000000"/>
          <w:spacing w:val="0"/>
          <w:kern w:val="2"/>
          <w:sz w:val="32"/>
          <w:shd w:val="clear" w:fill="FFFFFF"/>
          <w:lang w:val="en-US" w:eastAsia="zh-CN"/>
        </w:rPr>
        <w:t>提升工作人员形象</w:t>
      </w:r>
      <w:r>
        <w:rPr>
          <w:rFonts w:hint="default" w:ascii="仿宋_GB2312" w:hAnsi="仿宋_GB2312" w:cs="仿宋_GB2312"/>
          <w:color w:val="000000"/>
          <w:lang w:val="en-US" w:eastAsia="zh-CN"/>
        </w:rPr>
        <w:t>为政务服务工作人员定制采购大衣53套，西服96套，衬衫188件</w:t>
      </w:r>
      <w:r>
        <w:rPr>
          <w:rFonts w:hint="eastAsia" w:ascii="仿宋_GB2312" w:hAnsi="仿宋_GB2312" w:cs="仿宋_GB2312"/>
          <w:color w:val="000000"/>
          <w:lang w:val="en-US" w:eastAsia="zh-CN"/>
        </w:rPr>
        <w:t>。</w:t>
      </w:r>
    </w:p>
    <w:p w14:paraId="76CA01B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（三）</w:t>
      </w:r>
      <w:r>
        <w:rPr>
          <w:rFonts w:hint="eastAsia" w:ascii="Times New Roman" w:hAnsi="Times New Roman" w:eastAsia="楷体_GB2312" w:cs="楷体_GB2312"/>
          <w:color w:val="000000"/>
        </w:rPr>
        <w:t>预算安排及分配管理</w:t>
      </w:r>
      <w:r>
        <w:rPr>
          <w:rFonts w:hint="eastAsia" w:ascii="Times New Roman" w:hAnsi="Times New Roman" w:eastAsia="楷体_GB2312" w:cs="楷体_GB2312"/>
          <w:color w:val="000000"/>
          <w:lang w:val="zh-CN"/>
        </w:rPr>
        <w:t>。</w:t>
      </w:r>
      <w:r>
        <w:rPr>
          <w:rFonts w:hint="eastAsia" w:ascii="仿宋_GB2312" w:hAnsi="仿宋_GB2312" w:eastAsia="仿宋_GB2312" w:cs="仿宋_GB2312"/>
          <w:color w:val="000000"/>
        </w:rPr>
        <w:t>预算安排</w:t>
      </w:r>
      <w:r>
        <w:rPr>
          <w:rFonts w:hint="eastAsia" w:ascii="仿宋_GB2312" w:hAnsi="仿宋_GB2312" w:cs="仿宋_GB2312"/>
          <w:color w:val="000000"/>
          <w:lang w:val="en-US" w:eastAsia="zh-CN"/>
        </w:rPr>
        <w:t>20</w:t>
      </w:r>
      <w:r>
        <w:rPr>
          <w:rFonts w:hint="eastAsia" w:ascii="仿宋_GB2312" w:hAnsi="仿宋_GB2312" w:eastAsia="仿宋_GB2312" w:cs="仿宋_GB2312"/>
          <w:color w:val="000000"/>
        </w:rPr>
        <w:t>万元，使用</w:t>
      </w:r>
      <w:r>
        <w:rPr>
          <w:rFonts w:hint="eastAsia" w:ascii="仿宋_GB2312" w:hAnsi="仿宋_GB2312" w:cs="仿宋_GB2312"/>
          <w:color w:val="000000"/>
          <w:lang w:val="en-US" w:eastAsia="zh-CN"/>
        </w:rPr>
        <w:t>20</w:t>
      </w:r>
      <w:r>
        <w:rPr>
          <w:rFonts w:hint="eastAsia" w:ascii="仿宋_GB2312" w:hAnsi="仿宋_GB2312" w:eastAsia="仿宋_GB2312" w:cs="仿宋_GB2312"/>
          <w:color w:val="000000"/>
        </w:rPr>
        <w:t>万元。项目资金由区行政审批和数据局监管，并严格按照相关财经纪律执行。</w:t>
      </w:r>
    </w:p>
    <w:p w14:paraId="01914924">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（四）项目绩效目标设置。</w:t>
      </w:r>
      <w:r>
        <w:rPr>
          <w:rFonts w:hint="eastAsia" w:ascii="仿宋_GB2312" w:hAnsi="仿宋_GB2312" w:eastAsia="仿宋_GB2312" w:cs="仿宋_GB2312"/>
          <w:color w:val="000000"/>
        </w:rPr>
        <w:t>为政务服务工作人员重新定制采购大衣、西服、衬衫，全体工作人员形象得到进一步提升，提高了办事群众和企业体验感。组建自评工作组收集和整理自评的相关数据和信息进行自我分析和评估，对自评的结果进行总结和归纳并制定改进计划和措施，及时跟进和落实。</w:t>
      </w:r>
    </w:p>
    <w:p w14:paraId="366722C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color w:val="000000"/>
        </w:rPr>
      </w:pPr>
      <w:r>
        <w:rPr>
          <w:rFonts w:hint="eastAsia" w:ascii="Times New Roman" w:hAnsi="Times New Roman" w:eastAsia="黑体" w:cs="黑体"/>
          <w:color w:val="000000"/>
        </w:rPr>
        <w:t>二、评价实施</w:t>
      </w:r>
    </w:p>
    <w:p w14:paraId="6710896A">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（一）评价目的。</w:t>
      </w:r>
      <w:r>
        <w:rPr>
          <w:rFonts w:hint="eastAsia" w:ascii="仿宋_GB2312" w:hAnsi="仿宋_GB2312" w:eastAsia="仿宋_GB2312" w:cs="仿宋_GB2312"/>
          <w:color w:val="000000"/>
          <w:lang w:val="zh-CN"/>
        </w:rPr>
        <w:t>反映项目实施是否偏离目标，并总结经验，为改善管理，纠正目标与实际的偏差提供依据。</w:t>
      </w:r>
    </w:p>
    <w:p w14:paraId="42F781A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（二）预设问题及评价重点</w:t>
      </w:r>
      <w:r>
        <w:rPr>
          <w:rFonts w:hint="eastAsia" w:ascii="仿宋" w:hAnsi="仿宋" w:eastAsia="仿宋" w:cs="仿宋"/>
          <w:color w:val="000000"/>
          <w:lang w:val="zh-CN"/>
        </w:rPr>
        <w:t>。</w:t>
      </w:r>
      <w:r>
        <w:rPr>
          <w:rFonts w:hint="eastAsia" w:ascii="仿宋_GB2312" w:hAnsi="仿宋_GB2312" w:cs="仿宋_GB2312"/>
          <w:color w:val="000000"/>
          <w:lang w:val="en-US" w:eastAsia="zh-CN"/>
        </w:rPr>
        <w:t>工作服装费</w:t>
      </w:r>
      <w:r>
        <w:rPr>
          <w:rFonts w:hint="eastAsia" w:ascii="仿宋_GB2312" w:hAnsi="仿宋_GB2312" w:eastAsia="仿宋_GB2312" w:cs="仿宋_GB2312"/>
          <w:color w:val="000000"/>
        </w:rPr>
        <w:t>项目严格按照专款专用原则，及时通知有关单位提供合法票据，完善报账手续，严格票据审核，规范报账程序，确保资金使用的及时性、规范性，同时财政部门对资金支付严格审核，确保资金使用安全。</w:t>
      </w:r>
    </w:p>
    <w:p w14:paraId="775B65B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（三）评价选点。</w:t>
      </w:r>
      <w:r>
        <w:rPr>
          <w:rFonts w:hint="eastAsia" w:ascii="仿宋_GB2312" w:hAnsi="仿宋_GB2312" w:eastAsia="仿宋_GB2312" w:cs="仿宋_GB2312"/>
          <w:color w:val="000000"/>
          <w:lang w:val="zh-CN"/>
        </w:rPr>
        <w:t>项目实际完成情况。</w:t>
      </w:r>
    </w:p>
    <w:p w14:paraId="2A2620D1">
      <w:pPr>
        <w:keepNext w:val="0"/>
        <w:keepLines w:val="0"/>
        <w:pageBreakBefore w:val="0"/>
        <w:kinsoku/>
        <w:wordWrap/>
        <w:overflowPunct/>
        <w:topLinePunct w:val="0"/>
        <w:autoSpaceDE/>
        <w:autoSpaceDN/>
        <w:bidi w:val="0"/>
        <w:spacing w:line="560" w:lineRule="exact"/>
        <w:ind w:left="640" w:left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（四）评价方法。</w:t>
      </w:r>
      <w:r>
        <w:rPr>
          <w:rFonts w:hint="eastAsia" w:ascii="仿宋_GB2312" w:hAnsi="仿宋_GB2312" w:eastAsia="仿宋_GB2312" w:cs="仿宋_GB2312"/>
          <w:color w:val="000000"/>
        </w:rPr>
        <w:t>本次项目支出绩效评价采取分级评分法。</w:t>
      </w:r>
      <w:r>
        <w:rPr>
          <w:rFonts w:hint="eastAsia" w:ascii="Times New Roman" w:hAnsi="Times New Roman" w:eastAsia="楷体_GB2312" w:cs="楷体_GB2312"/>
          <w:color w:val="000000"/>
          <w:lang w:val="zh-CN"/>
        </w:rPr>
        <w:t>（五）评价组织</w:t>
      </w:r>
      <w:r>
        <w:rPr>
          <w:rFonts w:hint="eastAsia" w:ascii="仿宋" w:hAnsi="仿宋" w:eastAsia="仿宋" w:cs="仿宋"/>
          <w:color w:val="000000"/>
          <w:lang w:val="zh-CN"/>
        </w:rPr>
        <w:t>。</w:t>
      </w:r>
      <w:r>
        <w:rPr>
          <w:rFonts w:hint="eastAsia" w:ascii="仿宋_GB2312" w:hAnsi="仿宋_GB2312" w:eastAsia="仿宋_GB2312" w:cs="仿宋_GB2312"/>
          <w:color w:val="000000"/>
          <w:lang w:val="zh-CN"/>
        </w:rPr>
        <w:t>成立工作专班，落实工作责任，有力有序开展2024年部门预算项目支出绩效自评工作。</w:t>
      </w:r>
    </w:p>
    <w:p w14:paraId="63A2135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cs="Times New Roman"/>
          <w:color w:val="000000"/>
          <w:lang w:val="zh-CN"/>
        </w:rPr>
      </w:pPr>
      <w:r>
        <w:rPr>
          <w:rFonts w:hint="eastAsia" w:ascii="Times New Roman" w:hAnsi="Times New Roman" w:eastAsia="黑体" w:cs="黑体"/>
          <w:color w:val="000000"/>
        </w:rPr>
        <w:t>三、绩效分析</w:t>
      </w:r>
      <w:r>
        <w:rPr>
          <w:rFonts w:ascii="Times New Roman" w:hAnsi="Times New Roman" w:cs="Times New Roman"/>
          <w:color w:val="000000"/>
          <w:lang w:val="zh-CN"/>
        </w:rPr>
        <w:tab/>
      </w:r>
    </w:p>
    <w:p w14:paraId="2F1CEA7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根据项目预算绩效评价指标体系“通用指标”“专用指标”“个性指标”涉及二、三级指标进行逐项绩效分析并评分。</w:t>
      </w:r>
    </w:p>
    <w:p w14:paraId="5234A36E">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ascii="Times New Roman" w:hAnsi="Times New Roman" w:eastAsia="楷体_GB2312" w:cs="Times New Roman"/>
          <w:color w:val="000000"/>
        </w:rPr>
      </w:pPr>
      <w:r>
        <w:rPr>
          <w:rFonts w:hint="eastAsia" w:ascii="Times New Roman" w:hAnsi="Times New Roman" w:eastAsia="楷体_GB2312" w:cs="楷体_GB2312"/>
          <w:color w:val="000000"/>
          <w:lang w:val="zh-CN"/>
        </w:rPr>
        <w:t>（一）</w:t>
      </w:r>
      <w:r>
        <w:rPr>
          <w:rFonts w:hint="eastAsia" w:ascii="Times New Roman" w:hAnsi="Times New Roman" w:eastAsia="楷体_GB2312" w:cs="楷体_GB2312"/>
          <w:color w:val="000000"/>
        </w:rPr>
        <w:t>通用指标</w:t>
      </w:r>
      <w:r>
        <w:rPr>
          <w:rFonts w:hint="eastAsia" w:ascii="Times New Roman" w:hAnsi="Times New Roman" w:eastAsia="楷体_GB2312" w:cs="楷体_GB2312"/>
          <w:color w:val="000000"/>
          <w:lang w:val="zh-CN"/>
        </w:rPr>
        <w:t>绩效分析。</w:t>
      </w:r>
    </w:p>
    <w:p w14:paraId="7EE5B52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1.项目决策。从综合评价来看，区行政审批和数据局各预算项目设立依据基本充分，均设定了各项目绩效目标，对资金配置方面均有明确的测算依据，整体情况良好。</w:t>
      </w:r>
    </w:p>
    <w:p w14:paraId="76C1BD0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2.项目管理。从整体评价来看，区行政审批和数据局建立了基本能全面覆盖的管理制度，各项目按照财政局相关要求稳步推进，并根据年度工作计划做好各项目工作。预算批复后，根据项目推进情况申请资金下达，截至2024年12月31日，项目资金到位</w:t>
      </w:r>
      <w:r>
        <w:rPr>
          <w:rFonts w:hint="eastAsia" w:ascii="仿宋_GB2312" w:hAnsi="仿宋_GB2312" w:cs="仿宋_GB2312"/>
          <w:color w:val="000000"/>
          <w:lang w:val="en-US" w:eastAsia="zh-CN"/>
        </w:rPr>
        <w:t>20</w:t>
      </w:r>
      <w:r>
        <w:rPr>
          <w:rFonts w:hint="eastAsia" w:ascii="仿宋_GB2312" w:hAnsi="仿宋_GB2312" w:eastAsia="仿宋_GB2312" w:cs="仿宋_GB2312"/>
          <w:color w:val="000000"/>
          <w:lang w:val="zh-CN"/>
        </w:rPr>
        <w:t>万元，支出</w:t>
      </w:r>
      <w:r>
        <w:rPr>
          <w:rFonts w:hint="eastAsia" w:ascii="仿宋_GB2312" w:hAnsi="仿宋_GB2312" w:cs="仿宋_GB2312"/>
          <w:color w:val="000000"/>
          <w:lang w:val="en-US" w:eastAsia="zh-CN"/>
        </w:rPr>
        <w:t>20</w:t>
      </w:r>
      <w:r>
        <w:rPr>
          <w:rFonts w:hint="eastAsia" w:ascii="仿宋_GB2312" w:hAnsi="仿宋_GB2312" w:eastAsia="仿宋_GB2312" w:cs="仿宋_GB2312"/>
          <w:color w:val="000000"/>
          <w:lang w:val="zh-CN"/>
        </w:rPr>
        <w:t>万元，项目资金执行率为100%。项目运行成本均在可控制范围内。</w:t>
      </w:r>
    </w:p>
    <w:p w14:paraId="64B9EA2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3.项目实施。项目经费严格按照专款专用原则，预算安排</w:t>
      </w:r>
      <w:r>
        <w:rPr>
          <w:rFonts w:hint="eastAsia" w:ascii="仿宋_GB2312" w:hAnsi="仿宋_GB2312" w:cs="仿宋_GB2312"/>
          <w:color w:val="000000"/>
          <w:lang w:val="en-US" w:eastAsia="zh-CN"/>
        </w:rPr>
        <w:t>20</w:t>
      </w:r>
      <w:r>
        <w:rPr>
          <w:rFonts w:hint="eastAsia" w:ascii="仿宋_GB2312" w:hAnsi="仿宋_GB2312" w:eastAsia="仿宋_GB2312" w:cs="仿宋_GB2312"/>
          <w:color w:val="000000"/>
          <w:lang w:val="zh-CN"/>
        </w:rPr>
        <w:t>万元，使用</w:t>
      </w:r>
      <w:r>
        <w:rPr>
          <w:rFonts w:hint="eastAsia" w:ascii="仿宋_GB2312" w:hAnsi="仿宋_GB2312" w:cs="仿宋_GB2312"/>
          <w:color w:val="000000"/>
          <w:lang w:val="en-US" w:eastAsia="zh-CN"/>
        </w:rPr>
        <w:t>20</w:t>
      </w:r>
      <w:r>
        <w:rPr>
          <w:rFonts w:hint="eastAsia" w:ascii="仿宋_GB2312" w:hAnsi="仿宋_GB2312" w:eastAsia="仿宋_GB2312" w:cs="仿宋_GB2312"/>
          <w:color w:val="000000"/>
          <w:lang w:val="zh-CN"/>
        </w:rPr>
        <w:t>万元。单位无截留、挤占、挪用、虚列支出等情况。</w:t>
      </w:r>
    </w:p>
    <w:p w14:paraId="440511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4.项目结果。按时保质保量完成</w:t>
      </w:r>
      <w:r>
        <w:rPr>
          <w:rFonts w:hint="eastAsia" w:ascii="仿宋_GB2312" w:hAnsi="仿宋_GB2312" w:cs="仿宋_GB2312"/>
          <w:color w:val="000000"/>
          <w:lang w:val="en-US" w:eastAsia="zh-CN"/>
        </w:rPr>
        <w:t>工作服装的定制</w:t>
      </w:r>
      <w:r>
        <w:rPr>
          <w:rFonts w:hint="eastAsia" w:ascii="仿宋_GB2312" w:hAnsi="仿宋_GB2312" w:eastAsia="仿宋_GB2312" w:cs="仿宋_GB2312"/>
          <w:color w:val="000000"/>
          <w:lang w:val="zh-CN"/>
        </w:rPr>
        <w:t>，</w:t>
      </w:r>
      <w:r>
        <w:rPr>
          <w:rFonts w:hint="eastAsia" w:ascii="仿宋_GB2312" w:hAnsi="仿宋_GB2312" w:eastAsia="仿宋_GB2312" w:cs="仿宋_GB2312"/>
          <w:color w:val="000000"/>
        </w:rPr>
        <w:t>全体工作人员形象得到进一步提升，提高了办事群众和企业体验感。</w:t>
      </w:r>
      <w:r>
        <w:rPr>
          <w:rFonts w:hint="eastAsia" w:ascii="仿宋_GB2312" w:hAnsi="仿宋_GB2312" w:eastAsia="仿宋_GB2312" w:cs="仿宋_GB2312"/>
          <w:color w:val="000000"/>
          <w:lang w:val="zh-CN"/>
        </w:rPr>
        <w:t>服务对象满意度=100%，项目完成时效1年。</w:t>
      </w:r>
    </w:p>
    <w:p w14:paraId="72812BC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（二）专用指标绩效分析。</w:t>
      </w:r>
      <w:r>
        <w:rPr>
          <w:rFonts w:hint="eastAsia" w:ascii="仿宋_GB2312" w:hAnsi="仿宋_GB2312" w:eastAsia="仿宋_GB2312" w:cs="仿宋_GB2312"/>
          <w:color w:val="000000"/>
          <w:lang w:val="zh-CN"/>
        </w:rPr>
        <w:t>根据专项预算项目资金支持对象选择所属指标进行绩效分析。支持对象包括产业发展、民生保障、基础设施、行政运转等方面。</w:t>
      </w:r>
    </w:p>
    <w:p w14:paraId="48EB786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1.产业发展。围绕符合性、成长性、经济性进行绩效分析。</w:t>
      </w:r>
    </w:p>
    <w:p w14:paraId="466EC07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2.民生保障。围绕区域均衡性、对象精准性、标准合理性、群众满意度进行绩效分析。</w:t>
      </w:r>
    </w:p>
    <w:p w14:paraId="404096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3.基础设施。在建项目围绕工程进度和资金拨付进行绩效分析；建成项目围绕项目验收、功能实现、后续管护进行绩效分析。</w:t>
      </w:r>
    </w:p>
    <w:p w14:paraId="185AD82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4.行政运转。围绕用途合规性、程序合规性、标准合规性进行绩效分析。</w:t>
      </w:r>
    </w:p>
    <w:p w14:paraId="69BC500D">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（三）</w:t>
      </w:r>
      <w:r>
        <w:rPr>
          <w:rFonts w:hint="eastAsia" w:ascii="Times New Roman" w:hAnsi="Times New Roman" w:eastAsia="楷体_GB2312" w:cs="楷体_GB2312"/>
          <w:color w:val="000000"/>
        </w:rPr>
        <w:t>个性指标</w:t>
      </w:r>
      <w:r>
        <w:rPr>
          <w:rFonts w:hint="eastAsia" w:ascii="Times New Roman" w:hAnsi="Times New Roman" w:eastAsia="楷体_GB2312" w:cs="楷体_GB2312"/>
          <w:color w:val="000000"/>
          <w:lang w:val="zh-CN"/>
        </w:rPr>
        <w:t>绩效分析。</w:t>
      </w:r>
      <w:r>
        <w:rPr>
          <w:rFonts w:hint="eastAsia" w:ascii="仿宋_GB2312" w:hAnsi="仿宋_GB2312" w:eastAsia="仿宋_GB2312" w:cs="仿宋_GB2312"/>
          <w:color w:val="000000"/>
          <w:lang w:val="zh-CN"/>
        </w:rPr>
        <w:t>根据项目个性自行设定部分指标，反映该项指标执行完成情况。</w:t>
      </w:r>
    </w:p>
    <w:p w14:paraId="7ADAE53D">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outlineLvl w:val="1"/>
        <w:rPr>
          <w:rFonts w:ascii="Times New Roman" w:hAnsi="Times New Roman" w:eastAsia="黑体" w:cs="Times New Roman"/>
          <w:color w:val="000000"/>
        </w:rPr>
      </w:pPr>
      <w:r>
        <w:rPr>
          <w:rFonts w:hint="eastAsia" w:ascii="Times New Roman" w:hAnsi="Times New Roman" w:eastAsia="黑体" w:cs="黑体"/>
          <w:color w:val="000000"/>
        </w:rPr>
        <w:t>四、评价结论</w:t>
      </w:r>
    </w:p>
    <w:p w14:paraId="6EA28ECE">
      <w:pPr>
        <w:spacing w:line="560" w:lineRule="exact"/>
        <w:ind w:firstLine="640" w:firstLineChars="200"/>
        <w:rPr>
          <w:rFonts w:hint="eastAsia" w:ascii="仿宋_GB2312" w:hAnsi="仿宋_GB2312" w:eastAsia="仿宋_GB2312" w:cs="仿宋_GB2312"/>
          <w:color w:val="000000"/>
          <w:lang w:val="zh-CN" w:eastAsia="zh-CN"/>
        </w:rPr>
      </w:pPr>
      <w:r>
        <w:rPr>
          <w:rFonts w:hint="eastAsia" w:ascii="仿宋_GB2312" w:hAnsi="仿宋_GB2312" w:cs="仿宋_GB2312"/>
          <w:color w:val="000000"/>
          <w:lang w:val="en-US" w:eastAsia="zh-CN"/>
        </w:rPr>
        <w:t>工作服装费</w:t>
      </w:r>
      <w:r>
        <w:rPr>
          <w:rFonts w:hint="eastAsia" w:ascii="仿宋_GB2312" w:hAnsi="仿宋_GB2312" w:cs="仿宋_GB2312"/>
          <w:color w:val="000000"/>
          <w:lang w:val="zh-CN" w:eastAsia="zh-CN"/>
        </w:rPr>
        <w:t>项</w:t>
      </w:r>
      <w:r>
        <w:rPr>
          <w:rFonts w:hint="eastAsia" w:ascii="仿宋_GB2312" w:hAnsi="仿宋_GB2312" w:eastAsia="仿宋_GB2312" w:cs="仿宋_GB2312"/>
          <w:color w:val="000000"/>
          <w:lang w:val="zh-CN" w:eastAsia="zh-CN"/>
        </w:rPr>
        <w:t>目绩效总体评价良好,自评得分9</w:t>
      </w:r>
      <w:r>
        <w:rPr>
          <w:rFonts w:hint="eastAsia" w:ascii="仿宋_GB2312" w:hAnsi="仿宋_GB2312" w:cs="仿宋_GB2312"/>
          <w:color w:val="000000"/>
          <w:lang w:val="en-US" w:eastAsia="zh-CN"/>
        </w:rPr>
        <w:t>6</w:t>
      </w:r>
      <w:r>
        <w:rPr>
          <w:rFonts w:hint="eastAsia" w:ascii="仿宋_GB2312" w:hAnsi="仿宋_GB2312" w:eastAsia="仿宋_GB2312" w:cs="仿宋_GB2312"/>
          <w:color w:val="000000"/>
          <w:lang w:val="zh-CN" w:eastAsia="zh-CN"/>
        </w:rPr>
        <w:t>分。</w:t>
      </w:r>
      <w:r>
        <w:rPr>
          <w:rFonts w:hint="eastAsia" w:ascii="仿宋" w:hAnsi="仿宋" w:eastAsia="仿宋" w:cs="仿宋"/>
          <w:color w:val="000000" w:themeColor="text1"/>
          <w:sz w:val="32"/>
          <w:szCs w:val="32"/>
          <w14:textFill>
            <w14:solidFill>
              <w14:schemeClr w14:val="tx1"/>
            </w14:solidFill>
          </w14:textFill>
        </w:rPr>
        <w:t>该项目实现了预定的绩效目标，项目目标明确，预定目标设置合理。</w:t>
      </w:r>
    </w:p>
    <w:p w14:paraId="25CD982A">
      <w:pPr>
        <w:pStyle w:val="15"/>
        <w:keepNext w:val="0"/>
        <w:keepLines w:val="0"/>
        <w:pageBreakBefore w:val="0"/>
        <w:tabs>
          <w:tab w:val="left" w:pos="2160"/>
        </w:tabs>
        <w:kinsoku/>
        <w:wordWrap/>
        <w:overflowPunct/>
        <w:topLinePunct w:val="0"/>
        <w:autoSpaceDE/>
        <w:autoSpaceDN/>
        <w:bidi w:val="0"/>
        <w:spacing w:after="0" w:line="560" w:lineRule="exact"/>
        <w:ind w:left="640"/>
        <w:textAlignment w:val="auto"/>
        <w:outlineLvl w:val="1"/>
        <w:rPr>
          <w:rFonts w:ascii="Times New Roman" w:hAnsi="Times New Roman" w:eastAsia="黑体" w:cs="Times New Roman"/>
          <w:color w:val="000000"/>
        </w:rPr>
      </w:pPr>
      <w:r>
        <w:rPr>
          <w:rFonts w:hint="eastAsia" w:ascii="Times New Roman" w:hAnsi="Times New Roman" w:eastAsia="黑体" w:cs="黑体"/>
          <w:color w:val="000000"/>
        </w:rPr>
        <w:t>五、存在主要问题</w:t>
      </w:r>
    </w:p>
    <w:p w14:paraId="6A776370">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rPr>
          <w:rFonts w:ascii="仿宋" w:hAnsi="仿宋" w:eastAsia="仿宋" w:cs="Times New Roman"/>
          <w:color w:val="000000"/>
        </w:rPr>
      </w:pPr>
      <w:r>
        <w:rPr>
          <w:rFonts w:hint="eastAsia" w:ascii="仿宋" w:hAnsi="仿宋" w:eastAsia="仿宋" w:cs="仿宋"/>
          <w:color w:val="000000"/>
        </w:rPr>
        <w:t>无</w:t>
      </w:r>
    </w:p>
    <w:p w14:paraId="18445701">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outlineLvl w:val="1"/>
        <w:rPr>
          <w:rFonts w:ascii="Times New Roman" w:hAnsi="Times New Roman" w:eastAsia="黑体" w:cs="Times New Roman"/>
          <w:color w:val="000000"/>
          <w:position w:val="3"/>
          <w:lang w:val="zh-CN"/>
        </w:rPr>
      </w:pPr>
      <w:r>
        <w:rPr>
          <w:rFonts w:hint="eastAsia" w:ascii="Times New Roman" w:hAnsi="Times New Roman" w:eastAsia="黑体" w:cs="黑体"/>
          <w:color w:val="000000"/>
          <w:position w:val="3"/>
          <w:lang w:val="zh-CN"/>
        </w:rPr>
        <w:t>六、改进建议</w:t>
      </w:r>
    </w:p>
    <w:p w14:paraId="293F75C1">
      <w:pPr>
        <w:keepNext w:val="0"/>
        <w:keepLines w:val="0"/>
        <w:pageBreakBefore w:val="0"/>
        <w:tabs>
          <w:tab w:val="left" w:pos="1911"/>
        </w:tabs>
        <w:kinsoku/>
        <w:wordWrap/>
        <w:overflowPunct/>
        <w:topLinePunct w:val="0"/>
        <w:autoSpaceDE/>
        <w:autoSpaceDN/>
        <w:bidi w:val="0"/>
        <w:spacing w:line="560" w:lineRule="exact"/>
        <w:ind w:firstLine="640" w:firstLineChars="200"/>
        <w:jc w:val="left"/>
        <w:textAlignment w:val="auto"/>
        <w:rPr>
          <w:rFonts w:ascii="仿宋" w:hAnsi="仿宋" w:eastAsia="仿宋" w:cs="Times New Roman"/>
          <w:color w:val="000000"/>
        </w:rPr>
      </w:pPr>
      <w:r>
        <w:rPr>
          <w:rFonts w:hint="eastAsia" w:ascii="仿宋" w:hAnsi="仿宋" w:eastAsia="仿宋" w:cs="仿宋"/>
          <w:color w:val="000000"/>
        </w:rPr>
        <w:t>无</w:t>
      </w:r>
    </w:p>
    <w:tbl>
      <w:tblPr>
        <w:tblStyle w:val="35"/>
        <w:tblW w:w="5000" w:type="pct"/>
        <w:tblInd w:w="2" w:type="dxa"/>
        <w:tblLayout w:type="autofit"/>
        <w:tblCellMar>
          <w:top w:w="0" w:type="dxa"/>
          <w:left w:w="0" w:type="dxa"/>
          <w:bottom w:w="0" w:type="dxa"/>
          <w:right w:w="0" w:type="dxa"/>
        </w:tblCellMar>
      </w:tblPr>
      <w:tblGrid>
        <w:gridCol w:w="438"/>
        <w:gridCol w:w="1317"/>
        <w:gridCol w:w="1139"/>
        <w:gridCol w:w="1453"/>
        <w:gridCol w:w="335"/>
        <w:gridCol w:w="1076"/>
        <w:gridCol w:w="335"/>
        <w:gridCol w:w="701"/>
        <w:gridCol w:w="322"/>
        <w:gridCol w:w="292"/>
        <w:gridCol w:w="1648"/>
      </w:tblGrid>
      <w:tr w14:paraId="3ECADE9C">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408038">
            <w:pPr>
              <w:widowControl/>
              <w:jc w:val="center"/>
              <w:textAlignment w:val="center"/>
              <w:rPr>
                <w:rFonts w:ascii="黑体" w:hAnsi="宋体" w:eastAsia="黑体" w:cs="Times New Roman"/>
                <w:b/>
                <w:bCs/>
                <w:color w:val="000000"/>
                <w:sz w:val="30"/>
                <w:szCs w:val="30"/>
              </w:rPr>
            </w:pPr>
            <w:r>
              <w:rPr>
                <w:rFonts w:hint="eastAsia" w:ascii="黑体" w:hAnsi="宋体" w:eastAsia="黑体" w:cs="黑体"/>
                <w:b/>
                <w:bCs/>
                <w:color w:val="000000"/>
                <w:sz w:val="30"/>
                <w:szCs w:val="30"/>
              </w:rPr>
              <w:t>部门预算项目支出绩效自评表（</w:t>
            </w:r>
            <w:r>
              <w:rPr>
                <w:rFonts w:ascii="黑体" w:hAnsi="宋体" w:eastAsia="黑体" w:cs="黑体"/>
                <w:b/>
                <w:bCs/>
                <w:color w:val="000000"/>
                <w:sz w:val="30"/>
                <w:szCs w:val="30"/>
              </w:rPr>
              <w:t>2024</w:t>
            </w:r>
            <w:r>
              <w:rPr>
                <w:rFonts w:hint="eastAsia" w:ascii="黑体" w:hAnsi="宋体" w:eastAsia="黑体" w:cs="黑体"/>
                <w:b/>
                <w:bCs/>
                <w:color w:val="000000"/>
                <w:sz w:val="30"/>
                <w:szCs w:val="30"/>
              </w:rPr>
              <w:t>年度）</w:t>
            </w:r>
          </w:p>
        </w:tc>
      </w:tr>
      <w:tr w14:paraId="0FD15AF3">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39310">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项目名称</w:t>
            </w:r>
          </w:p>
        </w:tc>
        <w:tc>
          <w:tcPr>
            <w:tcW w:w="4030" w:type="pct"/>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AC168">
            <w:pPr>
              <w:widowControl/>
              <w:jc w:val="left"/>
              <w:textAlignment w:val="center"/>
              <w:rPr>
                <w:rFonts w:ascii="宋体" w:hAnsi="宋体" w:eastAsia="宋体" w:cs="Times New Roman"/>
                <w:color w:val="000000"/>
                <w:sz w:val="18"/>
                <w:szCs w:val="18"/>
              </w:rPr>
            </w:pPr>
            <w:r>
              <w:rPr>
                <w:rFonts w:ascii="宋体" w:hAnsi="宋体" w:eastAsia="宋体" w:cs="宋体"/>
                <w:color w:val="000000"/>
                <w:sz w:val="18"/>
                <w:szCs w:val="18"/>
              </w:rPr>
              <w:t>51090424T000011976437-</w:t>
            </w:r>
            <w:r>
              <w:rPr>
                <w:rFonts w:hint="eastAsia" w:ascii="宋体" w:hAnsi="宋体" w:eastAsia="宋体" w:cs="宋体"/>
                <w:color w:val="000000"/>
                <w:sz w:val="18"/>
                <w:szCs w:val="18"/>
              </w:rPr>
              <w:t>工作服装费</w:t>
            </w:r>
          </w:p>
        </w:tc>
      </w:tr>
      <w:tr w14:paraId="6A2FD68E">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AEC81">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主管部门</w:t>
            </w:r>
          </w:p>
        </w:tc>
        <w:tc>
          <w:tcPr>
            <w:tcW w:w="239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345DF">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遂宁市安居区行政审批和数据局部门</w:t>
            </w:r>
          </w:p>
        </w:tc>
        <w:tc>
          <w:tcPr>
            <w:tcW w:w="386" w:type="pct"/>
            <w:tcBorders>
              <w:top w:val="nil"/>
              <w:left w:val="nil"/>
              <w:bottom w:val="nil"/>
              <w:right w:val="nil"/>
            </w:tcBorders>
            <w:tcMar>
              <w:top w:w="15" w:type="dxa"/>
              <w:left w:w="15" w:type="dxa"/>
              <w:right w:w="15" w:type="dxa"/>
            </w:tcMar>
            <w:vAlign w:val="center"/>
          </w:tcPr>
          <w:p w14:paraId="46EA6FA4">
            <w:pPr>
              <w:widowControl/>
              <w:jc w:val="left"/>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实施单位</w:t>
            </w:r>
            <w:r>
              <w:rPr>
                <w:rFonts w:ascii="黑体" w:hAnsi="黑体" w:eastAsia="黑体" w:cs="黑体"/>
                <w:color w:val="000000"/>
                <w:sz w:val="18"/>
                <w:szCs w:val="18"/>
              </w:rPr>
              <w:t xml:space="preserve"> </w:t>
            </w:r>
            <w:r>
              <w:rPr>
                <w:rFonts w:hint="eastAsia" w:ascii="黑体" w:hAnsi="黑体" w:eastAsia="黑体" w:cs="黑体"/>
                <w:color w:val="000000"/>
                <w:sz w:val="18"/>
                <w:szCs w:val="18"/>
              </w:rPr>
              <w:t>（盖章）</w:t>
            </w:r>
          </w:p>
        </w:tc>
        <w:tc>
          <w:tcPr>
            <w:tcW w:w="124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5F18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遂宁市安居区行政审批和数据局</w:t>
            </w:r>
          </w:p>
        </w:tc>
      </w:tr>
      <w:tr w14:paraId="3D58402C">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E2561">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369D2">
            <w:pPr>
              <w:widowControl/>
              <w:jc w:val="left"/>
              <w:textAlignment w:val="center"/>
              <w:rPr>
                <w:rFonts w:ascii="宋体" w:hAnsi="宋体" w:eastAsia="宋体" w:cs="Times New Roman"/>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A33D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030DD">
            <w:pPr>
              <w:widowControl/>
              <w:jc w:val="center"/>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年度目标完成情况</w:t>
            </w:r>
          </w:p>
        </w:tc>
      </w:tr>
      <w:tr w14:paraId="737E2323">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757C2">
            <w:pP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1F815">
            <w:pPr>
              <w:rPr>
                <w:rFonts w:ascii="宋体" w:hAnsi="宋体" w:eastAsia="宋体" w:cs="Times New Roman"/>
                <w:color w:val="000000"/>
                <w:sz w:val="18"/>
                <w:szCs w:val="18"/>
              </w:rPr>
            </w:pPr>
          </w:p>
        </w:tc>
        <w:tc>
          <w:tcPr>
            <w:tcW w:w="239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87F3C">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提升政务服务工作人员形象，提高办事群众和企业体验感。</w:t>
            </w:r>
          </w:p>
        </w:tc>
        <w:tc>
          <w:tcPr>
            <w:tcW w:w="163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54797">
            <w:pPr>
              <w:widowControl/>
              <w:jc w:val="left"/>
              <w:textAlignment w:val="center"/>
              <w:rPr>
                <w:rFonts w:ascii="黑体" w:hAnsi="黑体" w:eastAsia="黑体" w:cs="Times New Roman"/>
                <w:color w:val="000000"/>
                <w:sz w:val="18"/>
                <w:szCs w:val="18"/>
              </w:rPr>
            </w:pPr>
            <w:r>
              <w:rPr>
                <w:rFonts w:hint="eastAsia" w:ascii="宋体" w:hAnsi="宋体" w:eastAsia="宋体" w:cs="宋体"/>
                <w:color w:val="000000"/>
                <w:sz w:val="18"/>
                <w:szCs w:val="18"/>
              </w:rPr>
              <w:t>为政务服务工作人员重新定制采购大衣、西服、衬衫，全体工作人员形象得到进一步提升，提高了办事群众和企业体验感。</w:t>
            </w:r>
          </w:p>
        </w:tc>
      </w:tr>
      <w:tr w14:paraId="7EF2425C">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EFB588">
            <w:pP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EC31F">
            <w:pPr>
              <w:widowControl/>
              <w:jc w:val="left"/>
              <w:textAlignment w:val="center"/>
              <w:rPr>
                <w:rFonts w:ascii="宋体" w:hAnsi="宋体" w:eastAsia="宋体" w:cs="Times New Roman"/>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76729">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为政务服务工作人员定制采购大衣</w:t>
            </w:r>
            <w:r>
              <w:rPr>
                <w:rFonts w:ascii="宋体" w:hAnsi="宋体" w:eastAsia="宋体" w:cs="宋体"/>
                <w:color w:val="000000"/>
                <w:sz w:val="18"/>
                <w:szCs w:val="18"/>
              </w:rPr>
              <w:t>53</w:t>
            </w:r>
            <w:r>
              <w:rPr>
                <w:rFonts w:hint="eastAsia" w:ascii="宋体" w:hAnsi="宋体" w:eastAsia="宋体" w:cs="宋体"/>
                <w:color w:val="000000"/>
                <w:sz w:val="18"/>
                <w:szCs w:val="18"/>
              </w:rPr>
              <w:t>套，西服</w:t>
            </w:r>
            <w:r>
              <w:rPr>
                <w:rFonts w:ascii="宋体" w:hAnsi="宋体" w:eastAsia="宋体" w:cs="宋体"/>
                <w:color w:val="000000"/>
                <w:sz w:val="18"/>
                <w:szCs w:val="18"/>
              </w:rPr>
              <w:t>96</w:t>
            </w:r>
            <w:r>
              <w:rPr>
                <w:rFonts w:hint="eastAsia" w:ascii="宋体" w:hAnsi="宋体" w:eastAsia="宋体" w:cs="宋体"/>
                <w:color w:val="000000"/>
                <w:sz w:val="18"/>
                <w:szCs w:val="18"/>
              </w:rPr>
              <w:t>套，衬衫</w:t>
            </w:r>
            <w:r>
              <w:rPr>
                <w:rFonts w:ascii="宋体" w:hAnsi="宋体" w:eastAsia="宋体" w:cs="宋体"/>
                <w:color w:val="000000"/>
                <w:sz w:val="18"/>
                <w:szCs w:val="18"/>
              </w:rPr>
              <w:t>188</w:t>
            </w:r>
            <w:r>
              <w:rPr>
                <w:rFonts w:hint="eastAsia" w:ascii="宋体" w:hAnsi="宋体" w:eastAsia="宋体" w:cs="宋体"/>
                <w:color w:val="000000"/>
                <w:sz w:val="18"/>
                <w:szCs w:val="18"/>
              </w:rPr>
              <w:t>件，全体工作人员形象得到进一步提升。</w:t>
            </w:r>
          </w:p>
        </w:tc>
      </w:tr>
      <w:tr w14:paraId="61AD80A0">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37C37">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预算执行情况（</w:t>
            </w:r>
            <w:r>
              <w:rPr>
                <w:rFonts w:ascii="宋体" w:hAnsi="宋体" w:eastAsia="宋体" w:cs="宋体"/>
                <w:color w:val="000000"/>
                <w:sz w:val="18"/>
                <w:szCs w:val="18"/>
              </w:rPr>
              <w:t>10</w:t>
            </w:r>
            <w:r>
              <w:rPr>
                <w:rFonts w:hint="eastAsia" w:ascii="宋体" w:hAnsi="宋体" w:eastAsia="宋体" w:cs="宋体"/>
                <w:color w:val="000000"/>
                <w:sz w:val="18"/>
                <w:szCs w:val="18"/>
              </w:rPr>
              <w:t>分）</w:t>
            </w: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FBD8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年度预算数（万元）</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9CA9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年初预算</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18C8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71CE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预算执行数</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96BBE">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83C2B">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权重</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7095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得分</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A2FEE">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原因</w:t>
            </w:r>
          </w:p>
        </w:tc>
      </w:tr>
      <w:tr w14:paraId="361516B4">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F4126">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F4667">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总额</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290AC">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026B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20.00</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C6ACF">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20.00</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8F4A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103E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B7FAC">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28E50">
            <w:pPr>
              <w:rPr>
                <w:rFonts w:ascii="黑体" w:hAnsi="黑体" w:eastAsia="黑体" w:cs="Times New Roman"/>
                <w:i/>
                <w:iCs/>
                <w:color w:val="000000"/>
                <w:sz w:val="18"/>
                <w:szCs w:val="18"/>
              </w:rPr>
            </w:pPr>
          </w:p>
        </w:tc>
      </w:tr>
      <w:tr w14:paraId="1761D6EC">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81AB5">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ABDCE">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其中：财政资金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038E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BDD4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20.00</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ABBD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20.00</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D99E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7140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8BB33">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6FBD1">
            <w:pPr>
              <w:rPr>
                <w:rFonts w:ascii="黑体" w:hAnsi="黑体" w:eastAsia="黑体" w:cs="Times New Roman"/>
                <w:i/>
                <w:iCs/>
                <w:color w:val="000000"/>
                <w:sz w:val="18"/>
                <w:szCs w:val="18"/>
              </w:rPr>
            </w:pPr>
          </w:p>
        </w:tc>
      </w:tr>
      <w:tr w14:paraId="58A7B1A4">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7CCB4">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A4D1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财政专户管理资金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C4CD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75E8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05AF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5308F">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9EDC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6B998">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79E6E2">
            <w:pPr>
              <w:rPr>
                <w:rFonts w:ascii="黑体" w:hAnsi="黑体" w:eastAsia="黑体" w:cs="Times New Roman"/>
                <w:i/>
                <w:iCs/>
                <w:color w:val="000000"/>
                <w:sz w:val="18"/>
                <w:szCs w:val="18"/>
              </w:rPr>
            </w:pPr>
          </w:p>
        </w:tc>
      </w:tr>
      <w:tr w14:paraId="59FF4ADE">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C5209">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F8AD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单位资金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51D4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510C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6CD7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1B8B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E5F99">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E252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A7EC9">
            <w:pPr>
              <w:rPr>
                <w:rFonts w:ascii="黑体" w:hAnsi="黑体" w:eastAsia="黑体" w:cs="Times New Roman"/>
                <w:i/>
                <w:iCs/>
                <w:color w:val="000000"/>
                <w:sz w:val="18"/>
                <w:szCs w:val="18"/>
              </w:rPr>
            </w:pPr>
          </w:p>
        </w:tc>
      </w:tr>
      <w:tr w14:paraId="430B1D6A">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14A16">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4A899">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其他资金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95539">
            <w:pPr>
              <w:jc w:val="center"/>
              <w:rPr>
                <w:rFonts w:ascii="微软雅黑" w:hAnsi="微软雅黑" w:eastAsia="微软雅黑" w:cs="Times New Roman"/>
                <w:i/>
                <w:iCs/>
                <w:color w:val="000000"/>
                <w:sz w:val="16"/>
                <w:szCs w:val="16"/>
              </w:rPr>
            </w:pP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4CD3B">
            <w:pPr>
              <w:jc w:val="center"/>
              <w:rPr>
                <w:rFonts w:ascii="微软雅黑" w:hAnsi="微软雅黑" w:eastAsia="微软雅黑" w:cs="Times New Roman"/>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0AB31">
            <w:pPr>
              <w:jc w:val="center"/>
              <w:rPr>
                <w:rFonts w:ascii="微软雅黑" w:hAnsi="微软雅黑" w:eastAsia="微软雅黑" w:cs="Times New Roman"/>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4BD6E8">
            <w:pPr>
              <w:jc w:val="center"/>
              <w:rPr>
                <w:rFonts w:ascii="微软雅黑" w:hAnsi="微软雅黑" w:eastAsia="微软雅黑" w:cs="Times New Roman"/>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CFD9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7A25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36892">
            <w:pPr>
              <w:rPr>
                <w:rFonts w:ascii="黑体" w:hAnsi="黑体" w:eastAsia="黑体" w:cs="Times New Roman"/>
                <w:i/>
                <w:iCs/>
                <w:color w:val="000000"/>
                <w:sz w:val="18"/>
                <w:szCs w:val="18"/>
              </w:rPr>
            </w:pPr>
          </w:p>
        </w:tc>
      </w:tr>
      <w:tr w14:paraId="139DABF3">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1648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绩效指标（</w:t>
            </w:r>
            <w:r>
              <w:rPr>
                <w:rFonts w:ascii="宋体" w:hAnsi="宋体" w:eastAsia="宋体" w:cs="宋体"/>
                <w:color w:val="000000"/>
                <w:sz w:val="18"/>
                <w:szCs w:val="18"/>
              </w:rPr>
              <w:t>90</w:t>
            </w:r>
            <w:r>
              <w:rPr>
                <w:rFonts w:hint="eastAsia" w:ascii="宋体" w:hAnsi="宋体" w:eastAsia="宋体" w:cs="宋体"/>
                <w:color w:val="000000"/>
                <w:sz w:val="18"/>
                <w:szCs w:val="18"/>
              </w:rPr>
              <w:t>分）</w:t>
            </w: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36B30B">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一级指标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2731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二级指标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0AC88">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三级指标</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2DDC9">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指标性质</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1E11">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指标值</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ACFC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度量单位</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3CD1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10F5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权重</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65F0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得分</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3E6C8">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未完成原因分析</w:t>
            </w:r>
          </w:p>
        </w:tc>
      </w:tr>
      <w:tr w14:paraId="21D050D5">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E4486">
            <w:pPr>
              <w:jc w:val="center"/>
              <w:rPr>
                <w:rFonts w:ascii="宋体" w:hAnsi="宋体" w:eastAsia="宋体" w:cs="Times New Roman"/>
                <w:color w:val="000000"/>
                <w:sz w:val="18"/>
                <w:szCs w:val="18"/>
              </w:rPr>
            </w:pPr>
          </w:p>
        </w:tc>
        <w:tc>
          <w:tcPr>
            <w:tcW w:w="72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1987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产出指标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72B2D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数量指标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A0BB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采购大衣</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4DA1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4EB7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53</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3806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套</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0D7E2F">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54AD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EA793">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A7829">
            <w:pPr>
              <w:jc w:val="center"/>
              <w:rPr>
                <w:rFonts w:ascii="宋体" w:hAnsi="宋体" w:eastAsia="宋体" w:cs="Times New Roman"/>
                <w:color w:val="000000"/>
                <w:sz w:val="18"/>
                <w:szCs w:val="18"/>
              </w:rPr>
            </w:pPr>
          </w:p>
        </w:tc>
      </w:tr>
      <w:tr w14:paraId="45B3F309">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0457C">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33A21">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FE18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数量指标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DD35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采购西服</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74AB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7E3F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96</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17B7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套</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CE8CF">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A7CB5">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6153B">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52F64">
            <w:pPr>
              <w:jc w:val="center"/>
              <w:rPr>
                <w:rFonts w:ascii="宋体" w:hAnsi="宋体" w:eastAsia="宋体" w:cs="Times New Roman"/>
                <w:color w:val="000000"/>
                <w:sz w:val="18"/>
                <w:szCs w:val="18"/>
              </w:rPr>
            </w:pPr>
          </w:p>
        </w:tc>
      </w:tr>
      <w:tr w14:paraId="1E8CA190">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03215">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C5E8A">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3AD7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数量指标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59A8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衬衫</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12ECE">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F064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188</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77AA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件</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DBB9C">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03D6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90EB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1C250">
            <w:pPr>
              <w:jc w:val="center"/>
              <w:rPr>
                <w:rFonts w:ascii="宋体" w:hAnsi="宋体" w:eastAsia="宋体" w:cs="Times New Roman"/>
                <w:color w:val="000000"/>
                <w:sz w:val="18"/>
                <w:szCs w:val="18"/>
              </w:rPr>
            </w:pPr>
          </w:p>
        </w:tc>
      </w:tr>
      <w:tr w14:paraId="7C5CC6FD">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3D851">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77AC9">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58B5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质量指标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D45BA">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验收合格</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E573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589F">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7F7C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3C8D4">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4885B">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5</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2C54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4368F">
            <w:pPr>
              <w:jc w:val="center"/>
              <w:rPr>
                <w:rFonts w:ascii="宋体" w:hAnsi="宋体" w:eastAsia="宋体" w:cs="Times New Roman"/>
                <w:color w:val="000000"/>
                <w:sz w:val="18"/>
                <w:szCs w:val="18"/>
              </w:rPr>
            </w:pPr>
          </w:p>
        </w:tc>
      </w:tr>
      <w:tr w14:paraId="36D6280B">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A7BD7">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CFA16">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A8FF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时效指标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1E95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质保期</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635B7">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44F5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3</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CE93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个月</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D67F0">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9E921">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5</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2A30">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6A771">
            <w:pPr>
              <w:jc w:val="center"/>
              <w:rPr>
                <w:rFonts w:ascii="宋体" w:hAnsi="宋体" w:eastAsia="宋体" w:cs="Times New Roman"/>
                <w:color w:val="000000"/>
                <w:sz w:val="18"/>
                <w:szCs w:val="18"/>
              </w:rPr>
            </w:pPr>
          </w:p>
        </w:tc>
      </w:tr>
      <w:tr w14:paraId="3D7420AF">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A994D">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6208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效益指标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E38C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社会效益指标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A3279">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提升工作人员形象</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860E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73971">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18A99">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06ED5">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F3366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5301C">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8</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25B16">
            <w:pPr>
              <w:jc w:val="center"/>
              <w:rPr>
                <w:rFonts w:ascii="宋体" w:hAnsi="宋体" w:eastAsia="宋体" w:cs="Times New Roman"/>
                <w:color w:val="000000"/>
                <w:sz w:val="18"/>
                <w:szCs w:val="18"/>
              </w:rPr>
            </w:pPr>
          </w:p>
        </w:tc>
      </w:tr>
      <w:tr w14:paraId="2B49913D">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B29D2">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7107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满意度指标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2563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服务对象满意度指标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2257B">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服务对象满意度</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77CC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FD83C">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95</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5917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0362F">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B2D9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E83E3">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8</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A9AEF">
            <w:pPr>
              <w:jc w:val="center"/>
              <w:rPr>
                <w:rFonts w:ascii="宋体" w:hAnsi="宋体" w:eastAsia="宋体" w:cs="Times New Roman"/>
                <w:color w:val="000000"/>
                <w:sz w:val="18"/>
                <w:szCs w:val="18"/>
              </w:rPr>
            </w:pPr>
          </w:p>
        </w:tc>
      </w:tr>
      <w:tr w14:paraId="4285A0C8">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85309">
            <w:pPr>
              <w:jc w:val="center"/>
              <w:rPr>
                <w:rFonts w:ascii="宋体" w:hAnsi="宋体" w:eastAsia="宋体" w:cs="Times New Roman"/>
                <w:color w:val="000000"/>
                <w:sz w:val="18"/>
                <w:szCs w:val="18"/>
              </w:rPr>
            </w:pPr>
          </w:p>
        </w:tc>
        <w:tc>
          <w:tcPr>
            <w:tcW w:w="72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B590C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成本指标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118B7">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经济成本指标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424B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大衣成本</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F203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BEC4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1500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689C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元</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E1A93E">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0ECF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7</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8FED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52FA1">
            <w:pPr>
              <w:jc w:val="center"/>
              <w:rPr>
                <w:rFonts w:ascii="宋体" w:hAnsi="宋体" w:eastAsia="宋体" w:cs="Times New Roman"/>
                <w:color w:val="000000"/>
                <w:sz w:val="18"/>
                <w:szCs w:val="18"/>
              </w:rPr>
            </w:pPr>
          </w:p>
        </w:tc>
      </w:tr>
      <w:tr w14:paraId="5EE29786">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7CC4E">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2C031">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DF5C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经济成本指标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D4F79">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衬衫</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18125">
            <w:pPr>
              <w:jc w:val="center"/>
              <w:rPr>
                <w:rFonts w:ascii="宋体" w:hAnsi="宋体" w:eastAsia="宋体" w:cs="Times New Roman"/>
                <w:color w:val="000000"/>
                <w:sz w:val="18"/>
                <w:szCs w:val="18"/>
              </w:rPr>
            </w:pP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8952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3313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元</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F80E7A">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23101">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6</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32BE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5</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765C8">
            <w:pPr>
              <w:jc w:val="center"/>
              <w:rPr>
                <w:rFonts w:ascii="宋体" w:hAnsi="宋体" w:eastAsia="宋体" w:cs="Times New Roman"/>
                <w:color w:val="000000"/>
                <w:sz w:val="18"/>
                <w:szCs w:val="18"/>
              </w:rPr>
            </w:pPr>
          </w:p>
        </w:tc>
      </w:tr>
      <w:tr w14:paraId="30850150">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C8A05">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F4311">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683F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经济成本指标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F432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西服套装</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CA18F">
            <w:pPr>
              <w:jc w:val="center"/>
              <w:rPr>
                <w:rFonts w:ascii="宋体" w:hAnsi="宋体" w:eastAsia="宋体" w:cs="Times New Roman"/>
                <w:color w:val="000000"/>
                <w:sz w:val="18"/>
                <w:szCs w:val="18"/>
              </w:rPr>
            </w:pP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407CB">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1314</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F95C8">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元</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329A8">
            <w:pPr>
              <w:jc w:val="center"/>
              <w:rPr>
                <w:rFonts w:ascii="微软雅黑" w:hAnsi="微软雅黑" w:eastAsia="微软雅黑" w:cs="Times New Roman"/>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03789">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7</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FC4A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5</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F41ED">
            <w:pPr>
              <w:jc w:val="center"/>
              <w:rPr>
                <w:rFonts w:ascii="微软雅黑" w:hAnsi="微软雅黑" w:eastAsia="微软雅黑" w:cs="Times New Roman"/>
                <w:i/>
                <w:iCs/>
                <w:color w:val="000000"/>
                <w:sz w:val="16"/>
                <w:szCs w:val="16"/>
              </w:rPr>
            </w:pPr>
          </w:p>
        </w:tc>
      </w:tr>
      <w:tr w14:paraId="20088C31">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636C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合计</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EAA15">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27703">
            <w:pPr>
              <w:widowControl/>
              <w:jc w:val="right"/>
              <w:textAlignment w:val="center"/>
              <w:rPr>
                <w:rFonts w:ascii="宋体" w:hAnsi="宋体" w:eastAsia="宋体" w:cs="Times New Roman"/>
                <w:color w:val="000000"/>
                <w:sz w:val="18"/>
                <w:szCs w:val="18"/>
              </w:rPr>
            </w:pPr>
            <w:r>
              <w:rPr>
                <w:rFonts w:ascii="宋体" w:hAnsi="宋体" w:eastAsia="宋体" w:cs="宋体"/>
                <w:color w:val="000000"/>
                <w:sz w:val="18"/>
                <w:szCs w:val="18"/>
              </w:rPr>
              <w:t>96</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5E067">
            <w:pPr>
              <w:rPr>
                <w:rFonts w:ascii="宋体" w:hAnsi="宋体" w:eastAsia="宋体" w:cs="Times New Roman"/>
                <w:color w:val="000000"/>
                <w:sz w:val="18"/>
                <w:szCs w:val="18"/>
              </w:rPr>
            </w:pPr>
          </w:p>
        </w:tc>
      </w:tr>
      <w:tr w14:paraId="5F181867">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E50A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评价结论</w:t>
            </w:r>
          </w:p>
        </w:tc>
        <w:tc>
          <w:tcPr>
            <w:tcW w:w="4757" w:type="pct"/>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23A96">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经过对项目资料、财务资料及台账等资料的分析，逐项进行自我评价，并结合社会评估得分，最终项目综合得分为96分。通过该项目实施，全体工作人员形象得到进一步提升，提高了办事群众和企业体验感。</w:t>
            </w:r>
          </w:p>
        </w:tc>
      </w:tr>
      <w:tr w14:paraId="428DBDEC">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8CD0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存在问题</w:t>
            </w:r>
          </w:p>
        </w:tc>
        <w:tc>
          <w:tcPr>
            <w:tcW w:w="4757" w:type="pct"/>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A981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无</w:t>
            </w:r>
          </w:p>
        </w:tc>
      </w:tr>
      <w:tr w14:paraId="5316F20F">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39648">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改进措施</w:t>
            </w:r>
          </w:p>
        </w:tc>
        <w:tc>
          <w:tcPr>
            <w:tcW w:w="4757" w:type="pct"/>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92541">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无</w:t>
            </w:r>
          </w:p>
        </w:tc>
      </w:tr>
      <w:tr w14:paraId="183778D7">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6C84E">
            <w:pPr>
              <w:widowControl/>
              <w:jc w:val="left"/>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项目负责人：宋孟秋</w:t>
            </w:r>
          </w:p>
        </w:tc>
        <w:tc>
          <w:tcPr>
            <w:tcW w:w="2414"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C4611">
            <w:pPr>
              <w:widowControl/>
              <w:jc w:val="left"/>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财务负责人：谭春乔</w:t>
            </w:r>
          </w:p>
        </w:tc>
      </w:tr>
    </w:tbl>
    <w:p w14:paraId="5D324902">
      <w:pPr>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小标宋简体" w:cs="方正小标宋简体"/>
          <w:sz w:val="44"/>
          <w:szCs w:val="44"/>
        </w:rPr>
      </w:pPr>
    </w:p>
    <w:p w14:paraId="17488E11">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4FC6CAAA">
      <w:pPr>
        <w:pStyle w:val="227"/>
        <w:keepNext w:val="0"/>
        <w:keepLines w:val="0"/>
        <w:pageBreakBefore w:val="0"/>
        <w:kinsoku/>
        <w:wordWrap/>
        <w:overflowPunct/>
        <w:topLinePunct w:val="0"/>
        <w:autoSpaceDE/>
        <w:autoSpaceDN/>
        <w:bidi w:val="0"/>
        <w:spacing w:line="560" w:lineRule="exact"/>
        <w:ind w:firstLine="1760" w:firstLineChars="400"/>
        <w:textAlignment w:val="auto"/>
        <w:rPr>
          <w:rFonts w:ascii="Times New Roman" w:hAnsi="Times New Roman" w:eastAsia="方正小标宋简体" w:cs="Times New Roman"/>
          <w:kern w:val="2"/>
          <w:sz w:val="44"/>
          <w:szCs w:val="44"/>
          <w:lang w:val="en-US"/>
        </w:rPr>
      </w:pPr>
      <w:r>
        <w:rPr>
          <w:rFonts w:hint="eastAsia" w:ascii="Times New Roman" w:hAnsi="Times New Roman" w:eastAsia="方正小标宋简体" w:cs="方正小标宋简体"/>
          <w:kern w:val="2"/>
          <w:sz w:val="44"/>
          <w:szCs w:val="44"/>
          <w:lang w:val="en-US"/>
        </w:rPr>
        <w:t>专项预算项目绩效评价报告</w:t>
      </w:r>
    </w:p>
    <w:p w14:paraId="43BCBD63">
      <w:pPr>
        <w:pStyle w:val="227"/>
        <w:keepNext w:val="0"/>
        <w:keepLines w:val="0"/>
        <w:pageBreakBefore w:val="0"/>
        <w:kinsoku/>
        <w:wordWrap/>
        <w:overflowPunct/>
        <w:topLinePunct w:val="0"/>
        <w:autoSpaceDE/>
        <w:autoSpaceDN/>
        <w:bidi w:val="0"/>
        <w:spacing w:line="560" w:lineRule="exact"/>
        <w:jc w:val="center"/>
        <w:textAlignment w:val="auto"/>
        <w:rPr>
          <w:rFonts w:ascii="Times New Roman" w:hAnsi="Times New Roman" w:cs="Times New Roman"/>
          <w:kern w:val="2"/>
          <w:sz w:val="32"/>
          <w:szCs w:val="32"/>
        </w:rPr>
      </w:pPr>
      <w:r>
        <w:rPr>
          <w:rFonts w:hint="eastAsia" w:ascii="Times New Roman" w:hAnsi="Times New Roman" w:cs="宋体"/>
          <w:kern w:val="2"/>
          <w:sz w:val="32"/>
          <w:szCs w:val="32"/>
        </w:rPr>
        <w:t>（</w:t>
      </w:r>
      <w:r>
        <w:rPr>
          <w:rFonts w:hint="eastAsia" w:ascii="Times New Roman" w:hAnsi="Times New Roman" w:cs="宋体"/>
          <w:kern w:val="2"/>
          <w:sz w:val="32"/>
          <w:szCs w:val="32"/>
          <w:lang w:val="en-US" w:eastAsia="zh-CN"/>
        </w:rPr>
        <w:t>信创资金</w:t>
      </w:r>
      <w:r>
        <w:rPr>
          <w:rFonts w:hint="eastAsia" w:ascii="Times New Roman" w:hAnsi="Times New Roman" w:cs="宋体"/>
          <w:kern w:val="2"/>
          <w:sz w:val="32"/>
          <w:szCs w:val="32"/>
        </w:rPr>
        <w:t>）</w:t>
      </w:r>
    </w:p>
    <w:p w14:paraId="2F1BFD5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color w:val="000000"/>
          <w:lang w:val="zh-CN"/>
        </w:rPr>
      </w:pPr>
      <w:r>
        <w:rPr>
          <w:rFonts w:hint="eastAsia" w:ascii="Times New Roman" w:hAnsi="Times New Roman" w:eastAsia="黑体" w:cs="黑体"/>
          <w:color w:val="000000"/>
        </w:rPr>
        <w:t>一、</w:t>
      </w:r>
      <w:r>
        <w:rPr>
          <w:rFonts w:hint="eastAsia" w:ascii="Times New Roman" w:hAnsi="Times New Roman" w:eastAsia="黑体" w:cs="黑体"/>
          <w:color w:val="000000"/>
          <w:lang w:val="zh-CN"/>
        </w:rPr>
        <w:t>项目概况</w:t>
      </w:r>
    </w:p>
    <w:p w14:paraId="2CE8816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ascii="Times New Roman" w:hAnsi="Times New Roman" w:eastAsia="楷体_GB2312" w:cs="Times New Roman"/>
          <w:color w:val="000000"/>
          <w:lang w:val="zh-CN"/>
        </w:rPr>
      </w:pPr>
      <w:r>
        <w:rPr>
          <w:rFonts w:hint="eastAsia" w:ascii="Times New Roman" w:hAnsi="Times New Roman" w:eastAsia="楷体_GB2312" w:cs="楷体_GB2312"/>
          <w:color w:val="000000"/>
          <w:lang w:val="zh-CN"/>
        </w:rPr>
        <w:t>（一）设立背景及基本情况。</w:t>
      </w:r>
    </w:p>
    <w:p w14:paraId="01C3249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rPr>
        <w:t>1</w:t>
      </w:r>
      <w:r>
        <w:rPr>
          <w:rFonts w:hint="eastAsia" w:ascii="仿宋_GB2312" w:hAnsi="仿宋_GB2312" w:cs="仿宋_GB2312"/>
          <w:color w:val="000000"/>
          <w:lang w:val="en-US" w:eastAsia="zh-CN"/>
        </w:rPr>
        <w:t>.</w:t>
      </w:r>
      <w:r>
        <w:rPr>
          <w:rFonts w:hint="eastAsia" w:ascii="仿宋_GB2312" w:hAnsi="仿宋_GB2312" w:eastAsia="仿宋_GB2312" w:cs="仿宋_GB2312"/>
          <w:color w:val="000000"/>
          <w:lang w:val="en-US" w:eastAsia="zh-CN"/>
        </w:rPr>
        <w:t>为</w:t>
      </w:r>
      <w:r>
        <w:rPr>
          <w:rFonts w:hint="default" w:ascii="仿宋_GB2312" w:hAnsi="仿宋_GB2312" w:eastAsia="仿宋_GB2312" w:cs="仿宋_GB2312"/>
          <w:color w:val="000000"/>
        </w:rPr>
        <w:t>提高工作人员办公效率，拓展交易中心招评标规模</w:t>
      </w:r>
      <w:r>
        <w:rPr>
          <w:rFonts w:hint="eastAsia" w:ascii="仿宋_GB2312" w:hAnsi="仿宋_GB2312" w:eastAsia="仿宋_GB2312" w:cs="仿宋_GB2312"/>
          <w:color w:val="000000"/>
          <w:lang w:eastAsia="zh-CN"/>
        </w:rPr>
        <w:t>，通过框架协议采购电脑8台。</w:t>
      </w:r>
    </w:p>
    <w:p w14:paraId="3CE4E3E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2.</w:t>
      </w:r>
      <w:r>
        <w:rPr>
          <w:rFonts w:hint="eastAsia" w:ascii="仿宋_GB2312" w:hAnsi="仿宋_GB2312" w:eastAsia="仿宋_GB2312" w:cs="仿宋_GB2312"/>
          <w:color w:val="000000"/>
          <w:lang w:val="zh-CN"/>
        </w:rPr>
        <w:t>项目立项、资金申报的依据。</w:t>
      </w:r>
      <w:r>
        <w:rPr>
          <w:rFonts w:hint="default" w:ascii="仿宋_GB2312" w:hAnsi="仿宋_GB2312" w:eastAsia="仿宋_GB2312" w:cs="仿宋_GB2312"/>
          <w:color w:val="000000"/>
          <w:lang w:eastAsia="zh-CN"/>
        </w:rPr>
        <w:t>通过框架协议采购</w:t>
      </w:r>
      <w:r>
        <w:rPr>
          <w:rFonts w:hint="eastAsia" w:ascii="仿宋_GB2312" w:hAnsi="仿宋_GB2312" w:eastAsia="仿宋_GB2312" w:cs="仿宋_GB2312"/>
          <w:color w:val="000000"/>
          <w:lang w:val="zh-CN"/>
        </w:rPr>
        <w:t>。</w:t>
      </w:r>
    </w:p>
    <w:p w14:paraId="67F07AB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contextualSpacing/>
        <w:jc w:val="left"/>
        <w:textAlignment w:val="auto"/>
        <w:rPr>
          <w:rFonts w:hint="eastAsia" w:ascii="仿宋_GB2312" w:hAnsi="仿宋_GB2312" w:eastAsia="仿宋_GB2312" w:cs="仿宋_GB2312"/>
          <w:color w:val="000000"/>
        </w:rPr>
      </w:pPr>
      <w:r>
        <w:rPr>
          <w:rFonts w:hint="eastAsia" w:ascii="仿宋_GB2312" w:hAnsi="仿宋_GB2312" w:eastAsia="仿宋_GB2312" w:cs="仿宋_GB2312"/>
          <w:color w:val="000000"/>
        </w:rPr>
        <w:t>3.</w:t>
      </w:r>
      <w:r>
        <w:rPr>
          <w:rFonts w:hint="eastAsia" w:ascii="仿宋_GB2312" w:hAnsi="仿宋_GB2312" w:eastAsia="仿宋_GB2312" w:cs="仿宋_GB2312"/>
          <w:color w:val="000000"/>
          <w:lang w:val="zh-CN"/>
        </w:rPr>
        <w:t>项目主要内容、部门职能。</w:t>
      </w:r>
      <w:r>
        <w:rPr>
          <w:rFonts w:hint="default" w:ascii="仿宋_GB2312" w:hAnsi="仿宋_GB2312" w:eastAsia="仿宋_GB2312" w:cs="仿宋_GB2312"/>
          <w:color w:val="000000"/>
          <w:lang w:eastAsia="zh-CN"/>
        </w:rPr>
        <w:t>通过框架协议采购电脑8台用于交易中心开评标，加强工作人员的办事效率，拓展交易中心规模，保障交易中心运转</w:t>
      </w:r>
      <w:r>
        <w:rPr>
          <w:rFonts w:hint="eastAsia" w:ascii="仿宋_GB2312" w:hAnsi="仿宋_GB2312" w:eastAsia="仿宋_GB2312" w:cs="仿宋_GB2312"/>
          <w:color w:val="000000"/>
          <w:lang w:eastAsia="zh-CN"/>
        </w:rPr>
        <w:t>。</w:t>
      </w:r>
    </w:p>
    <w:p w14:paraId="33729C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w:t>
      </w:r>
      <w:r>
        <w:rPr>
          <w:rFonts w:hint="eastAsia" w:ascii="Times New Roman" w:hAnsi="Times New Roman" w:eastAsia="楷体_GB2312" w:cs="楷体_GB2312"/>
          <w:color w:val="000000"/>
        </w:rPr>
        <w:t>实施目的及支持方向。</w:t>
      </w:r>
      <w:r>
        <w:rPr>
          <w:rFonts w:hint="eastAsia" w:ascii="仿宋_GB2312" w:hAnsi="仿宋_GB2312" w:eastAsia="仿宋_GB2312" w:cs="仿宋_GB2312"/>
          <w:color w:val="000000"/>
          <w:lang w:val="en-US" w:eastAsia="zh-CN"/>
        </w:rPr>
        <w:t>为</w:t>
      </w:r>
      <w:r>
        <w:rPr>
          <w:rFonts w:hint="default" w:ascii="仿宋_GB2312" w:hAnsi="仿宋_GB2312" w:eastAsia="仿宋_GB2312" w:cs="仿宋_GB2312"/>
          <w:color w:val="000000"/>
        </w:rPr>
        <w:t>提高工作人员办公效率，拓展交易中心招评标规模</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服务对象满意度=100%。该项目资金根据区行政审批和数据局实际支出情况按需支取。</w:t>
      </w:r>
    </w:p>
    <w:p w14:paraId="77706E2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（三）</w:t>
      </w:r>
      <w:r>
        <w:rPr>
          <w:rFonts w:hint="eastAsia" w:ascii="Times New Roman" w:hAnsi="Times New Roman" w:eastAsia="楷体_GB2312" w:cs="楷体_GB2312"/>
          <w:color w:val="000000"/>
        </w:rPr>
        <w:t>预算安排及分配管理</w:t>
      </w:r>
      <w:r>
        <w:rPr>
          <w:rFonts w:hint="eastAsia" w:ascii="Times New Roman" w:hAnsi="Times New Roman" w:eastAsia="楷体_GB2312" w:cs="楷体_GB2312"/>
          <w:color w:val="000000"/>
          <w:lang w:val="zh-CN"/>
        </w:rPr>
        <w:t>。</w:t>
      </w:r>
      <w:r>
        <w:rPr>
          <w:rFonts w:hint="eastAsia" w:ascii="仿宋_GB2312" w:hAnsi="仿宋_GB2312" w:eastAsia="仿宋_GB2312" w:cs="仿宋_GB2312"/>
          <w:color w:val="000000"/>
        </w:rPr>
        <w:t>预算安排</w:t>
      </w:r>
      <w:r>
        <w:rPr>
          <w:rFonts w:hint="eastAsia" w:ascii="仿宋_GB2312" w:hAnsi="仿宋_GB2312" w:cs="仿宋_GB2312"/>
          <w:color w:val="000000"/>
          <w:lang w:val="en-US" w:eastAsia="zh-CN"/>
        </w:rPr>
        <w:t>4.71</w:t>
      </w:r>
      <w:r>
        <w:rPr>
          <w:rFonts w:hint="eastAsia" w:ascii="仿宋_GB2312" w:hAnsi="仿宋_GB2312" w:eastAsia="仿宋_GB2312" w:cs="仿宋_GB2312"/>
          <w:color w:val="000000"/>
        </w:rPr>
        <w:t>万元，使用</w:t>
      </w:r>
      <w:r>
        <w:rPr>
          <w:rFonts w:hint="eastAsia" w:ascii="仿宋_GB2312" w:hAnsi="仿宋_GB2312" w:cs="仿宋_GB2312"/>
          <w:color w:val="000000"/>
          <w:lang w:val="en-US" w:eastAsia="zh-CN"/>
        </w:rPr>
        <w:t>4.71</w:t>
      </w:r>
      <w:r>
        <w:rPr>
          <w:rFonts w:hint="eastAsia" w:ascii="仿宋_GB2312" w:hAnsi="仿宋_GB2312" w:eastAsia="仿宋_GB2312" w:cs="仿宋_GB2312"/>
          <w:color w:val="000000"/>
        </w:rPr>
        <w:t>万元。项目资金由区行政审批和数据局监管，并严格按照相关财经纪律执行。</w:t>
      </w:r>
    </w:p>
    <w:p w14:paraId="708CFB9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rPr>
      </w:pPr>
      <w:r>
        <w:rPr>
          <w:rFonts w:hint="eastAsia" w:ascii="Times New Roman" w:hAnsi="Times New Roman" w:eastAsia="楷体_GB2312" w:cs="楷体_GB2312"/>
          <w:color w:val="000000"/>
          <w:lang w:val="zh-CN"/>
        </w:rPr>
        <w:t>（四）项目绩效目标设置。</w:t>
      </w:r>
      <w:r>
        <w:rPr>
          <w:rFonts w:hint="default" w:ascii="仿宋_GB2312" w:hAnsi="仿宋_GB2312" w:eastAsia="仿宋_GB2312" w:cs="仿宋_GB2312"/>
          <w:color w:val="000000"/>
        </w:rPr>
        <w:t>提高工作人员办公效率，拓展交易中心招评标规模</w:t>
      </w:r>
      <w:r>
        <w:rPr>
          <w:rFonts w:hint="eastAsia" w:ascii="仿宋_GB2312" w:hAnsi="仿宋_GB2312" w:eastAsia="仿宋_GB2312" w:cs="仿宋_GB2312"/>
          <w:color w:val="000000"/>
        </w:rPr>
        <w:t>，服务对象满意度=100%。组建自评工作组收集和整理自评的相关数据和信息进行自我分析和评估，对自评的结果进行总结和归纳并制定改进计划和措施，及时跟进和落实。</w:t>
      </w:r>
    </w:p>
    <w:p w14:paraId="75A09A7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color w:val="000000"/>
        </w:rPr>
      </w:pPr>
      <w:r>
        <w:rPr>
          <w:rFonts w:hint="eastAsia" w:ascii="Times New Roman" w:hAnsi="Times New Roman" w:eastAsia="黑体" w:cs="黑体"/>
          <w:color w:val="000000"/>
        </w:rPr>
        <w:t>二、评价实施</w:t>
      </w:r>
    </w:p>
    <w:p w14:paraId="347A6100">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（一）评价目的。</w:t>
      </w:r>
      <w:r>
        <w:rPr>
          <w:rFonts w:hint="eastAsia" w:ascii="仿宋_GB2312" w:hAnsi="仿宋_GB2312" w:eastAsia="仿宋_GB2312" w:cs="仿宋_GB2312"/>
          <w:color w:val="000000"/>
          <w:lang w:val="zh-CN"/>
        </w:rPr>
        <w:t>反映项目实施是否偏离目标，并总结经验，为改善管理，纠正目标与实际的偏差提供依据。</w:t>
      </w:r>
    </w:p>
    <w:p w14:paraId="5176FDA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（二）预设问题及评价重点</w:t>
      </w:r>
      <w:r>
        <w:rPr>
          <w:rFonts w:hint="eastAsia" w:ascii="仿宋" w:hAnsi="仿宋" w:eastAsia="仿宋" w:cs="仿宋"/>
          <w:color w:val="000000"/>
          <w:lang w:val="zh-CN"/>
        </w:rPr>
        <w:t>。</w:t>
      </w:r>
      <w:r>
        <w:rPr>
          <w:rFonts w:hint="eastAsia" w:ascii="仿宋_GB2312" w:hAnsi="仿宋_GB2312" w:cs="仿宋_GB2312"/>
          <w:color w:val="000000"/>
          <w:lang w:val="en-US" w:eastAsia="zh-CN"/>
        </w:rPr>
        <w:t>信创资金</w:t>
      </w:r>
      <w:r>
        <w:rPr>
          <w:rFonts w:hint="eastAsia" w:ascii="仿宋_GB2312" w:hAnsi="仿宋_GB2312" w:eastAsia="仿宋_GB2312" w:cs="仿宋_GB2312"/>
          <w:color w:val="000000"/>
        </w:rPr>
        <w:t>项目严格按照专款专用原则，及时通知有关单位提供合法票据，完善报账手续，严格票据审核，规范报账程序，确保资金使用的及时性、规范性，同时财政部门对资金支付严格审核，确保资金使用安全。</w:t>
      </w:r>
    </w:p>
    <w:p w14:paraId="273C9B6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（三）评价选点。</w:t>
      </w:r>
      <w:r>
        <w:rPr>
          <w:rFonts w:hint="eastAsia" w:ascii="仿宋_GB2312" w:hAnsi="仿宋_GB2312" w:eastAsia="仿宋_GB2312" w:cs="仿宋_GB2312"/>
          <w:color w:val="000000"/>
          <w:lang w:val="zh-CN"/>
        </w:rPr>
        <w:t>项目实际完成情况。</w:t>
      </w:r>
    </w:p>
    <w:p w14:paraId="769B47C8">
      <w:pPr>
        <w:keepNext w:val="0"/>
        <w:keepLines w:val="0"/>
        <w:pageBreakBefore w:val="0"/>
        <w:kinsoku/>
        <w:wordWrap/>
        <w:overflowPunct/>
        <w:topLinePunct w:val="0"/>
        <w:autoSpaceDE/>
        <w:autoSpaceDN/>
        <w:bidi w:val="0"/>
        <w:spacing w:line="560" w:lineRule="exact"/>
        <w:ind w:left="640" w:left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（四）评价方法。</w:t>
      </w:r>
      <w:r>
        <w:rPr>
          <w:rFonts w:hint="eastAsia" w:ascii="仿宋_GB2312" w:hAnsi="仿宋_GB2312" w:eastAsia="仿宋_GB2312" w:cs="仿宋_GB2312"/>
          <w:color w:val="000000"/>
        </w:rPr>
        <w:t>本次项目支出绩效评价采取分级评分法。</w:t>
      </w:r>
      <w:r>
        <w:rPr>
          <w:rFonts w:hint="eastAsia" w:ascii="Times New Roman" w:hAnsi="Times New Roman" w:eastAsia="楷体_GB2312" w:cs="楷体_GB2312"/>
          <w:color w:val="000000"/>
          <w:lang w:val="zh-CN"/>
        </w:rPr>
        <w:t>（五）评价组织</w:t>
      </w:r>
      <w:r>
        <w:rPr>
          <w:rFonts w:hint="eastAsia" w:ascii="仿宋" w:hAnsi="仿宋" w:eastAsia="仿宋" w:cs="仿宋"/>
          <w:color w:val="000000"/>
          <w:lang w:val="zh-CN"/>
        </w:rPr>
        <w:t>。</w:t>
      </w:r>
      <w:r>
        <w:rPr>
          <w:rFonts w:hint="eastAsia" w:ascii="仿宋_GB2312" w:hAnsi="仿宋_GB2312" w:eastAsia="仿宋_GB2312" w:cs="仿宋_GB2312"/>
          <w:color w:val="000000"/>
          <w:lang w:val="zh-CN"/>
        </w:rPr>
        <w:t>成立工作专班，落实工作责任，有力有序开展2024年部门预算项目支出绩效自评工作。</w:t>
      </w:r>
    </w:p>
    <w:p w14:paraId="62CCAFF2">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cs="Times New Roman"/>
          <w:color w:val="000000"/>
          <w:lang w:val="zh-CN"/>
        </w:rPr>
      </w:pPr>
      <w:r>
        <w:rPr>
          <w:rFonts w:hint="eastAsia" w:ascii="Times New Roman" w:hAnsi="Times New Roman" w:eastAsia="黑体" w:cs="黑体"/>
          <w:color w:val="000000"/>
        </w:rPr>
        <w:t>三、绩效分析</w:t>
      </w:r>
      <w:r>
        <w:rPr>
          <w:rFonts w:ascii="Times New Roman" w:hAnsi="Times New Roman" w:cs="Times New Roman"/>
          <w:color w:val="000000"/>
          <w:lang w:val="zh-CN"/>
        </w:rPr>
        <w:tab/>
      </w:r>
    </w:p>
    <w:p w14:paraId="62E4913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根据项目预算绩效评价指标体系“通用指标”“专用指标”“个性指标”涉及二、三级指标进行逐项绩效分析并评分。</w:t>
      </w:r>
    </w:p>
    <w:p w14:paraId="11B941C5">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ascii="Times New Roman" w:hAnsi="Times New Roman" w:eastAsia="楷体_GB2312" w:cs="Times New Roman"/>
          <w:color w:val="000000"/>
        </w:rPr>
      </w:pPr>
      <w:r>
        <w:rPr>
          <w:rFonts w:hint="eastAsia" w:ascii="Times New Roman" w:hAnsi="Times New Roman" w:eastAsia="楷体_GB2312" w:cs="楷体_GB2312"/>
          <w:color w:val="000000"/>
          <w:lang w:val="zh-CN"/>
        </w:rPr>
        <w:t>（一）</w:t>
      </w:r>
      <w:r>
        <w:rPr>
          <w:rFonts w:hint="eastAsia" w:ascii="Times New Roman" w:hAnsi="Times New Roman" w:eastAsia="楷体_GB2312" w:cs="楷体_GB2312"/>
          <w:color w:val="000000"/>
        </w:rPr>
        <w:t>通用指标</w:t>
      </w:r>
      <w:r>
        <w:rPr>
          <w:rFonts w:hint="eastAsia" w:ascii="Times New Roman" w:hAnsi="Times New Roman" w:eastAsia="楷体_GB2312" w:cs="楷体_GB2312"/>
          <w:color w:val="000000"/>
          <w:lang w:val="zh-CN"/>
        </w:rPr>
        <w:t>绩效分析。</w:t>
      </w:r>
    </w:p>
    <w:p w14:paraId="77A16DA1">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1.项目决策。从综合评价来看，区行政审批和数据局各预算项目设立依据基本充分，均设定了各项目绩效目标，对资金配置方面均有明确的测算依据，整体情况良好。</w:t>
      </w:r>
    </w:p>
    <w:p w14:paraId="4FA17AEA">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2.项目管理。从整体评价来看，区行政审批和数据局建立了基本能全面覆盖的管理制度，各项目按照财政局相关要求稳步推进，并根据年度工作计划做好各项目工作。预算批复后，根据项目推进情况申请资金下达，截至2024年12月31日，项目资金到位</w:t>
      </w:r>
      <w:r>
        <w:rPr>
          <w:rFonts w:hint="eastAsia" w:ascii="仿宋_GB2312" w:hAnsi="仿宋_GB2312" w:cs="仿宋_GB2312"/>
          <w:color w:val="000000"/>
          <w:lang w:val="en-US" w:eastAsia="zh-CN"/>
        </w:rPr>
        <w:t>4.71</w:t>
      </w:r>
      <w:r>
        <w:rPr>
          <w:rFonts w:hint="eastAsia" w:ascii="仿宋_GB2312" w:hAnsi="仿宋_GB2312" w:eastAsia="仿宋_GB2312" w:cs="仿宋_GB2312"/>
          <w:color w:val="000000"/>
          <w:lang w:val="zh-CN"/>
        </w:rPr>
        <w:t>万元，支出</w:t>
      </w:r>
      <w:r>
        <w:rPr>
          <w:rFonts w:hint="eastAsia" w:ascii="仿宋_GB2312" w:hAnsi="仿宋_GB2312" w:cs="仿宋_GB2312"/>
          <w:color w:val="000000"/>
          <w:lang w:val="en-US" w:eastAsia="zh-CN"/>
        </w:rPr>
        <w:t>4.71</w:t>
      </w:r>
      <w:r>
        <w:rPr>
          <w:rFonts w:hint="eastAsia" w:ascii="仿宋_GB2312" w:hAnsi="仿宋_GB2312" w:eastAsia="仿宋_GB2312" w:cs="仿宋_GB2312"/>
          <w:color w:val="000000"/>
          <w:lang w:val="zh-CN"/>
        </w:rPr>
        <w:t>万元，项目资金执行率为100%。项目运行成本均在可控制范围内。</w:t>
      </w:r>
    </w:p>
    <w:p w14:paraId="1156926B">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3.项目实施。项目经费严格按照专款专用原则，预算安排</w:t>
      </w:r>
      <w:r>
        <w:rPr>
          <w:rFonts w:hint="eastAsia" w:ascii="仿宋_GB2312" w:hAnsi="仿宋_GB2312" w:cs="仿宋_GB2312"/>
          <w:color w:val="000000"/>
          <w:lang w:val="en-US" w:eastAsia="zh-CN"/>
        </w:rPr>
        <w:t>4.71</w:t>
      </w:r>
      <w:r>
        <w:rPr>
          <w:rFonts w:hint="eastAsia" w:ascii="仿宋_GB2312" w:hAnsi="仿宋_GB2312" w:eastAsia="仿宋_GB2312" w:cs="仿宋_GB2312"/>
          <w:color w:val="000000"/>
          <w:lang w:val="zh-CN"/>
        </w:rPr>
        <w:t>万元，使用</w:t>
      </w:r>
      <w:r>
        <w:rPr>
          <w:rFonts w:hint="eastAsia" w:ascii="仿宋_GB2312" w:hAnsi="仿宋_GB2312" w:cs="仿宋_GB2312"/>
          <w:color w:val="000000"/>
          <w:lang w:val="en-US" w:eastAsia="zh-CN"/>
        </w:rPr>
        <w:t>4.71</w:t>
      </w:r>
      <w:r>
        <w:rPr>
          <w:rFonts w:hint="eastAsia" w:ascii="仿宋_GB2312" w:hAnsi="仿宋_GB2312" w:eastAsia="仿宋_GB2312" w:cs="仿宋_GB2312"/>
          <w:color w:val="000000"/>
          <w:lang w:val="zh-CN"/>
        </w:rPr>
        <w:t>万元。单位无截留、挤占、挪用、虚列支出等情况。</w:t>
      </w:r>
    </w:p>
    <w:p w14:paraId="64EE049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4.项目结果。</w:t>
      </w:r>
      <w:r>
        <w:rPr>
          <w:rFonts w:hint="eastAsia" w:ascii="Times New Roman" w:hAnsi="Times New Roman" w:eastAsia="方正仿宋简体" w:cs="Times New Roman"/>
          <w:sz w:val="32"/>
          <w:szCs w:val="32"/>
          <w:lang w:val="en-US" w:eastAsia="zh-CN"/>
        </w:rPr>
        <w:t>购买电脑8台，验收合格，保质期2年，</w:t>
      </w:r>
      <w:r>
        <w:rPr>
          <w:rFonts w:hint="eastAsia" w:cs="Times New Roman"/>
          <w:color w:val="000000"/>
          <w:spacing w:val="0"/>
          <w:kern w:val="2"/>
          <w:sz w:val="32"/>
          <w:shd w:val="clear" w:fill="FFFFFF"/>
          <w:lang w:val="en-US" w:eastAsia="zh-CN"/>
        </w:rPr>
        <w:t>保障机关正常运转</w:t>
      </w:r>
      <w:r>
        <w:rPr>
          <w:rFonts w:hint="eastAsia" w:ascii="仿宋_GB2312" w:hAnsi="仿宋_GB2312" w:eastAsia="仿宋_GB2312" w:cs="仿宋_GB2312"/>
          <w:color w:val="000000"/>
          <w:lang w:val="zh-CN"/>
        </w:rPr>
        <w:t>，服务对象满意度=100%，项目完成时效1年。</w:t>
      </w:r>
    </w:p>
    <w:p w14:paraId="71E7E22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（二）专用指标绩效分析。</w:t>
      </w:r>
      <w:r>
        <w:rPr>
          <w:rFonts w:hint="eastAsia" w:ascii="仿宋_GB2312" w:hAnsi="仿宋_GB2312" w:eastAsia="仿宋_GB2312" w:cs="仿宋_GB2312"/>
          <w:color w:val="000000"/>
          <w:lang w:val="zh-CN"/>
        </w:rPr>
        <w:t>根据专项预算项目资金支持对象选择所属指标进行绩效分析。支持对象包括产业发展、民生保障、基础设施、行政运转等方面。</w:t>
      </w:r>
    </w:p>
    <w:p w14:paraId="6F9D118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1.产业发展。围绕符合性、成长性、经济性进行绩效分析。</w:t>
      </w:r>
    </w:p>
    <w:p w14:paraId="40C28B0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2.民生保障。围绕区域均衡性、对象精准性、标准合理性、群众满意度进行绩效分析。</w:t>
      </w:r>
    </w:p>
    <w:p w14:paraId="72EB631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3.基础设施。在建项目围绕工程进度和资金拨付进行绩效分析；建成项目围绕项目验收、功能实现、后续管护进行绩效分析。</w:t>
      </w:r>
    </w:p>
    <w:p w14:paraId="2E62E24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lang w:val="zh-CN"/>
        </w:rPr>
      </w:pPr>
      <w:r>
        <w:rPr>
          <w:rFonts w:hint="eastAsia" w:ascii="仿宋_GB2312" w:hAnsi="仿宋_GB2312" w:eastAsia="仿宋_GB2312" w:cs="仿宋_GB2312"/>
          <w:color w:val="000000"/>
          <w:lang w:val="zh-CN"/>
        </w:rPr>
        <w:t>4.行政运转。围绕用途合规性、程序合规性、标准合规性进行绩效分析。</w:t>
      </w:r>
    </w:p>
    <w:p w14:paraId="0A345165">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rPr>
      </w:pPr>
      <w:r>
        <w:rPr>
          <w:rFonts w:hint="eastAsia" w:ascii="Times New Roman" w:hAnsi="Times New Roman" w:eastAsia="楷体_GB2312" w:cs="楷体_GB2312"/>
          <w:color w:val="000000"/>
          <w:lang w:val="zh-CN"/>
        </w:rPr>
        <w:t>（三）</w:t>
      </w:r>
      <w:r>
        <w:rPr>
          <w:rFonts w:hint="eastAsia" w:ascii="Times New Roman" w:hAnsi="Times New Roman" w:eastAsia="楷体_GB2312" w:cs="楷体_GB2312"/>
          <w:color w:val="000000"/>
        </w:rPr>
        <w:t>个性指标</w:t>
      </w:r>
      <w:r>
        <w:rPr>
          <w:rFonts w:hint="eastAsia" w:ascii="Times New Roman" w:hAnsi="Times New Roman" w:eastAsia="楷体_GB2312" w:cs="楷体_GB2312"/>
          <w:color w:val="000000"/>
          <w:lang w:val="zh-CN"/>
        </w:rPr>
        <w:t>绩效分析。</w:t>
      </w:r>
      <w:r>
        <w:rPr>
          <w:rFonts w:hint="eastAsia" w:ascii="仿宋_GB2312" w:hAnsi="仿宋_GB2312" w:eastAsia="仿宋_GB2312" w:cs="仿宋_GB2312"/>
          <w:color w:val="000000"/>
          <w:lang w:val="zh-CN"/>
        </w:rPr>
        <w:t>根据项目个性自行设定部分指标，反映该项指标执行完成情况。</w:t>
      </w:r>
    </w:p>
    <w:p w14:paraId="4CFEF806">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outlineLvl w:val="1"/>
        <w:rPr>
          <w:rFonts w:ascii="Times New Roman" w:hAnsi="Times New Roman" w:eastAsia="黑体" w:cs="Times New Roman"/>
          <w:color w:val="000000"/>
        </w:rPr>
      </w:pPr>
      <w:r>
        <w:rPr>
          <w:rFonts w:hint="eastAsia" w:ascii="Times New Roman" w:hAnsi="Times New Roman" w:eastAsia="黑体" w:cs="黑体"/>
          <w:color w:val="000000"/>
        </w:rPr>
        <w:t>四、评价结论</w:t>
      </w:r>
    </w:p>
    <w:p w14:paraId="6E6E1ACD">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color w:val="000000"/>
          <w:lang w:val="zh-CN" w:eastAsia="zh-CN"/>
        </w:rPr>
      </w:pPr>
      <w:r>
        <w:rPr>
          <w:rFonts w:hint="eastAsia" w:ascii="仿宋_GB2312" w:hAnsi="仿宋_GB2312" w:cs="仿宋_GB2312"/>
          <w:color w:val="000000"/>
          <w:lang w:val="en-US" w:eastAsia="zh-CN"/>
        </w:rPr>
        <w:t>信创资金</w:t>
      </w:r>
      <w:r>
        <w:rPr>
          <w:rFonts w:hint="eastAsia" w:ascii="仿宋_GB2312" w:hAnsi="仿宋_GB2312" w:eastAsia="仿宋_GB2312" w:cs="仿宋_GB2312"/>
          <w:color w:val="000000"/>
          <w:lang w:val="zh-CN" w:eastAsia="zh-CN"/>
        </w:rPr>
        <w:t>项目绩效总体评价良好,自评得分9</w:t>
      </w:r>
      <w:r>
        <w:rPr>
          <w:rFonts w:hint="eastAsia" w:ascii="仿宋_GB2312" w:hAnsi="仿宋_GB2312" w:cs="仿宋_GB2312"/>
          <w:color w:val="000000"/>
          <w:lang w:val="en-US" w:eastAsia="zh-CN"/>
        </w:rPr>
        <w:t>9</w:t>
      </w:r>
      <w:r>
        <w:rPr>
          <w:rFonts w:hint="eastAsia" w:ascii="仿宋_GB2312" w:hAnsi="仿宋_GB2312" w:eastAsia="仿宋_GB2312" w:cs="仿宋_GB2312"/>
          <w:color w:val="000000"/>
          <w:lang w:val="zh-CN" w:eastAsia="zh-CN"/>
        </w:rPr>
        <w:t>分。</w:t>
      </w:r>
    </w:p>
    <w:p w14:paraId="490A1316">
      <w:pPr>
        <w:pStyle w:val="15"/>
        <w:keepNext w:val="0"/>
        <w:keepLines w:val="0"/>
        <w:pageBreakBefore w:val="0"/>
        <w:tabs>
          <w:tab w:val="left" w:pos="2160"/>
        </w:tabs>
        <w:kinsoku/>
        <w:wordWrap/>
        <w:overflowPunct/>
        <w:topLinePunct w:val="0"/>
        <w:autoSpaceDE/>
        <w:autoSpaceDN/>
        <w:bidi w:val="0"/>
        <w:spacing w:after="0" w:line="560" w:lineRule="exact"/>
        <w:ind w:left="640"/>
        <w:textAlignment w:val="auto"/>
        <w:outlineLvl w:val="1"/>
        <w:rPr>
          <w:rFonts w:ascii="Times New Roman" w:hAnsi="Times New Roman" w:eastAsia="黑体" w:cs="Times New Roman"/>
          <w:color w:val="000000"/>
        </w:rPr>
      </w:pPr>
      <w:r>
        <w:rPr>
          <w:rFonts w:hint="eastAsia" w:ascii="Times New Roman" w:hAnsi="Times New Roman" w:eastAsia="黑体" w:cs="黑体"/>
          <w:color w:val="000000"/>
        </w:rPr>
        <w:t>五、存在主要问题</w:t>
      </w:r>
    </w:p>
    <w:p w14:paraId="41ED55E1">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rPr>
          <w:rFonts w:ascii="仿宋" w:hAnsi="仿宋" w:eastAsia="仿宋" w:cs="Times New Roman"/>
          <w:color w:val="000000"/>
        </w:rPr>
      </w:pPr>
      <w:r>
        <w:rPr>
          <w:rFonts w:hint="eastAsia" w:ascii="仿宋" w:hAnsi="仿宋" w:eastAsia="仿宋" w:cs="仿宋"/>
          <w:color w:val="000000"/>
        </w:rPr>
        <w:t>无</w:t>
      </w:r>
    </w:p>
    <w:p w14:paraId="2AC257B2">
      <w:pPr>
        <w:pStyle w:val="15"/>
        <w:keepNext w:val="0"/>
        <w:keepLines w:val="0"/>
        <w:pageBreakBefore w:val="0"/>
        <w:tabs>
          <w:tab w:val="left" w:pos="2160"/>
        </w:tabs>
        <w:kinsoku/>
        <w:wordWrap/>
        <w:overflowPunct/>
        <w:topLinePunct w:val="0"/>
        <w:autoSpaceDE/>
        <w:autoSpaceDN/>
        <w:bidi w:val="0"/>
        <w:spacing w:after="0" w:line="560" w:lineRule="exact"/>
        <w:ind w:firstLine="640" w:firstLineChars="200"/>
        <w:textAlignment w:val="auto"/>
        <w:outlineLvl w:val="1"/>
        <w:rPr>
          <w:rFonts w:ascii="Times New Roman" w:hAnsi="Times New Roman" w:eastAsia="黑体" w:cs="Times New Roman"/>
          <w:color w:val="000000"/>
          <w:position w:val="3"/>
          <w:lang w:val="zh-CN"/>
        </w:rPr>
      </w:pPr>
      <w:r>
        <w:rPr>
          <w:rFonts w:hint="eastAsia" w:ascii="Times New Roman" w:hAnsi="Times New Roman" w:eastAsia="黑体" w:cs="黑体"/>
          <w:color w:val="000000"/>
          <w:position w:val="3"/>
          <w:lang w:val="zh-CN"/>
        </w:rPr>
        <w:t>六、改进建议</w:t>
      </w:r>
    </w:p>
    <w:p w14:paraId="2E25B47D">
      <w:pPr>
        <w:keepNext w:val="0"/>
        <w:keepLines w:val="0"/>
        <w:pageBreakBefore w:val="0"/>
        <w:tabs>
          <w:tab w:val="left" w:pos="1911"/>
        </w:tabs>
        <w:kinsoku/>
        <w:wordWrap/>
        <w:overflowPunct/>
        <w:topLinePunct w:val="0"/>
        <w:autoSpaceDE/>
        <w:autoSpaceDN/>
        <w:bidi w:val="0"/>
        <w:spacing w:line="560" w:lineRule="exact"/>
        <w:ind w:firstLine="640" w:firstLineChars="200"/>
        <w:jc w:val="left"/>
        <w:textAlignment w:val="auto"/>
        <w:rPr>
          <w:rFonts w:ascii="仿宋" w:hAnsi="仿宋" w:eastAsia="仿宋" w:cs="Times New Roman"/>
          <w:color w:val="000000"/>
        </w:rPr>
      </w:pPr>
      <w:r>
        <w:rPr>
          <w:rFonts w:hint="eastAsia" w:ascii="仿宋" w:hAnsi="仿宋" w:eastAsia="仿宋" w:cs="仿宋"/>
          <w:color w:val="000000"/>
        </w:rPr>
        <w:t>无</w:t>
      </w:r>
    </w:p>
    <w:p w14:paraId="278691B2">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tbl>
      <w:tblPr>
        <w:tblStyle w:val="35"/>
        <w:tblW w:w="5000" w:type="pct"/>
        <w:tblInd w:w="2" w:type="dxa"/>
        <w:tblLayout w:type="autofit"/>
        <w:tblCellMar>
          <w:top w:w="0" w:type="dxa"/>
          <w:left w:w="0" w:type="dxa"/>
          <w:bottom w:w="0" w:type="dxa"/>
          <w:right w:w="0" w:type="dxa"/>
        </w:tblCellMar>
      </w:tblPr>
      <w:tblGrid>
        <w:gridCol w:w="438"/>
        <w:gridCol w:w="1317"/>
        <w:gridCol w:w="1139"/>
        <w:gridCol w:w="1453"/>
        <w:gridCol w:w="335"/>
        <w:gridCol w:w="1076"/>
        <w:gridCol w:w="335"/>
        <w:gridCol w:w="701"/>
        <w:gridCol w:w="322"/>
        <w:gridCol w:w="292"/>
        <w:gridCol w:w="1648"/>
      </w:tblGrid>
      <w:tr w14:paraId="388F8DC1">
        <w:tblPrEx>
          <w:tblCellMar>
            <w:top w:w="0" w:type="dxa"/>
            <w:left w:w="0" w:type="dxa"/>
            <w:bottom w:w="0" w:type="dxa"/>
            <w:right w:w="0"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C5B21">
            <w:pPr>
              <w:widowControl/>
              <w:jc w:val="center"/>
              <w:textAlignment w:val="center"/>
              <w:rPr>
                <w:rFonts w:ascii="黑体" w:hAnsi="宋体" w:eastAsia="黑体" w:cs="Times New Roman"/>
                <w:b/>
                <w:bCs/>
                <w:color w:val="000000"/>
                <w:sz w:val="30"/>
                <w:szCs w:val="30"/>
              </w:rPr>
            </w:pPr>
            <w:r>
              <w:rPr>
                <w:rFonts w:hint="eastAsia" w:ascii="黑体" w:hAnsi="宋体" w:eastAsia="黑体" w:cs="黑体"/>
                <w:b/>
                <w:bCs/>
                <w:color w:val="000000"/>
                <w:sz w:val="30"/>
                <w:szCs w:val="30"/>
              </w:rPr>
              <w:t>部门预算项目支出绩效自评表（</w:t>
            </w:r>
            <w:r>
              <w:rPr>
                <w:rFonts w:ascii="黑体" w:hAnsi="宋体" w:eastAsia="黑体" w:cs="黑体"/>
                <w:b/>
                <w:bCs/>
                <w:color w:val="000000"/>
                <w:sz w:val="30"/>
                <w:szCs w:val="30"/>
              </w:rPr>
              <w:t>2024</w:t>
            </w:r>
            <w:r>
              <w:rPr>
                <w:rFonts w:hint="eastAsia" w:ascii="黑体" w:hAnsi="宋体" w:eastAsia="黑体" w:cs="黑体"/>
                <w:b/>
                <w:bCs/>
                <w:color w:val="000000"/>
                <w:sz w:val="30"/>
                <w:szCs w:val="30"/>
              </w:rPr>
              <w:t>年度）</w:t>
            </w:r>
          </w:p>
        </w:tc>
      </w:tr>
      <w:tr w14:paraId="4CE079E5">
        <w:tblPrEx>
          <w:tblCellMar>
            <w:top w:w="0" w:type="dxa"/>
            <w:left w:w="0" w:type="dxa"/>
            <w:bottom w:w="0" w:type="dxa"/>
            <w:right w:w="0"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A595">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项目名称</w:t>
            </w:r>
          </w:p>
        </w:tc>
        <w:tc>
          <w:tcPr>
            <w:tcW w:w="4030" w:type="pct"/>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D6DFF">
            <w:pPr>
              <w:widowControl/>
              <w:jc w:val="left"/>
              <w:textAlignment w:val="center"/>
              <w:rPr>
                <w:rFonts w:ascii="宋体" w:hAnsi="宋体" w:eastAsia="宋体" w:cs="Times New Roman"/>
                <w:color w:val="000000"/>
                <w:sz w:val="18"/>
                <w:szCs w:val="18"/>
              </w:rPr>
            </w:pPr>
            <w:r>
              <w:rPr>
                <w:rFonts w:ascii="宋体" w:hAnsi="宋体" w:eastAsia="宋体" w:cs="宋体"/>
                <w:color w:val="000000"/>
                <w:sz w:val="18"/>
                <w:szCs w:val="18"/>
              </w:rPr>
              <w:t>51090424T000011813900-</w:t>
            </w:r>
            <w:r>
              <w:rPr>
                <w:rFonts w:hint="eastAsia" w:ascii="宋体" w:hAnsi="宋体" w:eastAsia="宋体" w:cs="宋体"/>
                <w:color w:val="000000"/>
                <w:sz w:val="18"/>
                <w:szCs w:val="18"/>
              </w:rPr>
              <w:t>信创资金</w:t>
            </w:r>
          </w:p>
        </w:tc>
      </w:tr>
      <w:tr w14:paraId="04C7F319">
        <w:tblPrEx>
          <w:tblCellMar>
            <w:top w:w="0" w:type="dxa"/>
            <w:left w:w="0" w:type="dxa"/>
            <w:bottom w:w="0" w:type="dxa"/>
            <w:right w:w="0"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2776B">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主管部门</w:t>
            </w:r>
          </w:p>
        </w:tc>
        <w:tc>
          <w:tcPr>
            <w:tcW w:w="239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E22A2">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遂宁市安居区行政审批和数据局部门</w:t>
            </w:r>
          </w:p>
        </w:tc>
        <w:tc>
          <w:tcPr>
            <w:tcW w:w="386" w:type="pct"/>
            <w:tcBorders>
              <w:top w:val="nil"/>
              <w:left w:val="nil"/>
              <w:bottom w:val="nil"/>
              <w:right w:val="nil"/>
            </w:tcBorders>
            <w:tcMar>
              <w:top w:w="15" w:type="dxa"/>
              <w:left w:w="15" w:type="dxa"/>
              <w:right w:w="15" w:type="dxa"/>
            </w:tcMar>
            <w:vAlign w:val="center"/>
          </w:tcPr>
          <w:p w14:paraId="5FB20C49">
            <w:pPr>
              <w:widowControl/>
              <w:jc w:val="left"/>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实施单位</w:t>
            </w:r>
            <w:r>
              <w:rPr>
                <w:rFonts w:ascii="黑体" w:hAnsi="黑体" w:eastAsia="黑体" w:cs="黑体"/>
                <w:color w:val="000000"/>
                <w:sz w:val="18"/>
                <w:szCs w:val="18"/>
              </w:rPr>
              <w:t xml:space="preserve"> </w:t>
            </w:r>
            <w:r>
              <w:rPr>
                <w:rFonts w:hint="eastAsia" w:ascii="黑体" w:hAnsi="黑体" w:eastAsia="黑体" w:cs="黑体"/>
                <w:color w:val="000000"/>
                <w:sz w:val="18"/>
                <w:szCs w:val="18"/>
              </w:rPr>
              <w:t>（盖章）</w:t>
            </w:r>
          </w:p>
        </w:tc>
        <w:tc>
          <w:tcPr>
            <w:tcW w:w="1248"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9959C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遂宁市安居区行政审批和数据局</w:t>
            </w:r>
          </w:p>
        </w:tc>
      </w:tr>
      <w:tr w14:paraId="15A6C1B0">
        <w:tblPrEx>
          <w:tblCellMar>
            <w:top w:w="0" w:type="dxa"/>
            <w:left w:w="0" w:type="dxa"/>
            <w:bottom w:w="0" w:type="dxa"/>
            <w:right w:w="0"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F9442">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项目基本情况</w:t>
            </w:r>
          </w:p>
        </w:tc>
        <w:tc>
          <w:tcPr>
            <w:tcW w:w="72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927C0">
            <w:pPr>
              <w:widowControl/>
              <w:jc w:val="left"/>
              <w:textAlignment w:val="center"/>
              <w:rPr>
                <w:rFonts w:ascii="宋体" w:hAnsi="宋体" w:eastAsia="宋体" w:cs="Times New Roman"/>
                <w:color w:val="000000"/>
                <w:sz w:val="18"/>
                <w:szCs w:val="18"/>
              </w:rPr>
            </w:pPr>
            <w:r>
              <w:rPr>
                <w:rFonts w:ascii="宋体" w:hAnsi="宋体" w:eastAsia="宋体" w:cs="宋体"/>
                <w:color w:val="000000"/>
                <w:sz w:val="18"/>
                <w:szCs w:val="18"/>
              </w:rPr>
              <w:t>1.</w:t>
            </w:r>
            <w:r>
              <w:rPr>
                <w:rFonts w:hint="eastAsia" w:ascii="宋体" w:hAnsi="宋体" w:eastAsia="宋体" w:cs="宋体"/>
                <w:color w:val="000000"/>
                <w:sz w:val="18"/>
                <w:szCs w:val="18"/>
              </w:rPr>
              <w:t>项目年度目标完成情况</w:t>
            </w:r>
          </w:p>
        </w:tc>
        <w:tc>
          <w:tcPr>
            <w:tcW w:w="239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BADC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C7311">
            <w:pPr>
              <w:widowControl/>
              <w:jc w:val="center"/>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年度目标完成情况</w:t>
            </w:r>
          </w:p>
        </w:tc>
      </w:tr>
      <w:tr w14:paraId="0978D3D9">
        <w:tblPrEx>
          <w:tblCellMar>
            <w:top w:w="0" w:type="dxa"/>
            <w:left w:w="0" w:type="dxa"/>
            <w:bottom w:w="0" w:type="dxa"/>
            <w:right w:w="0"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61219">
            <w:pP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91852">
            <w:pPr>
              <w:rPr>
                <w:rFonts w:ascii="宋体" w:hAnsi="宋体" w:eastAsia="宋体" w:cs="Times New Roman"/>
                <w:color w:val="000000"/>
                <w:sz w:val="18"/>
                <w:szCs w:val="18"/>
              </w:rPr>
            </w:pPr>
          </w:p>
        </w:tc>
        <w:tc>
          <w:tcPr>
            <w:tcW w:w="239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65C8A">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提高工作人员办公效率，拓展交易中心招评标规模。</w:t>
            </w:r>
          </w:p>
        </w:tc>
        <w:tc>
          <w:tcPr>
            <w:tcW w:w="1634"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DBF41">
            <w:pPr>
              <w:widowControl/>
              <w:jc w:val="left"/>
              <w:textAlignment w:val="center"/>
              <w:rPr>
                <w:rFonts w:ascii="黑体" w:hAnsi="黑体" w:eastAsia="黑体" w:cs="Times New Roman"/>
                <w:color w:val="000000"/>
                <w:sz w:val="18"/>
                <w:szCs w:val="18"/>
              </w:rPr>
            </w:pPr>
            <w:r>
              <w:rPr>
                <w:rFonts w:hint="eastAsia" w:ascii="宋体" w:hAnsi="宋体" w:eastAsia="宋体" w:cs="宋体"/>
                <w:color w:val="000000"/>
                <w:sz w:val="18"/>
                <w:szCs w:val="18"/>
              </w:rPr>
              <w:t>通过框架协议采购电脑8台。</w:t>
            </w:r>
          </w:p>
        </w:tc>
      </w:tr>
      <w:tr w14:paraId="7799E5FC">
        <w:tblPrEx>
          <w:tblCellMar>
            <w:top w:w="0" w:type="dxa"/>
            <w:left w:w="0" w:type="dxa"/>
            <w:bottom w:w="0" w:type="dxa"/>
            <w:right w:w="0"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16BEB">
            <w:pP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B754D">
            <w:pPr>
              <w:widowControl/>
              <w:jc w:val="left"/>
              <w:textAlignment w:val="center"/>
              <w:rPr>
                <w:rFonts w:ascii="宋体" w:hAnsi="宋体" w:eastAsia="宋体" w:cs="Times New Roman"/>
                <w:color w:val="000000"/>
                <w:sz w:val="18"/>
                <w:szCs w:val="18"/>
              </w:rPr>
            </w:pPr>
            <w:r>
              <w:rPr>
                <w:rFonts w:ascii="宋体" w:hAnsi="宋体" w:eastAsia="宋体" w:cs="宋体"/>
                <w:color w:val="000000"/>
                <w:sz w:val="18"/>
                <w:szCs w:val="18"/>
              </w:rPr>
              <w:t>2.</w:t>
            </w:r>
            <w:r>
              <w:rPr>
                <w:rFonts w:hint="eastAsia" w:ascii="宋体" w:hAnsi="宋体" w:eastAsia="宋体" w:cs="宋体"/>
                <w:color w:val="000000"/>
                <w:sz w:val="18"/>
                <w:szCs w:val="18"/>
              </w:rPr>
              <w:t>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B9157">
            <w:pPr>
              <w:widowControl/>
              <w:jc w:val="left"/>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通过框架协议采购电脑</w:t>
            </w:r>
            <w:r>
              <w:rPr>
                <w:rFonts w:ascii="宋体" w:hAnsi="宋体" w:eastAsia="宋体" w:cs="宋体"/>
                <w:color w:val="000000"/>
                <w:sz w:val="18"/>
                <w:szCs w:val="18"/>
              </w:rPr>
              <w:t>8</w:t>
            </w:r>
            <w:r>
              <w:rPr>
                <w:rFonts w:hint="eastAsia" w:ascii="宋体" w:hAnsi="宋体" w:eastAsia="宋体" w:cs="宋体"/>
                <w:color w:val="000000"/>
                <w:sz w:val="18"/>
                <w:szCs w:val="18"/>
              </w:rPr>
              <w:t>台用于交易中心开评标，加强工作人员的办事效率，拓展交易中心规模，保障交易中心运转。</w:t>
            </w:r>
          </w:p>
        </w:tc>
      </w:tr>
      <w:tr w14:paraId="0A83ED9C">
        <w:tblPrEx>
          <w:tblCellMar>
            <w:top w:w="0" w:type="dxa"/>
            <w:left w:w="0" w:type="dxa"/>
            <w:bottom w:w="0" w:type="dxa"/>
            <w:right w:w="0"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4F9C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预算执行情况（</w:t>
            </w:r>
            <w:r>
              <w:rPr>
                <w:rFonts w:ascii="宋体" w:hAnsi="宋体" w:eastAsia="宋体" w:cs="宋体"/>
                <w:color w:val="000000"/>
                <w:sz w:val="18"/>
                <w:szCs w:val="18"/>
              </w:rPr>
              <w:t>10</w:t>
            </w:r>
            <w:r>
              <w:rPr>
                <w:rFonts w:hint="eastAsia" w:ascii="宋体" w:hAnsi="宋体" w:eastAsia="宋体" w:cs="宋体"/>
                <w:color w:val="000000"/>
                <w:sz w:val="18"/>
                <w:szCs w:val="18"/>
              </w:rPr>
              <w:t>分）</w:t>
            </w: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B21E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年度预算数（万元）</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0FDC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年初预算</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602EF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6842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预算执行数</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3423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713E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权重</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276F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得分</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F172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原因</w:t>
            </w:r>
          </w:p>
        </w:tc>
      </w:tr>
      <w:tr w14:paraId="0402D0D7">
        <w:tblPrEx>
          <w:tblCellMar>
            <w:top w:w="0" w:type="dxa"/>
            <w:left w:w="0" w:type="dxa"/>
            <w:bottom w:w="0" w:type="dxa"/>
            <w:right w:w="0"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A26BD">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BBD7E">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总额</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B43A3">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4DCD8">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4.71</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27A30">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4.71</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71CD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99410">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8ACD4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w:t>
            </w:r>
          </w:p>
        </w:tc>
        <w:tc>
          <w:tcPr>
            <w:tcW w:w="90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7CE5C">
            <w:pPr>
              <w:rPr>
                <w:rFonts w:ascii="黑体" w:hAnsi="黑体" w:eastAsia="黑体" w:cs="Times New Roman"/>
                <w:i/>
                <w:iCs/>
                <w:color w:val="000000"/>
                <w:sz w:val="18"/>
                <w:szCs w:val="18"/>
              </w:rPr>
            </w:pPr>
          </w:p>
        </w:tc>
      </w:tr>
      <w:tr w14:paraId="390376FD">
        <w:tblPrEx>
          <w:tblCellMar>
            <w:top w:w="0" w:type="dxa"/>
            <w:left w:w="0" w:type="dxa"/>
            <w:bottom w:w="0" w:type="dxa"/>
            <w:right w:w="0"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FE08F">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5FA9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其中：财政资金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BB3CB">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2D38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4.71</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0A96FF">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4.71</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F5CE9">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3F27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A84F9">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374B16">
            <w:pPr>
              <w:rPr>
                <w:rFonts w:ascii="黑体" w:hAnsi="黑体" w:eastAsia="黑体" w:cs="Times New Roman"/>
                <w:i/>
                <w:iCs/>
                <w:color w:val="000000"/>
                <w:sz w:val="18"/>
                <w:szCs w:val="18"/>
              </w:rPr>
            </w:pPr>
          </w:p>
        </w:tc>
      </w:tr>
      <w:tr w14:paraId="495BFCBE">
        <w:tblPrEx>
          <w:tblCellMar>
            <w:top w:w="0" w:type="dxa"/>
            <w:left w:w="0" w:type="dxa"/>
            <w:bottom w:w="0" w:type="dxa"/>
            <w:right w:w="0"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AC7CC">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E519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财政专户管理资金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2FFC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D152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A96F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DA95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0E838">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11BA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0E2C1">
            <w:pPr>
              <w:rPr>
                <w:rFonts w:ascii="黑体" w:hAnsi="黑体" w:eastAsia="黑体" w:cs="Times New Roman"/>
                <w:i/>
                <w:iCs/>
                <w:color w:val="000000"/>
                <w:sz w:val="18"/>
                <w:szCs w:val="18"/>
              </w:rPr>
            </w:pPr>
          </w:p>
        </w:tc>
      </w:tr>
      <w:tr w14:paraId="0E7F37E0">
        <w:tblPrEx>
          <w:tblCellMar>
            <w:top w:w="0" w:type="dxa"/>
            <w:left w:w="0" w:type="dxa"/>
            <w:bottom w:w="0" w:type="dxa"/>
            <w:right w:w="0"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49D8E">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3B94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单位资金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DC755">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357AB">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E298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A31E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0.00%</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74F1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F47F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2B316">
            <w:pPr>
              <w:rPr>
                <w:rFonts w:ascii="黑体" w:hAnsi="黑体" w:eastAsia="黑体" w:cs="Times New Roman"/>
                <w:i/>
                <w:iCs/>
                <w:color w:val="000000"/>
                <w:sz w:val="18"/>
                <w:szCs w:val="18"/>
              </w:rPr>
            </w:pPr>
          </w:p>
        </w:tc>
      </w:tr>
      <w:tr w14:paraId="52F0CA42">
        <w:tblPrEx>
          <w:tblCellMar>
            <w:top w:w="0" w:type="dxa"/>
            <w:left w:w="0" w:type="dxa"/>
            <w:bottom w:w="0" w:type="dxa"/>
            <w:right w:w="0"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6EC6B">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AB966">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其他资金</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E89ED">
            <w:pPr>
              <w:jc w:val="center"/>
              <w:rPr>
                <w:rFonts w:ascii="微软雅黑" w:hAnsi="微软雅黑" w:eastAsia="微软雅黑" w:cs="Times New Roman"/>
                <w:i/>
                <w:iCs/>
                <w:color w:val="000000"/>
                <w:sz w:val="16"/>
                <w:szCs w:val="16"/>
              </w:rPr>
            </w:pP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55E167">
            <w:pPr>
              <w:jc w:val="center"/>
              <w:rPr>
                <w:rFonts w:ascii="微软雅黑" w:hAnsi="微软雅黑" w:eastAsia="微软雅黑" w:cs="Times New Roman"/>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6B07F">
            <w:pPr>
              <w:jc w:val="center"/>
              <w:rPr>
                <w:rFonts w:ascii="微软雅黑" w:hAnsi="微软雅黑" w:eastAsia="微软雅黑" w:cs="Times New Roman"/>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E545B">
            <w:pPr>
              <w:jc w:val="center"/>
              <w:rPr>
                <w:rFonts w:ascii="微软雅黑" w:hAnsi="微软雅黑" w:eastAsia="微软雅黑" w:cs="Times New Roman"/>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233D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F522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90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DFCAAA">
            <w:pPr>
              <w:rPr>
                <w:rFonts w:ascii="黑体" w:hAnsi="黑体" w:eastAsia="黑体" w:cs="Times New Roman"/>
                <w:i/>
                <w:iCs/>
                <w:color w:val="000000"/>
                <w:sz w:val="18"/>
                <w:szCs w:val="18"/>
              </w:rPr>
            </w:pPr>
          </w:p>
        </w:tc>
      </w:tr>
      <w:tr w14:paraId="41428EFE">
        <w:tblPrEx>
          <w:tblCellMar>
            <w:top w:w="0" w:type="dxa"/>
            <w:left w:w="0" w:type="dxa"/>
            <w:bottom w:w="0" w:type="dxa"/>
            <w:right w:w="0"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3630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绩效指标（</w:t>
            </w:r>
            <w:r>
              <w:rPr>
                <w:rFonts w:ascii="宋体" w:hAnsi="宋体" w:eastAsia="宋体" w:cs="宋体"/>
                <w:color w:val="000000"/>
                <w:sz w:val="18"/>
                <w:szCs w:val="18"/>
              </w:rPr>
              <w:t>90</w:t>
            </w:r>
            <w:r>
              <w:rPr>
                <w:rFonts w:hint="eastAsia" w:ascii="宋体" w:hAnsi="宋体" w:eastAsia="宋体" w:cs="宋体"/>
                <w:color w:val="000000"/>
                <w:sz w:val="18"/>
                <w:szCs w:val="18"/>
              </w:rPr>
              <w:t>分）</w:t>
            </w: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461BF">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一级指标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0FADB">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二级指标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552701">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三级指标</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88DD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指标性质</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A18F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指标值</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BE8D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度量单位</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2859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81EC7">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权重</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C8E5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得分</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E677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未完成原因分析</w:t>
            </w:r>
          </w:p>
        </w:tc>
      </w:tr>
      <w:tr w14:paraId="379DB64B">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037D8">
            <w:pPr>
              <w:jc w:val="center"/>
              <w:rPr>
                <w:rFonts w:ascii="宋体" w:hAnsi="宋体" w:eastAsia="宋体" w:cs="Times New Roman"/>
                <w:color w:val="000000"/>
                <w:sz w:val="18"/>
                <w:szCs w:val="18"/>
              </w:rPr>
            </w:pPr>
          </w:p>
        </w:tc>
        <w:tc>
          <w:tcPr>
            <w:tcW w:w="72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50AB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产出指标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A31C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数量指标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9DEBF">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购买电脑</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8BA7A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FCC95">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8</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CCD4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台</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A1A70">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1612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15</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882B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84D536">
            <w:pPr>
              <w:jc w:val="center"/>
              <w:rPr>
                <w:rFonts w:ascii="宋体" w:hAnsi="宋体" w:eastAsia="宋体" w:cs="Times New Roman"/>
                <w:color w:val="000000"/>
                <w:sz w:val="18"/>
                <w:szCs w:val="18"/>
              </w:rPr>
            </w:pPr>
          </w:p>
        </w:tc>
      </w:tr>
      <w:tr w14:paraId="1B55716B">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08541">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33EC0">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8A968">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质量指标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9C05A">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验收合格</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CBF21">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4245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256B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CBD3A">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B73B0">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15</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60BC7">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91A4F">
            <w:pPr>
              <w:jc w:val="center"/>
              <w:rPr>
                <w:rFonts w:ascii="宋体" w:hAnsi="宋体" w:eastAsia="宋体" w:cs="Times New Roman"/>
                <w:color w:val="000000"/>
                <w:sz w:val="18"/>
                <w:szCs w:val="18"/>
              </w:rPr>
            </w:pPr>
          </w:p>
        </w:tc>
      </w:tr>
      <w:tr w14:paraId="533EA3F6">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2D85A">
            <w:pPr>
              <w:jc w:val="center"/>
              <w:rPr>
                <w:rFonts w:ascii="宋体" w:hAnsi="宋体" w:eastAsia="宋体" w:cs="Times New Roman"/>
                <w:color w:val="000000"/>
                <w:sz w:val="18"/>
                <w:szCs w:val="18"/>
              </w:rPr>
            </w:pPr>
          </w:p>
        </w:tc>
        <w:tc>
          <w:tcPr>
            <w:tcW w:w="72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C26446">
            <w:pPr>
              <w:jc w:val="center"/>
              <w:rPr>
                <w:rFonts w:ascii="宋体" w:hAnsi="宋体" w:eastAsia="宋体" w:cs="Times New Roman"/>
                <w:color w:val="000000"/>
                <w:sz w:val="18"/>
                <w:szCs w:val="18"/>
              </w:rPr>
            </w:pP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07EEA">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时效指标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FE7BB">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质保期</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1E239">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38EEE">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0EB0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年</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B9805">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AC5E8">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00890">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9</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0B4F38">
            <w:pPr>
              <w:jc w:val="center"/>
              <w:rPr>
                <w:rFonts w:ascii="宋体" w:hAnsi="宋体" w:eastAsia="宋体" w:cs="Times New Roman"/>
                <w:color w:val="000000"/>
                <w:sz w:val="18"/>
                <w:szCs w:val="18"/>
              </w:rPr>
            </w:pPr>
          </w:p>
        </w:tc>
      </w:tr>
      <w:tr w14:paraId="3018B943">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A884C">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72DF4">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效益指标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1EBC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社会效益指标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64B0C">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保障机关正常运转</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7198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99156C">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C0C0B">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DF93C">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AC541">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A26B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1F6AC">
            <w:pPr>
              <w:jc w:val="center"/>
              <w:rPr>
                <w:rFonts w:ascii="宋体" w:hAnsi="宋体" w:eastAsia="宋体" w:cs="Times New Roman"/>
                <w:color w:val="000000"/>
                <w:sz w:val="18"/>
                <w:szCs w:val="18"/>
              </w:rPr>
            </w:pPr>
          </w:p>
        </w:tc>
      </w:tr>
      <w:tr w14:paraId="4D3FBAE3">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28107">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5570B">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满意度指标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DE920">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服务对象满意度指标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AD79AD">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服务对象满意度</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343DA">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26D8A">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853F3">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C199D">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2C1F2">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BE44D">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15</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24AB9">
            <w:pPr>
              <w:jc w:val="center"/>
              <w:rPr>
                <w:rFonts w:ascii="宋体" w:hAnsi="宋体" w:eastAsia="宋体" w:cs="Times New Roman"/>
                <w:color w:val="000000"/>
                <w:sz w:val="18"/>
                <w:szCs w:val="18"/>
              </w:rPr>
            </w:pPr>
          </w:p>
        </w:tc>
      </w:tr>
      <w:tr w14:paraId="642B0125">
        <w:tblPrEx>
          <w:tblCellMar>
            <w:top w:w="0" w:type="dxa"/>
            <w:left w:w="0" w:type="dxa"/>
            <w:bottom w:w="0" w:type="dxa"/>
            <w:right w:w="0"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02EA8">
            <w:pPr>
              <w:jc w:val="center"/>
              <w:rPr>
                <w:rFonts w:ascii="宋体" w:hAnsi="宋体" w:eastAsia="宋体" w:cs="Times New Roman"/>
                <w:color w:val="000000"/>
                <w:sz w:val="18"/>
                <w:szCs w:val="18"/>
              </w:rPr>
            </w:pPr>
          </w:p>
        </w:tc>
        <w:tc>
          <w:tcPr>
            <w:tcW w:w="72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CEA6A">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成本指标</w:t>
            </w:r>
          </w:p>
        </w:tc>
        <w:tc>
          <w:tcPr>
            <w:tcW w:w="62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03909">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经济成本指标</w:t>
            </w:r>
          </w:p>
        </w:tc>
        <w:tc>
          <w:tcPr>
            <w:tcW w:w="80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27395">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电脑成本</w:t>
            </w:r>
          </w:p>
        </w:tc>
        <w:tc>
          <w:tcPr>
            <w:tcW w:w="1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44A03">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w:t>
            </w:r>
          </w:p>
        </w:tc>
        <w:tc>
          <w:tcPr>
            <w:tcW w:w="59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A1C54">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5890</w:t>
            </w:r>
          </w:p>
        </w:tc>
        <w:tc>
          <w:tcPr>
            <w:tcW w:w="18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66C42">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元</w:t>
            </w:r>
            <w:r>
              <w:rPr>
                <w:rFonts w:ascii="宋体" w:hAnsi="宋体" w:eastAsia="宋体" w:cs="宋体"/>
                <w:color w:val="000000"/>
                <w:sz w:val="18"/>
                <w:szCs w:val="18"/>
              </w:rPr>
              <w:t>/</w:t>
            </w:r>
            <w:r>
              <w:rPr>
                <w:rFonts w:hint="eastAsia" w:ascii="宋体" w:hAnsi="宋体" w:eastAsia="宋体" w:cs="宋体"/>
                <w:color w:val="000000"/>
                <w:sz w:val="18"/>
                <w:szCs w:val="18"/>
              </w:rPr>
              <w:t>台</w:t>
            </w:r>
          </w:p>
        </w:tc>
        <w:tc>
          <w:tcPr>
            <w:tcW w:w="38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46821">
            <w:pPr>
              <w:jc w:val="center"/>
              <w:rPr>
                <w:rFonts w:ascii="宋体" w:hAnsi="宋体" w:eastAsia="宋体" w:cs="Times New Roman"/>
                <w:color w:val="000000"/>
                <w:sz w:val="18"/>
                <w:szCs w:val="18"/>
              </w:rPr>
            </w:pP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5260C">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20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09826">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15</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34AF7">
            <w:pPr>
              <w:jc w:val="center"/>
              <w:rPr>
                <w:rFonts w:ascii="宋体" w:hAnsi="宋体" w:eastAsia="宋体" w:cs="Times New Roman"/>
                <w:color w:val="000000"/>
                <w:sz w:val="18"/>
                <w:szCs w:val="18"/>
              </w:rPr>
            </w:pPr>
          </w:p>
        </w:tc>
      </w:tr>
      <w:tr w14:paraId="5FFEF889">
        <w:tblPrEx>
          <w:tblCellMar>
            <w:top w:w="0" w:type="dxa"/>
            <w:left w:w="0" w:type="dxa"/>
            <w:bottom w:w="0" w:type="dxa"/>
            <w:right w:w="0" w:type="dxa"/>
          </w:tblCellMar>
        </w:tblPrEx>
        <w:trPr>
          <w:trHeight w:val="286" w:hRule="atLeast"/>
        </w:trPr>
        <w:tc>
          <w:tcPr>
            <w:tcW w:w="3751" w:type="pct"/>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E4ED9">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合计</w:t>
            </w:r>
          </w:p>
        </w:tc>
        <w:tc>
          <w:tcPr>
            <w:tcW w:w="17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2CC685">
            <w:pPr>
              <w:widowControl/>
              <w:jc w:val="center"/>
              <w:textAlignment w:val="center"/>
              <w:rPr>
                <w:rFonts w:ascii="宋体" w:hAnsi="宋体" w:eastAsia="宋体" w:cs="Times New Roman"/>
                <w:color w:val="000000"/>
                <w:sz w:val="18"/>
                <w:szCs w:val="18"/>
              </w:rPr>
            </w:pPr>
            <w:r>
              <w:rPr>
                <w:rFonts w:ascii="宋体" w:hAnsi="宋体" w:eastAsia="宋体" w:cs="宋体"/>
                <w:color w:val="000000"/>
                <w:sz w:val="18"/>
                <w:szCs w:val="18"/>
              </w:rPr>
              <w:t>100</w:t>
            </w:r>
          </w:p>
        </w:tc>
        <w:tc>
          <w:tcPr>
            <w:tcW w:w="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5C6AF">
            <w:pPr>
              <w:widowControl/>
              <w:jc w:val="right"/>
              <w:textAlignment w:val="center"/>
              <w:rPr>
                <w:rFonts w:ascii="宋体" w:hAnsi="宋体" w:eastAsia="宋体" w:cs="Times New Roman"/>
                <w:color w:val="000000"/>
                <w:sz w:val="18"/>
                <w:szCs w:val="18"/>
              </w:rPr>
            </w:pPr>
            <w:r>
              <w:rPr>
                <w:rFonts w:ascii="宋体" w:hAnsi="宋体" w:eastAsia="宋体" w:cs="宋体"/>
                <w:color w:val="000000"/>
                <w:sz w:val="18"/>
                <w:szCs w:val="18"/>
              </w:rPr>
              <w:t>99</w:t>
            </w:r>
          </w:p>
        </w:tc>
        <w:tc>
          <w:tcPr>
            <w:tcW w:w="90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CABFD">
            <w:pPr>
              <w:rPr>
                <w:rFonts w:ascii="宋体" w:hAnsi="宋体" w:eastAsia="宋体" w:cs="Times New Roman"/>
                <w:color w:val="000000"/>
                <w:sz w:val="18"/>
                <w:szCs w:val="18"/>
              </w:rPr>
            </w:pPr>
          </w:p>
        </w:tc>
      </w:tr>
      <w:tr w14:paraId="7A41D7C3">
        <w:tblPrEx>
          <w:tblCellMar>
            <w:top w:w="0" w:type="dxa"/>
            <w:left w:w="0" w:type="dxa"/>
            <w:bottom w:w="0" w:type="dxa"/>
            <w:right w:w="0"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999EE">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评价结论</w:t>
            </w:r>
          </w:p>
        </w:tc>
        <w:tc>
          <w:tcPr>
            <w:tcW w:w="4757" w:type="pct"/>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1AFF1">
            <w:pPr>
              <w:widowControl/>
              <w:jc w:val="left"/>
              <w:textAlignment w:val="center"/>
              <w:rPr>
                <w:rFonts w:ascii="微软雅黑" w:hAnsi="微软雅黑" w:eastAsia="微软雅黑" w:cs="Times New Roman"/>
                <w:i/>
                <w:iCs/>
                <w:color w:val="000000"/>
                <w:sz w:val="16"/>
                <w:szCs w:val="16"/>
              </w:rPr>
            </w:pPr>
            <w:r>
              <w:rPr>
                <w:rFonts w:hint="eastAsia" w:ascii="宋体" w:hAnsi="宋体" w:eastAsia="宋体" w:cs="宋体"/>
                <w:color w:val="000000"/>
                <w:sz w:val="18"/>
                <w:szCs w:val="18"/>
              </w:rPr>
              <w:t>经过对项目资料、财务资料及台账等资料的分析，逐项进行自我评价，并结合社会评估得分，最终项目综合得分为99分。通过该项目实施大力提高了本单位工作人员的工作效率，拓展了交易中心招评标规模，保障了交易中心的运转。</w:t>
            </w:r>
          </w:p>
        </w:tc>
      </w:tr>
      <w:tr w14:paraId="686871A0">
        <w:tblPrEx>
          <w:tblCellMar>
            <w:top w:w="0" w:type="dxa"/>
            <w:left w:w="0" w:type="dxa"/>
            <w:bottom w:w="0" w:type="dxa"/>
            <w:right w:w="0"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C19BA">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存在问题</w:t>
            </w:r>
          </w:p>
        </w:tc>
        <w:tc>
          <w:tcPr>
            <w:tcW w:w="4757" w:type="pct"/>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BB3B4">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无</w:t>
            </w:r>
          </w:p>
        </w:tc>
      </w:tr>
      <w:tr w14:paraId="7F9F9BB0">
        <w:tblPrEx>
          <w:tblCellMar>
            <w:top w:w="0" w:type="dxa"/>
            <w:left w:w="0" w:type="dxa"/>
            <w:bottom w:w="0" w:type="dxa"/>
            <w:right w:w="0"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8BD2F">
            <w:pPr>
              <w:widowControl/>
              <w:jc w:val="center"/>
              <w:textAlignment w:val="center"/>
              <w:rPr>
                <w:rFonts w:ascii="宋体" w:hAnsi="宋体" w:eastAsia="宋体" w:cs="Times New Roman"/>
                <w:color w:val="000000"/>
                <w:sz w:val="18"/>
                <w:szCs w:val="18"/>
              </w:rPr>
            </w:pPr>
            <w:r>
              <w:rPr>
                <w:rFonts w:hint="eastAsia" w:ascii="宋体" w:hAnsi="宋体" w:eastAsia="宋体" w:cs="宋体"/>
                <w:color w:val="000000"/>
                <w:sz w:val="18"/>
                <w:szCs w:val="18"/>
              </w:rPr>
              <w:t>改进措施</w:t>
            </w:r>
          </w:p>
        </w:tc>
        <w:tc>
          <w:tcPr>
            <w:tcW w:w="4757" w:type="pct"/>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43CDA">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无</w:t>
            </w:r>
          </w:p>
        </w:tc>
      </w:tr>
      <w:tr w14:paraId="0A7AA643">
        <w:tblPrEx>
          <w:tblCellMar>
            <w:top w:w="0" w:type="dxa"/>
            <w:left w:w="0" w:type="dxa"/>
            <w:bottom w:w="0" w:type="dxa"/>
            <w:right w:w="0" w:type="dxa"/>
          </w:tblCellMar>
        </w:tblPrEx>
        <w:trPr>
          <w:trHeight w:val="286" w:hRule="atLeast"/>
        </w:trPr>
        <w:tc>
          <w:tcPr>
            <w:tcW w:w="2585"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BCFA7">
            <w:pPr>
              <w:widowControl/>
              <w:jc w:val="left"/>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项目负责人：谭春乔</w:t>
            </w:r>
          </w:p>
        </w:tc>
        <w:tc>
          <w:tcPr>
            <w:tcW w:w="2414" w:type="pct"/>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99EF2">
            <w:pPr>
              <w:widowControl/>
              <w:jc w:val="left"/>
              <w:textAlignment w:val="center"/>
              <w:rPr>
                <w:rFonts w:ascii="黑体" w:hAnsi="黑体" w:eastAsia="黑体" w:cs="Times New Roman"/>
                <w:color w:val="000000"/>
                <w:sz w:val="18"/>
                <w:szCs w:val="18"/>
              </w:rPr>
            </w:pPr>
            <w:r>
              <w:rPr>
                <w:rFonts w:hint="eastAsia" w:ascii="黑体" w:hAnsi="黑体" w:eastAsia="黑体" w:cs="黑体"/>
                <w:color w:val="000000"/>
                <w:sz w:val="18"/>
                <w:szCs w:val="18"/>
              </w:rPr>
              <w:t>财务负责人：谭春乔</w:t>
            </w:r>
          </w:p>
        </w:tc>
      </w:tr>
    </w:tbl>
    <w:p w14:paraId="7A4DD9E0">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2FBADD08">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67584099">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089C2ADC">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7E147F66">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3EB782D0">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0240ABCF">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3735B4B2">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4CBF00EE">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5D389582">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62AD8F1D">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463E6966">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2B3F4129">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63128285">
      <w:pPr>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简体" w:cs="方正小标宋简体"/>
          <w:sz w:val="44"/>
          <w:szCs w:val="44"/>
        </w:rPr>
      </w:pPr>
    </w:p>
    <w:p w14:paraId="0A21C20F">
      <w:pPr>
        <w:keepLines w:val="0"/>
        <w:pageBreakBefore w:val="0"/>
        <w:widowControl w:val="0"/>
        <w:kinsoku/>
        <w:wordWrap/>
        <w:overflowPunct/>
        <w:topLinePunct w:val="0"/>
        <w:autoSpaceDE/>
        <w:autoSpaceDN/>
        <w:bidi w:val="0"/>
        <w:adjustRightInd/>
        <w:snapToGrid/>
        <w:spacing w:line="560" w:lineRule="exact"/>
        <w:jc w:val="center"/>
        <w:textAlignment w:val="auto"/>
        <w:rPr>
          <w:rStyle w:val="202"/>
          <w:rFonts w:hint="eastAsia" w:eastAsia="方正小标宋简体" w:cs="方正小标宋简体"/>
          <w:b w:val="0"/>
          <w:bCs w:val="0"/>
        </w:rPr>
      </w:pPr>
      <w:r>
        <w:rPr>
          <w:rFonts w:hint="eastAsia" w:eastAsia="方正小标宋简体" w:cs="方正小标宋简体"/>
          <w:sz w:val="44"/>
          <w:szCs w:val="44"/>
        </w:rPr>
        <w:t>第</w:t>
      </w:r>
      <w:r>
        <w:rPr>
          <w:rStyle w:val="202"/>
          <w:rFonts w:hint="eastAsia" w:eastAsia="方正小标宋简体" w:cs="方正小标宋简体"/>
          <w:b w:val="0"/>
          <w:bCs w:val="0"/>
        </w:rPr>
        <w:t>五部分</w:t>
      </w:r>
      <w:r>
        <w:rPr>
          <w:rStyle w:val="202"/>
          <w:rFonts w:eastAsia="方正小标宋简体"/>
          <w:b w:val="0"/>
          <w:bCs w:val="0"/>
        </w:rPr>
        <w:t xml:space="preserve"> </w:t>
      </w:r>
      <w:r>
        <w:rPr>
          <w:rStyle w:val="202"/>
          <w:rFonts w:hint="eastAsia" w:eastAsia="方正小标宋简体" w:cs="方正小标宋简体"/>
          <w:b w:val="0"/>
          <w:bCs w:val="0"/>
        </w:rPr>
        <w:t>附表</w:t>
      </w:r>
      <w:bookmarkEnd w:id="112"/>
      <w:bookmarkEnd w:id="113"/>
      <w:bookmarkEnd w:id="114"/>
    </w:p>
    <w:p w14:paraId="2FBFE4E5">
      <w:pPr>
        <w:pStyle w:val="3"/>
      </w:pPr>
    </w:p>
    <w:p w14:paraId="11FFD974">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49" w:name="_Toc12137"/>
      <w:r>
        <w:rPr>
          <w:rFonts w:hint="eastAsia" w:ascii="仿宋_GB2312" w:hAnsi="仿宋_GB2312" w:eastAsia="仿宋_GB2312" w:cs="仿宋_GB2312"/>
          <w:b w:val="0"/>
          <w:bCs w:val="0"/>
          <w:i w:val="0"/>
          <w:iCs w:val="0"/>
          <w:color w:val="000000"/>
          <w:kern w:val="0"/>
          <w:sz w:val="32"/>
          <w:szCs w:val="32"/>
          <w:lang w:val="en-US" w:eastAsia="zh-CN" w:bidi="ar-SA"/>
        </w:rPr>
        <w:t>一、收入支出决算总表</w:t>
      </w:r>
      <w:bookmarkEnd w:id="149"/>
    </w:p>
    <w:p w14:paraId="555449BD">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0" w:name="_Toc1841"/>
      <w:r>
        <w:rPr>
          <w:rFonts w:hint="eastAsia" w:ascii="仿宋_GB2312" w:hAnsi="仿宋_GB2312" w:eastAsia="仿宋_GB2312" w:cs="仿宋_GB2312"/>
          <w:b w:val="0"/>
          <w:bCs w:val="0"/>
          <w:i w:val="0"/>
          <w:iCs w:val="0"/>
          <w:color w:val="000000"/>
          <w:kern w:val="0"/>
          <w:sz w:val="32"/>
          <w:szCs w:val="32"/>
          <w:lang w:val="en-US" w:eastAsia="zh-CN" w:bidi="ar-SA"/>
        </w:rPr>
        <w:t>二、收入决算表</w:t>
      </w:r>
      <w:bookmarkEnd w:id="150"/>
    </w:p>
    <w:p w14:paraId="4D4C9377">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1" w:name="_Toc10180"/>
      <w:r>
        <w:rPr>
          <w:rFonts w:hint="eastAsia" w:ascii="仿宋_GB2312" w:hAnsi="仿宋_GB2312" w:eastAsia="仿宋_GB2312" w:cs="仿宋_GB2312"/>
          <w:b w:val="0"/>
          <w:bCs w:val="0"/>
          <w:i w:val="0"/>
          <w:iCs w:val="0"/>
          <w:color w:val="000000"/>
          <w:kern w:val="0"/>
          <w:sz w:val="32"/>
          <w:szCs w:val="32"/>
          <w:lang w:val="en-US" w:eastAsia="zh-CN" w:bidi="ar-SA"/>
        </w:rPr>
        <w:t>三、支出决算表</w:t>
      </w:r>
      <w:bookmarkEnd w:id="151"/>
    </w:p>
    <w:p w14:paraId="31C8370E">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2" w:name="_Toc32314"/>
      <w:r>
        <w:rPr>
          <w:rFonts w:hint="eastAsia" w:ascii="仿宋_GB2312" w:hAnsi="仿宋_GB2312" w:eastAsia="仿宋_GB2312" w:cs="仿宋_GB2312"/>
          <w:b w:val="0"/>
          <w:bCs w:val="0"/>
          <w:i w:val="0"/>
          <w:iCs w:val="0"/>
          <w:color w:val="000000"/>
          <w:kern w:val="0"/>
          <w:sz w:val="32"/>
          <w:szCs w:val="32"/>
          <w:lang w:val="en-US" w:eastAsia="zh-CN" w:bidi="ar-SA"/>
        </w:rPr>
        <w:t>四、财政拨款收入支出决算总表</w:t>
      </w:r>
      <w:bookmarkEnd w:id="152"/>
    </w:p>
    <w:p w14:paraId="533FB875">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3" w:name="_Toc637"/>
      <w:r>
        <w:rPr>
          <w:rFonts w:hint="eastAsia" w:ascii="仿宋_GB2312" w:hAnsi="仿宋_GB2312" w:eastAsia="仿宋_GB2312" w:cs="仿宋_GB2312"/>
          <w:b w:val="0"/>
          <w:bCs w:val="0"/>
          <w:i w:val="0"/>
          <w:iCs w:val="0"/>
          <w:color w:val="000000"/>
          <w:kern w:val="0"/>
          <w:sz w:val="32"/>
          <w:szCs w:val="32"/>
          <w:lang w:val="en-US" w:eastAsia="zh-CN" w:bidi="ar-SA"/>
        </w:rPr>
        <w:t>五、财政拨款支出决算明细表</w:t>
      </w:r>
      <w:bookmarkEnd w:id="153"/>
    </w:p>
    <w:p w14:paraId="379868D6">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4" w:name="_Toc3636"/>
      <w:r>
        <w:rPr>
          <w:rFonts w:hint="eastAsia" w:ascii="仿宋_GB2312" w:hAnsi="仿宋_GB2312" w:eastAsia="仿宋_GB2312" w:cs="仿宋_GB2312"/>
          <w:b w:val="0"/>
          <w:bCs w:val="0"/>
          <w:i w:val="0"/>
          <w:iCs w:val="0"/>
          <w:color w:val="000000"/>
          <w:kern w:val="0"/>
          <w:sz w:val="32"/>
          <w:szCs w:val="32"/>
          <w:lang w:val="en-US" w:eastAsia="zh-CN" w:bidi="ar-SA"/>
        </w:rPr>
        <w:t>六、一般公共预算财政拨款支出决算表</w:t>
      </w:r>
      <w:bookmarkEnd w:id="154"/>
    </w:p>
    <w:p w14:paraId="40212CEE">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5" w:name="_Toc21307"/>
      <w:r>
        <w:rPr>
          <w:rFonts w:hint="eastAsia" w:ascii="仿宋_GB2312" w:hAnsi="仿宋_GB2312" w:eastAsia="仿宋_GB2312" w:cs="仿宋_GB2312"/>
          <w:b w:val="0"/>
          <w:bCs w:val="0"/>
          <w:i w:val="0"/>
          <w:iCs w:val="0"/>
          <w:color w:val="000000"/>
          <w:kern w:val="0"/>
          <w:sz w:val="32"/>
          <w:szCs w:val="32"/>
          <w:lang w:val="en-US" w:eastAsia="zh-CN" w:bidi="ar-SA"/>
        </w:rPr>
        <w:t>七、一般公共预算财政拨款支出决算明细表</w:t>
      </w:r>
      <w:bookmarkEnd w:id="155"/>
    </w:p>
    <w:p w14:paraId="16D0AC8D">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6" w:name="_Toc30350"/>
      <w:r>
        <w:rPr>
          <w:rFonts w:hint="eastAsia" w:ascii="仿宋_GB2312" w:hAnsi="仿宋_GB2312" w:eastAsia="仿宋_GB2312" w:cs="仿宋_GB2312"/>
          <w:b w:val="0"/>
          <w:bCs w:val="0"/>
          <w:i w:val="0"/>
          <w:iCs w:val="0"/>
          <w:color w:val="000000"/>
          <w:kern w:val="0"/>
          <w:sz w:val="32"/>
          <w:szCs w:val="32"/>
          <w:lang w:val="en-US" w:eastAsia="zh-CN" w:bidi="ar-SA"/>
        </w:rPr>
        <w:t>八、一般公共预算财政拨款基本支出决算明细表</w:t>
      </w:r>
      <w:bookmarkEnd w:id="156"/>
    </w:p>
    <w:p w14:paraId="2697A2C1">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7" w:name="_Toc29843"/>
      <w:r>
        <w:rPr>
          <w:rFonts w:hint="eastAsia" w:ascii="仿宋_GB2312" w:hAnsi="仿宋_GB2312" w:eastAsia="仿宋_GB2312" w:cs="仿宋_GB2312"/>
          <w:b w:val="0"/>
          <w:bCs w:val="0"/>
          <w:i w:val="0"/>
          <w:iCs w:val="0"/>
          <w:color w:val="000000"/>
          <w:kern w:val="0"/>
          <w:sz w:val="32"/>
          <w:szCs w:val="32"/>
          <w:lang w:val="en-US" w:eastAsia="zh-CN" w:bidi="ar-SA"/>
        </w:rPr>
        <w:t>九、一般公共预算财政拨款项目支出决算表</w:t>
      </w:r>
      <w:bookmarkEnd w:id="157"/>
    </w:p>
    <w:p w14:paraId="7B847F19">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8" w:name="_Toc17657"/>
      <w:r>
        <w:rPr>
          <w:rFonts w:hint="eastAsia" w:ascii="仿宋_GB2312" w:hAnsi="仿宋_GB2312" w:eastAsia="仿宋_GB2312" w:cs="仿宋_GB2312"/>
          <w:b w:val="0"/>
          <w:bCs w:val="0"/>
          <w:i w:val="0"/>
          <w:iCs w:val="0"/>
          <w:color w:val="000000"/>
          <w:kern w:val="0"/>
          <w:sz w:val="32"/>
          <w:szCs w:val="32"/>
          <w:lang w:val="en-US" w:eastAsia="zh-CN" w:bidi="ar-SA"/>
        </w:rPr>
        <w:t>十、政府性基金预算财政拨款收入支出决算表</w:t>
      </w:r>
      <w:bookmarkEnd w:id="158"/>
    </w:p>
    <w:p w14:paraId="2A286E8D">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59" w:name="_Toc11540"/>
      <w:r>
        <w:rPr>
          <w:rFonts w:hint="eastAsia" w:ascii="仿宋_GB2312" w:hAnsi="仿宋_GB2312" w:eastAsia="仿宋_GB2312" w:cs="仿宋_GB2312"/>
          <w:b w:val="0"/>
          <w:bCs w:val="0"/>
          <w:i w:val="0"/>
          <w:iCs w:val="0"/>
          <w:color w:val="000000"/>
          <w:kern w:val="0"/>
          <w:sz w:val="32"/>
          <w:szCs w:val="32"/>
          <w:lang w:val="en-US" w:eastAsia="zh-CN" w:bidi="ar-SA"/>
        </w:rPr>
        <w:t>十一、国有资本经营预算财政拨款收入支出决算表</w:t>
      </w:r>
      <w:bookmarkEnd w:id="159"/>
    </w:p>
    <w:p w14:paraId="2FCEEDC4">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60" w:name="_Toc32462"/>
      <w:r>
        <w:rPr>
          <w:rFonts w:hint="eastAsia" w:ascii="仿宋_GB2312" w:hAnsi="仿宋_GB2312" w:eastAsia="仿宋_GB2312" w:cs="仿宋_GB2312"/>
          <w:b w:val="0"/>
          <w:bCs w:val="0"/>
          <w:i w:val="0"/>
          <w:iCs w:val="0"/>
          <w:color w:val="000000"/>
          <w:kern w:val="0"/>
          <w:sz w:val="32"/>
          <w:szCs w:val="32"/>
          <w:lang w:val="en-US" w:eastAsia="zh-CN" w:bidi="ar-SA"/>
        </w:rPr>
        <w:t>十二、国有资本经营预算财政拨款支出决算表</w:t>
      </w:r>
      <w:bookmarkEnd w:id="160"/>
    </w:p>
    <w:p w14:paraId="46D87A3E">
      <w:pPr>
        <w:pStyle w:val="196"/>
        <w:keepLines w:val="0"/>
        <w:pageBreakBefore w:val="0"/>
        <w:widowControl w:val="0"/>
        <w:kinsoku/>
        <w:wordWrap/>
        <w:overflowPunct/>
        <w:topLinePunct w:val="0"/>
        <w:autoSpaceDE/>
        <w:autoSpaceDN/>
        <w:bidi w:val="0"/>
        <w:adjustRightInd/>
        <w:snapToGrid/>
        <w:spacing w:before="0" w:after="0" w:line="560" w:lineRule="exact"/>
        <w:textAlignment w:val="auto"/>
        <w:rPr>
          <w:rFonts w:hint="eastAsia" w:ascii="仿宋_GB2312" w:hAnsi="仿宋_GB2312" w:eastAsia="仿宋_GB2312" w:cs="仿宋_GB2312"/>
          <w:b w:val="0"/>
          <w:bCs w:val="0"/>
          <w:i w:val="0"/>
          <w:iCs w:val="0"/>
          <w:color w:val="000000"/>
          <w:kern w:val="0"/>
          <w:sz w:val="32"/>
          <w:szCs w:val="32"/>
          <w:lang w:val="en-US" w:eastAsia="zh-CN" w:bidi="ar-SA"/>
        </w:rPr>
      </w:pPr>
      <w:bookmarkStart w:id="161" w:name="_Toc27058"/>
      <w:r>
        <w:rPr>
          <w:rFonts w:hint="eastAsia" w:ascii="仿宋_GB2312" w:hAnsi="仿宋_GB2312" w:eastAsia="仿宋_GB2312" w:cs="仿宋_GB2312"/>
          <w:b w:val="0"/>
          <w:bCs w:val="0"/>
          <w:i w:val="0"/>
          <w:iCs w:val="0"/>
          <w:color w:val="000000"/>
          <w:kern w:val="0"/>
          <w:sz w:val="32"/>
          <w:szCs w:val="32"/>
          <w:lang w:val="en-US" w:eastAsia="zh-CN" w:bidi="ar-SA"/>
        </w:rPr>
        <w:t>十三、财政拨款“三公”经费支出决算表</w:t>
      </w:r>
      <w:bookmarkEnd w:id="161"/>
    </w:p>
    <w:p w14:paraId="7857E368">
      <w:pPr>
        <w:spacing w:line="540" w:lineRule="exact"/>
        <w:rPr>
          <w:rFonts w:cs="Times New Roman"/>
        </w:rPr>
      </w:pPr>
    </w:p>
    <w:p w14:paraId="432069EA">
      <w:pPr>
        <w:tabs>
          <w:tab w:val="left" w:pos="970"/>
        </w:tabs>
        <w:spacing w:line="20" w:lineRule="exact"/>
        <w:jc w:val="left"/>
        <w:rPr>
          <w:rFonts w:cs="Times New Roman"/>
        </w:rPr>
      </w:pPr>
      <w:r>
        <w:rPr>
          <w:rFonts w:cs="Times New Roman"/>
        </w:rPr>
        <w:tab/>
      </w:r>
    </w:p>
    <w:p w14:paraId="2DC5B98D">
      <w:pPr>
        <w:spacing w:line="20" w:lineRule="exact"/>
        <w:jc w:val="left"/>
        <w:rPr>
          <w:rFonts w:cs="Times New Roman"/>
        </w:rPr>
      </w:pPr>
    </w:p>
    <w:sectPr>
      <w:pgSz w:w="11906" w:h="16838" w:orient="landscape"/>
      <w:pgMar w:top="1803" w:right="1440" w:bottom="1803" w:left="1440" w:header="851" w:footer="1701" w:gutter="0"/>
      <w:pgNumType w:fmt="decimal"/>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F18D0E-72CB-4B60-9DBB-D20505F7BA57}"/>
  </w:font>
  <w:font w:name="Courier New">
    <w:panose1 w:val="02070309020205020404"/>
    <w:charset w:val="01"/>
    <w:family w:val="modern"/>
    <w:pitch w:val="default"/>
    <w:sig w:usb0="E0002AFF" w:usb1="C0007843" w:usb2="00000009" w:usb3="00000000" w:csb0="400001FF" w:csb1="FFFF0000"/>
    <w:embedRegular r:id="rId2" w:fontKey="{E69FDE6C-EFEB-4364-87F2-0802B7B2A70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0DF2FE42-F25B-426C-8B10-D2222A41365A}"/>
  </w:font>
  <w:font w:name="仿宋_GB2312">
    <w:panose1 w:val="02010609030101010101"/>
    <w:charset w:val="86"/>
    <w:family w:val="modern"/>
    <w:pitch w:val="default"/>
    <w:sig w:usb0="00000001" w:usb1="080E0000" w:usb2="00000000" w:usb3="00000000" w:csb0="00040000" w:csb1="00000000"/>
    <w:embedRegular r:id="rId4" w:fontKey="{5524E1F9-9110-49C0-8FB4-EB661DEA4C5C}"/>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5" w:fontKey="{D90BD7B7-83CC-4356-A590-FABCAFDDBEE1}"/>
  </w:font>
  <w:font w:name="楷体_GB2312">
    <w:panose1 w:val="02010609030101010101"/>
    <w:charset w:val="86"/>
    <w:family w:val="modern"/>
    <w:pitch w:val="default"/>
    <w:sig w:usb0="00000001" w:usb1="080E0000" w:usb2="00000000" w:usb3="00000000" w:csb0="00040000" w:csb1="00000000"/>
    <w:embedRegular r:id="rId6" w:fontKey="{F329F439-6DCA-4FC0-AF0F-DA325FA045B1}"/>
  </w:font>
  <w:font w:name="仿宋">
    <w:panose1 w:val="02010609060101010101"/>
    <w:charset w:val="86"/>
    <w:family w:val="modern"/>
    <w:pitch w:val="default"/>
    <w:sig w:usb0="800002BF" w:usb1="38CF7CFA" w:usb2="00000016" w:usb3="00000000" w:csb0="00040001" w:csb1="00000000"/>
    <w:embedRegular r:id="rId7" w:fontKey="{440DE957-D19B-489A-8924-687BB609D181}"/>
  </w:font>
  <w:font w:name="??">
    <w:altName w:val="Times New Roman"/>
    <w:panose1 w:val="00000000000000000000"/>
    <w:charset w:val="00"/>
    <w:family w:val="roman"/>
    <w:pitch w:val="default"/>
    <w:sig w:usb0="00000000" w:usb1="00000000" w:usb2="00000000" w:usb3="00000000" w:csb0="00000001" w:csb1="00000000"/>
  </w:font>
  <w:font w:name="方正仿宋简体">
    <w:panose1 w:val="03000509000000000000"/>
    <w:charset w:val="86"/>
    <w:family w:val="script"/>
    <w:pitch w:val="default"/>
    <w:sig w:usb0="00000001" w:usb1="080E0000" w:usb2="00000000" w:usb3="00000000" w:csb0="00040000" w:csb1="00000000"/>
    <w:embedRegular r:id="rId8" w:fontKey="{0EA552EC-0057-4F83-87FE-7A68D9DF8D74}"/>
  </w:font>
  <w:font w:name="方正小标宋简体">
    <w:altName w:val="黑体"/>
    <w:panose1 w:val="02010601030101010101"/>
    <w:charset w:val="86"/>
    <w:family w:val="script"/>
    <w:pitch w:val="default"/>
    <w:sig w:usb0="00000000" w:usb1="00000000" w:usb2="00000000" w:usb3="00000000" w:csb0="00040000" w:csb1="00000000"/>
    <w:embedRegular r:id="rId9" w:fontKey="{B709D0E4-1C9D-4249-BE78-7D298AE97F3C}"/>
  </w:font>
  <w:font w:name="方正黑体简体">
    <w:panose1 w:val="02000000000000000000"/>
    <w:charset w:val="86"/>
    <w:family w:val="auto"/>
    <w:pitch w:val="default"/>
    <w:sig w:usb0="A00002BF" w:usb1="184F6CFA" w:usb2="00000012" w:usb3="00000000" w:csb0="00040001" w:csb1="00000000"/>
    <w:embedRegular r:id="rId10" w:fontKey="{93A465F5-97CE-401F-A5CA-977C701496BB}"/>
  </w:font>
  <w:font w:name="WPSEMBED1">
    <w:panose1 w:val="02010609030101010101"/>
    <w:charset w:val="86"/>
    <w:family w:val="auto"/>
    <w:pitch w:val="default"/>
    <w:sig w:usb0="00000001" w:usb1="080E0000" w:usb2="00000000" w:usb3="00000000" w:csb0="00040000" w:csb1="00000000"/>
  </w:font>
  <w:font w:name="WPSEMBED4">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75EB7">
    <w:pPr>
      <w:pStyle w:val="211"/>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13A1B">
    <w:pPr>
      <w:pStyle w:val="211"/>
      <w:tabs>
        <w:tab w:val="center" w:pos="4422"/>
        <w:tab w:val="clear" w:pos="4153"/>
      </w:tabs>
      <w:ind w:right="360" w:firstLine="360"/>
      <w:rPr>
        <w:rFonts w:cs="Times New Roman"/>
      </w:rPr>
    </w:pPr>
    <w:r>
      <w:rPr>
        <w:rFonts w:hint="eastAsia"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6A284">
    <w:pPr>
      <w:pStyle w:val="211"/>
      <w:tabs>
        <w:tab w:val="center" w:pos="4422"/>
        <w:tab w:val="clear" w:pos="4153"/>
      </w:tabs>
      <w:ind w:right="360" w:firstLine="360"/>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8C268">
                          <w:pPr>
                            <w:pStyle w:val="2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A8C268">
                    <w:pPr>
                      <w:pStyle w:val="2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r>
      <w:rPr>
        <w:rFonts w:hint="eastAsia" w:cs="Times New Roman"/>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BC91E">
    <w:pPr>
      <w:pStyle w:val="212"/>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0D36DF"/>
    <w:multiLevelType w:val="multilevel"/>
    <w:tmpl w:val="9A0D36DF"/>
    <w:lvl w:ilvl="0" w:tentative="0">
      <w:start w:val="1"/>
      <w:numFmt w:val="decimal"/>
      <w:pStyle w:val="204"/>
      <w:suff w:val="space"/>
      <w:lvlText w:val="%1."/>
      <w:lvlJc w:val="left"/>
      <w:pPr>
        <w:tabs>
          <w:tab w:val="left" w:pos="360"/>
        </w:tabs>
        <w:ind w:left="360" w:hanging="360"/>
      </w:pPr>
    </w:lvl>
    <w:lvl w:ilvl="1" w:tentative="0">
      <w:start w:val="1"/>
      <w:numFmt w:val="bullet"/>
      <w:suff w:val="space"/>
      <w:lvlText w:val="o"/>
      <w:lvlJc w:val="left"/>
      <w:pPr>
        <w:ind w:left="1440" w:hanging="360"/>
      </w:pPr>
      <w:rPr>
        <w:rFonts w:hint="default" w:ascii="Courier New" w:hAnsi="Courier New" w:eastAsia="Times New Roman"/>
      </w:rPr>
    </w:lvl>
    <w:lvl w:ilvl="2" w:tentative="0">
      <w:start w:val="1"/>
      <w:numFmt w:val="bullet"/>
      <w:suff w:val="space"/>
      <w:lvlText w:val="§"/>
      <w:lvlJc w:val="left"/>
      <w:pPr>
        <w:ind w:left="2160" w:hanging="360"/>
      </w:pPr>
      <w:rPr>
        <w:rFonts w:hint="default" w:ascii="Wingdings" w:hAnsi="Wingdings" w:eastAsia="Times New Roman"/>
      </w:rPr>
    </w:lvl>
    <w:lvl w:ilvl="3" w:tentative="0">
      <w:start w:val="1"/>
      <w:numFmt w:val="bullet"/>
      <w:suff w:val="space"/>
      <w:lvlText w:val="·"/>
      <w:lvlJc w:val="left"/>
      <w:pPr>
        <w:ind w:left="2880" w:hanging="360"/>
      </w:pPr>
      <w:rPr>
        <w:rFonts w:hint="default" w:ascii="Symbol" w:hAnsi="Symbol" w:eastAsia="Times New Roman"/>
      </w:rPr>
    </w:lvl>
    <w:lvl w:ilvl="4" w:tentative="0">
      <w:start w:val="1"/>
      <w:numFmt w:val="bullet"/>
      <w:suff w:val="space"/>
      <w:lvlText w:val="o"/>
      <w:lvlJc w:val="left"/>
      <w:pPr>
        <w:ind w:left="3600" w:hanging="360"/>
      </w:pPr>
      <w:rPr>
        <w:rFonts w:hint="default" w:ascii="Courier New" w:hAnsi="Courier New" w:eastAsia="Times New Roman"/>
      </w:rPr>
    </w:lvl>
    <w:lvl w:ilvl="5" w:tentative="0">
      <w:start w:val="1"/>
      <w:numFmt w:val="bullet"/>
      <w:suff w:val="space"/>
      <w:lvlText w:val="§"/>
      <w:lvlJc w:val="left"/>
      <w:pPr>
        <w:ind w:left="4320" w:hanging="360"/>
      </w:pPr>
      <w:rPr>
        <w:rFonts w:hint="default" w:ascii="Wingdings" w:hAnsi="Wingdings" w:eastAsia="Times New Roman"/>
      </w:rPr>
    </w:lvl>
    <w:lvl w:ilvl="6" w:tentative="0">
      <w:start w:val="1"/>
      <w:numFmt w:val="bullet"/>
      <w:suff w:val="space"/>
      <w:lvlText w:val="·"/>
      <w:lvlJc w:val="left"/>
      <w:pPr>
        <w:ind w:left="5040" w:hanging="360"/>
      </w:pPr>
      <w:rPr>
        <w:rFonts w:hint="default" w:ascii="Symbol" w:hAnsi="Symbol" w:eastAsia="Times New Roman"/>
      </w:rPr>
    </w:lvl>
    <w:lvl w:ilvl="7" w:tentative="0">
      <w:start w:val="1"/>
      <w:numFmt w:val="bullet"/>
      <w:suff w:val="space"/>
      <w:lvlText w:val="o"/>
      <w:lvlJc w:val="left"/>
      <w:pPr>
        <w:ind w:left="5760" w:hanging="360"/>
      </w:pPr>
      <w:rPr>
        <w:rFonts w:hint="default" w:ascii="Courier New" w:hAnsi="Courier New" w:eastAsia="Times New Roman"/>
      </w:rPr>
    </w:lvl>
    <w:lvl w:ilvl="8" w:tentative="0">
      <w:start w:val="1"/>
      <w:numFmt w:val="bullet"/>
      <w:suff w:val="space"/>
      <w:lvlText w:val="§"/>
      <w:lvlJc w:val="left"/>
      <w:pPr>
        <w:ind w:left="6480" w:hanging="360"/>
      </w:pPr>
      <w:rPr>
        <w:rFonts w:hint="default" w:ascii="Wingdings" w:hAnsi="Wingdings" w:eastAsia="Times New Roman"/>
      </w:rPr>
    </w:lvl>
  </w:abstractNum>
  <w:abstractNum w:abstractNumId="1">
    <w:nsid w:val="A9BCE6CE"/>
    <w:multiLevelType w:val="multilevel"/>
    <w:tmpl w:val="A9BCE6CE"/>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Times New Roman"/>
      </w:rPr>
    </w:lvl>
    <w:lvl w:ilvl="2" w:tentative="0">
      <w:start w:val="1"/>
      <w:numFmt w:val="bullet"/>
      <w:suff w:val="space"/>
      <w:lvlText w:val="§"/>
      <w:lvlJc w:val="left"/>
      <w:pPr>
        <w:ind w:left="2160" w:hanging="360"/>
      </w:pPr>
      <w:rPr>
        <w:rFonts w:hint="default" w:ascii="Wingdings" w:hAnsi="Wingdings" w:eastAsia="Times New Roman"/>
      </w:rPr>
    </w:lvl>
    <w:lvl w:ilvl="3" w:tentative="0">
      <w:start w:val="1"/>
      <w:numFmt w:val="bullet"/>
      <w:suff w:val="space"/>
      <w:lvlText w:val="·"/>
      <w:lvlJc w:val="left"/>
      <w:pPr>
        <w:ind w:left="2880" w:hanging="360"/>
      </w:pPr>
      <w:rPr>
        <w:rFonts w:hint="default" w:ascii="Symbol" w:hAnsi="Symbol" w:eastAsia="Times New Roman"/>
      </w:rPr>
    </w:lvl>
    <w:lvl w:ilvl="4" w:tentative="0">
      <w:start w:val="1"/>
      <w:numFmt w:val="bullet"/>
      <w:suff w:val="space"/>
      <w:lvlText w:val="o"/>
      <w:lvlJc w:val="left"/>
      <w:pPr>
        <w:ind w:left="3600" w:hanging="360"/>
      </w:pPr>
      <w:rPr>
        <w:rFonts w:hint="default" w:ascii="Courier New" w:hAnsi="Courier New" w:eastAsia="Times New Roman"/>
      </w:rPr>
    </w:lvl>
    <w:lvl w:ilvl="5" w:tentative="0">
      <w:start w:val="1"/>
      <w:numFmt w:val="bullet"/>
      <w:suff w:val="space"/>
      <w:lvlText w:val="§"/>
      <w:lvlJc w:val="left"/>
      <w:pPr>
        <w:ind w:left="4320" w:hanging="360"/>
      </w:pPr>
      <w:rPr>
        <w:rFonts w:hint="default" w:ascii="Wingdings" w:hAnsi="Wingdings" w:eastAsia="Times New Roman"/>
      </w:rPr>
    </w:lvl>
    <w:lvl w:ilvl="6" w:tentative="0">
      <w:start w:val="1"/>
      <w:numFmt w:val="bullet"/>
      <w:suff w:val="space"/>
      <w:lvlText w:val="·"/>
      <w:lvlJc w:val="left"/>
      <w:pPr>
        <w:ind w:left="5040" w:hanging="360"/>
      </w:pPr>
      <w:rPr>
        <w:rFonts w:hint="default" w:ascii="Symbol" w:hAnsi="Symbol" w:eastAsia="Times New Roman"/>
      </w:rPr>
    </w:lvl>
    <w:lvl w:ilvl="7" w:tentative="0">
      <w:start w:val="1"/>
      <w:numFmt w:val="bullet"/>
      <w:suff w:val="space"/>
      <w:lvlText w:val="o"/>
      <w:lvlJc w:val="left"/>
      <w:pPr>
        <w:ind w:left="5760" w:hanging="360"/>
      </w:pPr>
      <w:rPr>
        <w:rFonts w:hint="default" w:ascii="Courier New" w:hAnsi="Courier New" w:eastAsia="Times New Roman"/>
      </w:rPr>
    </w:lvl>
    <w:lvl w:ilvl="8" w:tentative="0">
      <w:start w:val="1"/>
      <w:numFmt w:val="bullet"/>
      <w:suff w:val="space"/>
      <w:lvlText w:val="§"/>
      <w:lvlJc w:val="left"/>
      <w:pPr>
        <w:ind w:left="6480" w:hanging="360"/>
      </w:pPr>
      <w:rPr>
        <w:rFonts w:hint="default" w:ascii="Wingdings" w:hAnsi="Wingdings" w:eastAsia="Times New Roman"/>
      </w:rPr>
    </w:lvl>
  </w:abstractNum>
  <w:abstractNum w:abstractNumId="2">
    <w:nsid w:val="CD770A2E"/>
    <w:multiLevelType w:val="multilevel"/>
    <w:tmpl w:val="CD770A2E"/>
    <w:lvl w:ilvl="0" w:tentative="0">
      <w:start w:val="9"/>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Times New Roman"/>
      </w:rPr>
    </w:lvl>
    <w:lvl w:ilvl="2" w:tentative="0">
      <w:start w:val="1"/>
      <w:numFmt w:val="bullet"/>
      <w:suff w:val="space"/>
      <w:lvlText w:val="§"/>
      <w:lvlJc w:val="left"/>
      <w:pPr>
        <w:ind w:left="2160" w:hanging="360"/>
      </w:pPr>
      <w:rPr>
        <w:rFonts w:hint="default" w:ascii="Wingdings" w:hAnsi="Wingdings" w:eastAsia="Times New Roman"/>
      </w:rPr>
    </w:lvl>
    <w:lvl w:ilvl="3" w:tentative="0">
      <w:start w:val="1"/>
      <w:numFmt w:val="bullet"/>
      <w:suff w:val="space"/>
      <w:lvlText w:val="·"/>
      <w:lvlJc w:val="left"/>
      <w:pPr>
        <w:ind w:left="2880" w:hanging="360"/>
      </w:pPr>
      <w:rPr>
        <w:rFonts w:hint="default" w:ascii="Symbol" w:hAnsi="Symbol" w:eastAsia="Times New Roman"/>
      </w:rPr>
    </w:lvl>
    <w:lvl w:ilvl="4" w:tentative="0">
      <w:start w:val="1"/>
      <w:numFmt w:val="bullet"/>
      <w:suff w:val="space"/>
      <w:lvlText w:val="o"/>
      <w:lvlJc w:val="left"/>
      <w:pPr>
        <w:ind w:left="3600" w:hanging="360"/>
      </w:pPr>
      <w:rPr>
        <w:rFonts w:hint="default" w:ascii="Courier New" w:hAnsi="Courier New" w:eastAsia="Times New Roman"/>
      </w:rPr>
    </w:lvl>
    <w:lvl w:ilvl="5" w:tentative="0">
      <w:start w:val="1"/>
      <w:numFmt w:val="bullet"/>
      <w:suff w:val="space"/>
      <w:lvlText w:val="§"/>
      <w:lvlJc w:val="left"/>
      <w:pPr>
        <w:ind w:left="4320" w:hanging="360"/>
      </w:pPr>
      <w:rPr>
        <w:rFonts w:hint="default" w:ascii="Wingdings" w:hAnsi="Wingdings" w:eastAsia="Times New Roman"/>
      </w:rPr>
    </w:lvl>
    <w:lvl w:ilvl="6" w:tentative="0">
      <w:start w:val="1"/>
      <w:numFmt w:val="bullet"/>
      <w:suff w:val="space"/>
      <w:lvlText w:val="·"/>
      <w:lvlJc w:val="left"/>
      <w:pPr>
        <w:ind w:left="5040" w:hanging="360"/>
      </w:pPr>
      <w:rPr>
        <w:rFonts w:hint="default" w:ascii="Symbol" w:hAnsi="Symbol" w:eastAsia="Times New Roman"/>
      </w:rPr>
    </w:lvl>
    <w:lvl w:ilvl="7" w:tentative="0">
      <w:start w:val="1"/>
      <w:numFmt w:val="bullet"/>
      <w:suff w:val="space"/>
      <w:lvlText w:val="o"/>
      <w:lvlJc w:val="left"/>
      <w:pPr>
        <w:ind w:left="5760" w:hanging="360"/>
      </w:pPr>
      <w:rPr>
        <w:rFonts w:hint="default" w:ascii="Courier New" w:hAnsi="Courier New" w:eastAsia="Times New Roman"/>
      </w:rPr>
    </w:lvl>
    <w:lvl w:ilvl="8" w:tentative="0">
      <w:start w:val="1"/>
      <w:numFmt w:val="bullet"/>
      <w:suff w:val="space"/>
      <w:lvlText w:val="§"/>
      <w:lvlJc w:val="left"/>
      <w:pPr>
        <w:ind w:left="6480" w:hanging="360"/>
      </w:pPr>
      <w:rPr>
        <w:rFonts w:hint="default" w:ascii="Wingdings" w:hAnsi="Wingdings" w:eastAsia="Times New Roman"/>
      </w:rPr>
    </w:lvl>
  </w:abstractNum>
  <w:abstractNum w:abstractNumId="3">
    <w:nsid w:val="EF72B36D"/>
    <w:multiLevelType w:val="singleLevel"/>
    <w:tmpl w:val="EF72B36D"/>
    <w:lvl w:ilvl="0" w:tentative="0">
      <w:start w:val="1"/>
      <w:numFmt w:val="decimal"/>
      <w:pStyle w:val="12"/>
      <w:lvlText w:val="%1."/>
      <w:lvlJc w:val="left"/>
      <w:pPr>
        <w:tabs>
          <w:tab w:val="left"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mirrorMargins w:val="1"/>
  <w:documentProtection w:enforcement="0"/>
  <w:defaultTabStop w:val="420"/>
  <w:doNotHyphenateCaps/>
  <w:noPunctuationKerning w:val="1"/>
  <w:characterSpacingControl w:val="doNotCompress"/>
  <w:noLineBreaksAfter w:lang="zh-CN" w:val="$([{£¥·‘“〈《「『【〔〖〝﹙﹛﹝＄（．［｛￡￥"/>
  <w:noLineBreaksBefore w:lang="zh-CN" w:val="!%),.:;&gt;?]}¢¨°·ˇˉ―‖’”…‰′″›℃∶、。〃〉》」』】〕〗〞︶︺︾﹀﹄﹚﹜﹞！＂％＇），．：；？］｀｜｝～￠"/>
  <w:doNotValidateAgainstSchema/>
  <w:doNotDemarcateInvalidXml/>
  <w:hdrShapeDefaults>
    <o:shapelayout v:ext="edit">
      <o:idmap v:ext="edit" data="2"/>
    </o:shapelayout>
  </w:hdrShapeDefaults>
  <w:compat>
    <w:balanceSingleByteDoubleByteWidth/>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YTRkZTM2YmM4MzVhYzhlZTk1MjY0OTcyODk0Y2UifQ=="/>
  </w:docVars>
  <w:rsids>
    <w:rsidRoot w:val="009E2A1E"/>
    <w:rsid w:val="00140B38"/>
    <w:rsid w:val="0014637F"/>
    <w:rsid w:val="00154C36"/>
    <w:rsid w:val="0016243D"/>
    <w:rsid w:val="0018276F"/>
    <w:rsid w:val="00186DA3"/>
    <w:rsid w:val="001B1203"/>
    <w:rsid w:val="001F4E52"/>
    <w:rsid w:val="0023353D"/>
    <w:rsid w:val="002974E1"/>
    <w:rsid w:val="002B5543"/>
    <w:rsid w:val="0030783B"/>
    <w:rsid w:val="003152F4"/>
    <w:rsid w:val="003838F3"/>
    <w:rsid w:val="003B4B7E"/>
    <w:rsid w:val="003C3B03"/>
    <w:rsid w:val="004562FB"/>
    <w:rsid w:val="004A5490"/>
    <w:rsid w:val="004B02A9"/>
    <w:rsid w:val="004B3696"/>
    <w:rsid w:val="004D28B6"/>
    <w:rsid w:val="004E2F3D"/>
    <w:rsid w:val="00511000"/>
    <w:rsid w:val="00541E09"/>
    <w:rsid w:val="00574195"/>
    <w:rsid w:val="005A3ABE"/>
    <w:rsid w:val="005A7A2D"/>
    <w:rsid w:val="005C0D6D"/>
    <w:rsid w:val="006452D9"/>
    <w:rsid w:val="006549D0"/>
    <w:rsid w:val="006C5AE1"/>
    <w:rsid w:val="00730496"/>
    <w:rsid w:val="00782D70"/>
    <w:rsid w:val="00802BE8"/>
    <w:rsid w:val="008045B3"/>
    <w:rsid w:val="00813CD9"/>
    <w:rsid w:val="008550B4"/>
    <w:rsid w:val="008654D0"/>
    <w:rsid w:val="008D5777"/>
    <w:rsid w:val="008F16C3"/>
    <w:rsid w:val="00901D0F"/>
    <w:rsid w:val="0094369D"/>
    <w:rsid w:val="00946699"/>
    <w:rsid w:val="0096533B"/>
    <w:rsid w:val="009C0012"/>
    <w:rsid w:val="009E2A1E"/>
    <w:rsid w:val="00A64D24"/>
    <w:rsid w:val="00AD26F5"/>
    <w:rsid w:val="00AD47A1"/>
    <w:rsid w:val="00C2519A"/>
    <w:rsid w:val="00C2793E"/>
    <w:rsid w:val="00C55F1D"/>
    <w:rsid w:val="00CA0E0E"/>
    <w:rsid w:val="00CC613B"/>
    <w:rsid w:val="00CC6E00"/>
    <w:rsid w:val="00CE597B"/>
    <w:rsid w:val="00D836FC"/>
    <w:rsid w:val="00D96A75"/>
    <w:rsid w:val="00DD1C49"/>
    <w:rsid w:val="00E41B4E"/>
    <w:rsid w:val="00E569BB"/>
    <w:rsid w:val="00EA7C6B"/>
    <w:rsid w:val="00ED34AF"/>
    <w:rsid w:val="00F006E0"/>
    <w:rsid w:val="00F26249"/>
    <w:rsid w:val="00F57C79"/>
    <w:rsid w:val="00F927CC"/>
    <w:rsid w:val="00FF0D88"/>
    <w:rsid w:val="0179016F"/>
    <w:rsid w:val="02D54924"/>
    <w:rsid w:val="02DA23DE"/>
    <w:rsid w:val="03B42718"/>
    <w:rsid w:val="044D2922"/>
    <w:rsid w:val="04963CAA"/>
    <w:rsid w:val="057C7238"/>
    <w:rsid w:val="057E5747"/>
    <w:rsid w:val="05CD54B7"/>
    <w:rsid w:val="0BC84275"/>
    <w:rsid w:val="0D413ECD"/>
    <w:rsid w:val="0DB54520"/>
    <w:rsid w:val="0E7B2B5B"/>
    <w:rsid w:val="0E87741A"/>
    <w:rsid w:val="0FB06906"/>
    <w:rsid w:val="0FCD1C4E"/>
    <w:rsid w:val="10AF2C58"/>
    <w:rsid w:val="11DA61BE"/>
    <w:rsid w:val="120B6FE3"/>
    <w:rsid w:val="12E65CB2"/>
    <w:rsid w:val="13286CF2"/>
    <w:rsid w:val="17333FEB"/>
    <w:rsid w:val="176533C3"/>
    <w:rsid w:val="19A757E8"/>
    <w:rsid w:val="1BC11972"/>
    <w:rsid w:val="1CEE57C9"/>
    <w:rsid w:val="1F910CD6"/>
    <w:rsid w:val="21893052"/>
    <w:rsid w:val="21A8172A"/>
    <w:rsid w:val="21EB34F7"/>
    <w:rsid w:val="222F59A7"/>
    <w:rsid w:val="22576CAC"/>
    <w:rsid w:val="23053632"/>
    <w:rsid w:val="232A3C72"/>
    <w:rsid w:val="23482106"/>
    <w:rsid w:val="234A4691"/>
    <w:rsid w:val="24665464"/>
    <w:rsid w:val="25592D3B"/>
    <w:rsid w:val="25732771"/>
    <w:rsid w:val="257C4A29"/>
    <w:rsid w:val="25BF3FF0"/>
    <w:rsid w:val="28456FAE"/>
    <w:rsid w:val="286B1BCB"/>
    <w:rsid w:val="28EB63A0"/>
    <w:rsid w:val="2BB313F7"/>
    <w:rsid w:val="2D346567"/>
    <w:rsid w:val="2D356B44"/>
    <w:rsid w:val="311A5A74"/>
    <w:rsid w:val="315947EF"/>
    <w:rsid w:val="32584AA6"/>
    <w:rsid w:val="340D5878"/>
    <w:rsid w:val="3B0532F1"/>
    <w:rsid w:val="3C746980"/>
    <w:rsid w:val="3D571AF8"/>
    <w:rsid w:val="41EB2D57"/>
    <w:rsid w:val="422F00CF"/>
    <w:rsid w:val="427A2817"/>
    <w:rsid w:val="42A14ADB"/>
    <w:rsid w:val="4660751E"/>
    <w:rsid w:val="468E6891"/>
    <w:rsid w:val="470B3098"/>
    <w:rsid w:val="47D209FF"/>
    <w:rsid w:val="48111527"/>
    <w:rsid w:val="494425B2"/>
    <w:rsid w:val="4B133999"/>
    <w:rsid w:val="4C8E75EA"/>
    <w:rsid w:val="4CFD1DDD"/>
    <w:rsid w:val="4F4756FC"/>
    <w:rsid w:val="505619C9"/>
    <w:rsid w:val="50FC1A1F"/>
    <w:rsid w:val="54784C22"/>
    <w:rsid w:val="56C17EFE"/>
    <w:rsid w:val="57FF75EE"/>
    <w:rsid w:val="5951662F"/>
    <w:rsid w:val="5AF01470"/>
    <w:rsid w:val="5D705170"/>
    <w:rsid w:val="5E6713F7"/>
    <w:rsid w:val="61C176C2"/>
    <w:rsid w:val="63181564"/>
    <w:rsid w:val="632223E3"/>
    <w:rsid w:val="6352203A"/>
    <w:rsid w:val="640046FE"/>
    <w:rsid w:val="654337F2"/>
    <w:rsid w:val="656942F9"/>
    <w:rsid w:val="6BE4292B"/>
    <w:rsid w:val="6D2D3E5E"/>
    <w:rsid w:val="6E712470"/>
    <w:rsid w:val="6F196D90"/>
    <w:rsid w:val="6FEF3959"/>
    <w:rsid w:val="70814BED"/>
    <w:rsid w:val="72B50B7E"/>
    <w:rsid w:val="734F132C"/>
    <w:rsid w:val="7420471D"/>
    <w:rsid w:val="769D02A6"/>
    <w:rsid w:val="77762947"/>
    <w:rsid w:val="79450781"/>
    <w:rsid w:val="794964B0"/>
    <w:rsid w:val="7C596A1E"/>
    <w:rsid w:val="7CF664B3"/>
    <w:rsid w:val="7D177927"/>
    <w:rsid w:val="7E65497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ocked="1"/>
    <w:lsdException w:qFormat="1" w:unhideWhenUsed="0" w:uiPriority="99" w:name="footnote text"/>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uiPriority="99" w:name="annotation reference" w:locked="1"/>
    <w:lsdException w:uiPriority="99" w:name="line number" w:locked="1"/>
    <w:lsdException w:uiPriority="99" w:name="page number" w:locked="1"/>
    <w:lsdException w:qFormat="1" w:unhideWhenUsed="0" w:uiPriority="99" w:name="endnote reference"/>
    <w:lsdException w:qFormat="1" w:unhideWhenUsed="0" w:uiPriority="99"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nhideWhenUsed="0" w:uiPriority="99" w:name="List Number"/>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0"/>
      <w:sz w:val="32"/>
      <w:szCs w:val="32"/>
      <w:lang w:val="en-US" w:eastAsia="zh-CN" w:bidi="ar-SA"/>
    </w:rPr>
  </w:style>
  <w:style w:type="paragraph" w:styleId="2">
    <w:name w:val="heading 1"/>
    <w:basedOn w:val="1"/>
    <w:next w:val="1"/>
    <w:link w:val="42"/>
    <w:qFormat/>
    <w:uiPriority w:val="99"/>
    <w:pPr>
      <w:keepNext/>
      <w:keepLines/>
      <w:spacing w:before="480" w:after="200"/>
      <w:outlineLvl w:val="0"/>
    </w:pPr>
    <w:rPr>
      <w:rFonts w:ascii="等线" w:hAnsi="等线" w:eastAsia="等线" w:cs="等线"/>
      <w:sz w:val="40"/>
      <w:szCs w:val="40"/>
    </w:rPr>
  </w:style>
  <w:style w:type="paragraph" w:styleId="3">
    <w:name w:val="heading 2"/>
    <w:basedOn w:val="1"/>
    <w:next w:val="1"/>
    <w:link w:val="43"/>
    <w:qFormat/>
    <w:uiPriority w:val="99"/>
    <w:pPr>
      <w:keepNext/>
      <w:keepLines/>
      <w:spacing w:before="360" w:after="200"/>
      <w:outlineLvl w:val="1"/>
    </w:pPr>
    <w:rPr>
      <w:rFonts w:ascii="等线" w:hAnsi="等线" w:eastAsia="等线" w:cs="等线"/>
      <w:sz w:val="34"/>
      <w:szCs w:val="34"/>
    </w:rPr>
  </w:style>
  <w:style w:type="paragraph" w:styleId="4">
    <w:name w:val="heading 3"/>
    <w:basedOn w:val="1"/>
    <w:next w:val="1"/>
    <w:link w:val="44"/>
    <w:qFormat/>
    <w:uiPriority w:val="99"/>
    <w:pPr>
      <w:keepNext/>
      <w:keepLines/>
      <w:spacing w:before="320" w:after="200"/>
      <w:outlineLvl w:val="2"/>
    </w:pPr>
    <w:rPr>
      <w:rFonts w:ascii="等线" w:hAnsi="等线" w:eastAsia="等线" w:cs="等线"/>
      <w:sz w:val="30"/>
      <w:szCs w:val="30"/>
    </w:rPr>
  </w:style>
  <w:style w:type="paragraph" w:styleId="5">
    <w:name w:val="heading 4"/>
    <w:basedOn w:val="1"/>
    <w:next w:val="1"/>
    <w:link w:val="45"/>
    <w:qFormat/>
    <w:uiPriority w:val="9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6"/>
    <w:qFormat/>
    <w:uiPriority w:val="9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7"/>
    <w:qFormat/>
    <w:uiPriority w:val="9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8"/>
    <w:qFormat/>
    <w:uiPriority w:val="9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9"/>
    <w:qFormat/>
    <w:uiPriority w:val="9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50"/>
    <w:qFormat/>
    <w:uiPriority w:val="99"/>
    <w:pPr>
      <w:keepNext/>
      <w:keepLines/>
      <w:spacing w:before="320" w:after="200"/>
      <w:outlineLvl w:val="8"/>
    </w:pPr>
    <w:rPr>
      <w:rFonts w:ascii="等线" w:hAnsi="等线" w:eastAsia="等线" w:cs="等线"/>
      <w:i/>
      <w:iCs/>
      <w:sz w:val="21"/>
      <w:szCs w:val="21"/>
    </w:rPr>
  </w:style>
  <w:style w:type="character" w:default="1" w:styleId="37">
    <w:name w:val="Default Paragraph Font"/>
    <w:semiHidden/>
    <w:qFormat/>
    <w:uiPriority w:val="99"/>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spacing w:after="57"/>
      <w:ind w:left="1701"/>
    </w:pPr>
  </w:style>
  <w:style w:type="paragraph" w:styleId="12">
    <w:name w:val="List Number"/>
    <w:basedOn w:val="1"/>
    <w:semiHidden/>
    <w:qFormat/>
    <w:uiPriority w:val="99"/>
    <w:pPr>
      <w:numPr>
        <w:ilvl w:val="0"/>
        <w:numId w:val="1"/>
      </w:numPr>
    </w:pPr>
  </w:style>
  <w:style w:type="paragraph" w:styleId="13">
    <w:name w:val="caption"/>
    <w:basedOn w:val="1"/>
    <w:next w:val="1"/>
    <w:qFormat/>
    <w:uiPriority w:val="99"/>
    <w:pPr>
      <w:spacing w:line="276" w:lineRule="auto"/>
    </w:pPr>
    <w:rPr>
      <w:b/>
      <w:bCs/>
      <w:color w:val="4F81BD"/>
      <w:sz w:val="18"/>
      <w:szCs w:val="18"/>
    </w:rPr>
  </w:style>
  <w:style w:type="paragraph" w:styleId="14">
    <w:name w:val="annotation text"/>
    <w:basedOn w:val="1"/>
    <w:semiHidden/>
    <w:unhideWhenUsed/>
    <w:qFormat/>
    <w:locked/>
    <w:uiPriority w:val="99"/>
    <w:pPr>
      <w:jc w:val="left"/>
    </w:pPr>
  </w:style>
  <w:style w:type="paragraph" w:styleId="15">
    <w:name w:val="Body Text"/>
    <w:basedOn w:val="1"/>
    <w:link w:val="51"/>
    <w:qFormat/>
    <w:uiPriority w:val="99"/>
    <w:pPr>
      <w:spacing w:after="120"/>
    </w:pPr>
  </w:style>
  <w:style w:type="paragraph" w:styleId="16">
    <w:name w:val="Body Text Indent"/>
    <w:basedOn w:val="1"/>
    <w:next w:val="17"/>
    <w:link w:val="52"/>
    <w:qFormat/>
    <w:uiPriority w:val="99"/>
    <w:pPr>
      <w:spacing w:after="120"/>
      <w:ind w:left="200" w:leftChars="200"/>
    </w:pPr>
    <w:rPr>
      <w:rFonts w:ascii="仿宋_GB2312" w:cs="仿宋_GB2312"/>
    </w:rPr>
  </w:style>
  <w:style w:type="paragraph" w:styleId="17">
    <w:name w:val="Body Text First Indent 2"/>
    <w:basedOn w:val="16"/>
    <w:link w:val="53"/>
    <w:qFormat/>
    <w:uiPriority w:val="99"/>
    <w:pPr>
      <w:ind w:firstLine="420" w:firstLineChars="200"/>
    </w:pPr>
  </w:style>
  <w:style w:type="paragraph" w:styleId="18">
    <w:name w:val="toc 5"/>
    <w:basedOn w:val="1"/>
    <w:next w:val="1"/>
    <w:autoRedefine/>
    <w:semiHidden/>
    <w:qFormat/>
    <w:uiPriority w:val="99"/>
    <w:pPr>
      <w:spacing w:after="57"/>
      <w:ind w:left="1134"/>
    </w:pPr>
  </w:style>
  <w:style w:type="paragraph" w:styleId="19">
    <w:name w:val="toc 3"/>
    <w:basedOn w:val="1"/>
    <w:next w:val="1"/>
    <w:autoRedefine/>
    <w:semiHidden/>
    <w:qFormat/>
    <w:uiPriority w:val="99"/>
    <w:pPr>
      <w:spacing w:after="57"/>
      <w:ind w:left="567"/>
    </w:pPr>
  </w:style>
  <w:style w:type="paragraph" w:styleId="20">
    <w:name w:val="Plain Text"/>
    <w:basedOn w:val="1"/>
    <w:next w:val="18"/>
    <w:link w:val="54"/>
    <w:qFormat/>
    <w:uiPriority w:val="99"/>
    <w:rPr>
      <w:rFonts w:ascii="宋体" w:hAnsi="Courier New" w:cs="宋体"/>
      <w:sz w:val="20"/>
      <w:szCs w:val="20"/>
    </w:rPr>
  </w:style>
  <w:style w:type="paragraph" w:styleId="21">
    <w:name w:val="toc 8"/>
    <w:basedOn w:val="1"/>
    <w:next w:val="1"/>
    <w:autoRedefine/>
    <w:semiHidden/>
    <w:qFormat/>
    <w:uiPriority w:val="99"/>
    <w:pPr>
      <w:spacing w:after="57"/>
      <w:ind w:left="1984"/>
    </w:pPr>
  </w:style>
  <w:style w:type="paragraph" w:styleId="22">
    <w:name w:val="endnote text"/>
    <w:basedOn w:val="1"/>
    <w:link w:val="55"/>
    <w:semiHidden/>
    <w:qFormat/>
    <w:uiPriority w:val="99"/>
    <w:rPr>
      <w:rFonts w:ascii="Times New Roman" w:hAnsi="Times New Roman" w:eastAsia="宋体" w:cs="Times New Roman"/>
      <w:sz w:val="20"/>
      <w:szCs w:val="20"/>
    </w:rPr>
  </w:style>
  <w:style w:type="paragraph" w:styleId="23">
    <w:name w:val="Balloon Text"/>
    <w:basedOn w:val="1"/>
    <w:link w:val="56"/>
    <w:semiHidden/>
    <w:qFormat/>
    <w:uiPriority w:val="99"/>
    <w:rPr>
      <w:sz w:val="18"/>
      <w:szCs w:val="18"/>
    </w:rPr>
  </w:style>
  <w:style w:type="paragraph" w:styleId="24">
    <w:name w:val="footer"/>
    <w:basedOn w:val="1"/>
    <w:next w:val="1"/>
    <w:link w:val="68"/>
    <w:qFormat/>
    <w:uiPriority w:val="99"/>
    <w:pPr>
      <w:tabs>
        <w:tab w:val="center" w:pos="7143"/>
        <w:tab w:val="right" w:pos="14287"/>
      </w:tabs>
    </w:pPr>
  </w:style>
  <w:style w:type="paragraph" w:styleId="25">
    <w:name w:val="header"/>
    <w:basedOn w:val="1"/>
    <w:link w:val="58"/>
    <w:qFormat/>
    <w:uiPriority w:val="99"/>
    <w:pPr>
      <w:tabs>
        <w:tab w:val="center" w:pos="7143"/>
        <w:tab w:val="right" w:pos="14287"/>
      </w:tabs>
    </w:pPr>
  </w:style>
  <w:style w:type="paragraph" w:styleId="26">
    <w:name w:val="toc 1"/>
    <w:basedOn w:val="1"/>
    <w:next w:val="1"/>
    <w:autoRedefine/>
    <w:semiHidden/>
    <w:qFormat/>
    <w:uiPriority w:val="99"/>
    <w:pPr>
      <w:spacing w:after="57"/>
    </w:pPr>
  </w:style>
  <w:style w:type="paragraph" w:styleId="27">
    <w:name w:val="toc 4"/>
    <w:basedOn w:val="1"/>
    <w:next w:val="1"/>
    <w:autoRedefine/>
    <w:semiHidden/>
    <w:qFormat/>
    <w:uiPriority w:val="99"/>
    <w:pPr>
      <w:spacing w:after="57"/>
      <w:ind w:left="850"/>
    </w:pPr>
  </w:style>
  <w:style w:type="paragraph" w:styleId="28">
    <w:name w:val="Subtitle"/>
    <w:basedOn w:val="1"/>
    <w:next w:val="1"/>
    <w:link w:val="59"/>
    <w:qFormat/>
    <w:uiPriority w:val="99"/>
    <w:pPr>
      <w:spacing w:before="200" w:after="200"/>
    </w:pPr>
    <w:rPr>
      <w:rFonts w:ascii="Times New Roman" w:hAnsi="Times New Roman" w:eastAsia="宋体" w:cs="Times New Roman"/>
      <w:sz w:val="24"/>
      <w:szCs w:val="24"/>
    </w:rPr>
  </w:style>
  <w:style w:type="paragraph" w:styleId="29">
    <w:name w:val="footnote text"/>
    <w:basedOn w:val="1"/>
    <w:next w:val="17"/>
    <w:link w:val="60"/>
    <w:semiHidden/>
    <w:qFormat/>
    <w:uiPriority w:val="99"/>
    <w:pPr>
      <w:spacing w:after="40"/>
    </w:pPr>
    <w:rPr>
      <w:rFonts w:ascii="Times New Roman" w:hAnsi="Times New Roman" w:eastAsia="宋体" w:cs="Times New Roman"/>
      <w:sz w:val="18"/>
      <w:szCs w:val="18"/>
    </w:rPr>
  </w:style>
  <w:style w:type="paragraph" w:styleId="30">
    <w:name w:val="toc 6"/>
    <w:basedOn w:val="1"/>
    <w:next w:val="1"/>
    <w:autoRedefine/>
    <w:semiHidden/>
    <w:qFormat/>
    <w:uiPriority w:val="99"/>
    <w:pPr>
      <w:spacing w:after="57"/>
      <w:ind w:left="1417"/>
    </w:pPr>
  </w:style>
  <w:style w:type="paragraph" w:styleId="31">
    <w:name w:val="table of figures"/>
    <w:basedOn w:val="1"/>
    <w:next w:val="1"/>
    <w:semiHidden/>
    <w:qFormat/>
    <w:uiPriority w:val="99"/>
  </w:style>
  <w:style w:type="paragraph" w:styleId="32">
    <w:name w:val="toc 2"/>
    <w:basedOn w:val="1"/>
    <w:next w:val="1"/>
    <w:autoRedefine/>
    <w:semiHidden/>
    <w:qFormat/>
    <w:uiPriority w:val="99"/>
    <w:pPr>
      <w:spacing w:after="57"/>
      <w:ind w:left="283"/>
    </w:pPr>
  </w:style>
  <w:style w:type="paragraph" w:styleId="33">
    <w:name w:val="toc 9"/>
    <w:basedOn w:val="1"/>
    <w:next w:val="1"/>
    <w:autoRedefine/>
    <w:semiHidden/>
    <w:qFormat/>
    <w:uiPriority w:val="99"/>
    <w:pPr>
      <w:spacing w:after="57"/>
      <w:ind w:left="2268"/>
    </w:pPr>
  </w:style>
  <w:style w:type="paragraph" w:styleId="34">
    <w:name w:val="Title"/>
    <w:basedOn w:val="1"/>
    <w:next w:val="1"/>
    <w:link w:val="61"/>
    <w:qFormat/>
    <w:uiPriority w:val="99"/>
    <w:pPr>
      <w:spacing w:before="300" w:after="200"/>
    </w:pPr>
    <w:rPr>
      <w:rFonts w:ascii="Times New Roman" w:hAnsi="Times New Roman" w:eastAsia="宋体" w:cs="Times New Roman"/>
      <w:sz w:val="48"/>
      <w:szCs w:val="48"/>
    </w:rPr>
  </w:style>
  <w:style w:type="table" w:styleId="36">
    <w:name w:val="Table Grid"/>
    <w:basedOn w:val="35"/>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Strong"/>
    <w:basedOn w:val="37"/>
    <w:qFormat/>
    <w:uiPriority w:val="99"/>
    <w:rPr>
      <w:b/>
      <w:bCs/>
    </w:rPr>
  </w:style>
  <w:style w:type="character" w:styleId="39">
    <w:name w:val="endnote reference"/>
    <w:basedOn w:val="37"/>
    <w:semiHidden/>
    <w:qFormat/>
    <w:uiPriority w:val="99"/>
    <w:rPr>
      <w:vertAlign w:val="superscript"/>
    </w:rPr>
  </w:style>
  <w:style w:type="character" w:styleId="40">
    <w:name w:val="Hyperlink"/>
    <w:basedOn w:val="37"/>
    <w:qFormat/>
    <w:uiPriority w:val="99"/>
    <w:rPr>
      <w:color w:val="0000FF"/>
      <w:u w:val="single"/>
    </w:rPr>
  </w:style>
  <w:style w:type="character" w:styleId="41">
    <w:name w:val="footnote reference"/>
    <w:basedOn w:val="37"/>
    <w:semiHidden/>
    <w:qFormat/>
    <w:uiPriority w:val="99"/>
    <w:rPr>
      <w:vertAlign w:val="superscript"/>
    </w:rPr>
  </w:style>
  <w:style w:type="character" w:customStyle="1" w:styleId="42">
    <w:name w:val="Heading 1 Char"/>
    <w:basedOn w:val="37"/>
    <w:link w:val="2"/>
    <w:qFormat/>
    <w:locked/>
    <w:uiPriority w:val="99"/>
    <w:rPr>
      <w:rFonts w:ascii="等线" w:hAnsi="等线" w:eastAsia="等线" w:cs="等线"/>
      <w:sz w:val="40"/>
      <w:szCs w:val="40"/>
    </w:rPr>
  </w:style>
  <w:style w:type="character" w:customStyle="1" w:styleId="43">
    <w:name w:val="Heading 2 Char"/>
    <w:basedOn w:val="37"/>
    <w:link w:val="3"/>
    <w:qFormat/>
    <w:locked/>
    <w:uiPriority w:val="99"/>
    <w:rPr>
      <w:rFonts w:ascii="等线" w:hAnsi="等线" w:eastAsia="等线" w:cs="等线"/>
      <w:sz w:val="34"/>
      <w:szCs w:val="34"/>
    </w:rPr>
  </w:style>
  <w:style w:type="character" w:customStyle="1" w:styleId="44">
    <w:name w:val="Heading 3 Char"/>
    <w:basedOn w:val="37"/>
    <w:link w:val="4"/>
    <w:qFormat/>
    <w:locked/>
    <w:uiPriority w:val="99"/>
    <w:rPr>
      <w:rFonts w:ascii="等线" w:hAnsi="等线" w:eastAsia="等线" w:cs="等线"/>
      <w:sz w:val="30"/>
      <w:szCs w:val="30"/>
    </w:rPr>
  </w:style>
  <w:style w:type="character" w:customStyle="1" w:styleId="45">
    <w:name w:val="Heading 4 Char"/>
    <w:basedOn w:val="37"/>
    <w:link w:val="5"/>
    <w:qFormat/>
    <w:locked/>
    <w:uiPriority w:val="99"/>
    <w:rPr>
      <w:rFonts w:ascii="等线" w:hAnsi="等线" w:eastAsia="等线" w:cs="等线"/>
      <w:b/>
      <w:bCs/>
      <w:sz w:val="26"/>
      <w:szCs w:val="26"/>
    </w:rPr>
  </w:style>
  <w:style w:type="character" w:customStyle="1" w:styleId="46">
    <w:name w:val="Heading 5 Char"/>
    <w:basedOn w:val="37"/>
    <w:link w:val="6"/>
    <w:qFormat/>
    <w:locked/>
    <w:uiPriority w:val="99"/>
    <w:rPr>
      <w:rFonts w:ascii="等线" w:hAnsi="等线" w:eastAsia="等线" w:cs="等线"/>
      <w:b/>
      <w:bCs/>
      <w:sz w:val="24"/>
      <w:szCs w:val="24"/>
    </w:rPr>
  </w:style>
  <w:style w:type="character" w:customStyle="1" w:styleId="47">
    <w:name w:val="Heading 6 Char"/>
    <w:basedOn w:val="37"/>
    <w:link w:val="7"/>
    <w:qFormat/>
    <w:locked/>
    <w:uiPriority w:val="99"/>
    <w:rPr>
      <w:rFonts w:ascii="等线" w:hAnsi="等线" w:eastAsia="等线" w:cs="等线"/>
      <w:b/>
      <w:bCs/>
      <w:sz w:val="22"/>
      <w:szCs w:val="22"/>
    </w:rPr>
  </w:style>
  <w:style w:type="character" w:customStyle="1" w:styleId="48">
    <w:name w:val="Heading 7 Char"/>
    <w:basedOn w:val="37"/>
    <w:link w:val="8"/>
    <w:qFormat/>
    <w:locked/>
    <w:uiPriority w:val="99"/>
    <w:rPr>
      <w:rFonts w:ascii="等线" w:hAnsi="等线" w:eastAsia="等线" w:cs="等线"/>
      <w:b/>
      <w:bCs/>
      <w:i/>
      <w:iCs/>
      <w:sz w:val="22"/>
      <w:szCs w:val="22"/>
    </w:rPr>
  </w:style>
  <w:style w:type="character" w:customStyle="1" w:styleId="49">
    <w:name w:val="Heading 8 Char"/>
    <w:basedOn w:val="37"/>
    <w:link w:val="9"/>
    <w:qFormat/>
    <w:locked/>
    <w:uiPriority w:val="99"/>
    <w:rPr>
      <w:rFonts w:ascii="等线" w:hAnsi="等线" w:eastAsia="等线" w:cs="等线"/>
      <w:i/>
      <w:iCs/>
      <w:sz w:val="22"/>
      <w:szCs w:val="22"/>
    </w:rPr>
  </w:style>
  <w:style w:type="character" w:customStyle="1" w:styleId="50">
    <w:name w:val="Heading 9 Char"/>
    <w:basedOn w:val="37"/>
    <w:link w:val="10"/>
    <w:qFormat/>
    <w:locked/>
    <w:uiPriority w:val="99"/>
    <w:rPr>
      <w:rFonts w:ascii="等线" w:hAnsi="等线" w:eastAsia="等线" w:cs="等线"/>
      <w:i/>
      <w:iCs/>
      <w:sz w:val="21"/>
      <w:szCs w:val="21"/>
    </w:rPr>
  </w:style>
  <w:style w:type="character" w:customStyle="1" w:styleId="51">
    <w:name w:val="Body Text Char"/>
    <w:basedOn w:val="37"/>
    <w:link w:val="15"/>
    <w:qFormat/>
    <w:locked/>
    <w:uiPriority w:val="99"/>
    <w:rPr>
      <w:rFonts w:ascii="Calibri" w:hAnsi="Calibri" w:eastAsia="仿宋_GB2312" w:cs="Calibri"/>
      <w:sz w:val="24"/>
      <w:szCs w:val="24"/>
    </w:rPr>
  </w:style>
  <w:style w:type="character" w:customStyle="1" w:styleId="52">
    <w:name w:val="Body Text Indent Char"/>
    <w:basedOn w:val="37"/>
    <w:link w:val="16"/>
    <w:semiHidden/>
    <w:qFormat/>
    <w:uiPriority w:val="99"/>
    <w:rPr>
      <w:rFonts w:ascii="Calibri" w:hAnsi="Calibri" w:eastAsia="仿宋_GB2312" w:cs="Calibri"/>
      <w:kern w:val="0"/>
      <w:sz w:val="32"/>
      <w:szCs w:val="32"/>
    </w:rPr>
  </w:style>
  <w:style w:type="character" w:customStyle="1" w:styleId="53">
    <w:name w:val="Body Text First Indent 2 Char"/>
    <w:basedOn w:val="52"/>
    <w:link w:val="17"/>
    <w:semiHidden/>
    <w:qFormat/>
    <w:uiPriority w:val="99"/>
  </w:style>
  <w:style w:type="character" w:customStyle="1" w:styleId="54">
    <w:name w:val="Plain Text Char"/>
    <w:basedOn w:val="37"/>
    <w:link w:val="20"/>
    <w:qFormat/>
    <w:locked/>
    <w:uiPriority w:val="99"/>
    <w:rPr>
      <w:rFonts w:ascii="宋体" w:hAnsi="Courier New" w:eastAsia="仿宋_GB2312" w:cs="宋体"/>
      <w:sz w:val="21"/>
      <w:szCs w:val="21"/>
    </w:rPr>
  </w:style>
  <w:style w:type="character" w:customStyle="1" w:styleId="55">
    <w:name w:val="Endnote Text Char"/>
    <w:basedOn w:val="37"/>
    <w:link w:val="22"/>
    <w:qFormat/>
    <w:locked/>
    <w:uiPriority w:val="99"/>
    <w:rPr>
      <w:sz w:val="20"/>
      <w:szCs w:val="20"/>
    </w:rPr>
  </w:style>
  <w:style w:type="character" w:customStyle="1" w:styleId="56">
    <w:name w:val="Balloon Text Char"/>
    <w:basedOn w:val="37"/>
    <w:link w:val="23"/>
    <w:semiHidden/>
    <w:qFormat/>
    <w:locked/>
    <w:uiPriority w:val="99"/>
    <w:rPr>
      <w:rFonts w:ascii="Calibri" w:hAnsi="Calibri" w:eastAsia="仿宋_GB2312" w:cs="Calibri"/>
      <w:sz w:val="18"/>
      <w:szCs w:val="18"/>
    </w:rPr>
  </w:style>
  <w:style w:type="character" w:customStyle="1" w:styleId="57">
    <w:name w:val="Footer Char"/>
    <w:basedOn w:val="37"/>
    <w:link w:val="24"/>
    <w:qFormat/>
    <w:uiPriority w:val="99"/>
  </w:style>
  <w:style w:type="character" w:customStyle="1" w:styleId="58">
    <w:name w:val="Header Char"/>
    <w:basedOn w:val="37"/>
    <w:link w:val="25"/>
    <w:qFormat/>
    <w:locked/>
    <w:uiPriority w:val="99"/>
  </w:style>
  <w:style w:type="character" w:customStyle="1" w:styleId="59">
    <w:name w:val="Subtitle Char"/>
    <w:basedOn w:val="37"/>
    <w:link w:val="28"/>
    <w:qFormat/>
    <w:locked/>
    <w:uiPriority w:val="99"/>
    <w:rPr>
      <w:sz w:val="24"/>
      <w:szCs w:val="24"/>
    </w:rPr>
  </w:style>
  <w:style w:type="character" w:customStyle="1" w:styleId="60">
    <w:name w:val="Footnote Text Char"/>
    <w:basedOn w:val="37"/>
    <w:link w:val="29"/>
    <w:qFormat/>
    <w:locked/>
    <w:uiPriority w:val="99"/>
    <w:rPr>
      <w:sz w:val="18"/>
      <w:szCs w:val="18"/>
    </w:rPr>
  </w:style>
  <w:style w:type="character" w:customStyle="1" w:styleId="61">
    <w:name w:val="Title Char"/>
    <w:basedOn w:val="37"/>
    <w:link w:val="34"/>
    <w:qFormat/>
    <w:locked/>
    <w:uiPriority w:val="99"/>
    <w:rPr>
      <w:sz w:val="48"/>
      <w:szCs w:val="48"/>
    </w:rPr>
  </w:style>
  <w:style w:type="paragraph" w:styleId="62">
    <w:name w:val="List Paragraph"/>
    <w:basedOn w:val="1"/>
    <w:qFormat/>
    <w:uiPriority w:val="99"/>
    <w:pPr>
      <w:ind w:left="720"/>
    </w:pPr>
  </w:style>
  <w:style w:type="paragraph" w:styleId="63">
    <w:name w:val="No Spacing"/>
    <w:qFormat/>
    <w:uiPriority w:val="99"/>
    <w:rPr>
      <w:rFonts w:ascii="Calibri" w:hAnsi="Calibri" w:eastAsia="宋体" w:cs="Calibri"/>
      <w:kern w:val="0"/>
      <w:sz w:val="20"/>
      <w:szCs w:val="20"/>
      <w:lang w:val="en-US" w:eastAsia="zh-CN" w:bidi="ar-SA"/>
    </w:rPr>
  </w:style>
  <w:style w:type="paragraph" w:styleId="64">
    <w:name w:val="Quote"/>
    <w:basedOn w:val="1"/>
    <w:next w:val="1"/>
    <w:link w:val="65"/>
    <w:qFormat/>
    <w:uiPriority w:val="99"/>
    <w:pPr>
      <w:ind w:left="720" w:right="720"/>
    </w:pPr>
    <w:rPr>
      <w:rFonts w:ascii="Times New Roman" w:hAnsi="Times New Roman" w:eastAsia="宋体" w:cs="Times New Roman"/>
      <w:i/>
      <w:iCs/>
      <w:sz w:val="20"/>
      <w:szCs w:val="20"/>
    </w:rPr>
  </w:style>
  <w:style w:type="character" w:customStyle="1" w:styleId="65">
    <w:name w:val="Quote Char"/>
    <w:basedOn w:val="37"/>
    <w:link w:val="64"/>
    <w:qFormat/>
    <w:locked/>
    <w:uiPriority w:val="99"/>
    <w:rPr>
      <w:i/>
      <w:iCs/>
    </w:rPr>
  </w:style>
  <w:style w:type="paragraph" w:styleId="66">
    <w:name w:val="Intense Quote"/>
    <w:basedOn w:val="1"/>
    <w:next w:val="1"/>
    <w:link w:val="67"/>
    <w:qFormat/>
    <w:uiPriority w:val="99"/>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eastAsia="宋体" w:cs="Times New Roman"/>
      <w:i/>
      <w:iCs/>
      <w:sz w:val="20"/>
      <w:szCs w:val="20"/>
    </w:rPr>
  </w:style>
  <w:style w:type="character" w:customStyle="1" w:styleId="67">
    <w:name w:val="Intense Quote Char"/>
    <w:basedOn w:val="37"/>
    <w:link w:val="66"/>
    <w:qFormat/>
    <w:locked/>
    <w:uiPriority w:val="99"/>
    <w:rPr>
      <w:i/>
      <w:iCs/>
    </w:rPr>
  </w:style>
  <w:style w:type="character" w:customStyle="1" w:styleId="68">
    <w:name w:val="Footer Char1"/>
    <w:link w:val="24"/>
    <w:qFormat/>
    <w:locked/>
    <w:uiPriority w:val="99"/>
  </w:style>
  <w:style w:type="table" w:customStyle="1" w:styleId="69">
    <w:name w:val="Table Grid Light"/>
    <w:qFormat/>
    <w:uiPriority w:val="99"/>
    <w:rPr>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0">
    <w:name w:val="Plain Table 1"/>
    <w:qFormat/>
    <w:uiPriority w:val="99"/>
    <w:rPr>
      <w:kern w:val="0"/>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71">
    <w:name w:val="Plain Table 2"/>
    <w:qFormat/>
    <w:uiPriority w:val="99"/>
    <w:rPr>
      <w:kern w:val="0"/>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72">
    <w:name w:val="Plain Table 3"/>
    <w:qFormat/>
    <w:uiPriority w:val="99"/>
    <w:rPr>
      <w:kern w:val="0"/>
      <w:sz w:val="20"/>
      <w:szCs w:val="20"/>
    </w:rPr>
    <w:tblPr>
      <w:tblCellMar>
        <w:top w:w="0" w:type="dxa"/>
        <w:left w:w="0" w:type="dxa"/>
        <w:bottom w:w="0" w:type="dxa"/>
        <w:right w:w="0" w:type="dxa"/>
      </w:tblCellMar>
    </w:tblPr>
  </w:style>
  <w:style w:type="table" w:customStyle="1" w:styleId="73">
    <w:name w:val="Plain Table 4"/>
    <w:qFormat/>
    <w:uiPriority w:val="99"/>
    <w:rPr>
      <w:kern w:val="0"/>
      <w:sz w:val="20"/>
      <w:szCs w:val="20"/>
    </w:rPr>
    <w:tblPr>
      <w:tblCellMar>
        <w:top w:w="0" w:type="dxa"/>
        <w:left w:w="0" w:type="dxa"/>
        <w:bottom w:w="0" w:type="dxa"/>
        <w:right w:w="0" w:type="dxa"/>
      </w:tblCellMar>
    </w:tblPr>
  </w:style>
  <w:style w:type="table" w:customStyle="1" w:styleId="74">
    <w:name w:val="Plain Table 5"/>
    <w:qFormat/>
    <w:uiPriority w:val="99"/>
    <w:rPr>
      <w:kern w:val="0"/>
      <w:sz w:val="20"/>
      <w:szCs w:val="20"/>
    </w:rPr>
    <w:tblPr>
      <w:tblCellMar>
        <w:top w:w="0" w:type="dxa"/>
        <w:left w:w="0" w:type="dxa"/>
        <w:bottom w:w="0" w:type="dxa"/>
        <w:right w:w="0" w:type="dxa"/>
      </w:tblCellMar>
    </w:tblPr>
  </w:style>
  <w:style w:type="table" w:customStyle="1" w:styleId="75">
    <w:name w:val="Grid Table 1 Light"/>
    <w:qFormat/>
    <w:uiPriority w:val="99"/>
    <w:rPr>
      <w:kern w:val="0"/>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76">
    <w:name w:val="Grid Table 1 Light - Accent 1"/>
    <w:qFormat/>
    <w:uiPriority w:val="99"/>
    <w:rPr>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77">
    <w:name w:val="Grid Table 1 Light - Accent 2"/>
    <w:qFormat/>
    <w:uiPriority w:val="99"/>
    <w:rPr>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78">
    <w:name w:val="Grid Table 1 Light - Accent 3"/>
    <w:qFormat/>
    <w:uiPriority w:val="99"/>
    <w:rPr>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79">
    <w:name w:val="Grid Table 1 Light - Accent 4"/>
    <w:qFormat/>
    <w:uiPriority w:val="99"/>
    <w:rPr>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80">
    <w:name w:val="Grid Table 1 Light - Accent 5"/>
    <w:qFormat/>
    <w:uiPriority w:val="99"/>
    <w:rPr>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81">
    <w:name w:val="Grid Table 1 Light - Accent 6"/>
    <w:qFormat/>
    <w:uiPriority w:val="99"/>
    <w:rPr>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82">
    <w:name w:val="Grid Table 2"/>
    <w:qFormat/>
    <w:uiPriority w:val="99"/>
    <w:rPr>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83">
    <w:name w:val="Grid Table 2 - Accent 1"/>
    <w:qFormat/>
    <w:uiPriority w:val="99"/>
    <w:rPr>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84">
    <w:name w:val="Grid Table 2 - Accent 2"/>
    <w:qFormat/>
    <w:uiPriority w:val="99"/>
    <w:rPr>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85">
    <w:name w:val="Grid Table 2 - Accent 3"/>
    <w:qFormat/>
    <w:uiPriority w:val="99"/>
    <w:rPr>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86">
    <w:name w:val="Grid Table 2 - Accent 4"/>
    <w:qFormat/>
    <w:uiPriority w:val="99"/>
    <w:rPr>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7">
    <w:name w:val="Grid Table 2 - Accent 5"/>
    <w:qFormat/>
    <w:uiPriority w:val="99"/>
    <w:rPr>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8">
    <w:name w:val="Grid Table 2 - Accent 6"/>
    <w:qFormat/>
    <w:uiPriority w:val="99"/>
    <w:rPr>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9">
    <w:name w:val="Grid Table 3"/>
    <w:qFormat/>
    <w:uiPriority w:val="99"/>
    <w:rPr>
      <w:kern w:val="0"/>
      <w:sz w:val="20"/>
      <w:szCs w:val="20"/>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0">
    <w:name w:val="Grid Table 3 - Accent 1"/>
    <w:qFormat/>
    <w:uiPriority w:val="99"/>
    <w:rPr>
      <w:kern w:val="0"/>
      <w:sz w:val="20"/>
      <w:szCs w:val="20"/>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1">
    <w:name w:val="Grid Table 3 - Accent 2"/>
    <w:qFormat/>
    <w:uiPriority w:val="99"/>
    <w:rPr>
      <w:kern w:val="0"/>
      <w:sz w:val="20"/>
      <w:szCs w:val="20"/>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2">
    <w:name w:val="Grid Table 3 - Accent 3"/>
    <w:qFormat/>
    <w:uiPriority w:val="99"/>
    <w:rPr>
      <w:kern w:val="0"/>
      <w:sz w:val="20"/>
      <w:szCs w:val="20"/>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3">
    <w:name w:val="Grid Table 3 - Accent 4"/>
    <w:qFormat/>
    <w:uiPriority w:val="99"/>
    <w:rPr>
      <w:kern w:val="0"/>
      <w:sz w:val="20"/>
      <w:szCs w:val="20"/>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4">
    <w:name w:val="Grid Table 3 - Accent 5"/>
    <w:qFormat/>
    <w:uiPriority w:val="99"/>
    <w:rPr>
      <w:kern w:val="0"/>
      <w:sz w:val="20"/>
      <w:szCs w:val="20"/>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95">
    <w:name w:val="Grid Table 3 - Accent 6"/>
    <w:qFormat/>
    <w:uiPriority w:val="99"/>
    <w:rPr>
      <w:kern w:val="0"/>
      <w:sz w:val="20"/>
      <w:szCs w:val="20"/>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96">
    <w:name w:val="Grid Table 4"/>
    <w:qFormat/>
    <w:uiPriority w:val="99"/>
    <w:rPr>
      <w:kern w:val="0"/>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97">
    <w:name w:val="Grid Table 4 - Accent 1"/>
    <w:qFormat/>
    <w:uiPriority w:val="99"/>
    <w:rPr>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98">
    <w:name w:val="Grid Table 4 - Accent 2"/>
    <w:qFormat/>
    <w:uiPriority w:val="99"/>
    <w:rPr>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99">
    <w:name w:val="Grid Table 4 - Accent 3"/>
    <w:qFormat/>
    <w:uiPriority w:val="99"/>
    <w:rPr>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00">
    <w:name w:val="Grid Table 4 - Accent 4"/>
    <w:qFormat/>
    <w:uiPriority w:val="99"/>
    <w:rPr>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01">
    <w:name w:val="Grid Table 4 - Accent 5"/>
    <w:qFormat/>
    <w:uiPriority w:val="99"/>
    <w:rPr>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02">
    <w:name w:val="Grid Table 4 - Accent 6"/>
    <w:qFormat/>
    <w:uiPriority w:val="99"/>
    <w:rPr>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03">
    <w:name w:val="Grid Table 5 Dark"/>
    <w:qFormat/>
    <w:uiPriority w:val="99"/>
    <w:rPr>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4">
    <w:name w:val="Grid Table 5 Dark- Accent 1"/>
    <w:qFormat/>
    <w:uiPriority w:val="99"/>
    <w:rPr>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5">
    <w:name w:val="Grid Table 5 Dark - Accent 2"/>
    <w:qFormat/>
    <w:uiPriority w:val="99"/>
    <w:rPr>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6">
    <w:name w:val="Grid Table 5 Dark - Accent 3"/>
    <w:qFormat/>
    <w:uiPriority w:val="99"/>
    <w:rPr>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7">
    <w:name w:val="Grid Table 5 Dark- Accent 4"/>
    <w:qFormat/>
    <w:uiPriority w:val="99"/>
    <w:rPr>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8">
    <w:name w:val="Grid Table 5 Dark - Accent 5"/>
    <w:qFormat/>
    <w:uiPriority w:val="99"/>
    <w:rPr>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09">
    <w:name w:val="Grid Table 5 Dark - Accent 6"/>
    <w:qFormat/>
    <w:uiPriority w:val="99"/>
    <w:rPr>
      <w:kern w:val="0"/>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0">
    <w:name w:val="Grid Table 6 Colorful"/>
    <w:qFormat/>
    <w:uiPriority w:val="99"/>
    <w:rPr>
      <w:kern w:val="0"/>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1">
    <w:name w:val="Grid Table 6 Colorful - Accent 1"/>
    <w:qFormat/>
    <w:uiPriority w:val="99"/>
    <w:rPr>
      <w:kern w:val="0"/>
      <w:sz w:val="20"/>
      <w:szCs w:val="20"/>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2">
    <w:name w:val="Grid Table 6 Colorful - Accent 2"/>
    <w:qFormat/>
    <w:uiPriority w:val="99"/>
    <w:rPr>
      <w:kern w:val="0"/>
      <w:sz w:val="20"/>
      <w:szCs w:val="20"/>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3">
    <w:name w:val="Grid Table 6 Colorful - Accent 3"/>
    <w:qFormat/>
    <w:uiPriority w:val="99"/>
    <w:rPr>
      <w:kern w:val="0"/>
      <w:sz w:val="20"/>
      <w:szCs w:val="20"/>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4">
    <w:name w:val="Grid Table 6 Colorful - Accent 4"/>
    <w:qFormat/>
    <w:uiPriority w:val="99"/>
    <w:rPr>
      <w:kern w:val="0"/>
      <w:sz w:val="20"/>
      <w:szCs w:val="20"/>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5">
    <w:name w:val="Grid Table 6 Colorful - Accent 5"/>
    <w:qFormat/>
    <w:uiPriority w:val="99"/>
    <w:rPr>
      <w:kern w:val="0"/>
      <w:sz w:val="20"/>
      <w:szCs w:val="20"/>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6">
    <w:name w:val="Grid Table 6 Colorful - Accent 6"/>
    <w:qFormat/>
    <w:uiPriority w:val="99"/>
    <w:rPr>
      <w:kern w:val="0"/>
      <w:sz w:val="20"/>
      <w:szCs w:val="20"/>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7">
    <w:name w:val="Grid Table 7 Colorful"/>
    <w:qFormat/>
    <w:uiPriority w:val="99"/>
    <w:rPr>
      <w:kern w:val="0"/>
      <w:sz w:val="20"/>
      <w:szCs w:val="20"/>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18">
    <w:name w:val="Grid Table 7 Colorful - Accent 1"/>
    <w:qFormat/>
    <w:uiPriority w:val="99"/>
    <w:rPr>
      <w:kern w:val="0"/>
      <w:sz w:val="20"/>
      <w:szCs w:val="20"/>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19">
    <w:name w:val="Grid Table 7 Colorful - Accent 2"/>
    <w:qFormat/>
    <w:uiPriority w:val="99"/>
    <w:rPr>
      <w:kern w:val="0"/>
      <w:sz w:val="20"/>
      <w:szCs w:val="20"/>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0">
    <w:name w:val="Grid Table 7 Colorful - Accent 3"/>
    <w:qFormat/>
    <w:uiPriority w:val="99"/>
    <w:rPr>
      <w:kern w:val="0"/>
      <w:sz w:val="20"/>
      <w:szCs w:val="20"/>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1">
    <w:name w:val="Grid Table 7 Colorful - Accent 4"/>
    <w:qFormat/>
    <w:uiPriority w:val="99"/>
    <w:rPr>
      <w:kern w:val="0"/>
      <w:sz w:val="20"/>
      <w:szCs w:val="20"/>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2">
    <w:name w:val="Grid Table 7 Colorful - Accent 5"/>
    <w:qFormat/>
    <w:uiPriority w:val="99"/>
    <w:rPr>
      <w:kern w:val="0"/>
      <w:sz w:val="20"/>
      <w:szCs w:val="20"/>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3">
    <w:name w:val="Grid Table 7 Colorful - Accent 6"/>
    <w:qFormat/>
    <w:uiPriority w:val="99"/>
    <w:rPr>
      <w:kern w:val="0"/>
      <w:sz w:val="20"/>
      <w:szCs w:val="20"/>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4">
    <w:name w:val="List Table 1 Light"/>
    <w:qFormat/>
    <w:uiPriority w:val="99"/>
    <w:rPr>
      <w:kern w:val="0"/>
      <w:sz w:val="20"/>
      <w:szCs w:val="20"/>
    </w:rPr>
    <w:tblPr>
      <w:tblCellMar>
        <w:top w:w="0" w:type="dxa"/>
        <w:left w:w="0" w:type="dxa"/>
        <w:bottom w:w="0" w:type="dxa"/>
        <w:right w:w="0" w:type="dxa"/>
      </w:tblCellMar>
    </w:tblPr>
  </w:style>
  <w:style w:type="table" w:customStyle="1" w:styleId="125">
    <w:name w:val="List Table 1 Light - Accent 1"/>
    <w:qFormat/>
    <w:uiPriority w:val="99"/>
    <w:rPr>
      <w:kern w:val="0"/>
      <w:sz w:val="20"/>
      <w:szCs w:val="20"/>
    </w:rPr>
    <w:tblPr>
      <w:tblCellMar>
        <w:top w:w="0" w:type="dxa"/>
        <w:left w:w="0" w:type="dxa"/>
        <w:bottom w:w="0" w:type="dxa"/>
        <w:right w:w="0" w:type="dxa"/>
      </w:tblCellMar>
    </w:tblPr>
  </w:style>
  <w:style w:type="table" w:customStyle="1" w:styleId="126">
    <w:name w:val="List Table 1 Light - Accent 2"/>
    <w:qFormat/>
    <w:uiPriority w:val="99"/>
    <w:rPr>
      <w:kern w:val="0"/>
      <w:sz w:val="20"/>
      <w:szCs w:val="20"/>
    </w:rPr>
    <w:tblPr>
      <w:tblCellMar>
        <w:top w:w="0" w:type="dxa"/>
        <w:left w:w="0" w:type="dxa"/>
        <w:bottom w:w="0" w:type="dxa"/>
        <w:right w:w="0" w:type="dxa"/>
      </w:tblCellMar>
    </w:tblPr>
  </w:style>
  <w:style w:type="table" w:customStyle="1" w:styleId="127">
    <w:name w:val="List Table 1 Light - Accent 3"/>
    <w:qFormat/>
    <w:uiPriority w:val="99"/>
    <w:rPr>
      <w:kern w:val="0"/>
      <w:sz w:val="20"/>
      <w:szCs w:val="20"/>
    </w:rPr>
    <w:tblPr>
      <w:tblCellMar>
        <w:top w:w="0" w:type="dxa"/>
        <w:left w:w="0" w:type="dxa"/>
        <w:bottom w:w="0" w:type="dxa"/>
        <w:right w:w="0" w:type="dxa"/>
      </w:tblCellMar>
    </w:tblPr>
  </w:style>
  <w:style w:type="table" w:customStyle="1" w:styleId="128">
    <w:name w:val="List Table 1 Light - Accent 4"/>
    <w:qFormat/>
    <w:uiPriority w:val="99"/>
    <w:rPr>
      <w:kern w:val="0"/>
      <w:sz w:val="20"/>
      <w:szCs w:val="20"/>
    </w:rPr>
    <w:tblPr>
      <w:tblCellMar>
        <w:top w:w="0" w:type="dxa"/>
        <w:left w:w="0" w:type="dxa"/>
        <w:bottom w:w="0" w:type="dxa"/>
        <w:right w:w="0" w:type="dxa"/>
      </w:tblCellMar>
    </w:tblPr>
  </w:style>
  <w:style w:type="table" w:customStyle="1" w:styleId="129">
    <w:name w:val="List Table 1 Light - Accent 5"/>
    <w:qFormat/>
    <w:uiPriority w:val="99"/>
    <w:rPr>
      <w:kern w:val="0"/>
      <w:sz w:val="20"/>
      <w:szCs w:val="20"/>
    </w:rPr>
    <w:tblPr>
      <w:tblCellMar>
        <w:top w:w="0" w:type="dxa"/>
        <w:left w:w="0" w:type="dxa"/>
        <w:bottom w:w="0" w:type="dxa"/>
        <w:right w:w="0" w:type="dxa"/>
      </w:tblCellMar>
    </w:tblPr>
  </w:style>
  <w:style w:type="table" w:customStyle="1" w:styleId="130">
    <w:name w:val="List Table 1 Light - Accent 6"/>
    <w:qFormat/>
    <w:uiPriority w:val="99"/>
    <w:rPr>
      <w:kern w:val="0"/>
      <w:sz w:val="20"/>
      <w:szCs w:val="20"/>
    </w:rPr>
    <w:tblPr>
      <w:tblCellMar>
        <w:top w:w="0" w:type="dxa"/>
        <w:left w:w="0" w:type="dxa"/>
        <w:bottom w:w="0" w:type="dxa"/>
        <w:right w:w="0" w:type="dxa"/>
      </w:tblCellMar>
    </w:tblPr>
  </w:style>
  <w:style w:type="table" w:customStyle="1" w:styleId="131">
    <w:name w:val="List Table 2"/>
    <w:qFormat/>
    <w:uiPriority w:val="99"/>
    <w:rPr>
      <w:kern w:val="0"/>
      <w:sz w:val="20"/>
      <w:szCs w:val="20"/>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32">
    <w:name w:val="List Table 2 - Accent 1"/>
    <w:qFormat/>
    <w:uiPriority w:val="99"/>
    <w:rPr>
      <w:kern w:val="0"/>
      <w:sz w:val="20"/>
      <w:szCs w:val="20"/>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33">
    <w:name w:val="List Table 2 - Accent 2"/>
    <w:qFormat/>
    <w:uiPriority w:val="99"/>
    <w:rPr>
      <w:kern w:val="0"/>
      <w:sz w:val="20"/>
      <w:szCs w:val="20"/>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34">
    <w:name w:val="List Table 2 - Accent 3"/>
    <w:qFormat/>
    <w:uiPriority w:val="99"/>
    <w:rPr>
      <w:kern w:val="0"/>
      <w:sz w:val="20"/>
      <w:szCs w:val="20"/>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35">
    <w:name w:val="List Table 2 - Accent 4"/>
    <w:qFormat/>
    <w:uiPriority w:val="99"/>
    <w:rPr>
      <w:kern w:val="0"/>
      <w:sz w:val="20"/>
      <w:szCs w:val="20"/>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36">
    <w:name w:val="List Table 2 - Accent 5"/>
    <w:qFormat/>
    <w:uiPriority w:val="99"/>
    <w:rPr>
      <w:kern w:val="0"/>
      <w:sz w:val="20"/>
      <w:szCs w:val="20"/>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37">
    <w:name w:val="List Table 2 - Accent 6"/>
    <w:qFormat/>
    <w:uiPriority w:val="99"/>
    <w:rPr>
      <w:kern w:val="0"/>
      <w:sz w:val="20"/>
      <w:szCs w:val="20"/>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38">
    <w:name w:val="List Table 3"/>
    <w:qFormat/>
    <w:uiPriority w:val="99"/>
    <w:rPr>
      <w:kern w:val="0"/>
      <w:sz w:val="20"/>
      <w:szCs w:val="20"/>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39">
    <w:name w:val="List Table 3 - Accent 1"/>
    <w:qFormat/>
    <w:uiPriority w:val="99"/>
    <w:rPr>
      <w:kern w:val="0"/>
      <w:sz w:val="20"/>
      <w:szCs w:val="20"/>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40">
    <w:name w:val="List Table 3 - Accent 2"/>
    <w:qFormat/>
    <w:uiPriority w:val="99"/>
    <w:rPr>
      <w:kern w:val="0"/>
      <w:sz w:val="20"/>
      <w:szCs w:val="20"/>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41">
    <w:name w:val="List Table 3 - Accent 3"/>
    <w:qFormat/>
    <w:uiPriority w:val="99"/>
    <w:rPr>
      <w:kern w:val="0"/>
      <w:sz w:val="20"/>
      <w:szCs w:val="20"/>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42">
    <w:name w:val="List Table 3 - Accent 4"/>
    <w:qFormat/>
    <w:uiPriority w:val="99"/>
    <w:rPr>
      <w:kern w:val="0"/>
      <w:sz w:val="20"/>
      <w:szCs w:val="20"/>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43">
    <w:name w:val="List Table 3 - Accent 5"/>
    <w:qFormat/>
    <w:uiPriority w:val="99"/>
    <w:rPr>
      <w:kern w:val="0"/>
      <w:sz w:val="20"/>
      <w:szCs w:val="20"/>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44">
    <w:name w:val="List Table 3 - Accent 6"/>
    <w:qFormat/>
    <w:uiPriority w:val="99"/>
    <w:rPr>
      <w:kern w:val="0"/>
      <w:sz w:val="20"/>
      <w:szCs w:val="20"/>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45">
    <w:name w:val="List Table 4"/>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46">
    <w:name w:val="List Table 4 - Accent 1"/>
    <w:qFormat/>
    <w:uiPriority w:val="99"/>
    <w:rPr>
      <w:kern w:val="0"/>
      <w:sz w:val="20"/>
      <w:szCs w:val="20"/>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47">
    <w:name w:val="List Table 4 - Accent 2"/>
    <w:qFormat/>
    <w:uiPriority w:val="99"/>
    <w:rPr>
      <w:kern w:val="0"/>
      <w:sz w:val="20"/>
      <w:szCs w:val="20"/>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48">
    <w:name w:val="List Table 4 - Accent 3"/>
    <w:qFormat/>
    <w:uiPriority w:val="99"/>
    <w:rPr>
      <w:kern w:val="0"/>
      <w:sz w:val="20"/>
      <w:szCs w:val="20"/>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49">
    <w:name w:val="List Table 4 - Accent 4"/>
    <w:qFormat/>
    <w:uiPriority w:val="99"/>
    <w:rPr>
      <w:kern w:val="0"/>
      <w:sz w:val="20"/>
      <w:szCs w:val="20"/>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50">
    <w:name w:val="List Table 4 - Accent 5"/>
    <w:qFormat/>
    <w:uiPriority w:val="99"/>
    <w:rPr>
      <w:kern w:val="0"/>
      <w:sz w:val="20"/>
      <w:szCs w:val="20"/>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51">
    <w:name w:val="List Table 4 - Accent 6"/>
    <w:qFormat/>
    <w:uiPriority w:val="99"/>
    <w:rPr>
      <w:kern w:val="0"/>
      <w:sz w:val="20"/>
      <w:szCs w:val="20"/>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52">
    <w:name w:val="List Table 5 Dark"/>
    <w:qFormat/>
    <w:uiPriority w:val="99"/>
    <w:rPr>
      <w:kern w:val="0"/>
      <w:sz w:val="20"/>
      <w:szCs w:val="20"/>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53">
    <w:name w:val="List Table 5 Dark - Accent 1"/>
    <w:qFormat/>
    <w:uiPriority w:val="99"/>
    <w:rPr>
      <w:kern w:val="0"/>
      <w:sz w:val="20"/>
      <w:szCs w:val="20"/>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54">
    <w:name w:val="List Table 5 Dark - Accent 2"/>
    <w:qFormat/>
    <w:uiPriority w:val="99"/>
    <w:rPr>
      <w:kern w:val="0"/>
      <w:sz w:val="20"/>
      <w:szCs w:val="20"/>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55">
    <w:name w:val="List Table 5 Dark - Accent 3"/>
    <w:qFormat/>
    <w:uiPriority w:val="99"/>
    <w:rPr>
      <w:kern w:val="0"/>
      <w:sz w:val="20"/>
      <w:szCs w:val="20"/>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56">
    <w:name w:val="List Table 5 Dark - Accent 4"/>
    <w:qFormat/>
    <w:uiPriority w:val="99"/>
    <w:rPr>
      <w:kern w:val="0"/>
      <w:sz w:val="20"/>
      <w:szCs w:val="20"/>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57">
    <w:name w:val="List Table 5 Dark - Accent 5"/>
    <w:qFormat/>
    <w:uiPriority w:val="99"/>
    <w:rPr>
      <w:kern w:val="0"/>
      <w:sz w:val="20"/>
      <w:szCs w:val="20"/>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58">
    <w:name w:val="List Table 5 Dark - Accent 6"/>
    <w:qFormat/>
    <w:uiPriority w:val="99"/>
    <w:rPr>
      <w:kern w:val="0"/>
      <w:sz w:val="20"/>
      <w:szCs w:val="20"/>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59">
    <w:name w:val="List Table 6 Colorful"/>
    <w:qFormat/>
    <w:uiPriority w:val="99"/>
    <w:rPr>
      <w:kern w:val="0"/>
      <w:sz w:val="20"/>
      <w:szCs w:val="20"/>
    </w:rPr>
    <w:tblPr>
      <w:tblBorders>
        <w:top w:val="single" w:color="7F7F7F" w:sz="4" w:space="0"/>
        <w:bottom w:val="single" w:color="7F7F7F" w:sz="4" w:space="0"/>
      </w:tblBorders>
      <w:tblCellMar>
        <w:top w:w="0" w:type="dxa"/>
        <w:left w:w="0" w:type="dxa"/>
        <w:bottom w:w="0" w:type="dxa"/>
        <w:right w:w="0" w:type="dxa"/>
      </w:tblCellMar>
    </w:tblPr>
  </w:style>
  <w:style w:type="table" w:customStyle="1" w:styleId="160">
    <w:name w:val="List Table 6 Colorful - Accent 1"/>
    <w:qFormat/>
    <w:uiPriority w:val="99"/>
    <w:rPr>
      <w:kern w:val="0"/>
      <w:sz w:val="20"/>
      <w:szCs w:val="20"/>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161">
    <w:name w:val="List Table 6 Colorful - Accent 2"/>
    <w:qFormat/>
    <w:uiPriority w:val="99"/>
    <w:rPr>
      <w:kern w:val="0"/>
      <w:sz w:val="20"/>
      <w:szCs w:val="20"/>
    </w:rPr>
    <w:tblPr>
      <w:tblBorders>
        <w:top w:val="single" w:color="D99695" w:sz="4" w:space="0"/>
        <w:bottom w:val="single" w:color="D99695" w:sz="4" w:space="0"/>
      </w:tblBorders>
      <w:tblCellMar>
        <w:top w:w="0" w:type="dxa"/>
        <w:left w:w="0" w:type="dxa"/>
        <w:bottom w:w="0" w:type="dxa"/>
        <w:right w:w="0" w:type="dxa"/>
      </w:tblCellMar>
    </w:tblPr>
  </w:style>
  <w:style w:type="table" w:customStyle="1" w:styleId="162">
    <w:name w:val="List Table 6 Colorful - Accent 3"/>
    <w:qFormat/>
    <w:uiPriority w:val="99"/>
    <w:rPr>
      <w:kern w:val="0"/>
      <w:sz w:val="20"/>
      <w:szCs w:val="20"/>
    </w:rPr>
    <w:tblPr>
      <w:tblBorders>
        <w:top w:val="single" w:color="C3D69B" w:sz="4" w:space="0"/>
        <w:bottom w:val="single" w:color="C3D69B" w:sz="4" w:space="0"/>
      </w:tblBorders>
      <w:tblCellMar>
        <w:top w:w="0" w:type="dxa"/>
        <w:left w:w="0" w:type="dxa"/>
        <w:bottom w:w="0" w:type="dxa"/>
        <w:right w:w="0" w:type="dxa"/>
      </w:tblCellMar>
    </w:tblPr>
  </w:style>
  <w:style w:type="table" w:customStyle="1" w:styleId="163">
    <w:name w:val="List Table 6 Colorful - Accent 4"/>
    <w:qFormat/>
    <w:uiPriority w:val="99"/>
    <w:rPr>
      <w:kern w:val="0"/>
      <w:sz w:val="20"/>
      <w:szCs w:val="20"/>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164">
    <w:name w:val="List Table 6 Colorful - Accent 5"/>
    <w:qFormat/>
    <w:uiPriority w:val="99"/>
    <w:rPr>
      <w:kern w:val="0"/>
      <w:sz w:val="20"/>
      <w:szCs w:val="20"/>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165">
    <w:name w:val="List Table 6 Colorful - Accent 6"/>
    <w:qFormat/>
    <w:uiPriority w:val="99"/>
    <w:rPr>
      <w:kern w:val="0"/>
      <w:sz w:val="20"/>
      <w:szCs w:val="20"/>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166">
    <w:name w:val="List Table 7 Colorful"/>
    <w:qFormat/>
    <w:uiPriority w:val="99"/>
    <w:rPr>
      <w:kern w:val="0"/>
      <w:sz w:val="20"/>
      <w:szCs w:val="20"/>
    </w:rPr>
    <w:tblPr>
      <w:tblBorders>
        <w:right w:val="single" w:color="7F7F7F" w:sz="4" w:space="0"/>
      </w:tblBorders>
      <w:tblCellMar>
        <w:top w:w="0" w:type="dxa"/>
        <w:left w:w="0" w:type="dxa"/>
        <w:bottom w:w="0" w:type="dxa"/>
        <w:right w:w="0" w:type="dxa"/>
      </w:tblCellMar>
    </w:tblPr>
  </w:style>
  <w:style w:type="table" w:customStyle="1" w:styleId="167">
    <w:name w:val="List Table 7 Colorful - Accent 1"/>
    <w:qFormat/>
    <w:uiPriority w:val="99"/>
    <w:rPr>
      <w:kern w:val="0"/>
      <w:sz w:val="20"/>
      <w:szCs w:val="20"/>
    </w:rPr>
    <w:tblPr>
      <w:tblBorders>
        <w:right w:val="single" w:color="4F81BD" w:sz="4" w:space="0"/>
      </w:tblBorders>
      <w:tblCellMar>
        <w:top w:w="0" w:type="dxa"/>
        <w:left w:w="0" w:type="dxa"/>
        <w:bottom w:w="0" w:type="dxa"/>
        <w:right w:w="0" w:type="dxa"/>
      </w:tblCellMar>
    </w:tblPr>
  </w:style>
  <w:style w:type="table" w:customStyle="1" w:styleId="168">
    <w:name w:val="List Table 7 Colorful - Accent 2"/>
    <w:qFormat/>
    <w:uiPriority w:val="99"/>
    <w:rPr>
      <w:kern w:val="0"/>
      <w:sz w:val="20"/>
      <w:szCs w:val="20"/>
    </w:rPr>
    <w:tblPr>
      <w:tblBorders>
        <w:right w:val="single" w:color="D99695" w:sz="4" w:space="0"/>
      </w:tblBorders>
      <w:tblCellMar>
        <w:top w:w="0" w:type="dxa"/>
        <w:left w:w="0" w:type="dxa"/>
        <w:bottom w:w="0" w:type="dxa"/>
        <w:right w:w="0" w:type="dxa"/>
      </w:tblCellMar>
    </w:tblPr>
  </w:style>
  <w:style w:type="table" w:customStyle="1" w:styleId="169">
    <w:name w:val="List Table 7 Colorful - Accent 3"/>
    <w:qFormat/>
    <w:uiPriority w:val="99"/>
    <w:rPr>
      <w:kern w:val="0"/>
      <w:sz w:val="20"/>
      <w:szCs w:val="20"/>
    </w:rPr>
    <w:tblPr>
      <w:tblBorders>
        <w:right w:val="single" w:color="C3D69B" w:sz="4" w:space="0"/>
      </w:tblBorders>
      <w:tblCellMar>
        <w:top w:w="0" w:type="dxa"/>
        <w:left w:w="0" w:type="dxa"/>
        <w:bottom w:w="0" w:type="dxa"/>
        <w:right w:w="0" w:type="dxa"/>
      </w:tblCellMar>
    </w:tblPr>
  </w:style>
  <w:style w:type="table" w:customStyle="1" w:styleId="170">
    <w:name w:val="List Table 7 Colorful - Accent 4"/>
    <w:qFormat/>
    <w:uiPriority w:val="99"/>
    <w:rPr>
      <w:kern w:val="0"/>
      <w:sz w:val="20"/>
      <w:szCs w:val="20"/>
    </w:rPr>
    <w:tblPr>
      <w:tblBorders>
        <w:right w:val="single" w:color="B2A1C6" w:sz="4" w:space="0"/>
      </w:tblBorders>
      <w:tblCellMar>
        <w:top w:w="0" w:type="dxa"/>
        <w:left w:w="0" w:type="dxa"/>
        <w:bottom w:w="0" w:type="dxa"/>
        <w:right w:w="0" w:type="dxa"/>
      </w:tblCellMar>
    </w:tblPr>
  </w:style>
  <w:style w:type="table" w:customStyle="1" w:styleId="171">
    <w:name w:val="List Table 7 Colorful - Accent 5"/>
    <w:qFormat/>
    <w:uiPriority w:val="99"/>
    <w:rPr>
      <w:kern w:val="0"/>
      <w:sz w:val="20"/>
      <w:szCs w:val="20"/>
    </w:rPr>
    <w:tblPr>
      <w:tblBorders>
        <w:right w:val="single" w:color="92CCDC" w:sz="4" w:space="0"/>
      </w:tblBorders>
      <w:tblCellMar>
        <w:top w:w="0" w:type="dxa"/>
        <w:left w:w="0" w:type="dxa"/>
        <w:bottom w:w="0" w:type="dxa"/>
        <w:right w:w="0" w:type="dxa"/>
      </w:tblCellMar>
    </w:tblPr>
  </w:style>
  <w:style w:type="table" w:customStyle="1" w:styleId="172">
    <w:name w:val="List Table 7 Colorful - Accent 6"/>
    <w:qFormat/>
    <w:uiPriority w:val="99"/>
    <w:rPr>
      <w:kern w:val="0"/>
      <w:sz w:val="20"/>
      <w:szCs w:val="20"/>
    </w:rPr>
    <w:tblPr>
      <w:tblBorders>
        <w:right w:val="single" w:color="FAC090" w:sz="4" w:space="0"/>
      </w:tblBorders>
      <w:tblCellMar>
        <w:top w:w="0" w:type="dxa"/>
        <w:left w:w="0" w:type="dxa"/>
        <w:bottom w:w="0" w:type="dxa"/>
        <w:right w:w="0" w:type="dxa"/>
      </w:tblCellMar>
    </w:tblPr>
  </w:style>
  <w:style w:type="table" w:customStyle="1" w:styleId="173">
    <w:name w:val="Lined - Accent"/>
    <w:qFormat/>
    <w:uiPriority w:val="99"/>
    <w:rPr>
      <w:color w:val="404040"/>
      <w:kern w:val="0"/>
      <w:sz w:val="20"/>
      <w:szCs w:val="20"/>
    </w:rPr>
    <w:tblPr>
      <w:tblCellMar>
        <w:top w:w="0" w:type="dxa"/>
        <w:left w:w="0" w:type="dxa"/>
        <w:bottom w:w="0" w:type="dxa"/>
        <w:right w:w="0" w:type="dxa"/>
      </w:tblCellMar>
    </w:tblPr>
  </w:style>
  <w:style w:type="table" w:customStyle="1" w:styleId="174">
    <w:name w:val="Lined - Accent 1"/>
    <w:qFormat/>
    <w:uiPriority w:val="99"/>
    <w:rPr>
      <w:color w:val="404040"/>
      <w:kern w:val="0"/>
      <w:sz w:val="20"/>
      <w:szCs w:val="20"/>
    </w:rPr>
    <w:tblPr>
      <w:tblCellMar>
        <w:top w:w="0" w:type="dxa"/>
        <w:left w:w="0" w:type="dxa"/>
        <w:bottom w:w="0" w:type="dxa"/>
        <w:right w:w="0" w:type="dxa"/>
      </w:tblCellMar>
    </w:tblPr>
  </w:style>
  <w:style w:type="table" w:customStyle="1" w:styleId="175">
    <w:name w:val="Lined - Accent 2"/>
    <w:qFormat/>
    <w:uiPriority w:val="99"/>
    <w:rPr>
      <w:color w:val="404040"/>
      <w:kern w:val="0"/>
      <w:sz w:val="20"/>
      <w:szCs w:val="20"/>
    </w:rPr>
    <w:tblPr>
      <w:tblCellMar>
        <w:top w:w="0" w:type="dxa"/>
        <w:left w:w="0" w:type="dxa"/>
        <w:bottom w:w="0" w:type="dxa"/>
        <w:right w:w="0" w:type="dxa"/>
      </w:tblCellMar>
    </w:tblPr>
  </w:style>
  <w:style w:type="table" w:customStyle="1" w:styleId="176">
    <w:name w:val="Lined - Accent 3"/>
    <w:qFormat/>
    <w:uiPriority w:val="99"/>
    <w:rPr>
      <w:color w:val="404040"/>
      <w:kern w:val="0"/>
      <w:sz w:val="20"/>
      <w:szCs w:val="20"/>
    </w:rPr>
    <w:tblPr>
      <w:tblCellMar>
        <w:top w:w="0" w:type="dxa"/>
        <w:left w:w="0" w:type="dxa"/>
        <w:bottom w:w="0" w:type="dxa"/>
        <w:right w:w="0" w:type="dxa"/>
      </w:tblCellMar>
    </w:tblPr>
  </w:style>
  <w:style w:type="table" w:customStyle="1" w:styleId="177">
    <w:name w:val="Lined - Accent 4"/>
    <w:qFormat/>
    <w:uiPriority w:val="99"/>
    <w:rPr>
      <w:color w:val="404040"/>
      <w:kern w:val="0"/>
      <w:sz w:val="20"/>
      <w:szCs w:val="20"/>
    </w:rPr>
    <w:tblPr>
      <w:tblCellMar>
        <w:top w:w="0" w:type="dxa"/>
        <w:left w:w="0" w:type="dxa"/>
        <w:bottom w:w="0" w:type="dxa"/>
        <w:right w:w="0" w:type="dxa"/>
      </w:tblCellMar>
    </w:tblPr>
  </w:style>
  <w:style w:type="table" w:customStyle="1" w:styleId="178">
    <w:name w:val="Lined - Accent 5"/>
    <w:qFormat/>
    <w:uiPriority w:val="99"/>
    <w:rPr>
      <w:color w:val="404040"/>
      <w:kern w:val="0"/>
      <w:sz w:val="20"/>
      <w:szCs w:val="20"/>
    </w:rPr>
    <w:tblPr>
      <w:tblCellMar>
        <w:top w:w="0" w:type="dxa"/>
        <w:left w:w="0" w:type="dxa"/>
        <w:bottom w:w="0" w:type="dxa"/>
        <w:right w:w="0" w:type="dxa"/>
      </w:tblCellMar>
    </w:tblPr>
  </w:style>
  <w:style w:type="table" w:customStyle="1" w:styleId="179">
    <w:name w:val="Lined - Accent 6"/>
    <w:qFormat/>
    <w:uiPriority w:val="99"/>
    <w:rPr>
      <w:color w:val="404040"/>
      <w:kern w:val="0"/>
      <w:sz w:val="20"/>
      <w:szCs w:val="20"/>
    </w:rPr>
    <w:tblPr>
      <w:tblCellMar>
        <w:top w:w="0" w:type="dxa"/>
        <w:left w:w="0" w:type="dxa"/>
        <w:bottom w:w="0" w:type="dxa"/>
        <w:right w:w="0" w:type="dxa"/>
      </w:tblCellMar>
    </w:tblPr>
  </w:style>
  <w:style w:type="table" w:customStyle="1" w:styleId="180">
    <w:name w:val="Bordered &amp; Lined - Accent"/>
    <w:qFormat/>
    <w:uiPriority w:val="99"/>
    <w:rPr>
      <w:color w:val="404040"/>
      <w:kern w:val="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81">
    <w:name w:val="Bordered &amp; Lined - Accent 1"/>
    <w:qFormat/>
    <w:uiPriority w:val="99"/>
    <w:rPr>
      <w:color w:val="404040"/>
      <w:kern w:val="0"/>
      <w:sz w:val="20"/>
      <w:szCs w:val="2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82">
    <w:name w:val="Bordered &amp; Lined - Accent 2"/>
    <w:qFormat/>
    <w:uiPriority w:val="99"/>
    <w:rPr>
      <w:color w:val="404040"/>
      <w:kern w:val="0"/>
      <w:sz w:val="20"/>
      <w:szCs w:val="2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83">
    <w:name w:val="Bordered &amp; Lined - Accent 3"/>
    <w:qFormat/>
    <w:uiPriority w:val="99"/>
    <w:rPr>
      <w:color w:val="404040"/>
      <w:kern w:val="0"/>
      <w:sz w:val="20"/>
      <w:szCs w:val="2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84">
    <w:name w:val="Bordered &amp; Lined - Accent 4"/>
    <w:qFormat/>
    <w:uiPriority w:val="99"/>
    <w:rPr>
      <w:color w:val="404040"/>
      <w:kern w:val="0"/>
      <w:sz w:val="20"/>
      <w:szCs w:val="2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85">
    <w:name w:val="Bordered &amp; Lined - Accent 5"/>
    <w:qFormat/>
    <w:uiPriority w:val="99"/>
    <w:rPr>
      <w:color w:val="404040"/>
      <w:kern w:val="0"/>
      <w:sz w:val="20"/>
      <w:szCs w:val="2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86">
    <w:name w:val="Bordered &amp; Lined - Accent 6"/>
    <w:qFormat/>
    <w:uiPriority w:val="99"/>
    <w:rPr>
      <w:color w:val="404040"/>
      <w:kern w:val="0"/>
      <w:sz w:val="20"/>
      <w:szCs w:val="2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87">
    <w:name w:val="Bordered"/>
    <w:qFormat/>
    <w:uiPriority w:val="99"/>
    <w:rPr>
      <w:kern w:val="0"/>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88">
    <w:name w:val="Bordered - Accent 1"/>
    <w:qFormat/>
    <w:uiPriority w:val="99"/>
    <w:rPr>
      <w:kern w:val="0"/>
      <w:sz w:val="20"/>
      <w:szCs w:val="20"/>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89">
    <w:name w:val="Bordered - Accent 2"/>
    <w:qFormat/>
    <w:uiPriority w:val="99"/>
    <w:rPr>
      <w:kern w:val="0"/>
      <w:sz w:val="20"/>
      <w:szCs w:val="20"/>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90">
    <w:name w:val="Bordered - Accent 3"/>
    <w:qFormat/>
    <w:uiPriority w:val="99"/>
    <w:rPr>
      <w:kern w:val="0"/>
      <w:sz w:val="20"/>
      <w:szCs w:val="20"/>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91">
    <w:name w:val="Bordered - Accent 4"/>
    <w:qFormat/>
    <w:uiPriority w:val="99"/>
    <w:rPr>
      <w:kern w:val="0"/>
      <w:sz w:val="20"/>
      <w:szCs w:val="20"/>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92">
    <w:name w:val="Bordered - Accent 5"/>
    <w:qFormat/>
    <w:uiPriority w:val="99"/>
    <w:rPr>
      <w:kern w:val="0"/>
      <w:sz w:val="20"/>
      <w:szCs w:val="20"/>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93">
    <w:name w:val="Bordered - Accent 6"/>
    <w:qFormat/>
    <w:uiPriority w:val="99"/>
    <w:rPr>
      <w:kern w:val="0"/>
      <w:sz w:val="20"/>
      <w:szCs w:val="20"/>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paragraph" w:customStyle="1" w:styleId="194">
    <w:name w:val="TOC 标题1"/>
    <w:qFormat/>
    <w:uiPriority w:val="99"/>
    <w:rPr>
      <w:rFonts w:ascii="Calibri" w:hAnsi="Calibri" w:eastAsia="宋体" w:cs="Calibri"/>
      <w:kern w:val="0"/>
      <w:sz w:val="20"/>
      <w:szCs w:val="20"/>
      <w:lang w:val="en-US" w:eastAsia="zh-CN" w:bidi="ar-SA"/>
    </w:rPr>
  </w:style>
  <w:style w:type="paragraph" w:customStyle="1" w:styleId="195">
    <w:name w:val="标题 11"/>
    <w:basedOn w:val="1"/>
    <w:next w:val="1"/>
    <w:link w:val="202"/>
    <w:qFormat/>
    <w:uiPriority w:val="99"/>
    <w:pPr>
      <w:keepNext/>
      <w:keepLines/>
      <w:spacing w:before="340" w:after="330" w:line="578" w:lineRule="auto"/>
      <w:outlineLvl w:val="0"/>
    </w:pPr>
    <w:rPr>
      <w:rFonts w:ascii="Times New Roman" w:hAnsi="Times New Roman" w:eastAsia="宋体" w:cs="Times New Roman"/>
      <w:b/>
      <w:bCs/>
      <w:sz w:val="44"/>
      <w:szCs w:val="44"/>
    </w:rPr>
  </w:style>
  <w:style w:type="paragraph" w:customStyle="1" w:styleId="196">
    <w:name w:val="标题 21"/>
    <w:basedOn w:val="1"/>
    <w:next w:val="1"/>
    <w:link w:val="203"/>
    <w:qFormat/>
    <w:uiPriority w:val="99"/>
    <w:pPr>
      <w:keepNext/>
      <w:spacing w:before="240" w:after="60"/>
      <w:outlineLvl w:val="1"/>
    </w:pPr>
    <w:rPr>
      <w:rFonts w:ascii="Arial" w:hAnsi="Arial" w:eastAsia="宋体" w:cs="Arial"/>
      <w:b/>
      <w:bCs/>
      <w:i/>
      <w:iCs/>
      <w:sz w:val="20"/>
      <w:szCs w:val="20"/>
    </w:rPr>
  </w:style>
  <w:style w:type="character" w:customStyle="1" w:styleId="197">
    <w:name w:val="默认段落字体1"/>
    <w:semiHidden/>
    <w:qFormat/>
    <w:uiPriority w:val="99"/>
  </w:style>
  <w:style w:type="table" w:customStyle="1" w:styleId="198">
    <w:name w:val="普通表格1"/>
    <w:semiHidden/>
    <w:qFormat/>
    <w:uiPriority w:val="99"/>
    <w:rPr>
      <w:kern w:val="0"/>
      <w:sz w:val="20"/>
      <w:szCs w:val="20"/>
    </w:rPr>
    <w:tblPr>
      <w:tblCellMar>
        <w:top w:w="0" w:type="dxa"/>
        <w:left w:w="0" w:type="dxa"/>
        <w:bottom w:w="0" w:type="dxa"/>
        <w:right w:w="0" w:type="dxa"/>
      </w:tblCellMar>
    </w:tblPr>
  </w:style>
  <w:style w:type="paragraph" w:customStyle="1" w:styleId="199">
    <w:name w:val="脚注文本1"/>
    <w:basedOn w:val="1"/>
    <w:next w:val="200"/>
    <w:semiHidden/>
    <w:qFormat/>
    <w:uiPriority w:val="99"/>
    <w:pPr>
      <w:jc w:val="left"/>
    </w:pPr>
    <w:rPr>
      <w:sz w:val="18"/>
      <w:szCs w:val="18"/>
    </w:rPr>
  </w:style>
  <w:style w:type="paragraph" w:customStyle="1" w:styleId="200">
    <w:name w:val="正文首行缩进 21"/>
    <w:basedOn w:val="201"/>
    <w:qFormat/>
    <w:uiPriority w:val="99"/>
    <w:pPr>
      <w:ind w:firstLine="420"/>
    </w:pPr>
  </w:style>
  <w:style w:type="paragraph" w:customStyle="1" w:styleId="201">
    <w:name w:val="正文文本缩进1"/>
    <w:basedOn w:val="1"/>
    <w:next w:val="200"/>
    <w:qFormat/>
    <w:uiPriority w:val="99"/>
    <w:pPr>
      <w:spacing w:after="120"/>
    </w:pPr>
    <w:rPr>
      <w:rFonts w:ascii="仿宋_GB2312" w:cs="仿宋_GB2312"/>
    </w:rPr>
  </w:style>
  <w:style w:type="character" w:customStyle="1" w:styleId="202">
    <w:name w:val="标题 1 字符"/>
    <w:link w:val="195"/>
    <w:qFormat/>
    <w:locked/>
    <w:uiPriority w:val="99"/>
    <w:rPr>
      <w:b/>
      <w:bCs/>
      <w:sz w:val="44"/>
      <w:szCs w:val="44"/>
    </w:rPr>
  </w:style>
  <w:style w:type="character" w:customStyle="1" w:styleId="203">
    <w:name w:val="标题 2 字符"/>
    <w:link w:val="196"/>
    <w:qFormat/>
    <w:locked/>
    <w:uiPriority w:val="99"/>
    <w:rPr>
      <w:rFonts w:ascii="Arial" w:hAnsi="Arial" w:cs="Arial"/>
      <w:b/>
      <w:bCs/>
      <w:i/>
      <w:iCs/>
    </w:rPr>
  </w:style>
  <w:style w:type="paragraph" w:customStyle="1" w:styleId="204">
    <w:name w:val="列表编号1"/>
    <w:basedOn w:val="1"/>
    <w:qFormat/>
    <w:uiPriority w:val="99"/>
    <w:pPr>
      <w:numPr>
        <w:ilvl w:val="0"/>
        <w:numId w:val="2"/>
      </w:numPr>
    </w:pPr>
  </w:style>
  <w:style w:type="paragraph" w:customStyle="1" w:styleId="205">
    <w:name w:val="批注文字1"/>
    <w:basedOn w:val="1"/>
    <w:link w:val="206"/>
    <w:qFormat/>
    <w:uiPriority w:val="99"/>
    <w:pPr>
      <w:jc w:val="left"/>
    </w:pPr>
    <w:rPr>
      <w:rFonts w:ascii="Times New Roman" w:hAnsi="Times New Roman" w:cs="Times New Roman"/>
    </w:rPr>
  </w:style>
  <w:style w:type="character" w:customStyle="1" w:styleId="206">
    <w:name w:val="批注文字 字符"/>
    <w:link w:val="205"/>
    <w:qFormat/>
    <w:locked/>
    <w:uiPriority w:val="99"/>
    <w:rPr>
      <w:rFonts w:eastAsia="仿宋_GB2312"/>
      <w:sz w:val="24"/>
      <w:szCs w:val="24"/>
    </w:rPr>
  </w:style>
  <w:style w:type="paragraph" w:customStyle="1" w:styleId="207">
    <w:name w:val="正文文本1"/>
    <w:basedOn w:val="1"/>
    <w:qFormat/>
    <w:uiPriority w:val="99"/>
    <w:pPr>
      <w:spacing w:before="93"/>
    </w:pPr>
    <w:rPr>
      <w:rFonts w:ascii="仿宋_GB2312" w:cs="仿宋_GB2312"/>
      <w:sz w:val="30"/>
      <w:szCs w:val="30"/>
    </w:rPr>
  </w:style>
  <w:style w:type="paragraph" w:customStyle="1" w:styleId="208">
    <w:name w:val="日期1"/>
    <w:basedOn w:val="1"/>
    <w:next w:val="1"/>
    <w:qFormat/>
    <w:uiPriority w:val="99"/>
    <w:pPr>
      <w:ind w:left="100"/>
    </w:pPr>
  </w:style>
  <w:style w:type="paragraph" w:customStyle="1" w:styleId="209">
    <w:name w:val="正文文本缩进 21"/>
    <w:basedOn w:val="1"/>
    <w:qFormat/>
    <w:uiPriority w:val="99"/>
    <w:pPr>
      <w:spacing w:line="360" w:lineRule="auto"/>
      <w:ind w:firstLine="630"/>
    </w:pPr>
    <w:rPr>
      <w:rFonts w:ascii="楷体_GB2312" w:eastAsia="楷体_GB2312" w:cs="楷体_GB2312"/>
      <w:sz w:val="30"/>
      <w:szCs w:val="30"/>
    </w:rPr>
  </w:style>
  <w:style w:type="paragraph" w:customStyle="1" w:styleId="210">
    <w:name w:val="批注框文本1"/>
    <w:basedOn w:val="1"/>
    <w:semiHidden/>
    <w:qFormat/>
    <w:uiPriority w:val="99"/>
    <w:rPr>
      <w:sz w:val="18"/>
      <w:szCs w:val="18"/>
    </w:rPr>
  </w:style>
  <w:style w:type="paragraph" w:customStyle="1" w:styleId="211">
    <w:name w:val="页脚1"/>
    <w:basedOn w:val="1"/>
    <w:qFormat/>
    <w:uiPriority w:val="99"/>
    <w:pPr>
      <w:tabs>
        <w:tab w:val="center" w:pos="4153"/>
        <w:tab w:val="right" w:pos="8306"/>
      </w:tabs>
      <w:jc w:val="left"/>
    </w:pPr>
    <w:rPr>
      <w:sz w:val="18"/>
      <w:szCs w:val="18"/>
    </w:rPr>
  </w:style>
  <w:style w:type="paragraph" w:customStyle="1" w:styleId="212">
    <w:name w:val="页眉1"/>
    <w:basedOn w:val="1"/>
    <w:qFormat/>
    <w:uiPriority w:val="99"/>
    <w:pPr>
      <w:pBdr>
        <w:bottom w:val="single" w:color="000000" w:sz="6" w:space="1"/>
      </w:pBdr>
      <w:tabs>
        <w:tab w:val="center" w:pos="4153"/>
        <w:tab w:val="right" w:pos="8306"/>
      </w:tabs>
      <w:jc w:val="center"/>
    </w:pPr>
    <w:rPr>
      <w:sz w:val="18"/>
      <w:szCs w:val="18"/>
    </w:rPr>
  </w:style>
  <w:style w:type="paragraph" w:customStyle="1" w:styleId="213">
    <w:name w:val="目录 11"/>
    <w:basedOn w:val="1"/>
    <w:next w:val="1"/>
    <w:qFormat/>
    <w:uiPriority w:val="99"/>
    <w:pPr>
      <w:tabs>
        <w:tab w:val="right" w:leader="dot" w:pos="8296"/>
      </w:tabs>
      <w:spacing w:before="93"/>
      <w:jc w:val="center"/>
    </w:pPr>
    <w:rPr>
      <w:rFonts w:ascii="仿宋" w:hAnsi="仿宋" w:eastAsia="仿宋" w:cs="仿宋"/>
      <w:sz w:val="28"/>
      <w:szCs w:val="28"/>
    </w:rPr>
  </w:style>
  <w:style w:type="paragraph" w:customStyle="1" w:styleId="214">
    <w:name w:val="目录 21"/>
    <w:basedOn w:val="1"/>
    <w:next w:val="1"/>
    <w:qFormat/>
    <w:uiPriority w:val="99"/>
    <w:pPr>
      <w:tabs>
        <w:tab w:val="right" w:leader="dot" w:pos="8296"/>
      </w:tabs>
      <w:ind w:left="420"/>
    </w:pPr>
  </w:style>
  <w:style w:type="paragraph" w:customStyle="1" w:styleId="215">
    <w:name w:val="批注主题1"/>
    <w:basedOn w:val="205"/>
    <w:next w:val="205"/>
    <w:link w:val="216"/>
    <w:qFormat/>
    <w:uiPriority w:val="99"/>
    <w:rPr>
      <w:b/>
      <w:bCs/>
    </w:rPr>
  </w:style>
  <w:style w:type="character" w:customStyle="1" w:styleId="216">
    <w:name w:val="批注主题 字符"/>
    <w:link w:val="215"/>
    <w:qFormat/>
    <w:locked/>
    <w:uiPriority w:val="99"/>
    <w:rPr>
      <w:rFonts w:eastAsia="仿宋_GB2312"/>
      <w:b/>
      <w:bCs/>
      <w:sz w:val="24"/>
      <w:szCs w:val="24"/>
    </w:rPr>
  </w:style>
  <w:style w:type="table" w:customStyle="1" w:styleId="217">
    <w:name w:val="网格型1"/>
    <w:basedOn w:val="198"/>
    <w:qFormat/>
    <w:uiPriority w:val="99"/>
    <w:pPr>
      <w:widowControl w:val="0"/>
      <w:jc w:val="both"/>
    </w:pPr>
    <w:tblPr>
      <w:tblCellMar>
        <w:top w:w="0" w:type="dxa"/>
        <w:left w:w="0" w:type="dxa"/>
        <w:bottom w:w="0" w:type="dxa"/>
        <w:right w:w="0" w:type="dxa"/>
      </w:tblCellMar>
    </w:tblPr>
  </w:style>
  <w:style w:type="character" w:customStyle="1" w:styleId="218">
    <w:name w:val="要点1"/>
    <w:qFormat/>
    <w:uiPriority w:val="99"/>
    <w:rPr>
      <w:b/>
      <w:bCs/>
    </w:rPr>
  </w:style>
  <w:style w:type="character" w:customStyle="1" w:styleId="219">
    <w:name w:val="页码1"/>
    <w:qFormat/>
    <w:uiPriority w:val="99"/>
  </w:style>
  <w:style w:type="character" w:customStyle="1" w:styleId="220">
    <w:name w:val="超链接1"/>
    <w:qFormat/>
    <w:uiPriority w:val="99"/>
    <w:rPr>
      <w:color w:val="0000FF"/>
      <w:u w:val="single"/>
    </w:rPr>
  </w:style>
  <w:style w:type="character" w:customStyle="1" w:styleId="221">
    <w:name w:val="批注引用1"/>
    <w:qFormat/>
    <w:uiPriority w:val="99"/>
    <w:rPr>
      <w:sz w:val="21"/>
      <w:szCs w:val="21"/>
    </w:rPr>
  </w:style>
  <w:style w:type="paragraph" w:customStyle="1" w:styleId="222">
    <w:name w:val="章标题"/>
    <w:basedOn w:val="1"/>
    <w:next w:val="223"/>
    <w:qFormat/>
    <w:uiPriority w:val="99"/>
    <w:pPr>
      <w:widowControl/>
      <w:spacing w:before="158" w:after="153" w:line="323" w:lineRule="atLeast"/>
      <w:ind w:right="-120"/>
      <w:jc w:val="center"/>
    </w:pPr>
    <w:rPr>
      <w:color w:val="FF0000"/>
      <w:sz w:val="18"/>
      <w:szCs w:val="18"/>
    </w:rPr>
  </w:style>
  <w:style w:type="paragraph" w:customStyle="1" w:styleId="223">
    <w:name w:val="节标题"/>
    <w:basedOn w:val="1"/>
    <w:next w:val="1"/>
    <w:qFormat/>
    <w:uiPriority w:val="99"/>
    <w:pPr>
      <w:widowControl/>
      <w:spacing w:line="289" w:lineRule="atLeast"/>
      <w:jc w:val="center"/>
    </w:pPr>
    <w:rPr>
      <w:color w:val="000000"/>
      <w:sz w:val="28"/>
      <w:szCs w:val="28"/>
    </w:rPr>
  </w:style>
  <w:style w:type="paragraph" w:customStyle="1" w:styleId="224">
    <w:name w:val="Char Char3 Char Char Char Char Char Char Char Char"/>
    <w:basedOn w:val="1"/>
    <w:next w:val="1"/>
    <w:qFormat/>
    <w:uiPriority w:val="99"/>
    <w:pPr>
      <w:spacing w:line="240" w:lineRule="atLeast"/>
      <w:ind w:left="420" w:firstLine="420"/>
      <w:jc w:val="left"/>
    </w:pPr>
    <w:rPr>
      <w:rFonts w:eastAsia="宋体"/>
      <w:sz w:val="21"/>
      <w:szCs w:val="21"/>
    </w:rPr>
  </w:style>
  <w:style w:type="paragraph" w:customStyle="1" w:styleId="225">
    <w:name w:val="列表段落"/>
    <w:basedOn w:val="1"/>
    <w:qFormat/>
    <w:uiPriority w:val="99"/>
    <w:pPr>
      <w:ind w:firstLine="420"/>
    </w:pPr>
  </w:style>
  <w:style w:type="paragraph" w:customStyle="1" w:styleId="226">
    <w:name w:val="Default"/>
    <w:qFormat/>
    <w:uiPriority w:val="99"/>
    <w:pPr>
      <w:widowControl w:val="0"/>
    </w:pPr>
    <w:rPr>
      <w:rFonts w:ascii="仿宋" w:hAnsi="Calibri" w:eastAsia="仿宋" w:cs="仿宋"/>
      <w:color w:val="000000"/>
      <w:kern w:val="0"/>
      <w:sz w:val="24"/>
      <w:szCs w:val="24"/>
      <w:lang w:val="en-US" w:eastAsia="zh-CN" w:bidi="ar-SA"/>
    </w:rPr>
  </w:style>
  <w:style w:type="paragraph" w:customStyle="1" w:styleId="227">
    <w:name w:val="四号正文"/>
    <w:basedOn w:val="1"/>
    <w:qFormat/>
    <w:uiPriority w:val="99"/>
    <w:pPr>
      <w:spacing w:line="360" w:lineRule="auto"/>
    </w:pPr>
    <w:rPr>
      <w:rFonts w:ascii="??" w:hAnsi="??" w:eastAsia="宋体" w:cs="??"/>
      <w:color w:val="000000"/>
      <w:sz w:val="28"/>
      <w:szCs w:val="28"/>
      <w:lang w:val="zh-CN"/>
    </w:rPr>
  </w:style>
  <w:style w:type="paragraph" w:customStyle="1" w:styleId="228">
    <w:name w:val="修订1"/>
    <w:qFormat/>
    <w:uiPriority w:val="99"/>
    <w:rPr>
      <w:rFonts w:ascii="Calibri" w:hAnsi="Calibri" w:eastAsia="仿宋_GB2312" w:cs="Calibri"/>
      <w:kern w:val="0"/>
      <w:sz w:val="32"/>
      <w:szCs w:val="32"/>
      <w:lang w:val="en-US" w:eastAsia="zh-CN" w:bidi="ar-SA"/>
    </w:rPr>
  </w:style>
  <w:style w:type="paragraph" w:customStyle="1" w:styleId="229">
    <w:name w:val="WPSOffice手动目录 1"/>
    <w:qFormat/>
    <w:uiPriority w:val="99"/>
    <w:rPr>
      <w:rFonts w:ascii="Arial" w:hAnsi="Arial" w:eastAsia="宋体" w:cs="Arial"/>
      <w:kern w:val="0"/>
      <w:sz w:val="20"/>
      <w:szCs w:val="20"/>
      <w:lang w:val="en-US" w:eastAsia="zh-CN" w:bidi="ar-SA"/>
    </w:rPr>
  </w:style>
  <w:style w:type="paragraph" w:customStyle="1" w:styleId="230">
    <w:name w:val="WPSOffice手动目录 2"/>
    <w:qFormat/>
    <w:uiPriority w:val="99"/>
    <w:pPr>
      <w:ind w:left="200" w:leftChars="200"/>
    </w:pPr>
    <w:rPr>
      <w:rFonts w:ascii="Arial" w:hAnsi="Arial" w:eastAsia="宋体" w:cs="Arial"/>
      <w:kern w:val="0"/>
      <w:sz w:val="20"/>
      <w:szCs w:val="20"/>
      <w:lang w:val="en-US" w:eastAsia="zh-CN" w:bidi="ar-SA"/>
    </w:rPr>
  </w:style>
  <w:style w:type="paragraph" w:customStyle="1" w:styleId="231">
    <w:name w:val="WPSOffice手动目录 3"/>
    <w:qFormat/>
    <w:uiPriority w:val="99"/>
    <w:pPr>
      <w:ind w:left="400" w:leftChars="400"/>
    </w:pPr>
    <w:rPr>
      <w:rFonts w:ascii="Arial" w:hAnsi="Arial" w:eastAsia="宋体" w:cs="Arial"/>
      <w:kern w:val="0"/>
      <w:sz w:val="20"/>
      <w:szCs w:val="20"/>
      <w:lang w:val="en-US" w:eastAsia="zh-CN" w:bidi="ar-SA"/>
    </w:rPr>
  </w:style>
  <w:style w:type="character" w:customStyle="1" w:styleId="232">
    <w:name w:val="NormalCharacter"/>
    <w:qFormat/>
    <w:uiPriority w:val="99"/>
  </w:style>
  <w:style w:type="character" w:customStyle="1" w:styleId="233">
    <w:name w:val="font01"/>
    <w:basedOn w:val="37"/>
    <w:qFormat/>
    <w:uiPriority w:val="99"/>
    <w:rPr>
      <w:rFonts w:ascii="宋体" w:hAnsi="宋体" w:eastAsia="宋体" w:cs="宋体"/>
      <w:color w:val="000000"/>
      <w:sz w:val="22"/>
      <w:szCs w:val="22"/>
      <w:u w:val="none"/>
    </w:rPr>
  </w:style>
  <w:style w:type="character" w:customStyle="1" w:styleId="234">
    <w:name w:val="font21"/>
    <w:basedOn w:val="37"/>
    <w:qFormat/>
    <w:uiPriority w:val="99"/>
    <w:rPr>
      <w:rFonts w:ascii="宋体" w:hAnsi="宋体" w:eastAsia="宋体" w:cs="宋体"/>
      <w:color w:val="FF0000"/>
      <w:sz w:val="22"/>
      <w:szCs w:val="22"/>
      <w:u w:val="none"/>
    </w:rPr>
  </w:style>
  <w:style w:type="paragraph" w:customStyle="1" w:styleId="235">
    <w:name w:val="常用样式（方正仿宋简）"/>
    <w:next w:val="24"/>
    <w:qFormat/>
    <w:uiPriority w:val="99"/>
    <w:pPr>
      <w:widowControl w:val="0"/>
      <w:spacing w:line="560" w:lineRule="exact"/>
      <w:ind w:firstLine="200" w:firstLineChars="200"/>
      <w:jc w:val="both"/>
    </w:pPr>
    <w:rPr>
      <w:rFonts w:ascii="Times New Roman" w:hAnsi="Times New Roman" w:eastAsia="方正仿宋简体" w:cs="Times New Roman"/>
      <w:kern w:val="2"/>
      <w:sz w:val="32"/>
      <w:szCs w:val="32"/>
      <w:lang w:val="en-US" w:eastAsia="zh-CN" w:bidi="ar-SA"/>
    </w:rPr>
  </w:style>
  <w:style w:type="paragraph" w:customStyle="1" w:styleId="236">
    <w:name w:val="正文1"/>
    <w:qFormat/>
    <w:uiPriority w:val="0"/>
    <w:pPr>
      <w:widowControl w:val="0"/>
      <w:jc w:val="both"/>
    </w:pPr>
    <w:rPr>
      <w:rFonts w:ascii="Times New Roman" w:hAnsi="Times New Roman" w:eastAsia="宋体"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png"/><Relationship Id="rId14" Type="http://schemas.openxmlformats.org/officeDocument/2006/relationships/oleObject" Target="embeddings/oleObject4.bin"/><Relationship Id="rId13" Type="http://schemas.openxmlformats.org/officeDocument/2006/relationships/image" Target="media/image3.png"/><Relationship Id="rId12" Type="http://schemas.openxmlformats.org/officeDocument/2006/relationships/oleObject" Target="embeddings/oleObject3.bin"/><Relationship Id="rId11" Type="http://schemas.openxmlformats.org/officeDocument/2006/relationships/image" Target="media/image2.png"/><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Company>
  <Pages>64</Pages>
  <Words>12020</Words>
  <Characters>12782</Characters>
  <Lines>0</Lines>
  <Paragraphs>0</Paragraphs>
  <TotalTime>35</TotalTime>
  <ScaleCrop>false</ScaleCrop>
  <LinksUpToDate>false</LinksUpToDate>
  <CharactersWithSpaces>12985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2015-09-11T02:15:00Z</dcterms:created>
  <dc:creator>Lenovo</dc:creator>
  <cp:lastModifiedBy>梅子</cp:lastModifiedBy>
  <cp:lastPrinted>2025-08-28T01:51:00Z</cp:lastPrinted>
  <dcterms:modified xsi:type="dcterms:W3CDTF">2025-12-01T02:32:39Z</dcterms:modified>
  <dc:title>遂宁市</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eyJoZGlkIjoiZGM4NjUzNDA1NDkyY2MxZmJmZThlN2U3ZTFkMjcwOGYiLCJ1c2VySWQiOiIxMzAzMDQ2NzEzIn0=</vt:lpwstr>
  </property>
  <property fmtid="{D5CDD505-2E9C-101B-9397-08002B2CF9AE}" pid="4" name="ICV">
    <vt:lpwstr>6C4D19D3B55C49C7A1FF3747088C4616_13</vt:lpwstr>
  </property>
</Properties>
</file>