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EC41C">
      <w:pPr>
        <w:keepNext w:val="0"/>
        <w:keepLines w:val="0"/>
        <w:pageBreakBefore w:val="0"/>
        <w:widowControl w:val="0"/>
        <w:suppressAutoHyphens/>
        <w:kinsoku/>
        <w:wordWrap/>
        <w:overflowPunct/>
        <w:topLinePunct w:val="0"/>
        <w:autoSpaceDE/>
        <w:autoSpaceDN/>
        <w:bidi w:val="0"/>
        <w:spacing w:line="576" w:lineRule="exact"/>
        <w:jc w:val="cente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遂宁市安居区</w:t>
      </w:r>
      <w:r>
        <w:rPr>
          <w:rFonts w:hint="eastAsia" w:ascii="微软雅黑" w:hAnsi="微软雅黑" w:eastAsia="微软雅黑" w:cs="微软雅黑"/>
          <w:sz w:val="32"/>
          <w:szCs w:val="32"/>
          <w:lang w:val="en-US" w:eastAsia="zh-CN"/>
        </w:rPr>
        <w:t>2025年中央财政粮油规模种植主体单产提升项目实施方案</w:t>
      </w:r>
    </w:p>
    <w:p w14:paraId="0BA5071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（征求意见稿）</w:t>
      </w:r>
    </w:p>
    <w:p w14:paraId="027A644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微软雅黑" w:hAnsi="微软雅黑" w:eastAsia="微软雅黑" w:cs="微软雅黑"/>
          <w:sz w:val="32"/>
          <w:szCs w:val="32"/>
        </w:rPr>
      </w:pPr>
    </w:p>
    <w:p w14:paraId="7E74DB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sz w:val="32"/>
          <w:szCs w:val="32"/>
        </w:rPr>
        <w:t>根据</w:t>
      </w:r>
      <w:r>
        <w:rPr>
          <w:rFonts w:hint="eastAsia" w:ascii="微软雅黑" w:hAnsi="微软雅黑" w:eastAsia="微软雅黑" w:cs="微软雅黑"/>
          <w:color w:val="auto"/>
          <w:sz w:val="32"/>
          <w:szCs w:val="32"/>
          <w:lang w:eastAsia="zh-CN"/>
        </w:rPr>
        <w:t>《四川省农业农村厅关于印发</w:t>
      </w:r>
      <w:r>
        <w:rPr>
          <w:rFonts w:hint="eastAsia" w:ascii="微软雅黑" w:hAnsi="微软雅黑" w:eastAsia="微软雅黑" w:cs="微软雅黑"/>
          <w:color w:val="auto"/>
          <w:sz w:val="32"/>
          <w:szCs w:val="32"/>
          <w:lang w:val="en-US" w:eastAsia="zh-CN"/>
        </w:rPr>
        <w:t>〈2025年中央财政粮油规模种植主体单产提升项目实施方案〉的通知</w:t>
      </w:r>
      <w:r>
        <w:rPr>
          <w:rFonts w:hint="eastAsia" w:ascii="微软雅黑" w:hAnsi="微软雅黑" w:eastAsia="微软雅黑" w:cs="微软雅黑"/>
          <w:color w:val="auto"/>
          <w:sz w:val="32"/>
          <w:szCs w:val="32"/>
          <w:lang w:eastAsia="zh-CN"/>
        </w:rPr>
        <w:t>》（川农函</w:t>
      </w:r>
      <w:r>
        <w:rPr>
          <w:rFonts w:hint="eastAsia" w:ascii="微软雅黑" w:hAnsi="微软雅黑" w:eastAsia="微软雅黑" w:cs="微软雅黑"/>
          <w:color w:val="auto"/>
          <w:sz w:val="32"/>
          <w:szCs w:val="32"/>
        </w:rPr>
        <w:t>〔202</w:t>
      </w:r>
      <w:r>
        <w:rPr>
          <w:rFonts w:hint="eastAsia" w:ascii="微软雅黑" w:hAnsi="微软雅黑" w:eastAsia="微软雅黑" w:cs="微软雅黑"/>
          <w:color w:val="auto"/>
          <w:sz w:val="32"/>
          <w:szCs w:val="32"/>
          <w:lang w:val="en-US" w:eastAsia="zh-CN"/>
        </w:rPr>
        <w:t>5</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sz w:val="32"/>
          <w:szCs w:val="32"/>
          <w:lang w:val="en-US" w:eastAsia="zh-CN"/>
        </w:rPr>
        <w:t>238号</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color w:val="000000"/>
          <w:sz w:val="32"/>
          <w:szCs w:val="32"/>
          <w:lang w:val="en-US" w:eastAsia="zh-CN"/>
        </w:rPr>
        <w:t>和《遂宁市财政局 遂宁市农业农村局关于预下达2025年中央财政农业相关转移支付资金的通知》（遂财农〔2025〕36号）</w:t>
      </w:r>
      <w:r>
        <w:rPr>
          <w:rFonts w:hint="eastAsia" w:ascii="微软雅黑" w:hAnsi="微软雅黑" w:eastAsia="微软雅黑" w:cs="微软雅黑"/>
          <w:sz w:val="32"/>
          <w:szCs w:val="32"/>
        </w:rPr>
        <w:t>要求，结合我</w:t>
      </w:r>
      <w:r>
        <w:rPr>
          <w:rFonts w:hint="eastAsia" w:ascii="微软雅黑" w:hAnsi="微软雅黑" w:eastAsia="微软雅黑" w:cs="微软雅黑"/>
          <w:sz w:val="32"/>
          <w:szCs w:val="32"/>
          <w:lang w:eastAsia="zh-CN"/>
        </w:rPr>
        <w:t>区</w:t>
      </w:r>
      <w:r>
        <w:rPr>
          <w:rFonts w:hint="eastAsia" w:ascii="微软雅黑" w:hAnsi="微软雅黑" w:eastAsia="微软雅黑" w:cs="微软雅黑"/>
          <w:sz w:val="32"/>
          <w:szCs w:val="32"/>
        </w:rPr>
        <w:t>实际，</w:t>
      </w:r>
      <w:r>
        <w:rPr>
          <w:rFonts w:hint="eastAsia" w:ascii="微软雅黑" w:hAnsi="微软雅黑" w:eastAsia="微软雅黑" w:cs="微软雅黑"/>
          <w:color w:val="000000"/>
          <w:sz w:val="32"/>
          <w:szCs w:val="32"/>
          <w:lang w:val="en-US" w:eastAsia="zh-CN"/>
        </w:rPr>
        <w:t>制定本实施方案。</w:t>
      </w:r>
    </w:p>
    <w:p w14:paraId="016C4E93">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一、指导</w:t>
      </w:r>
      <w:r>
        <w:rPr>
          <w:rFonts w:hint="eastAsia" w:ascii="微软雅黑" w:hAnsi="微软雅黑" w:eastAsia="微软雅黑" w:cs="微软雅黑"/>
          <w:sz w:val="32"/>
          <w:szCs w:val="32"/>
        </w:rPr>
        <w:t>思路</w:t>
      </w:r>
    </w:p>
    <w:p w14:paraId="445330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微软雅黑" w:hAnsi="微软雅黑" w:eastAsia="微软雅黑" w:cs="微软雅黑"/>
          <w:color w:val="auto"/>
          <w:sz w:val="32"/>
          <w:szCs w:val="32"/>
          <w:lang w:val="en-US" w:eastAsia="zh-CN"/>
        </w:rPr>
      </w:pPr>
      <w:bookmarkStart w:id="18" w:name="_GoBack"/>
      <w:bookmarkEnd w:id="18"/>
      <w:r>
        <w:rPr>
          <w:rFonts w:hint="eastAsia" w:ascii="微软雅黑" w:hAnsi="微软雅黑" w:eastAsia="微软雅黑" w:cs="微软雅黑"/>
          <w:color w:val="auto"/>
          <w:sz w:val="32"/>
          <w:szCs w:val="32"/>
          <w:lang w:val="en-US" w:eastAsia="zh-CN"/>
        </w:rPr>
        <w:t>坚持以习近平新时代中国特色社会主义思想为指导，围绕全方位夯实粮食安全根基，以促进粮油增产和农民增收为目标，以推广良种良法技物配套为核心，结合建设宜居宜业和美乡村，突出粮油规模种植主体这一关键，支持种植主体优化组织方式、应用先进技术，充分挖掘地种肥药各要素、耕种管收各环节增产潜力，努力提高主要粮油作物关键技术模式到位率和覆盖面，将专家产量转化为农民产量、典型产量转化为大田产量，更好引领带动大面积均衡增产，推动粮食和重要农产品生产能力不断提升。</w:t>
      </w:r>
    </w:p>
    <w:p w14:paraId="7B4805EE">
      <w:pPr>
        <w:pStyle w:val="3"/>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微软雅黑" w:hAnsi="微软雅黑" w:eastAsia="微软雅黑" w:cs="微软雅黑"/>
          <w:b w:val="0"/>
          <w:bCs/>
          <w:sz w:val="32"/>
          <w:szCs w:val="32"/>
          <w:lang w:eastAsia="zh-CN"/>
        </w:rPr>
      </w:pPr>
      <w:r>
        <w:rPr>
          <w:rFonts w:hint="eastAsia" w:ascii="微软雅黑" w:hAnsi="微软雅黑" w:eastAsia="微软雅黑" w:cs="微软雅黑"/>
          <w:b w:val="0"/>
          <w:bCs/>
          <w:sz w:val="32"/>
          <w:szCs w:val="32"/>
          <w:lang w:eastAsia="zh-CN"/>
        </w:rPr>
        <w:t>二、实施单位</w:t>
      </w:r>
    </w:p>
    <w:p w14:paraId="174D6EA2">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bCs/>
          <w:color w:val="auto"/>
          <w:kern w:val="2"/>
          <w:sz w:val="32"/>
          <w:szCs w:val="32"/>
          <w:lang w:val="en-US" w:eastAsia="zh-CN" w:bidi="ar-SA"/>
        </w:rPr>
        <w:t>（一）主管单位：</w:t>
      </w:r>
      <w:r>
        <w:rPr>
          <w:rFonts w:hint="eastAsia" w:ascii="微软雅黑" w:hAnsi="微软雅黑" w:eastAsia="微软雅黑" w:cs="微软雅黑"/>
          <w:color w:val="auto"/>
          <w:sz w:val="32"/>
          <w:szCs w:val="32"/>
          <w:lang w:val="en-US" w:eastAsia="zh-CN"/>
        </w:rPr>
        <w:t>遂宁市安居区农业农村局、遂宁市安居区财政局</w:t>
      </w:r>
    </w:p>
    <w:p w14:paraId="206231A6">
      <w:pPr>
        <w:pStyle w:val="11"/>
        <w:keepNext w:val="0"/>
        <w:keepLines w:val="0"/>
        <w:pageBreakBefore w:val="0"/>
        <w:widowControl w:val="0"/>
        <w:kinsoku/>
        <w:wordWrap/>
        <w:overflowPunct/>
        <w:topLinePunct w:val="0"/>
        <w:autoSpaceDE/>
        <w:autoSpaceDN/>
        <w:bidi w:val="0"/>
        <w:adjustRightInd/>
        <w:snapToGrid/>
        <w:spacing w:before="0" w:after="0" w:line="576" w:lineRule="exact"/>
        <w:ind w:right="0" w:firstLine="640" w:firstLineChars="200"/>
        <w:jc w:val="both"/>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bCs/>
          <w:color w:val="auto"/>
          <w:kern w:val="2"/>
          <w:sz w:val="32"/>
          <w:szCs w:val="32"/>
          <w:lang w:val="en-US" w:eastAsia="zh-CN" w:bidi="ar-SA"/>
        </w:rPr>
        <w:t>（二）责任单位：</w:t>
      </w:r>
      <w:r>
        <w:rPr>
          <w:rFonts w:hint="eastAsia" w:ascii="微软雅黑" w:hAnsi="微软雅黑" w:eastAsia="微软雅黑" w:cs="微软雅黑"/>
          <w:color w:val="auto"/>
          <w:kern w:val="2"/>
          <w:sz w:val="32"/>
          <w:szCs w:val="32"/>
          <w:lang w:val="en-US" w:eastAsia="zh-CN" w:bidi="ar-SA"/>
        </w:rPr>
        <w:t>常理镇人民政府、白马镇人民政府、三家镇人民政府等11个涉及实施主体镇人民政府</w:t>
      </w:r>
    </w:p>
    <w:p w14:paraId="46D873C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bCs/>
          <w:color w:val="auto"/>
          <w:kern w:val="2"/>
          <w:sz w:val="32"/>
          <w:szCs w:val="32"/>
          <w:lang w:val="en-US" w:eastAsia="zh-CN" w:bidi="ar-SA"/>
        </w:rPr>
        <w:t>（三）实施主体：</w:t>
      </w:r>
      <w:r>
        <w:rPr>
          <w:rFonts w:hint="eastAsia" w:ascii="微软雅黑" w:hAnsi="微软雅黑" w:eastAsia="微软雅黑" w:cs="微软雅黑"/>
          <w:color w:val="auto"/>
          <w:sz w:val="32"/>
          <w:szCs w:val="32"/>
          <w:lang w:val="en-US" w:eastAsia="zh-CN"/>
        </w:rPr>
        <w:t>按照项目建设要求，符合条件的粮油规模种植主体积极参与、自愿申报，优先从储备对象或辖区种粮大户中筛选符合项目建设条件的实施主体。为从事粮油规模种植的大户、家庭农场和农民合作社等新型农业经营主体（单一粮油作物种植面积在30亩以上），可包括村集体经济组织、实施全程托管的主体和积极承担撂荒地复耕复种粮油作物达到当地平均产量水平的主体，且不得与承担同一作物部级绿色高产高效行动项目任务的主体重复。</w:t>
      </w:r>
    </w:p>
    <w:p w14:paraId="153CEC8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sz w:val="32"/>
          <w:szCs w:val="32"/>
          <w:lang w:eastAsia="zh-CN"/>
        </w:rPr>
      </w:pPr>
      <w:bookmarkStart w:id="0" w:name="_Toc27327"/>
      <w:bookmarkStart w:id="1" w:name="_Toc25167"/>
      <w:bookmarkStart w:id="2" w:name="_Toc23867"/>
      <w:bookmarkStart w:id="3" w:name="_Toc19780"/>
      <w:bookmarkStart w:id="4" w:name="_Toc3859"/>
      <w:bookmarkStart w:id="5" w:name="_Toc9426"/>
      <w:r>
        <w:rPr>
          <w:rFonts w:hint="eastAsia" w:ascii="微软雅黑" w:hAnsi="微软雅黑" w:eastAsia="微软雅黑" w:cs="微软雅黑"/>
          <w:sz w:val="32"/>
          <w:szCs w:val="32"/>
          <w:lang w:eastAsia="zh-CN"/>
        </w:rPr>
        <w:t>三</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建设内容</w:t>
      </w:r>
    </w:p>
    <w:p w14:paraId="7BB6A02A">
      <w:pPr>
        <w:keepNext w:val="0"/>
        <w:keepLines w:val="0"/>
        <w:pageBreakBefore w:val="0"/>
        <w:widowControl w:val="0"/>
        <w:suppressLineNumbers w:val="0"/>
        <w:kinsoku/>
        <w:wordWrap/>
        <w:overflowPunct/>
        <w:topLinePunct w:val="0"/>
        <w:autoSpaceDE/>
        <w:autoSpaceDN/>
        <w:bidi w:val="0"/>
        <w:adjustRightInd/>
        <w:snapToGrid/>
        <w:spacing w:line="576" w:lineRule="exact"/>
        <w:ind w:right="0" w:firstLine="640" w:firstLineChars="200"/>
        <w:jc w:val="both"/>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eastAsia="zh-CN"/>
        </w:rPr>
        <w:t>在常理镇、白马镇、三家镇等</w:t>
      </w:r>
      <w:r>
        <w:rPr>
          <w:rFonts w:hint="eastAsia" w:ascii="微软雅黑" w:hAnsi="微软雅黑" w:eastAsia="微软雅黑" w:cs="微软雅黑"/>
          <w:color w:val="auto"/>
          <w:sz w:val="32"/>
          <w:szCs w:val="32"/>
          <w:lang w:val="en-US" w:eastAsia="zh-CN"/>
        </w:rPr>
        <w:t>11个镇实施主体</w:t>
      </w:r>
      <w:r>
        <w:rPr>
          <w:rFonts w:hint="eastAsia" w:ascii="微软雅黑" w:hAnsi="微软雅黑" w:eastAsia="微软雅黑" w:cs="微软雅黑"/>
          <w:color w:val="auto"/>
          <w:sz w:val="32"/>
          <w:szCs w:val="32"/>
          <w:lang w:eastAsia="zh-CN"/>
        </w:rPr>
        <w:t>示范推广良种良法技物配套、提升耕地质量等，落实粮油规模种植主体单产提升</w:t>
      </w:r>
      <w:r>
        <w:rPr>
          <w:rFonts w:hint="eastAsia" w:ascii="微软雅黑" w:hAnsi="微软雅黑" w:eastAsia="微软雅黑" w:cs="微软雅黑"/>
          <w:color w:val="auto"/>
          <w:sz w:val="32"/>
          <w:szCs w:val="32"/>
          <w:lang w:val="en-US" w:eastAsia="zh-CN"/>
        </w:rPr>
        <w:t>10%以上（2026年亩产应超过：玉米438公斤/亩、水稻596公斤/亩、小麦325公斤/亩）</w:t>
      </w:r>
      <w:r>
        <w:rPr>
          <w:rFonts w:hint="eastAsia" w:ascii="微软雅黑" w:hAnsi="微软雅黑" w:eastAsia="微软雅黑" w:cs="微软雅黑"/>
          <w:color w:val="auto"/>
          <w:sz w:val="32"/>
          <w:szCs w:val="32"/>
          <w:lang w:eastAsia="zh-CN"/>
        </w:rPr>
        <w:t>，示范推广面积</w:t>
      </w:r>
      <w:r>
        <w:rPr>
          <w:rFonts w:hint="eastAsia" w:ascii="微软雅黑" w:hAnsi="微软雅黑" w:eastAsia="微软雅黑" w:cs="微软雅黑"/>
          <w:color w:val="auto"/>
          <w:sz w:val="32"/>
          <w:szCs w:val="32"/>
          <w:lang w:val="en-US" w:eastAsia="zh-CN"/>
        </w:rPr>
        <w:t>4万亩及以上（以实际示范推广面积为准）。具体如下：</w:t>
      </w:r>
    </w:p>
    <w:p w14:paraId="708A19F3">
      <w:pPr>
        <w:pStyle w:val="11"/>
        <w:keepNext w:val="0"/>
        <w:keepLines w:val="0"/>
        <w:pageBreakBefore w:val="0"/>
        <w:widowControl w:val="0"/>
        <w:kinsoku/>
        <w:wordWrap/>
        <w:overflowPunct/>
        <w:topLinePunct w:val="0"/>
        <w:autoSpaceDE/>
        <w:autoSpaceDN/>
        <w:bidi w:val="0"/>
        <w:adjustRightInd/>
        <w:snapToGrid/>
        <w:spacing w:before="0" w:after="0" w:line="576" w:lineRule="exact"/>
        <w:ind w:right="0" w:firstLine="640" w:firstLineChars="200"/>
        <w:jc w:val="both"/>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bCs/>
          <w:color w:val="auto"/>
          <w:kern w:val="2"/>
          <w:sz w:val="32"/>
          <w:szCs w:val="32"/>
          <w:lang w:val="en-US" w:eastAsia="zh-CN" w:bidi="ar-SA"/>
        </w:rPr>
        <w:t>（一）示范推广良种。</w:t>
      </w:r>
      <w:r>
        <w:rPr>
          <w:rFonts w:hint="eastAsia" w:ascii="微软雅黑" w:hAnsi="微软雅黑" w:eastAsia="微软雅黑" w:cs="微软雅黑"/>
          <w:color w:val="auto"/>
          <w:sz w:val="32"/>
          <w:szCs w:val="32"/>
          <w:lang w:val="en-US" w:eastAsia="zh-CN"/>
        </w:rPr>
        <w:t>根据省、市、区粮油重大品种推广目录，水稻推广泰优粤禾丝苗、川种优3607、品香优秱珍等优质良种，示范推广面积9875亩；玉米推广同玉609、成单716、川单99等优质良种，示范推广面积13788亩；小麦推广绵麦902、蜀麦830、川麦104等优质良种，示范推广面积16337亩。</w:t>
      </w:r>
    </w:p>
    <w:p w14:paraId="2180C02C">
      <w:pPr>
        <w:keepNext w:val="0"/>
        <w:keepLines w:val="0"/>
        <w:pageBreakBefore w:val="0"/>
        <w:widowControl w:val="0"/>
        <w:suppressLineNumbers w:val="0"/>
        <w:kinsoku/>
        <w:wordWrap/>
        <w:overflowPunct/>
        <w:topLinePunct w:val="0"/>
        <w:autoSpaceDE/>
        <w:autoSpaceDN/>
        <w:bidi w:val="0"/>
        <w:adjustRightInd/>
        <w:snapToGrid/>
        <w:spacing w:line="576" w:lineRule="exact"/>
        <w:ind w:right="0" w:firstLine="640" w:firstLineChars="200"/>
        <w:jc w:val="both"/>
        <w:textAlignment w:val="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bCs/>
          <w:color w:val="auto"/>
          <w:kern w:val="2"/>
          <w:sz w:val="32"/>
          <w:szCs w:val="32"/>
          <w:lang w:val="en-US" w:eastAsia="zh-CN" w:bidi="ar-SA"/>
        </w:rPr>
        <w:t>（二）示范推广技术。</w:t>
      </w:r>
      <w:r>
        <w:rPr>
          <w:rFonts w:hint="eastAsia" w:ascii="微软雅黑" w:hAnsi="微软雅黑" w:eastAsia="微软雅黑" w:cs="微软雅黑"/>
          <w:color w:val="auto"/>
          <w:sz w:val="32"/>
          <w:szCs w:val="32"/>
          <w:lang w:val="en-US" w:eastAsia="zh-CN"/>
        </w:rPr>
        <w:t>根据省、市、区粮油作物主推技术目录，</w:t>
      </w:r>
      <w:r>
        <w:rPr>
          <w:rFonts w:hint="eastAsia" w:ascii="微软雅黑" w:hAnsi="微软雅黑" w:eastAsia="微软雅黑" w:cs="微软雅黑"/>
          <w:color w:val="auto"/>
          <w:sz w:val="32"/>
          <w:szCs w:val="32"/>
          <w:lang w:eastAsia="zh-CN"/>
        </w:rPr>
        <w:t>示范推广水稻节水节肥丰产高效栽培技术、麦（油）茬杂交中稻集中育秧机插秧技术、优质稻保优提质绿色高效栽培技术、水稻机械化种植同步侧深施肥技术、水稻病虫害全程绿色防控技术、玉米全程机械化生产技术、大豆玉米带状复合种植技术、小麦免耕带旋机械直播和“一喷三防”、测土配方施肥技术、秸秆机械粉碎还田技术等，示范推广面积</w:t>
      </w:r>
      <w:r>
        <w:rPr>
          <w:rFonts w:hint="eastAsia" w:ascii="微软雅黑" w:hAnsi="微软雅黑" w:eastAsia="微软雅黑" w:cs="微软雅黑"/>
          <w:color w:val="auto"/>
          <w:sz w:val="32"/>
          <w:szCs w:val="32"/>
          <w:lang w:val="en-US" w:eastAsia="zh-CN"/>
        </w:rPr>
        <w:t>4万亩及以上</w:t>
      </w:r>
      <w:r>
        <w:rPr>
          <w:rFonts w:hint="eastAsia" w:ascii="微软雅黑" w:hAnsi="微软雅黑" w:eastAsia="微软雅黑" w:cs="微软雅黑"/>
          <w:color w:val="auto"/>
          <w:sz w:val="32"/>
          <w:szCs w:val="32"/>
          <w:lang w:eastAsia="zh-CN"/>
        </w:rPr>
        <w:t>。</w:t>
      </w:r>
    </w:p>
    <w:p w14:paraId="449122F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四</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资金概算</w:t>
      </w:r>
    </w:p>
    <w:bookmarkEnd w:id="0"/>
    <w:bookmarkEnd w:id="1"/>
    <w:bookmarkEnd w:id="2"/>
    <w:bookmarkEnd w:id="3"/>
    <w:bookmarkEnd w:id="4"/>
    <w:bookmarkEnd w:id="5"/>
    <w:p w14:paraId="76034273">
      <w:pPr>
        <w:keepNext w:val="0"/>
        <w:keepLines w:val="0"/>
        <w:pageBreakBefore w:val="0"/>
        <w:widowControl w:val="0"/>
        <w:suppressLineNumbers w:val="0"/>
        <w:kinsoku/>
        <w:wordWrap/>
        <w:overflowPunct/>
        <w:topLinePunct w:val="0"/>
        <w:autoSpaceDE/>
        <w:autoSpaceDN/>
        <w:bidi w:val="0"/>
        <w:adjustRightInd/>
        <w:snapToGrid/>
        <w:spacing w:line="576" w:lineRule="exact"/>
        <w:ind w:right="0" w:firstLine="640" w:firstLineChars="200"/>
        <w:jc w:val="both"/>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eastAsia="zh-CN"/>
        </w:rPr>
        <w:t>该项目概算总投资</w:t>
      </w:r>
      <w:r>
        <w:rPr>
          <w:rFonts w:hint="eastAsia" w:ascii="微软雅黑" w:hAnsi="微软雅黑" w:eastAsia="微软雅黑" w:cs="微软雅黑"/>
          <w:color w:val="auto"/>
          <w:sz w:val="32"/>
          <w:szCs w:val="32"/>
          <w:lang w:val="en-US" w:eastAsia="zh-CN"/>
        </w:rPr>
        <w:t>688万元，其中：</w:t>
      </w:r>
      <w:r>
        <w:rPr>
          <w:rFonts w:hint="eastAsia" w:ascii="微软雅黑" w:hAnsi="微软雅黑" w:eastAsia="微软雅黑" w:cs="微软雅黑"/>
          <w:color w:val="auto"/>
          <w:sz w:val="32"/>
          <w:szCs w:val="32"/>
          <w:lang w:eastAsia="zh-CN"/>
        </w:rPr>
        <w:t>中央财政补助</w:t>
      </w:r>
      <w:r>
        <w:rPr>
          <w:rFonts w:hint="eastAsia" w:ascii="微软雅黑" w:hAnsi="微软雅黑" w:eastAsia="微软雅黑" w:cs="微软雅黑"/>
          <w:color w:val="auto"/>
          <w:sz w:val="32"/>
          <w:szCs w:val="32"/>
          <w:lang w:val="en-US" w:eastAsia="zh-CN"/>
        </w:rPr>
        <w:t>200万元、社会自筹488万元。具体如下：</w:t>
      </w:r>
    </w:p>
    <w:p w14:paraId="7C3E5726">
      <w:pPr>
        <w:pStyle w:val="11"/>
        <w:keepNext w:val="0"/>
        <w:keepLines w:val="0"/>
        <w:pageBreakBefore w:val="0"/>
        <w:widowControl w:val="0"/>
        <w:kinsoku/>
        <w:wordWrap/>
        <w:overflowPunct/>
        <w:topLinePunct w:val="0"/>
        <w:autoSpaceDE/>
        <w:autoSpaceDN/>
        <w:bidi w:val="0"/>
        <w:adjustRightInd/>
        <w:snapToGrid/>
        <w:spacing w:before="0" w:after="0" w:line="576" w:lineRule="exact"/>
        <w:ind w:right="0" w:firstLine="640" w:firstLineChars="200"/>
        <w:jc w:val="both"/>
        <w:rPr>
          <w:rFonts w:hint="eastAsia"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t>示范推广水稻9875亩，中央财政补助49.375万元；示范推广玉米13788亩，中央财政补助68.94万元；示范推广小麦16337亩，中央财政补助81.685万元。</w:t>
      </w:r>
    </w:p>
    <w:p w14:paraId="7F2E3466">
      <w:pPr>
        <w:pStyle w:val="11"/>
        <w:keepNext w:val="0"/>
        <w:keepLines w:val="0"/>
        <w:pageBreakBefore w:val="0"/>
        <w:widowControl w:val="0"/>
        <w:kinsoku/>
        <w:wordWrap/>
        <w:overflowPunct/>
        <w:topLinePunct w:val="0"/>
        <w:autoSpaceDE/>
        <w:autoSpaceDN/>
        <w:bidi w:val="0"/>
        <w:adjustRightInd/>
        <w:snapToGrid/>
        <w:spacing w:before="0" w:after="0" w:line="576" w:lineRule="exact"/>
        <w:ind w:right="0" w:firstLine="640" w:firstLineChars="200"/>
        <w:jc w:val="both"/>
        <w:rPr>
          <w:rFonts w:hint="eastAsia" w:ascii="微软雅黑" w:hAnsi="微软雅黑" w:eastAsia="微软雅黑" w:cs="微软雅黑"/>
          <w:sz w:val="32"/>
          <w:szCs w:val="32"/>
          <w:lang w:eastAsia="zh-CN"/>
        </w:rPr>
      </w:pPr>
      <w:r>
        <w:rPr>
          <w:rFonts w:hint="eastAsia" w:ascii="微软雅黑" w:hAnsi="微软雅黑" w:eastAsia="微软雅黑" w:cs="微软雅黑"/>
          <w:color w:val="auto"/>
          <w:sz w:val="32"/>
          <w:szCs w:val="32"/>
          <w:lang w:eastAsia="zh-CN"/>
        </w:rPr>
        <w:t>五、财政资金使用环节及补助标准</w:t>
      </w:r>
    </w:p>
    <w:p w14:paraId="1D1824BC">
      <w:pPr>
        <w:keepNext w:val="0"/>
        <w:keepLines w:val="0"/>
        <w:pageBreakBefore w:val="0"/>
        <w:widowControl w:val="0"/>
        <w:suppressLineNumbers w:val="0"/>
        <w:kinsoku/>
        <w:wordWrap/>
        <w:overflowPunct/>
        <w:topLinePunct w:val="0"/>
        <w:autoSpaceDE/>
        <w:autoSpaceDN/>
        <w:bidi w:val="0"/>
        <w:adjustRightInd/>
        <w:snapToGrid/>
        <w:spacing w:line="576" w:lineRule="exact"/>
        <w:ind w:right="0" w:firstLine="640" w:firstLineChars="200"/>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auto"/>
          <w:sz w:val="32"/>
          <w:szCs w:val="32"/>
          <w:lang w:val="en-US" w:eastAsia="zh-CN"/>
        </w:rPr>
        <w:t>根据</w:t>
      </w:r>
      <w:r>
        <w:rPr>
          <w:rFonts w:hint="eastAsia" w:ascii="微软雅黑" w:hAnsi="微软雅黑" w:eastAsia="微软雅黑" w:cs="微软雅黑"/>
          <w:color w:val="auto"/>
          <w:sz w:val="32"/>
          <w:szCs w:val="32"/>
          <w:lang w:eastAsia="zh-CN"/>
        </w:rPr>
        <w:t>《四川省农业农村厅关于印发</w:t>
      </w:r>
      <w:r>
        <w:rPr>
          <w:rFonts w:hint="eastAsia" w:ascii="微软雅黑" w:hAnsi="微软雅黑" w:eastAsia="微软雅黑" w:cs="微软雅黑"/>
          <w:color w:val="auto"/>
          <w:sz w:val="32"/>
          <w:szCs w:val="32"/>
          <w:lang w:val="en-US" w:eastAsia="zh-CN"/>
        </w:rPr>
        <w:t>〈2025年中央财政粮油规模种植主体单产提升项目实施方案〉的通知</w:t>
      </w:r>
      <w:r>
        <w:rPr>
          <w:rFonts w:hint="eastAsia" w:ascii="微软雅黑" w:hAnsi="微软雅黑" w:eastAsia="微软雅黑" w:cs="微软雅黑"/>
          <w:color w:val="auto"/>
          <w:sz w:val="32"/>
          <w:szCs w:val="32"/>
          <w:lang w:eastAsia="zh-CN"/>
        </w:rPr>
        <w:t>》（川农函</w:t>
      </w:r>
      <w:r>
        <w:rPr>
          <w:rFonts w:hint="eastAsia" w:ascii="微软雅黑" w:hAnsi="微软雅黑" w:eastAsia="微软雅黑" w:cs="微软雅黑"/>
          <w:color w:val="auto"/>
          <w:sz w:val="32"/>
          <w:szCs w:val="32"/>
        </w:rPr>
        <w:t>〔202</w:t>
      </w:r>
      <w:r>
        <w:rPr>
          <w:rFonts w:hint="eastAsia" w:ascii="微软雅黑" w:hAnsi="微软雅黑" w:eastAsia="微软雅黑" w:cs="微软雅黑"/>
          <w:color w:val="auto"/>
          <w:sz w:val="32"/>
          <w:szCs w:val="32"/>
          <w:lang w:val="en-US" w:eastAsia="zh-CN"/>
        </w:rPr>
        <w:t>5</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sz w:val="32"/>
          <w:szCs w:val="32"/>
          <w:lang w:val="en-US" w:eastAsia="zh-CN"/>
        </w:rPr>
        <w:t>238号</w:t>
      </w:r>
      <w:r>
        <w:rPr>
          <w:rFonts w:hint="eastAsia" w:ascii="微软雅黑" w:hAnsi="微软雅黑" w:eastAsia="微软雅黑" w:cs="微软雅黑"/>
          <w:color w:val="auto"/>
          <w:sz w:val="32"/>
          <w:szCs w:val="32"/>
          <w:lang w:eastAsia="zh-CN"/>
        </w:rPr>
        <w:t>）和主体申报情况，中央财政补助资金主要用于示范推广良种良法等。</w:t>
      </w:r>
      <w:r>
        <w:rPr>
          <w:rFonts w:hint="eastAsia" w:ascii="微软雅黑" w:hAnsi="微软雅黑" w:eastAsia="微软雅黑" w:cs="微软雅黑"/>
          <w:color w:val="auto"/>
          <w:sz w:val="32"/>
          <w:szCs w:val="32"/>
          <w:lang w:val="en-US" w:eastAsia="zh-CN"/>
        </w:rPr>
        <w:t>单个种粮大户或家庭农场补助不超过20万元、农民专业合作社和其他主体补助不超过50万元，单季作物每亩补助不超过50元。</w:t>
      </w:r>
    </w:p>
    <w:p w14:paraId="543A70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微软雅黑" w:hAnsi="微软雅黑" w:eastAsia="微软雅黑" w:cs="微软雅黑"/>
          <w:bCs/>
          <w:sz w:val="32"/>
          <w:szCs w:val="32"/>
        </w:rPr>
      </w:pPr>
      <w:r>
        <w:rPr>
          <w:rFonts w:hint="eastAsia" w:ascii="微软雅黑" w:hAnsi="微软雅黑" w:eastAsia="微软雅黑" w:cs="微软雅黑"/>
          <w:bCs/>
          <w:sz w:val="32"/>
          <w:szCs w:val="32"/>
          <w:lang w:eastAsia="zh-CN"/>
        </w:rPr>
        <w:t>六、</w:t>
      </w:r>
      <w:r>
        <w:rPr>
          <w:rFonts w:hint="eastAsia" w:ascii="微软雅黑" w:hAnsi="微软雅黑" w:eastAsia="微软雅黑" w:cs="微软雅黑"/>
          <w:bCs/>
          <w:sz w:val="32"/>
          <w:szCs w:val="32"/>
        </w:rPr>
        <w:t>实施期限</w:t>
      </w:r>
    </w:p>
    <w:p w14:paraId="365BAD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202</w:t>
      </w:r>
      <w:r>
        <w:rPr>
          <w:rFonts w:hint="eastAsia" w:ascii="微软雅黑" w:hAnsi="微软雅黑" w:eastAsia="微软雅黑" w:cs="微软雅黑"/>
          <w:bCs/>
          <w:sz w:val="32"/>
          <w:szCs w:val="32"/>
          <w:lang w:val="en-US" w:eastAsia="zh-CN"/>
        </w:rPr>
        <w:t>5</w:t>
      </w:r>
      <w:r>
        <w:rPr>
          <w:rFonts w:hint="eastAsia" w:ascii="微软雅黑" w:hAnsi="微软雅黑" w:eastAsia="微软雅黑" w:cs="微软雅黑"/>
          <w:bCs/>
          <w:sz w:val="32"/>
          <w:szCs w:val="32"/>
        </w:rPr>
        <w:t>年</w:t>
      </w:r>
      <w:r>
        <w:rPr>
          <w:rFonts w:hint="eastAsia" w:ascii="微软雅黑" w:hAnsi="微软雅黑" w:eastAsia="微软雅黑" w:cs="微软雅黑"/>
          <w:bCs/>
          <w:sz w:val="32"/>
          <w:szCs w:val="32"/>
          <w:lang w:val="en-US" w:eastAsia="zh-CN"/>
        </w:rPr>
        <w:t>9</w:t>
      </w:r>
      <w:r>
        <w:rPr>
          <w:rFonts w:hint="eastAsia" w:ascii="微软雅黑" w:hAnsi="微软雅黑" w:eastAsia="微软雅黑" w:cs="微软雅黑"/>
          <w:bCs/>
          <w:sz w:val="32"/>
          <w:szCs w:val="32"/>
        </w:rPr>
        <w:t>月—202</w:t>
      </w:r>
      <w:r>
        <w:rPr>
          <w:rFonts w:hint="eastAsia" w:ascii="微软雅黑" w:hAnsi="微软雅黑" w:eastAsia="微软雅黑" w:cs="微软雅黑"/>
          <w:bCs/>
          <w:sz w:val="32"/>
          <w:szCs w:val="32"/>
          <w:lang w:val="en-US" w:eastAsia="zh-CN"/>
        </w:rPr>
        <w:t>6</w:t>
      </w:r>
      <w:r>
        <w:rPr>
          <w:rFonts w:hint="eastAsia" w:ascii="微软雅黑" w:hAnsi="微软雅黑" w:eastAsia="微软雅黑" w:cs="微软雅黑"/>
          <w:bCs/>
          <w:sz w:val="32"/>
          <w:szCs w:val="32"/>
        </w:rPr>
        <w:t>年</w:t>
      </w:r>
      <w:r>
        <w:rPr>
          <w:rFonts w:hint="eastAsia" w:ascii="微软雅黑" w:hAnsi="微软雅黑" w:eastAsia="微软雅黑" w:cs="微软雅黑"/>
          <w:bCs/>
          <w:sz w:val="32"/>
          <w:szCs w:val="32"/>
          <w:lang w:val="en-US" w:eastAsia="zh-CN"/>
        </w:rPr>
        <w:t>9</w:t>
      </w:r>
      <w:r>
        <w:rPr>
          <w:rFonts w:hint="eastAsia" w:ascii="微软雅黑" w:hAnsi="微软雅黑" w:eastAsia="微软雅黑" w:cs="微软雅黑"/>
          <w:bCs/>
          <w:sz w:val="32"/>
          <w:szCs w:val="32"/>
        </w:rPr>
        <w:t>月，为期1年。</w:t>
      </w:r>
    </w:p>
    <w:p w14:paraId="08D0AF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微软雅黑" w:hAnsi="微软雅黑" w:eastAsia="微软雅黑" w:cs="微软雅黑"/>
          <w:bCs/>
          <w:sz w:val="32"/>
          <w:szCs w:val="32"/>
        </w:rPr>
      </w:pPr>
      <w:r>
        <w:rPr>
          <w:rFonts w:hint="eastAsia" w:ascii="微软雅黑" w:hAnsi="微软雅黑" w:eastAsia="微软雅黑" w:cs="微软雅黑"/>
          <w:bCs/>
          <w:sz w:val="32"/>
          <w:szCs w:val="32"/>
          <w:lang w:eastAsia="zh-CN"/>
        </w:rPr>
        <w:t>七</w:t>
      </w:r>
      <w:r>
        <w:rPr>
          <w:rFonts w:hint="eastAsia" w:ascii="微软雅黑" w:hAnsi="微软雅黑" w:eastAsia="微软雅黑" w:cs="微软雅黑"/>
          <w:bCs/>
          <w:sz w:val="32"/>
          <w:szCs w:val="32"/>
        </w:rPr>
        <w:t>、</w:t>
      </w:r>
      <w:r>
        <w:rPr>
          <w:rFonts w:hint="eastAsia" w:ascii="微软雅黑" w:hAnsi="微软雅黑" w:eastAsia="微软雅黑" w:cs="微软雅黑"/>
          <w:sz w:val="32"/>
          <w:szCs w:val="32"/>
        </w:rPr>
        <w:t>保障措施</w:t>
      </w:r>
    </w:p>
    <w:p w14:paraId="0C17A14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sz w:val="32"/>
          <w:szCs w:val="32"/>
        </w:rPr>
      </w:pPr>
      <w:bookmarkStart w:id="6" w:name="_Toc22652"/>
      <w:bookmarkStart w:id="7" w:name="_Toc8088"/>
      <w:bookmarkStart w:id="8" w:name="_Toc21355"/>
      <w:bookmarkStart w:id="9" w:name="_Toc16786"/>
      <w:bookmarkStart w:id="10" w:name="_Toc4764"/>
      <w:bookmarkStart w:id="11" w:name="_Toc31822"/>
      <w:r>
        <w:rPr>
          <w:rFonts w:hint="eastAsia" w:ascii="微软雅黑" w:hAnsi="微软雅黑" w:eastAsia="微软雅黑" w:cs="微软雅黑"/>
          <w:bCs/>
          <w:color w:val="auto"/>
          <w:kern w:val="2"/>
          <w:sz w:val="32"/>
          <w:szCs w:val="32"/>
          <w:lang w:val="en-US" w:eastAsia="zh-CN" w:bidi="ar-SA"/>
        </w:rPr>
        <w:t>（一）强化组织领导</w:t>
      </w:r>
      <w:bookmarkEnd w:id="6"/>
      <w:bookmarkEnd w:id="7"/>
      <w:bookmarkEnd w:id="8"/>
      <w:bookmarkEnd w:id="9"/>
      <w:bookmarkEnd w:id="10"/>
      <w:bookmarkEnd w:id="11"/>
      <w:r>
        <w:rPr>
          <w:rFonts w:hint="eastAsia" w:ascii="微软雅黑" w:hAnsi="微软雅黑" w:eastAsia="微软雅黑" w:cs="微软雅黑"/>
          <w:bCs/>
          <w:color w:val="auto"/>
          <w:kern w:val="2"/>
          <w:sz w:val="32"/>
          <w:szCs w:val="32"/>
          <w:lang w:val="en-US" w:eastAsia="zh-CN" w:bidi="ar-SA"/>
        </w:rPr>
        <w:t>。</w:t>
      </w:r>
      <w:r>
        <w:rPr>
          <w:rFonts w:hint="eastAsia" w:ascii="微软雅黑" w:hAnsi="微软雅黑" w:eastAsia="微软雅黑" w:cs="微软雅黑"/>
          <w:sz w:val="32"/>
          <w:szCs w:val="32"/>
        </w:rPr>
        <w:t>成立</w:t>
      </w:r>
      <w:r>
        <w:rPr>
          <w:rFonts w:hint="eastAsia" w:ascii="微软雅黑" w:hAnsi="微软雅黑" w:eastAsia="微软雅黑" w:cs="微软雅黑"/>
          <w:sz w:val="32"/>
          <w:szCs w:val="32"/>
          <w:lang w:eastAsia="zh-CN"/>
        </w:rPr>
        <w:t>安居区</w:t>
      </w:r>
      <w:r>
        <w:rPr>
          <w:rFonts w:hint="eastAsia" w:ascii="微软雅黑" w:hAnsi="微软雅黑" w:eastAsia="微软雅黑" w:cs="微软雅黑"/>
          <w:sz w:val="32"/>
          <w:szCs w:val="32"/>
        </w:rPr>
        <w:t>中央财政粮油规模种植主体单产提升项目</w:t>
      </w:r>
      <w:r>
        <w:rPr>
          <w:rFonts w:hint="eastAsia" w:ascii="微软雅黑" w:hAnsi="微软雅黑" w:eastAsia="微软雅黑" w:cs="微软雅黑"/>
          <w:sz w:val="32"/>
          <w:szCs w:val="32"/>
          <w:lang w:eastAsia="zh-CN"/>
        </w:rPr>
        <w:t>实施</w:t>
      </w:r>
      <w:r>
        <w:rPr>
          <w:rFonts w:hint="eastAsia" w:ascii="微软雅黑" w:hAnsi="微软雅黑" w:eastAsia="微软雅黑" w:cs="微软雅黑"/>
          <w:sz w:val="32"/>
          <w:szCs w:val="32"/>
        </w:rPr>
        <w:t>领导小组，分管副</w:t>
      </w:r>
      <w:r>
        <w:rPr>
          <w:rFonts w:hint="eastAsia" w:ascii="微软雅黑" w:hAnsi="微软雅黑" w:eastAsia="微软雅黑" w:cs="微软雅黑"/>
          <w:sz w:val="32"/>
          <w:szCs w:val="32"/>
          <w:lang w:eastAsia="zh-CN"/>
        </w:rPr>
        <w:t>区长</w:t>
      </w:r>
      <w:r>
        <w:rPr>
          <w:rFonts w:hint="eastAsia" w:ascii="微软雅黑" w:hAnsi="微软雅黑" w:eastAsia="微软雅黑" w:cs="微软雅黑"/>
          <w:sz w:val="32"/>
          <w:szCs w:val="32"/>
        </w:rPr>
        <w:t>为组长，财政局局长、农业农村局局长为</w:t>
      </w:r>
      <w:r>
        <w:rPr>
          <w:rFonts w:hint="eastAsia" w:ascii="微软雅黑" w:hAnsi="微软雅黑" w:eastAsia="微软雅黑" w:cs="微软雅黑"/>
          <w:sz w:val="32"/>
          <w:szCs w:val="32"/>
          <w:lang w:eastAsia="zh-CN"/>
        </w:rPr>
        <w:t>副组长</w:t>
      </w:r>
      <w:r>
        <w:rPr>
          <w:rFonts w:hint="eastAsia" w:ascii="微软雅黑" w:hAnsi="微软雅黑" w:eastAsia="微软雅黑" w:cs="微软雅黑"/>
          <w:sz w:val="32"/>
          <w:szCs w:val="32"/>
        </w:rPr>
        <w:t>，主要负责粮油单产提升行动项目工作重要事项决策和统筹安排。农业农村局负责项目工作技术指导和服务；财政局负责项目资金的管理，确保项目资金及时拨付。领导小组办公室设在</w:t>
      </w:r>
      <w:r>
        <w:rPr>
          <w:rFonts w:hint="eastAsia" w:ascii="微软雅黑" w:hAnsi="微软雅黑" w:eastAsia="微软雅黑" w:cs="微软雅黑"/>
          <w:sz w:val="32"/>
          <w:szCs w:val="32"/>
          <w:lang w:eastAsia="zh-CN"/>
        </w:rPr>
        <w:t>区</w:t>
      </w:r>
      <w:r>
        <w:rPr>
          <w:rFonts w:hint="eastAsia" w:ascii="微软雅黑" w:hAnsi="微软雅黑" w:eastAsia="微软雅黑" w:cs="微软雅黑"/>
          <w:sz w:val="32"/>
          <w:szCs w:val="32"/>
        </w:rPr>
        <w:t>农业农村局，具体负责落实领导小组的决策部署和粮油单产提升行动项目实施的日常工作。</w:t>
      </w:r>
    </w:p>
    <w:p w14:paraId="4248281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sz w:val="32"/>
          <w:szCs w:val="32"/>
        </w:rPr>
      </w:pPr>
      <w:bookmarkStart w:id="12" w:name="_Toc13623"/>
      <w:bookmarkStart w:id="13" w:name="_Toc20472"/>
      <w:bookmarkStart w:id="14" w:name="_Toc31231"/>
      <w:bookmarkStart w:id="15" w:name="_Toc2841"/>
      <w:bookmarkStart w:id="16" w:name="_Toc21946"/>
      <w:bookmarkStart w:id="17" w:name="_Toc3984"/>
      <w:r>
        <w:rPr>
          <w:rFonts w:hint="eastAsia" w:ascii="微软雅黑" w:hAnsi="微软雅黑" w:eastAsia="微软雅黑" w:cs="微软雅黑"/>
          <w:bCs/>
          <w:color w:val="auto"/>
          <w:kern w:val="2"/>
          <w:sz w:val="32"/>
          <w:szCs w:val="32"/>
          <w:lang w:val="en-US" w:eastAsia="zh-CN" w:bidi="ar-SA"/>
        </w:rPr>
        <w:t>（二）加强监管督导</w:t>
      </w:r>
      <w:bookmarkEnd w:id="12"/>
      <w:bookmarkEnd w:id="13"/>
      <w:bookmarkEnd w:id="14"/>
      <w:bookmarkEnd w:id="15"/>
      <w:bookmarkEnd w:id="16"/>
      <w:bookmarkEnd w:id="17"/>
      <w:r>
        <w:rPr>
          <w:rFonts w:hint="eastAsia" w:ascii="微软雅黑" w:hAnsi="微软雅黑" w:eastAsia="微软雅黑" w:cs="微软雅黑"/>
          <w:bCs/>
          <w:color w:val="auto"/>
          <w:kern w:val="2"/>
          <w:sz w:val="32"/>
          <w:szCs w:val="32"/>
          <w:lang w:val="en-US" w:eastAsia="zh-CN" w:bidi="ar-SA"/>
        </w:rPr>
        <w:t>。</w:t>
      </w:r>
      <w:r>
        <w:rPr>
          <w:rFonts w:hint="eastAsia" w:ascii="微软雅黑" w:hAnsi="微软雅黑" w:eastAsia="微软雅黑" w:cs="微软雅黑"/>
          <w:sz w:val="32"/>
          <w:szCs w:val="32"/>
        </w:rPr>
        <w:t>项目</w:t>
      </w:r>
      <w:r>
        <w:rPr>
          <w:rFonts w:hint="eastAsia" w:ascii="微软雅黑" w:hAnsi="微软雅黑" w:eastAsia="微软雅黑" w:cs="微软雅黑"/>
          <w:sz w:val="32"/>
          <w:szCs w:val="32"/>
          <w:lang w:eastAsia="zh-CN"/>
        </w:rPr>
        <w:t>实施</w:t>
      </w:r>
      <w:r>
        <w:rPr>
          <w:rFonts w:hint="eastAsia" w:ascii="微软雅黑" w:hAnsi="微软雅黑" w:eastAsia="微软雅黑" w:cs="微软雅黑"/>
          <w:sz w:val="32"/>
          <w:szCs w:val="32"/>
        </w:rPr>
        <w:t>领导小组不定期深入项目实施单位开展督促落实工作，技术指导小组经常性开展粮油作物种植技术培训和现场指导，</w:t>
      </w:r>
      <w:r>
        <w:rPr>
          <w:rFonts w:hint="eastAsia" w:ascii="微软雅黑" w:hAnsi="微软雅黑" w:eastAsia="微软雅黑" w:cs="微软雅黑"/>
          <w:sz w:val="32"/>
          <w:szCs w:val="32"/>
          <w:lang w:eastAsia="zh-CN"/>
        </w:rPr>
        <w:t>了解核实实施主体重点技术到位情况，</w:t>
      </w:r>
      <w:r>
        <w:rPr>
          <w:rFonts w:hint="eastAsia" w:ascii="微软雅黑" w:hAnsi="微软雅黑" w:eastAsia="微软雅黑" w:cs="微软雅黑"/>
          <w:sz w:val="32"/>
          <w:szCs w:val="32"/>
        </w:rPr>
        <w:t>确保任务落到实处。</w:t>
      </w:r>
      <w:r>
        <w:rPr>
          <w:rFonts w:hint="eastAsia" w:ascii="微软雅黑" w:hAnsi="微软雅黑" w:eastAsia="微软雅黑" w:cs="微软雅黑"/>
          <w:b w:val="0"/>
          <w:bCs w:val="0"/>
          <w:kern w:val="2"/>
          <w:sz w:val="32"/>
          <w:szCs w:val="32"/>
          <w:lang w:val="en-US" w:eastAsia="zh-CN" w:bidi="ar-SA"/>
        </w:rPr>
        <w:t>建立“专家+基层农技人员”工作模式，开展巡回指导服务，做好技术培训，做到专家直接入户、技术直接到人、良法直接到田，为项目实施提供有力技术支撑。</w:t>
      </w:r>
      <w:r>
        <w:rPr>
          <w:rFonts w:hint="eastAsia" w:ascii="微软雅黑" w:hAnsi="微软雅黑" w:eastAsia="微软雅黑" w:cs="微软雅黑"/>
          <w:sz w:val="32"/>
          <w:szCs w:val="32"/>
        </w:rPr>
        <w:t>在项目实施过程中，</w:t>
      </w:r>
      <w:r>
        <w:rPr>
          <w:rFonts w:hint="eastAsia" w:ascii="微软雅黑" w:hAnsi="微软雅黑" w:eastAsia="微软雅黑" w:cs="微软雅黑"/>
          <w:sz w:val="32"/>
          <w:szCs w:val="32"/>
          <w:lang w:eastAsia="zh-CN"/>
        </w:rPr>
        <w:t>实施主体要加强田间管理，落实关键技术，在关键环节以照片、视频等形式记录关键技术应用情况，建立全过程档案，确保项目实施规范有序、重点技术落实到位、测产结果真实可靠、奖补发放公开透明。</w:t>
      </w:r>
    </w:p>
    <w:p w14:paraId="5B7D4F9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bCs/>
          <w:color w:val="auto"/>
          <w:kern w:val="2"/>
          <w:sz w:val="32"/>
          <w:szCs w:val="32"/>
          <w:lang w:val="en-US" w:eastAsia="zh-CN" w:bidi="ar-SA"/>
        </w:rPr>
      </w:pPr>
      <w:r>
        <w:rPr>
          <w:rFonts w:hint="eastAsia" w:ascii="微软雅黑" w:hAnsi="微软雅黑" w:eastAsia="微软雅黑" w:cs="微软雅黑"/>
          <w:bCs/>
          <w:color w:val="auto"/>
          <w:kern w:val="2"/>
          <w:sz w:val="32"/>
          <w:szCs w:val="32"/>
          <w:lang w:val="en-US" w:eastAsia="zh-CN" w:bidi="ar-SA"/>
        </w:rPr>
        <w:t>（三）严格项目验收。作物收获季节，由镇村组织对项目主体进行测产，并将实际单产如实上报区农业农村局。区农业农村局对不低于20%的项目主体进行随机抽测复检，对照申报面积和目标单产等情况，核实主体面积完成情况和增产效果。项目完成后，实施主体提供土地流转合同和土地明细、种植范围示意图、在作物生长环节落实关键技术的图片视频、镇村测产情况等相关资料。</w:t>
      </w:r>
      <w:r>
        <w:rPr>
          <w:rFonts w:hint="eastAsia" w:ascii="微软雅黑" w:hAnsi="微软雅黑" w:eastAsia="微软雅黑" w:cs="微软雅黑"/>
          <w:color w:val="auto"/>
          <w:sz w:val="32"/>
          <w:szCs w:val="32"/>
        </w:rPr>
        <w:t>在</w:t>
      </w:r>
      <w:r>
        <w:rPr>
          <w:rFonts w:hint="eastAsia" w:ascii="微软雅黑" w:hAnsi="微软雅黑" w:eastAsia="微软雅黑" w:cs="微软雅黑"/>
          <w:color w:val="auto"/>
          <w:sz w:val="32"/>
          <w:szCs w:val="32"/>
          <w:lang w:eastAsia="zh-CN"/>
        </w:rPr>
        <w:t>区</w:t>
      </w:r>
      <w:r>
        <w:rPr>
          <w:rFonts w:hint="eastAsia" w:ascii="微软雅黑" w:hAnsi="微软雅黑" w:eastAsia="微软雅黑" w:cs="微软雅黑"/>
          <w:color w:val="auto"/>
          <w:sz w:val="32"/>
          <w:szCs w:val="32"/>
        </w:rPr>
        <w:t>项目领导小组的统一领导下，由财政和农业农村、相关乡镇等组成核查验收组，</w:t>
      </w:r>
      <w:r>
        <w:rPr>
          <w:rFonts w:hint="eastAsia" w:ascii="微软雅黑" w:hAnsi="微软雅黑" w:eastAsia="微软雅黑" w:cs="微软雅黑"/>
          <w:bCs/>
          <w:color w:val="auto"/>
          <w:kern w:val="2"/>
          <w:sz w:val="32"/>
          <w:szCs w:val="32"/>
          <w:lang w:val="en-US" w:eastAsia="zh-CN" w:bidi="ar-SA"/>
        </w:rPr>
        <w:t>对核实结果进行随机现场抽验，</w:t>
      </w:r>
      <w:r>
        <w:rPr>
          <w:rFonts w:hint="eastAsia" w:ascii="微软雅黑" w:hAnsi="微软雅黑" w:eastAsia="微软雅黑" w:cs="微软雅黑"/>
          <w:color w:val="auto"/>
          <w:sz w:val="32"/>
          <w:szCs w:val="32"/>
        </w:rPr>
        <w:t>重点对种植面积、测产等进行核实、登记确认。</w:t>
      </w:r>
      <w:r>
        <w:rPr>
          <w:rFonts w:hint="eastAsia" w:ascii="微软雅黑" w:hAnsi="微软雅黑" w:eastAsia="微软雅黑" w:cs="微软雅黑"/>
          <w:bCs/>
          <w:color w:val="auto"/>
          <w:kern w:val="2"/>
          <w:sz w:val="32"/>
          <w:szCs w:val="32"/>
          <w:lang w:val="en-US" w:eastAsia="zh-CN" w:bidi="ar-SA"/>
        </w:rPr>
        <w:t>验收合格并公示后，按程序兑付补助资金。</w:t>
      </w:r>
    </w:p>
    <w:p w14:paraId="2592AA9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bCs/>
          <w:color w:val="auto"/>
          <w:kern w:val="2"/>
          <w:sz w:val="32"/>
          <w:szCs w:val="32"/>
          <w:lang w:val="en-US" w:eastAsia="zh-CN" w:bidi="ar-SA"/>
        </w:rPr>
        <w:t>（四）强化资金管理。</w:t>
      </w:r>
      <w:r>
        <w:rPr>
          <w:rFonts w:hint="eastAsia" w:ascii="微软雅黑" w:hAnsi="微软雅黑" w:eastAsia="微软雅黑" w:cs="微软雅黑"/>
          <w:color w:val="auto"/>
          <w:sz w:val="32"/>
          <w:szCs w:val="32"/>
          <w:lang w:eastAsia="zh-CN"/>
        </w:rPr>
        <w:t>项目实行先建后补的方式进行补助。</w:t>
      </w:r>
      <w:r>
        <w:rPr>
          <w:rFonts w:hint="eastAsia" w:ascii="微软雅黑" w:hAnsi="微软雅黑" w:eastAsia="微软雅黑" w:cs="微软雅黑"/>
          <w:color w:val="auto"/>
          <w:sz w:val="32"/>
          <w:szCs w:val="32"/>
        </w:rPr>
        <w:t>项目资金实行</w:t>
      </w:r>
      <w:r>
        <w:rPr>
          <w:rFonts w:hint="eastAsia" w:ascii="微软雅黑" w:hAnsi="微软雅黑" w:eastAsia="微软雅黑" w:cs="微软雅黑"/>
          <w:color w:val="auto"/>
          <w:sz w:val="32"/>
          <w:szCs w:val="32"/>
          <w:lang w:eastAsia="zh-CN"/>
        </w:rPr>
        <w:t>区级</w:t>
      </w:r>
      <w:r>
        <w:rPr>
          <w:rFonts w:hint="eastAsia" w:ascii="微软雅黑" w:hAnsi="微软雅黑" w:eastAsia="微软雅黑" w:cs="微软雅黑"/>
          <w:color w:val="auto"/>
          <w:sz w:val="32"/>
          <w:szCs w:val="32"/>
        </w:rPr>
        <w:t>报账，专款专用，严禁截留、挤占、挪用甚至套取国家专项资金的违法违规行为。严格执行银行转账。严格财务管理，会计核算资料规范、齐全、有效，自觉接受财政、审计等部门的监督检查。</w:t>
      </w:r>
    </w:p>
    <w:p w14:paraId="2A442E4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微软雅黑" w:hAnsi="微软雅黑" w:eastAsia="微软雅黑" w:cs="微软雅黑"/>
          <w:sz w:val="32"/>
          <w:szCs w:val="32"/>
        </w:rPr>
      </w:pPr>
    </w:p>
    <w:p w14:paraId="068AD48D">
      <w:pPr>
        <w:keepNext w:val="0"/>
        <w:keepLines w:val="0"/>
        <w:pageBreakBefore w:val="0"/>
        <w:widowControl w:val="0"/>
        <w:kinsoku/>
        <w:wordWrap/>
        <w:overflowPunct/>
        <w:topLinePunct w:val="0"/>
        <w:autoSpaceDE/>
        <w:autoSpaceDN/>
        <w:bidi w:val="0"/>
        <w:adjustRightInd w:val="0"/>
        <w:snapToGrid w:val="0"/>
        <w:spacing w:line="576" w:lineRule="exact"/>
        <w:ind w:left="1918" w:leftChars="304" w:hanging="1280" w:hangingChars="4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lang w:eastAsia="zh-CN"/>
        </w:rPr>
        <w:t>遂宁市安居区</w:t>
      </w:r>
      <w:r>
        <w:rPr>
          <w:rFonts w:hint="eastAsia" w:ascii="微软雅黑" w:hAnsi="微软雅黑" w:eastAsia="微软雅黑" w:cs="微软雅黑"/>
          <w:sz w:val="32"/>
          <w:szCs w:val="32"/>
          <w:lang w:val="en-US" w:eastAsia="zh-CN"/>
        </w:rPr>
        <w:t>2025年</w:t>
      </w:r>
      <w:r>
        <w:rPr>
          <w:rFonts w:hint="eastAsia" w:ascii="微软雅黑" w:hAnsi="微软雅黑" w:eastAsia="微软雅黑" w:cs="微软雅黑"/>
          <w:sz w:val="32"/>
          <w:szCs w:val="32"/>
          <w:lang w:eastAsia="zh-CN"/>
        </w:rPr>
        <w:t>中央财政粮油规模种植主体单产提升项目建设任务及资金概算</w:t>
      </w:r>
      <w:r>
        <w:rPr>
          <w:rFonts w:hint="eastAsia" w:ascii="微软雅黑" w:hAnsi="微软雅黑" w:eastAsia="微软雅黑" w:cs="微软雅黑"/>
          <w:sz w:val="32"/>
          <w:szCs w:val="32"/>
          <w:lang w:val="en-US" w:eastAsia="zh-CN"/>
        </w:rPr>
        <w:t>表</w:t>
      </w:r>
    </w:p>
    <w:p w14:paraId="522AE125">
      <w:pPr>
        <w:keepNext w:val="0"/>
        <w:keepLines w:val="0"/>
        <w:pageBreakBefore w:val="0"/>
        <w:widowControl w:val="0"/>
        <w:kinsoku/>
        <w:wordWrap/>
        <w:overflowPunct/>
        <w:topLinePunct w:val="0"/>
        <w:autoSpaceDE/>
        <w:autoSpaceDN/>
        <w:bidi w:val="0"/>
        <w:adjustRightInd w:val="0"/>
        <w:snapToGrid w:val="0"/>
        <w:spacing w:line="576" w:lineRule="exact"/>
        <w:ind w:left="1916" w:leftChars="760" w:hanging="320" w:hanging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遂宁市安居区</w:t>
      </w:r>
      <w:r>
        <w:rPr>
          <w:rFonts w:hint="eastAsia" w:ascii="微软雅黑" w:hAnsi="微软雅黑" w:eastAsia="微软雅黑" w:cs="微软雅黑"/>
          <w:sz w:val="32"/>
          <w:szCs w:val="32"/>
          <w:lang w:val="en-US" w:eastAsia="zh-CN"/>
        </w:rPr>
        <w:t>2025年</w:t>
      </w:r>
      <w:r>
        <w:rPr>
          <w:rFonts w:hint="eastAsia" w:ascii="微软雅黑" w:hAnsi="微软雅黑" w:eastAsia="微软雅黑" w:cs="微软雅黑"/>
          <w:sz w:val="32"/>
          <w:szCs w:val="32"/>
          <w:lang w:eastAsia="zh-CN"/>
        </w:rPr>
        <w:t>中央财政粮油规模种植主体单产提升项目申报</w:t>
      </w:r>
      <w:r>
        <w:rPr>
          <w:rFonts w:hint="eastAsia" w:ascii="微软雅黑" w:hAnsi="微软雅黑" w:eastAsia="微软雅黑" w:cs="微软雅黑"/>
          <w:sz w:val="32"/>
          <w:szCs w:val="32"/>
        </w:rPr>
        <w:t>表</w:t>
      </w:r>
    </w:p>
    <w:p w14:paraId="06191C4F">
      <w:pPr>
        <w:keepNext w:val="0"/>
        <w:keepLines w:val="0"/>
        <w:pageBreakBefore w:val="0"/>
        <w:widowControl w:val="0"/>
        <w:kinsoku/>
        <w:wordWrap/>
        <w:overflowPunct/>
        <w:topLinePunct w:val="0"/>
        <w:autoSpaceDE/>
        <w:autoSpaceDN/>
        <w:bidi w:val="0"/>
        <w:adjustRightInd w:val="0"/>
        <w:snapToGrid w:val="0"/>
        <w:spacing w:line="576" w:lineRule="exact"/>
        <w:ind w:left="1916" w:leftChars="760" w:hanging="320" w:hangingChars="1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遂宁市安居区</w:t>
      </w:r>
      <w:r>
        <w:rPr>
          <w:rFonts w:hint="eastAsia" w:ascii="微软雅黑" w:hAnsi="微软雅黑" w:eastAsia="微软雅黑" w:cs="微软雅黑"/>
          <w:sz w:val="32"/>
          <w:szCs w:val="32"/>
          <w:lang w:val="en-US" w:eastAsia="zh-CN"/>
        </w:rPr>
        <w:t>2025年</w:t>
      </w:r>
      <w:r>
        <w:rPr>
          <w:rFonts w:hint="eastAsia" w:ascii="微软雅黑" w:hAnsi="微软雅黑" w:eastAsia="微软雅黑" w:cs="微软雅黑"/>
          <w:sz w:val="32"/>
          <w:szCs w:val="32"/>
          <w:lang w:eastAsia="zh-CN"/>
        </w:rPr>
        <w:t>中央财政粮油规模种植主体单产提升项目主体档案汇总表</w:t>
      </w:r>
    </w:p>
    <w:p w14:paraId="553EE3BE">
      <w:pPr>
        <w:pStyle w:val="3"/>
        <w:keepNext w:val="0"/>
        <w:keepLines w:val="0"/>
        <w:pageBreakBefore w:val="0"/>
        <w:widowControl w:val="0"/>
        <w:kinsoku/>
        <w:wordWrap/>
        <w:overflowPunct/>
        <w:topLinePunct w:val="0"/>
        <w:autoSpaceDE/>
        <w:autoSpaceDN/>
        <w:bidi w:val="0"/>
        <w:spacing w:line="576" w:lineRule="exact"/>
        <w:rPr>
          <w:rFonts w:hint="eastAsia" w:ascii="微软雅黑" w:hAnsi="微软雅黑" w:eastAsia="微软雅黑" w:cs="微软雅黑"/>
          <w:sz w:val="32"/>
          <w:szCs w:val="32"/>
          <w:lang w:val="en-US" w:eastAsia="zh-CN"/>
        </w:rPr>
        <w:sectPr>
          <w:footerReference r:id="rId5" w:type="first"/>
          <w:headerReference r:id="rId3" w:type="default"/>
          <w:footerReference r:id="rId4" w:type="default"/>
          <w:pgSz w:w="11906" w:h="16838"/>
          <w:pgMar w:top="2098" w:right="1474" w:bottom="1984" w:left="1587" w:header="851" w:footer="1417" w:gutter="0"/>
          <w:cols w:space="720" w:num="1"/>
          <w:titlePg/>
          <w:docGrid w:type="lines" w:linePitch="319" w:charSpace="0"/>
        </w:sectPr>
      </w:pPr>
    </w:p>
    <w:p w14:paraId="790C2F85">
      <w:pPr>
        <w:pStyle w:val="5"/>
        <w:ind w:left="0" w:firstLine="0"/>
        <w:rPr>
          <w:rFonts w:hint="eastAsia" w:ascii="Times New Roman" w:hAnsi="Times New Roman" w:eastAsia="仿宋_GB2312"/>
          <w:sz w:val="32"/>
          <w:szCs w:val="32"/>
        </w:rPr>
      </w:pPr>
      <w:r>
        <w:rPr>
          <w:rFonts w:hint="eastAsia" w:ascii="Times New Roman" w:hAnsi="Times New Roman" w:eastAsia="黑体" w:cs="黑体"/>
          <w:i w:val="0"/>
          <w:iCs w:val="0"/>
          <w:color w:val="000000"/>
          <w:kern w:val="0"/>
          <w:sz w:val="32"/>
          <w:szCs w:val="32"/>
          <w:u w:val="none"/>
          <w:lang w:val="en-US" w:eastAsia="zh-CN" w:bidi="ar-SA"/>
        </w:rPr>
        <w:t xml:space="preserve">附件1 </w:t>
      </w:r>
    </w:p>
    <w:p w14:paraId="26CCCFAE">
      <w:pPr>
        <w:pStyle w:val="3"/>
        <w:jc w:val="center"/>
        <w:rPr>
          <w:rFonts w:hint="eastAsia" w:ascii="方正小标宋简体" w:hAnsi="方正小标宋简体" w:eastAsia="方正小标宋简体" w:cs="方正小标宋简体"/>
          <w:b w:val="0"/>
          <w:bCs/>
          <w:i w:val="0"/>
          <w:iCs w:val="0"/>
          <w:color w:val="000000"/>
          <w:w w:val="100"/>
          <w:kern w:val="0"/>
          <w:sz w:val="36"/>
          <w:szCs w:val="36"/>
          <w:u w:val="none"/>
          <w:lang w:val="en-US" w:eastAsia="zh-CN" w:bidi="ar-SA"/>
        </w:rPr>
      </w:pPr>
      <w:r>
        <w:rPr>
          <w:rFonts w:hint="eastAsia" w:ascii="Times New Roman" w:hAnsi="Times New Roman" w:eastAsia="方正小标宋简体" w:cs="方正小标宋简体"/>
          <w:i w:val="0"/>
          <w:iCs w:val="0"/>
          <w:color w:val="000000"/>
          <w:w w:val="100"/>
          <w:kern w:val="0"/>
          <w:sz w:val="40"/>
          <w:szCs w:val="40"/>
          <w:u w:val="none"/>
          <w:lang w:val="en-US" w:eastAsia="zh-CN" w:bidi="ar-SA"/>
        </w:rPr>
        <w:t xml:space="preserve"> </w:t>
      </w:r>
      <w:r>
        <w:rPr>
          <w:rFonts w:hint="eastAsia" w:ascii="方正小标宋简体" w:hAnsi="方正小标宋简体" w:eastAsia="方正小标宋简体" w:cs="方正小标宋简体"/>
          <w:b w:val="0"/>
          <w:bCs/>
          <w:i w:val="0"/>
          <w:iCs w:val="0"/>
          <w:color w:val="000000"/>
          <w:w w:val="100"/>
          <w:kern w:val="0"/>
          <w:sz w:val="36"/>
          <w:szCs w:val="36"/>
          <w:u w:val="none"/>
          <w:lang w:val="en-US" w:eastAsia="zh-CN" w:bidi="ar-SA"/>
        </w:rPr>
        <w:t>遂宁市安居区2025年中央财政粮油规模种植主体单产提升项目建设任务及资金概算表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7"/>
        <w:gridCol w:w="2482"/>
        <w:gridCol w:w="1043"/>
        <w:gridCol w:w="921"/>
        <w:gridCol w:w="921"/>
        <w:gridCol w:w="921"/>
        <w:gridCol w:w="929"/>
        <w:gridCol w:w="2689"/>
        <w:gridCol w:w="1186"/>
        <w:gridCol w:w="1203"/>
        <w:gridCol w:w="1081"/>
        <w:gridCol w:w="591"/>
      </w:tblGrid>
      <w:tr w14:paraId="1012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blHeader/>
        </w:trPr>
        <w:tc>
          <w:tcPr>
            <w:tcW w:w="202"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F80D40B">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序号</w:t>
            </w:r>
          </w:p>
        </w:tc>
        <w:tc>
          <w:tcPr>
            <w:tcW w:w="852"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8356274">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项目实施主体</w:t>
            </w:r>
          </w:p>
        </w:tc>
        <w:tc>
          <w:tcPr>
            <w:tcW w:w="356"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5CE58A3">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实施地点</w:t>
            </w:r>
          </w:p>
        </w:tc>
        <w:tc>
          <w:tcPr>
            <w:tcW w:w="1267" w:type="pct"/>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BE22D31">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示范推广良种良法（亩）</w:t>
            </w:r>
          </w:p>
        </w:tc>
        <w:tc>
          <w:tcPr>
            <w:tcW w:w="923"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B63D1EA">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建设内容</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4B76DE9">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总投资（万元）</w:t>
            </w:r>
          </w:p>
        </w:tc>
        <w:tc>
          <w:tcPr>
            <w:tcW w:w="413"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D677534">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财政补助资金（万元）</w:t>
            </w:r>
          </w:p>
        </w:tc>
        <w:tc>
          <w:tcPr>
            <w:tcW w:w="371"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3E2EFE1">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社会自筹（万元）</w:t>
            </w:r>
          </w:p>
        </w:tc>
        <w:tc>
          <w:tcPr>
            <w:tcW w:w="203"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69E1D4D">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备注</w:t>
            </w:r>
          </w:p>
        </w:tc>
      </w:tr>
      <w:tr w14:paraId="7991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blHead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DD217A8"/>
        </w:tc>
        <w:tc>
          <w:tcPr>
            <w:tcW w:w="852"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4873ECD"/>
        </w:tc>
        <w:tc>
          <w:tcPr>
            <w:tcW w:w="356"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FF01824"/>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B1A54F6">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合计</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199FAE0">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水稻</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BCF9963">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小麦</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56B64EC9">
            <w:pPr>
              <w:keepNext w:val="0"/>
              <w:keepLines w:val="0"/>
              <w:widowControl/>
              <w:suppressLineNumbers w:val="0"/>
              <w:jc w:val="center"/>
              <w:textAlignment w:val="center"/>
              <w:rPr>
                <w:rFonts w:ascii="Times New Roman" w:hAnsi="Times New Roman" w:eastAsia="方正仿宋简体" w:cs="Times New Roman"/>
                <w:b/>
                <w:bCs/>
                <w:i w:val="0"/>
                <w:iCs w:val="0"/>
                <w:color w:val="000000"/>
                <w:sz w:val="21"/>
                <w:szCs w:val="21"/>
                <w:u w:val="none"/>
              </w:rPr>
            </w:pPr>
            <w:r>
              <w:rPr>
                <w:rFonts w:ascii="Times New Roman" w:hAnsi="Times New Roman" w:eastAsia="方正仿宋简体" w:cs="Times New Roman"/>
                <w:b/>
                <w:bCs/>
                <w:i w:val="0"/>
                <w:iCs w:val="0"/>
                <w:color w:val="000000"/>
                <w:kern w:val="0"/>
                <w:sz w:val="21"/>
                <w:szCs w:val="21"/>
                <w:u w:val="none"/>
                <w:lang w:val="en-US" w:eastAsia="zh-CN" w:bidi="ar-SA"/>
              </w:rPr>
              <w:t>玉米</w:t>
            </w:r>
          </w:p>
        </w:tc>
        <w:tc>
          <w:tcPr>
            <w:tcW w:w="923"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28F0834"/>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8E30D60"/>
        </w:tc>
        <w:tc>
          <w:tcPr>
            <w:tcW w:w="413"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65D42C3"/>
        </w:tc>
        <w:tc>
          <w:tcPr>
            <w:tcW w:w="371"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7CB976"/>
        </w:tc>
        <w:tc>
          <w:tcPr>
            <w:tcW w:w="203"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0E6C467"/>
        </w:tc>
      </w:tr>
      <w:tr w14:paraId="466D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4B61F2E9">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A78580E">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遂宁市安居区常理镇陈谷村股份经济合作联合社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41763DFB">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常理镇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0C8B1B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934CBC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E93E1A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26CA9AF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600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4CBC567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7F9C32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14</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1EEF757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678C164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10</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05B105C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38B8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61B7B97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951697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遂宁市安居区常理镇万福村股份经济合作联合社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2B126E21">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常理镇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890B5C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900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5F66B6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343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0E7128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270AD9A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557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5ED2F11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1D68D0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2C88128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4F43CDE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246CDAC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470A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29C5C5D3">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3</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64B2F639">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遂宁市安居区巧农农机专业合作社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4D6C9B2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白马镇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8810BF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2100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E20C17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E7FFF7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1386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5D1A107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714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7BD124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074C77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35.5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7352924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10.5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68D7FE4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531D239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56C4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201DA94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07B03A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绵竹市清涵种植专业合作社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6C2CE696">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白马镇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AE4E07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900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89F64E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411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B1101C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489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58D7821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4BA86A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507315D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16</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1ADBA23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62CA652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0DA98FE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0E7A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11A84AE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5</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E6A4435">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遂宁市安居区白马镇治平寺村股份经济合作联合社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2E6B41DF">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白马镇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133735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33D190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FBF83B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382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3C18213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418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05A7D62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BBD1A3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496A8F3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7D9D9D0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77D6FBB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5EE3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5FF22F38">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6</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439331F2">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遂宁市安居区白马镇四方井村股份经济合作联合社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4DD7060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白马镇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586341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1100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D505F2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DDEE7F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550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0389A2F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550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3220A2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90BE32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19</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728EB5E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2587D49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13.5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24F301F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49E9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4D86F238">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7</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77EBEECB">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遂宁市金粮源智慧农业科技有限公司</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78E985A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横山镇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6E068D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C13682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859F96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648808D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578A877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F7E303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22</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3CB6829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6.5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603D70B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09B1533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6CE1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3F8E3B7B">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8</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0E4CAE23">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四川盛和远大农业开发有限公司</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5138F62E">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横山镇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7C183B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D7344F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E725CF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2800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0AC136C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51A827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00F4A9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47</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5D52988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2A01CCF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33</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45E532C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2490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5CF05725">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9</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33A4CB2">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张恩全</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432123CE">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横山镇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549C3C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4B1D84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692056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68B4E51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61B9BA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8A828F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22</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12665D8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6.5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040CDBC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0B40659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23FD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14B0DCB6">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10</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64F3D5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杨红</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0B1EDDD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石洞镇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347BDF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1000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2948C2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88F07C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5B971F2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1000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4EC608C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FC49F4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17</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29DBDE2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3206BD4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12</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69D1C59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0F5D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3BA1A57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11</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2287F36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张万贵</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4BAEFB93">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石洞镇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4D5250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BB8B5C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7D80449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CF37B0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D9D5C9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80B47D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37BE8F0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05BAA93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63B341B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70C7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593554D8">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12</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05CA26B">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遂宁市安居区蜀泰种植专业合作社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68C4F36F">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石洞镇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777BFB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300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4964E6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30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F21D81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668A2D6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270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4E09176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61FADB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6</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6C29E00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063844F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5738467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7517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5CAF54F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13</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BDDCEA5">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遂宁市安居区红红种植农民专业合作社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1D00541F">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石洞镇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1C2039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750F867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43F47F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E840BB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459FFAF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189EA3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31</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7A2CDA5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9</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5A49E39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22</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73F18B2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4CDD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4225A64B">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14</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FED3BF8">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遂宁市安居区裕隆家庭农场</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73423916">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石洞镇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7CF0C8B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142224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6DE633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04232B7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01775FA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2BEB17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3E0577E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3EAF783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36346EB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1F1F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6AC3F1C1">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15</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7385C79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邓清国</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5C2618B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726EAC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1500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CD15A5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740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054357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347F9E0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760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273E347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推广主要粮油作物主导品种；水稻机械化种植同步侧深施肥技术、水稻集中育秧机插秧技术、水稻病虫害全程绿色防控技术、玉米全程机械化生产技术、大豆玉米带状复合种植技术</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4987D5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26</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5EAF7BF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7.5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2FB69D3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18.5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35C0DC4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6A99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20CAAAE5">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16</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7E096B3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冯小刚</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50196E5F">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935DBE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1700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16CAD8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297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F42F80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5136BE4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1403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14F2C04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A66E30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29</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6F58178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8.5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0B0E211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20.5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7FFC7B4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7C07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073FD7E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17</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6361138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陈吉</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588C410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612B70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1100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645694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1018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67EAA6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35747B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82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7BD75E1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7FD4606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19</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00FCECE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1C17030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13.5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4938C25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51FB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661C62C9">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18</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14E9CFC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康志林</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040FAF3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DB715A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900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FAC1AA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600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12446D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2067D21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300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39CAA02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推广主要粮油作物主导品种；玉米密植；水稻集中育秧和机插秧、测土配方施肥技术、秸秆机械粉碎还田技术</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737785C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15.5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1A3BD97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482617D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2D09961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45B0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30047350">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19</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9EF8D5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陈克兰</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6EBCFDEF">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D6E89A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2900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89B6C2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1600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7EA0CC6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491932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239F1A3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6A5DDF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49</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79159F9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14.5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5799476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34.5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1244DFD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446B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3F1470B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20</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14B64E5">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四川绿莎农业专业合作社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1B00638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0A9F7E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1000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99A4A9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294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44DE2A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34C6EC9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706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1A4265B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2430BE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17</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5EBFF5D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587C6C1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12</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175104E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3638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1DBAC256">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21</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43F764E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四川众禾日升农业科技有限公司</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12F053E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7E92E6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1100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1C56A7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C42B21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1100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528012D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7D1815F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196D6E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19</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261035D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7918117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13.5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2CE6983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0A5F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10249E8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22</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FC371D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四川创智绿丰农业科技（集团）有限公司</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78640FE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BE9F97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1100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04BF8F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556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0983B4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6A01DA9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544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760B15B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CFDB30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19</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76A7C69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21502F0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13.5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68FEE3B1">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5F4D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133714F0">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23</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106CA9F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安居区鼎育种植家庭农场</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6452A4D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三家镇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FB649F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B92162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A25EF6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1800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6AFBD95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09DD775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59D9305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30.5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41421A8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9</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136A38E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21.5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5E881E9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1DF6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40B3BEF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24</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7E45263B">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王海军</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7B2BD36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会龙镇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5EAF1D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1200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E1C0C4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694646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331918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60CD3BF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B63B7C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20.5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465FA8F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6</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2D231B1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14.5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38975B0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7AED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64985D75">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25</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166501D">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遂宁市安居区聚贤镇木莲寺村</w:t>
            </w:r>
            <w:r>
              <w:rPr>
                <w:rFonts w:ascii="Times New Roman" w:hAnsi="Times New Roman" w:eastAsia="方正仿宋简体" w:cs="Times New Roman"/>
                <w:i w:val="0"/>
                <w:iCs w:val="0"/>
                <w:color w:val="000000"/>
                <w:kern w:val="0"/>
                <w:sz w:val="21"/>
                <w:szCs w:val="21"/>
                <w:u w:val="none"/>
                <w:lang w:val="en-US" w:eastAsia="zh-CN" w:bidi="ar-SA"/>
              </w:rPr>
              <w:br w:type="textWrapping"/>
            </w:r>
            <w:r>
              <w:rPr>
                <w:rFonts w:ascii="Times New Roman" w:hAnsi="Times New Roman" w:eastAsia="方正仿宋简体" w:cs="Times New Roman"/>
                <w:i w:val="0"/>
                <w:iCs w:val="0"/>
                <w:color w:val="000000"/>
                <w:kern w:val="0"/>
                <w:sz w:val="21"/>
                <w:szCs w:val="21"/>
                <w:u w:val="none"/>
                <w:lang w:val="en-US" w:eastAsia="zh-CN" w:bidi="ar-SA"/>
              </w:rPr>
              <w:t>股份经济合作联合社　</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6886F6CE">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聚贤镇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557127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AE074D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1C7F87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0AA64F6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400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58D37CD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7368334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14</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12076B8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4CDF2A5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10</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5406E7A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0B64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2B5943A8">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26</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40EFD966">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hint="eastAsia" w:ascii="Times New Roman" w:hAnsi="Times New Roman" w:eastAsia="方正仿宋简体" w:cs="Times New Roman"/>
                <w:i w:val="0"/>
                <w:iCs w:val="0"/>
                <w:color w:val="000000"/>
                <w:kern w:val="0"/>
                <w:sz w:val="21"/>
                <w:szCs w:val="21"/>
                <w:u w:val="none"/>
                <w:lang w:val="en-US" w:eastAsia="zh-CN" w:bidi="ar-SA"/>
              </w:rPr>
              <w:t>遂宁市安居区蜀</w:t>
            </w:r>
            <w:r>
              <w:rPr>
                <w:rFonts w:ascii="Times New Roman" w:hAnsi="Times New Roman" w:eastAsia="方正仿宋简体" w:cs="Times New Roman"/>
                <w:i w:val="0"/>
                <w:iCs w:val="0"/>
                <w:color w:val="000000"/>
                <w:kern w:val="0"/>
                <w:sz w:val="21"/>
                <w:szCs w:val="21"/>
                <w:u w:val="none"/>
                <w:lang w:val="en-US" w:eastAsia="zh-CN" w:bidi="ar-SA"/>
              </w:rPr>
              <w:t>粮种植专业合作社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778CA2DC">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安居镇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753363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4500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C1F42C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CCD15D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4500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2688BAF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66B9684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F409AE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75.5</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63458AB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22.5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69C5C6E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53</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64629E4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2F13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05FCFC1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27</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707942E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遂宁市安居区睿玉农机服务农民专业合作社</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1B86B079">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分水镇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679CA03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800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24912B8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73102D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230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214C8D7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470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702C362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推广主要粮油作物主导品种；小麦免耕带旋机械直播和“一喷三防”；玉米密植；水稻集中育秧和机插秧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76C540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14</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0E7156B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4C60F30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10</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6FCD570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027E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5F8138D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28</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312E680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四川沐阳禾生态农业开发有限公司（杨亚军）</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644F7ED7">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东禅镇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C49582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2000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0BE9195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441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3DA82EFE">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D2EB31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1559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2BF9EBFC">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3FDE4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34</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55C02CA2">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10</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0A333A2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24</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2B750FB5">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03FF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02" w:type="pct"/>
            <w:tcBorders>
              <w:top w:val="single" w:color="000000" w:sz="4" w:space="0"/>
              <w:left w:val="single" w:color="000000" w:sz="4" w:space="0"/>
              <w:bottom w:val="single" w:color="000000" w:sz="4" w:space="0"/>
              <w:right w:val="single" w:color="000000" w:sz="4" w:space="0"/>
              <w:tl2br w:val="nil"/>
              <w:tr2bl w:val="nil"/>
            </w:tcBorders>
            <w:vAlign w:val="center"/>
          </w:tcPr>
          <w:p w14:paraId="61B117D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29</w:t>
            </w:r>
          </w:p>
        </w:tc>
        <w:tc>
          <w:tcPr>
            <w:tcW w:w="852" w:type="pct"/>
            <w:tcBorders>
              <w:top w:val="single" w:color="000000" w:sz="4" w:space="0"/>
              <w:left w:val="single" w:color="000000" w:sz="4" w:space="0"/>
              <w:bottom w:val="single" w:color="000000" w:sz="4" w:space="0"/>
              <w:right w:val="single" w:color="000000" w:sz="4" w:space="0"/>
              <w:tl2br w:val="nil"/>
              <w:tr2bl w:val="nil"/>
            </w:tcBorders>
            <w:vAlign w:val="center"/>
          </w:tcPr>
          <w:p w14:paraId="58278AE4">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杨春</w:t>
            </w:r>
          </w:p>
        </w:tc>
        <w:tc>
          <w:tcPr>
            <w:tcW w:w="356" w:type="pct"/>
            <w:tcBorders>
              <w:top w:val="single" w:color="000000" w:sz="4" w:space="0"/>
              <w:left w:val="single" w:color="000000" w:sz="4" w:space="0"/>
              <w:bottom w:val="single" w:color="000000" w:sz="4" w:space="0"/>
              <w:right w:val="single" w:color="000000" w:sz="4" w:space="0"/>
              <w:tl2br w:val="nil"/>
              <w:tr2bl w:val="nil"/>
            </w:tcBorders>
            <w:vAlign w:val="center"/>
          </w:tcPr>
          <w:p w14:paraId="174432FA">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保石镇</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481D118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900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5F30546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345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84AC39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0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30E7600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555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4F92D30F">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推广主要粮油作物主导品种；玉米密植；水稻集中育秧和机插秧</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53B3A59">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16</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2985BA66">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4.5</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295C23D7">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11.5</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0E7F30E4">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r w14:paraId="2E12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1412" w:type="pct"/>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137C975E">
            <w:pPr>
              <w:keepNext w:val="0"/>
              <w:keepLines w:val="0"/>
              <w:widowControl/>
              <w:suppressLineNumbers w:val="0"/>
              <w:jc w:val="center"/>
              <w:textAlignment w:val="center"/>
              <w:rPr>
                <w:rFonts w:ascii="Times New Roman" w:hAnsi="Times New Roman" w:eastAsia="方正仿宋简体" w:cs="Times New Roman"/>
                <w:i w:val="0"/>
                <w:iCs w:val="0"/>
                <w:color w:val="000000"/>
                <w:sz w:val="21"/>
                <w:szCs w:val="21"/>
                <w:u w:val="none"/>
              </w:rPr>
            </w:pPr>
            <w:r>
              <w:rPr>
                <w:rFonts w:ascii="Times New Roman" w:hAnsi="Times New Roman" w:eastAsia="方正仿宋简体" w:cs="Times New Roman"/>
                <w:i w:val="0"/>
                <w:iCs w:val="0"/>
                <w:color w:val="000000"/>
                <w:kern w:val="0"/>
                <w:sz w:val="21"/>
                <w:szCs w:val="21"/>
                <w:u w:val="none"/>
                <w:lang w:val="en-US" w:eastAsia="zh-CN" w:bidi="ar-SA"/>
              </w:rPr>
              <w:t>合计</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1CE09A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40000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7DF0B8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9875 </w:t>
            </w:r>
          </w:p>
        </w:tc>
        <w:tc>
          <w:tcPr>
            <w:tcW w:w="316" w:type="pct"/>
            <w:tcBorders>
              <w:top w:val="single" w:color="000000" w:sz="4" w:space="0"/>
              <w:left w:val="single" w:color="000000" w:sz="4" w:space="0"/>
              <w:bottom w:val="single" w:color="000000" w:sz="4" w:space="0"/>
              <w:right w:val="single" w:color="000000" w:sz="4" w:space="0"/>
              <w:tl2br w:val="nil"/>
              <w:tr2bl w:val="nil"/>
            </w:tcBorders>
            <w:vAlign w:val="center"/>
          </w:tcPr>
          <w:p w14:paraId="104003B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16337 </w:t>
            </w:r>
          </w:p>
        </w:tc>
        <w:tc>
          <w:tcPr>
            <w:tcW w:w="317" w:type="pct"/>
            <w:tcBorders>
              <w:top w:val="single" w:color="000000" w:sz="4" w:space="0"/>
              <w:left w:val="single" w:color="000000" w:sz="4" w:space="0"/>
              <w:bottom w:val="single" w:color="000000" w:sz="4" w:space="0"/>
              <w:right w:val="single" w:color="000000" w:sz="4" w:space="0"/>
              <w:tl2br w:val="nil"/>
              <w:tr2bl w:val="nil"/>
            </w:tcBorders>
            <w:vAlign w:val="center"/>
          </w:tcPr>
          <w:p w14:paraId="4A2CC97D">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 xml:space="preserve">13788 </w:t>
            </w:r>
          </w:p>
        </w:tc>
        <w:tc>
          <w:tcPr>
            <w:tcW w:w="923" w:type="pct"/>
            <w:tcBorders>
              <w:top w:val="single" w:color="000000" w:sz="4" w:space="0"/>
              <w:left w:val="single" w:color="000000" w:sz="4" w:space="0"/>
              <w:bottom w:val="single" w:color="000000" w:sz="4" w:space="0"/>
              <w:right w:val="single" w:color="000000" w:sz="4" w:space="0"/>
              <w:tl2br w:val="nil"/>
              <w:tr2bl w:val="nil"/>
            </w:tcBorders>
            <w:vAlign w:val="center"/>
          </w:tcPr>
          <w:p w14:paraId="6330F698">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759618DA">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688</w:t>
            </w:r>
          </w:p>
        </w:tc>
        <w:tc>
          <w:tcPr>
            <w:tcW w:w="413" w:type="pct"/>
            <w:tcBorders>
              <w:top w:val="single" w:color="000000" w:sz="4" w:space="0"/>
              <w:left w:val="single" w:color="000000" w:sz="4" w:space="0"/>
              <w:bottom w:val="single" w:color="000000" w:sz="4" w:space="0"/>
              <w:right w:val="single" w:color="000000" w:sz="4" w:space="0"/>
              <w:tl2br w:val="nil"/>
              <w:tr2bl w:val="nil"/>
            </w:tcBorders>
            <w:vAlign w:val="center"/>
          </w:tcPr>
          <w:p w14:paraId="150E00BB">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200</w:t>
            </w:r>
          </w:p>
        </w:tc>
        <w:tc>
          <w:tcPr>
            <w:tcW w:w="371" w:type="pct"/>
            <w:tcBorders>
              <w:top w:val="single" w:color="000000" w:sz="4" w:space="0"/>
              <w:left w:val="single" w:color="000000" w:sz="4" w:space="0"/>
              <w:bottom w:val="single" w:color="000000" w:sz="4" w:space="0"/>
              <w:right w:val="single" w:color="000000" w:sz="4" w:space="0"/>
              <w:tl2br w:val="nil"/>
              <w:tr2bl w:val="nil"/>
            </w:tcBorders>
            <w:vAlign w:val="center"/>
          </w:tcPr>
          <w:p w14:paraId="72782E50">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r>
              <w:rPr>
                <w:rFonts w:ascii="Times New Roman" w:hAnsi="Times New Roman" w:eastAsia="方正仿宋简体" w:cs="Times New Roman"/>
                <w:i w:val="0"/>
                <w:iCs w:val="0"/>
                <w:color w:val="000000"/>
                <w:kern w:val="0"/>
                <w:sz w:val="21"/>
                <w:szCs w:val="21"/>
                <w:u w:val="none"/>
                <w:lang w:val="en-US" w:eastAsia="zh-CN" w:bidi="ar-SA"/>
              </w:rPr>
              <w:t>488</w:t>
            </w:r>
          </w:p>
        </w:tc>
        <w:tc>
          <w:tcPr>
            <w:tcW w:w="203" w:type="pct"/>
            <w:tcBorders>
              <w:top w:val="single" w:color="000000" w:sz="4" w:space="0"/>
              <w:left w:val="single" w:color="000000" w:sz="4" w:space="0"/>
              <w:bottom w:val="single" w:color="000000" w:sz="4" w:space="0"/>
              <w:right w:val="single" w:color="000000" w:sz="4" w:space="0"/>
              <w:tl2br w:val="nil"/>
              <w:tr2bl w:val="nil"/>
            </w:tcBorders>
            <w:vAlign w:val="center"/>
          </w:tcPr>
          <w:p w14:paraId="3FD3B623">
            <w:pPr>
              <w:keepNext w:val="0"/>
              <w:keepLines w:val="0"/>
              <w:widowControl/>
              <w:suppressLineNumbers w:val="0"/>
              <w:jc w:val="center"/>
              <w:textAlignment w:val="center"/>
              <w:rPr>
                <w:rFonts w:ascii="Times New Roman" w:hAnsi="Times New Roman" w:eastAsia="方正仿宋简体" w:cs="Times New Roman"/>
                <w:i w:val="0"/>
                <w:iCs w:val="0"/>
                <w:color w:val="000000"/>
                <w:kern w:val="0"/>
                <w:sz w:val="21"/>
                <w:szCs w:val="21"/>
                <w:u w:val="none"/>
                <w:lang w:val="en-US" w:eastAsia="zh-CN" w:bidi="ar-SA"/>
              </w:rPr>
            </w:pPr>
          </w:p>
        </w:tc>
      </w:tr>
    </w:tbl>
    <w:p w14:paraId="17C7A0C6">
      <w:pPr>
        <w:pStyle w:val="5"/>
        <w:ind w:left="0" w:firstLine="0"/>
        <w:rPr>
          <w:rFonts w:hint="eastAsia" w:ascii="Times New Roman" w:hAnsi="Times New Roman" w:eastAsia="黑体" w:cs="黑体"/>
          <w:i w:val="0"/>
          <w:iCs w:val="0"/>
          <w:color w:val="000000"/>
          <w:kern w:val="0"/>
          <w:sz w:val="32"/>
          <w:szCs w:val="32"/>
          <w:u w:val="none"/>
          <w:lang w:val="en-US" w:eastAsia="zh-CN" w:bidi="ar-SA"/>
        </w:rPr>
      </w:pPr>
    </w:p>
    <w:p w14:paraId="71C077A5">
      <w:pPr>
        <w:pStyle w:val="5"/>
        <w:ind w:left="0" w:firstLine="0"/>
        <w:rPr>
          <w:rFonts w:hint="eastAsia" w:ascii="Times New Roman" w:hAnsi="Times New Roman" w:eastAsia="黑体" w:cs="黑体"/>
          <w:i w:val="0"/>
          <w:iCs w:val="0"/>
          <w:color w:val="000000"/>
          <w:kern w:val="0"/>
          <w:sz w:val="32"/>
          <w:szCs w:val="32"/>
          <w:u w:val="none"/>
          <w:lang w:val="en-US" w:eastAsia="zh-CN" w:bidi="ar-SA"/>
        </w:rPr>
      </w:pPr>
    </w:p>
    <w:p w14:paraId="177440D9">
      <w:pPr>
        <w:pStyle w:val="5"/>
        <w:ind w:left="0" w:firstLine="0"/>
        <w:rPr>
          <w:rFonts w:hint="eastAsia" w:ascii="Times New Roman" w:hAnsi="Times New Roman" w:eastAsia="黑体" w:cs="黑体"/>
          <w:i w:val="0"/>
          <w:iCs w:val="0"/>
          <w:color w:val="000000"/>
          <w:kern w:val="0"/>
          <w:sz w:val="32"/>
          <w:szCs w:val="32"/>
          <w:u w:val="none"/>
          <w:lang w:val="en-US" w:eastAsia="zh-CN" w:bidi="ar-SA"/>
        </w:rPr>
      </w:pPr>
    </w:p>
    <w:p w14:paraId="1A22A790">
      <w:pPr>
        <w:pStyle w:val="5"/>
        <w:ind w:left="0" w:firstLine="0"/>
        <w:rPr>
          <w:rFonts w:hint="eastAsia" w:ascii="Times New Roman" w:hAnsi="Times New Roman" w:eastAsia="黑体" w:cs="黑体"/>
          <w:i w:val="0"/>
          <w:iCs w:val="0"/>
          <w:color w:val="000000"/>
          <w:kern w:val="0"/>
          <w:sz w:val="32"/>
          <w:szCs w:val="32"/>
          <w:u w:val="none"/>
          <w:lang w:val="en-US" w:eastAsia="zh-CN" w:bidi="ar-SA"/>
        </w:rPr>
      </w:pPr>
    </w:p>
    <w:p w14:paraId="39CB2B0D">
      <w:pPr>
        <w:pStyle w:val="5"/>
        <w:ind w:left="0" w:firstLine="0"/>
        <w:rPr>
          <w:rFonts w:hint="eastAsia" w:ascii="Times New Roman" w:hAnsi="Times New Roman" w:eastAsia="黑体" w:cs="黑体"/>
          <w:i w:val="0"/>
          <w:iCs w:val="0"/>
          <w:color w:val="000000"/>
          <w:kern w:val="0"/>
          <w:sz w:val="32"/>
          <w:szCs w:val="32"/>
          <w:u w:val="none"/>
          <w:lang w:val="en-US" w:eastAsia="zh-CN" w:bidi="ar-SA"/>
        </w:rPr>
      </w:pPr>
    </w:p>
    <w:p w14:paraId="4549D10A">
      <w:pPr>
        <w:pStyle w:val="5"/>
        <w:ind w:left="0" w:firstLine="0"/>
        <w:rPr>
          <w:rFonts w:hint="eastAsia" w:ascii="Times New Roman" w:hAnsi="Times New Roman" w:eastAsia="黑体" w:cs="黑体"/>
          <w:i w:val="0"/>
          <w:iCs w:val="0"/>
          <w:color w:val="000000"/>
          <w:kern w:val="0"/>
          <w:sz w:val="32"/>
          <w:szCs w:val="32"/>
          <w:u w:val="none"/>
          <w:lang w:val="en-US" w:eastAsia="zh-CN" w:bidi="ar-SA"/>
        </w:rPr>
      </w:pPr>
    </w:p>
    <w:p w14:paraId="322F2B5A">
      <w:pPr>
        <w:pStyle w:val="5"/>
        <w:ind w:left="0" w:firstLine="0"/>
        <w:rPr>
          <w:rFonts w:hint="eastAsia" w:ascii="Times New Roman" w:hAnsi="Times New Roman" w:eastAsia="黑体" w:cs="黑体"/>
          <w:i w:val="0"/>
          <w:iCs w:val="0"/>
          <w:color w:val="000000"/>
          <w:kern w:val="0"/>
          <w:sz w:val="32"/>
          <w:szCs w:val="32"/>
          <w:u w:val="none"/>
          <w:lang w:val="en-US" w:eastAsia="zh-CN" w:bidi="ar-SA"/>
        </w:rPr>
        <w:sectPr>
          <w:pgSz w:w="16838" w:h="11906" w:orient="landscape"/>
          <w:pgMar w:top="1247" w:right="1247" w:bottom="1247" w:left="1247" w:header="851" w:footer="1417" w:gutter="0"/>
          <w:cols w:space="720" w:num="1"/>
          <w:titlePg/>
          <w:docGrid w:type="lines" w:linePitch="327" w:charSpace="0"/>
        </w:sectPr>
      </w:pPr>
    </w:p>
    <w:p w14:paraId="679E01CF">
      <w:pPr>
        <w:pStyle w:val="5"/>
        <w:ind w:left="0" w:firstLine="0"/>
        <w:rPr>
          <w:rFonts w:hint="eastAsia" w:ascii="Times New Roman" w:hAnsi="Times New Roman" w:eastAsia="仿宋_GB2312"/>
          <w:sz w:val="32"/>
          <w:szCs w:val="32"/>
        </w:rPr>
      </w:pPr>
      <w:r>
        <w:rPr>
          <w:rFonts w:hint="eastAsia" w:ascii="Times New Roman" w:hAnsi="Times New Roman" w:eastAsia="黑体" w:cs="黑体"/>
          <w:i w:val="0"/>
          <w:iCs w:val="0"/>
          <w:color w:val="000000"/>
          <w:kern w:val="0"/>
          <w:sz w:val="32"/>
          <w:szCs w:val="32"/>
          <w:u w:val="none"/>
          <w:lang w:val="en-US" w:eastAsia="zh-CN" w:bidi="ar-SA"/>
        </w:rPr>
        <w:t xml:space="preserve">附件2 </w:t>
      </w:r>
    </w:p>
    <w:p w14:paraId="63A566DB">
      <w:pPr>
        <w:pStyle w:val="3"/>
        <w:jc w:val="center"/>
        <w:rPr>
          <w:rFonts w:hint="eastAsia" w:ascii="Times New Roman" w:hAnsi="Times New Roman" w:eastAsia="方正小标宋简体" w:cs="方正小标宋简体"/>
          <w:b w:val="0"/>
          <w:bCs/>
          <w:i w:val="0"/>
          <w:iCs w:val="0"/>
          <w:color w:val="000000"/>
          <w:kern w:val="0"/>
          <w:sz w:val="40"/>
          <w:szCs w:val="40"/>
          <w:u w:val="none"/>
          <w:lang w:val="en-US" w:eastAsia="zh-CN" w:bidi="ar-SA"/>
        </w:rPr>
      </w:pPr>
      <w:r>
        <w:rPr>
          <w:rFonts w:hint="eastAsia" w:ascii="Times New Roman" w:hAnsi="Times New Roman" w:eastAsia="方正小标宋简体" w:cs="方正小标宋简体"/>
          <w:b w:val="0"/>
          <w:bCs/>
          <w:i w:val="0"/>
          <w:iCs w:val="0"/>
          <w:color w:val="000000"/>
          <w:kern w:val="0"/>
          <w:sz w:val="40"/>
          <w:szCs w:val="40"/>
          <w:u w:val="none"/>
          <w:lang w:val="en-US" w:eastAsia="zh-CN" w:bidi="ar-SA"/>
        </w:rPr>
        <w:t xml:space="preserve"> 遂宁市安居区2025年中央财政粮油规模种植主体单产提升项目申报表</w:t>
      </w:r>
    </w:p>
    <w:p w14:paraId="27A829C3">
      <w:pPr>
        <w:keepNext w:val="0"/>
        <w:keepLines w:val="0"/>
        <w:pageBreakBefore w:val="0"/>
        <w:widowControl/>
        <w:suppressLineNumbers w:val="0"/>
        <w:kinsoku/>
        <w:wordWrap/>
        <w:overflowPunct/>
        <w:topLinePunct w:val="0"/>
        <w:autoSpaceDE/>
        <w:autoSpaceDN/>
        <w:bidi w:val="0"/>
        <w:adjustRightInd/>
        <w:snapToGrid/>
        <w:spacing w:line="240" w:lineRule="exact"/>
        <w:ind w:firstLine="964" w:firstLineChars="400"/>
        <w:jc w:val="left"/>
        <w:textAlignment w:val="center"/>
        <w:rPr>
          <w:rFonts w:ascii="宋体" w:hAnsi="宋体" w:eastAsia="宋体" w:cs="宋体"/>
          <w:b/>
          <w:bCs/>
          <w:i w:val="0"/>
          <w:iCs w:val="0"/>
          <w:color w:val="000000"/>
          <w:kern w:val="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SA"/>
        </w:rPr>
        <w:t>填报单位：                                                       填报时间：2025年9月   日</w:t>
      </w:r>
    </w:p>
    <w:tbl>
      <w:tblPr>
        <w:tblStyle w:val="9"/>
        <w:tblW w:w="138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836"/>
        <w:gridCol w:w="1747"/>
        <w:gridCol w:w="1540"/>
        <w:gridCol w:w="836"/>
        <w:gridCol w:w="1313"/>
        <w:gridCol w:w="1394"/>
        <w:gridCol w:w="1196"/>
        <w:gridCol w:w="1196"/>
        <w:gridCol w:w="1243"/>
        <w:gridCol w:w="1207"/>
        <w:gridCol w:w="465"/>
      </w:tblGrid>
      <w:tr w14:paraId="2AAA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3C4C4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项目实施主体</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18D7C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负责人姓名</w:t>
            </w:r>
          </w:p>
        </w:tc>
        <w:tc>
          <w:tcPr>
            <w:tcW w:w="1747" w:type="dxa"/>
            <w:tcBorders>
              <w:top w:val="single" w:color="000000" w:sz="4" w:space="0"/>
              <w:left w:val="single" w:color="000000" w:sz="4" w:space="0"/>
              <w:bottom w:val="single" w:color="000000" w:sz="4" w:space="0"/>
              <w:right w:val="single" w:color="000000" w:sz="4" w:space="0"/>
              <w:tl2br w:val="nil"/>
              <w:tr2bl w:val="nil"/>
            </w:tcBorders>
            <w:vAlign w:val="center"/>
          </w:tcPr>
          <w:p w14:paraId="3073C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身份证号码/社会信用代码</w:t>
            </w: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14:paraId="36FC9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联系方式</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53626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lang w:eastAsia="zh-CN"/>
              </w:rPr>
            </w:pPr>
            <w:r>
              <w:rPr>
                <w:rFonts w:hint="eastAsia" w:ascii="方正仿宋_GBK" w:hAnsi="方正仿宋_GBK" w:eastAsia="方正仿宋_GBK" w:cs="方正仿宋_GBK"/>
                <w:b/>
                <w:bCs/>
                <w:i w:val="0"/>
                <w:iCs w:val="0"/>
                <w:color w:val="000000"/>
                <w:sz w:val="24"/>
                <w:szCs w:val="24"/>
                <w:u w:val="none"/>
                <w:lang w:eastAsia="zh-CN"/>
              </w:rPr>
              <w:t>种植地点</w:t>
            </w:r>
          </w:p>
        </w:tc>
        <w:tc>
          <w:tcPr>
            <w:tcW w:w="1313" w:type="dxa"/>
            <w:tcBorders>
              <w:top w:val="single" w:color="000000" w:sz="4" w:space="0"/>
              <w:left w:val="single" w:color="000000" w:sz="4" w:space="0"/>
              <w:bottom w:val="single" w:color="000000" w:sz="4" w:space="0"/>
              <w:right w:val="single" w:color="000000" w:sz="4" w:space="0"/>
              <w:tl2br w:val="nil"/>
              <w:tr2bl w:val="nil"/>
            </w:tcBorders>
            <w:vAlign w:val="center"/>
          </w:tcPr>
          <w:p w14:paraId="584FC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作物品种</w:t>
            </w:r>
          </w:p>
        </w:tc>
        <w:tc>
          <w:tcPr>
            <w:tcW w:w="1394" w:type="dxa"/>
            <w:tcBorders>
              <w:top w:val="single" w:color="000000" w:sz="4" w:space="0"/>
              <w:left w:val="single" w:color="000000" w:sz="4" w:space="0"/>
              <w:bottom w:val="single" w:color="000000" w:sz="4" w:space="0"/>
              <w:right w:val="single" w:color="000000" w:sz="4" w:space="0"/>
              <w:tl2br w:val="nil"/>
              <w:tr2bl w:val="nil"/>
            </w:tcBorders>
            <w:vAlign w:val="center"/>
          </w:tcPr>
          <w:p w14:paraId="2006D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单产提升面积（亩）</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6B554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落实的关键技术措施</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5B8A2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总投入（万元）</w:t>
            </w:r>
          </w:p>
        </w:tc>
        <w:tc>
          <w:tcPr>
            <w:tcW w:w="1243" w:type="dxa"/>
            <w:tcBorders>
              <w:top w:val="single" w:color="000000" w:sz="4" w:space="0"/>
              <w:left w:val="single" w:color="000000" w:sz="4" w:space="0"/>
              <w:bottom w:val="single" w:color="000000" w:sz="4" w:space="0"/>
              <w:right w:val="single" w:color="000000" w:sz="4" w:space="0"/>
              <w:tl2br w:val="nil"/>
              <w:tr2bl w:val="nil"/>
            </w:tcBorders>
            <w:vAlign w:val="center"/>
          </w:tcPr>
          <w:p w14:paraId="719B7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上年亩产水平（公斤）</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14:paraId="2225A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SA"/>
              </w:rPr>
              <w:t>当年目标亩产（公斤）</w:t>
            </w:r>
          </w:p>
        </w:tc>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2A295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备注</w:t>
            </w:r>
          </w:p>
        </w:tc>
      </w:tr>
      <w:tr w14:paraId="248B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0AAAA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29CDD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747" w:type="dxa"/>
            <w:tcBorders>
              <w:top w:val="single" w:color="000000" w:sz="4" w:space="0"/>
              <w:left w:val="single" w:color="000000" w:sz="4" w:space="0"/>
              <w:bottom w:val="single" w:color="000000" w:sz="4" w:space="0"/>
              <w:right w:val="single" w:color="000000" w:sz="4" w:space="0"/>
              <w:tl2br w:val="nil"/>
              <w:tr2bl w:val="nil"/>
            </w:tcBorders>
            <w:vAlign w:val="center"/>
          </w:tcPr>
          <w:p w14:paraId="6070B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14:paraId="6D906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1B79B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l2br w:val="nil"/>
              <w:tr2bl w:val="nil"/>
            </w:tcBorders>
            <w:vAlign w:val="center"/>
          </w:tcPr>
          <w:p w14:paraId="37B65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94" w:type="dxa"/>
            <w:tcBorders>
              <w:top w:val="single" w:color="000000" w:sz="4" w:space="0"/>
              <w:left w:val="single" w:color="000000" w:sz="4" w:space="0"/>
              <w:bottom w:val="single" w:color="000000" w:sz="4" w:space="0"/>
              <w:right w:val="single" w:color="000000" w:sz="4" w:space="0"/>
              <w:tl2br w:val="nil"/>
              <w:tr2bl w:val="nil"/>
            </w:tcBorders>
            <w:vAlign w:val="center"/>
          </w:tcPr>
          <w:p w14:paraId="602B0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1446F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03615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l2br w:val="nil"/>
              <w:tr2bl w:val="nil"/>
            </w:tcBorders>
            <w:vAlign w:val="center"/>
          </w:tcPr>
          <w:p w14:paraId="3E597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14:paraId="3A469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44BB4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r>
      <w:tr w14:paraId="7D4A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28F5A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5F318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747" w:type="dxa"/>
            <w:tcBorders>
              <w:top w:val="single" w:color="000000" w:sz="4" w:space="0"/>
              <w:left w:val="single" w:color="000000" w:sz="4" w:space="0"/>
              <w:bottom w:val="single" w:color="000000" w:sz="4" w:space="0"/>
              <w:right w:val="single" w:color="000000" w:sz="4" w:space="0"/>
              <w:tl2br w:val="nil"/>
              <w:tr2bl w:val="nil"/>
            </w:tcBorders>
            <w:vAlign w:val="center"/>
          </w:tcPr>
          <w:p w14:paraId="10C2A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14:paraId="5918E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38317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l2br w:val="nil"/>
              <w:tr2bl w:val="nil"/>
            </w:tcBorders>
            <w:vAlign w:val="center"/>
          </w:tcPr>
          <w:p w14:paraId="63A43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94" w:type="dxa"/>
            <w:tcBorders>
              <w:top w:val="single" w:color="000000" w:sz="4" w:space="0"/>
              <w:left w:val="single" w:color="000000" w:sz="4" w:space="0"/>
              <w:bottom w:val="single" w:color="000000" w:sz="4" w:space="0"/>
              <w:right w:val="single" w:color="000000" w:sz="4" w:space="0"/>
              <w:tl2br w:val="nil"/>
              <w:tr2bl w:val="nil"/>
            </w:tcBorders>
            <w:vAlign w:val="center"/>
          </w:tcPr>
          <w:p w14:paraId="7199D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472D0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6D639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l2br w:val="nil"/>
              <w:tr2bl w:val="nil"/>
            </w:tcBorders>
            <w:vAlign w:val="center"/>
          </w:tcPr>
          <w:p w14:paraId="7D98B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14:paraId="40E94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5E6DA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r>
      <w:tr w14:paraId="6E77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57FB0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6EB89E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747" w:type="dxa"/>
            <w:tcBorders>
              <w:top w:val="single" w:color="000000" w:sz="4" w:space="0"/>
              <w:left w:val="single" w:color="000000" w:sz="4" w:space="0"/>
              <w:bottom w:val="single" w:color="000000" w:sz="4" w:space="0"/>
              <w:right w:val="single" w:color="000000" w:sz="4" w:space="0"/>
              <w:tl2br w:val="nil"/>
              <w:tr2bl w:val="nil"/>
            </w:tcBorders>
            <w:vAlign w:val="center"/>
          </w:tcPr>
          <w:p w14:paraId="20EC1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14:paraId="7C3E5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596F6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l2br w:val="nil"/>
              <w:tr2bl w:val="nil"/>
            </w:tcBorders>
            <w:vAlign w:val="center"/>
          </w:tcPr>
          <w:p w14:paraId="1E3EF6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94" w:type="dxa"/>
            <w:tcBorders>
              <w:top w:val="single" w:color="000000" w:sz="4" w:space="0"/>
              <w:left w:val="single" w:color="000000" w:sz="4" w:space="0"/>
              <w:bottom w:val="single" w:color="000000" w:sz="4" w:space="0"/>
              <w:right w:val="single" w:color="000000" w:sz="4" w:space="0"/>
              <w:tl2br w:val="nil"/>
              <w:tr2bl w:val="nil"/>
            </w:tcBorders>
            <w:vAlign w:val="center"/>
          </w:tcPr>
          <w:p w14:paraId="21B28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3606D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0BDB4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l2br w:val="nil"/>
              <w:tr2bl w:val="nil"/>
            </w:tcBorders>
            <w:vAlign w:val="center"/>
          </w:tcPr>
          <w:p w14:paraId="027CC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14:paraId="4BBFD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659814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r>
      <w:tr w14:paraId="3C89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1C65C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34BBA1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747" w:type="dxa"/>
            <w:tcBorders>
              <w:top w:val="single" w:color="000000" w:sz="4" w:space="0"/>
              <w:left w:val="single" w:color="000000" w:sz="4" w:space="0"/>
              <w:bottom w:val="single" w:color="000000" w:sz="4" w:space="0"/>
              <w:right w:val="single" w:color="000000" w:sz="4" w:space="0"/>
              <w:tl2br w:val="nil"/>
              <w:tr2bl w:val="nil"/>
            </w:tcBorders>
            <w:vAlign w:val="center"/>
          </w:tcPr>
          <w:p w14:paraId="17311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14:paraId="2669BE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14:paraId="250BA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l2br w:val="nil"/>
              <w:tr2bl w:val="nil"/>
            </w:tcBorders>
            <w:vAlign w:val="center"/>
          </w:tcPr>
          <w:p w14:paraId="255D10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394" w:type="dxa"/>
            <w:tcBorders>
              <w:top w:val="single" w:color="000000" w:sz="4" w:space="0"/>
              <w:left w:val="single" w:color="000000" w:sz="4" w:space="0"/>
              <w:bottom w:val="single" w:color="000000" w:sz="4" w:space="0"/>
              <w:right w:val="single" w:color="000000" w:sz="4" w:space="0"/>
              <w:tl2br w:val="nil"/>
              <w:tr2bl w:val="nil"/>
            </w:tcBorders>
            <w:vAlign w:val="center"/>
          </w:tcPr>
          <w:p w14:paraId="242D5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41EBD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14:paraId="3DDCD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l2br w:val="nil"/>
              <w:tr2bl w:val="nil"/>
            </w:tcBorders>
            <w:vAlign w:val="center"/>
          </w:tcPr>
          <w:p w14:paraId="03AB35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14:paraId="77BFC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5A9D5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4"/>
                <w:szCs w:val="24"/>
                <w:u w:val="none"/>
                <w:lang w:val="en-US" w:eastAsia="zh-CN" w:bidi="ar-SA"/>
              </w:rPr>
            </w:pPr>
          </w:p>
        </w:tc>
      </w:tr>
    </w:tbl>
    <w:p w14:paraId="54774260">
      <w:pPr>
        <w:keepNext w:val="0"/>
        <w:keepLines w:val="0"/>
        <w:pageBreakBefore w:val="0"/>
        <w:widowControl/>
        <w:suppressLineNumbers w:val="0"/>
        <w:kinsoku/>
        <w:wordWrap/>
        <w:overflowPunct/>
        <w:topLinePunct w:val="0"/>
        <w:autoSpaceDE/>
        <w:autoSpaceDN/>
        <w:bidi w:val="0"/>
        <w:adjustRightInd/>
        <w:snapToGrid/>
        <w:spacing w:line="240" w:lineRule="exact"/>
        <w:ind w:firstLine="964" w:firstLineChars="400"/>
        <w:jc w:val="left"/>
        <w:textAlignment w:val="center"/>
        <w:rPr>
          <w:rFonts w:hint="eastAsia" w:ascii="宋体" w:hAnsi="宋体" w:eastAsia="宋体" w:cs="宋体"/>
          <w:b/>
          <w:bCs/>
          <w:i w:val="0"/>
          <w:iCs w:val="0"/>
          <w:color w:val="000000"/>
          <w:kern w:val="0"/>
          <w:sz w:val="24"/>
          <w:szCs w:val="24"/>
          <w:u w:val="none"/>
          <w:lang w:val="en-US" w:eastAsia="zh-CN" w:bidi="ar-SA"/>
        </w:rPr>
      </w:pPr>
    </w:p>
    <w:p w14:paraId="763FD7E4">
      <w:pPr>
        <w:keepNext w:val="0"/>
        <w:keepLines w:val="0"/>
        <w:pageBreakBefore w:val="0"/>
        <w:widowControl/>
        <w:suppressLineNumbers w:val="0"/>
        <w:kinsoku/>
        <w:wordWrap/>
        <w:overflowPunct/>
        <w:topLinePunct w:val="0"/>
        <w:autoSpaceDE/>
        <w:autoSpaceDN/>
        <w:bidi w:val="0"/>
        <w:adjustRightInd/>
        <w:snapToGrid/>
        <w:spacing w:line="240" w:lineRule="exact"/>
        <w:ind w:firstLine="964" w:firstLineChars="400"/>
        <w:jc w:val="left"/>
        <w:textAlignment w:val="center"/>
        <w:rPr>
          <w:rFonts w:hint="eastAsia" w:ascii="宋体" w:hAnsi="宋体" w:eastAsia="宋体" w:cs="宋体"/>
          <w:b/>
          <w:bCs/>
          <w:i w:val="0"/>
          <w:iCs w:val="0"/>
          <w:color w:val="000000"/>
          <w:kern w:val="0"/>
          <w:sz w:val="24"/>
          <w:szCs w:val="24"/>
          <w:u w:val="none"/>
          <w:lang w:val="en-US" w:eastAsia="zh-CN" w:bidi="ar-SA"/>
        </w:rPr>
      </w:pPr>
    </w:p>
    <w:p w14:paraId="1E6345C8">
      <w:pPr>
        <w:keepNext w:val="0"/>
        <w:keepLines w:val="0"/>
        <w:pageBreakBefore w:val="0"/>
        <w:widowControl/>
        <w:suppressLineNumbers w:val="0"/>
        <w:kinsoku/>
        <w:wordWrap/>
        <w:overflowPunct/>
        <w:topLinePunct w:val="0"/>
        <w:autoSpaceDE/>
        <w:autoSpaceDN/>
        <w:bidi w:val="0"/>
        <w:adjustRightInd/>
        <w:snapToGrid/>
        <w:spacing w:line="240" w:lineRule="exact"/>
        <w:ind w:firstLine="964" w:firstLineChars="400"/>
        <w:jc w:val="left"/>
        <w:textAlignment w:val="center"/>
        <w:rPr>
          <w:rFonts w:hint="eastAsia" w:ascii="宋体" w:hAnsi="宋体" w:eastAsia="宋体" w:cs="宋体"/>
          <w:b/>
          <w:bCs/>
          <w:i w:val="0"/>
          <w:iCs w:val="0"/>
          <w:color w:val="000000"/>
          <w:kern w:val="0"/>
          <w:sz w:val="24"/>
          <w:szCs w:val="24"/>
          <w:u w:val="none"/>
          <w:lang w:val="en-US" w:eastAsia="zh-CN" w:bidi="ar-SA"/>
        </w:rPr>
        <w:sectPr>
          <w:pgSz w:w="16838" w:h="11906" w:orient="landscape"/>
          <w:pgMar w:top="1247" w:right="1247" w:bottom="1247" w:left="1247" w:header="851" w:footer="1417" w:gutter="0"/>
          <w:cols w:space="0" w:num="1"/>
          <w:titlePg/>
          <w:rtlGutter w:val="1"/>
          <w:docGrid w:type="lines" w:linePitch="336" w:charSpace="0"/>
        </w:sectPr>
      </w:pPr>
      <w:r>
        <w:rPr>
          <w:rFonts w:hint="eastAsia" w:ascii="宋体" w:hAnsi="宋体" w:eastAsia="宋体" w:cs="宋体"/>
          <w:b/>
          <w:bCs/>
          <w:i w:val="0"/>
          <w:iCs w:val="0"/>
          <w:color w:val="000000"/>
          <w:kern w:val="0"/>
          <w:sz w:val="24"/>
          <w:szCs w:val="24"/>
          <w:u w:val="none"/>
          <w:lang w:val="en-US" w:eastAsia="zh-CN" w:bidi="ar-SA"/>
        </w:rPr>
        <w:t>村级审核：                                                      镇级审核：</w:t>
      </w:r>
    </w:p>
    <w:p w14:paraId="3C5D0969">
      <w:pPr>
        <w:pStyle w:val="5"/>
        <w:ind w:left="0" w:firstLine="0"/>
        <w:rPr>
          <w:rFonts w:hint="eastAsia" w:ascii="Times New Roman" w:hAnsi="Times New Roman" w:eastAsia="仿宋_GB2312"/>
          <w:sz w:val="32"/>
          <w:szCs w:val="32"/>
        </w:rPr>
      </w:pPr>
      <w:r>
        <w:rPr>
          <w:rFonts w:hint="eastAsia" w:ascii="Times New Roman" w:hAnsi="Times New Roman" w:eastAsia="黑体" w:cs="黑体"/>
          <w:i w:val="0"/>
          <w:iCs w:val="0"/>
          <w:color w:val="000000"/>
          <w:kern w:val="0"/>
          <w:sz w:val="32"/>
          <w:szCs w:val="32"/>
          <w:u w:val="none"/>
          <w:lang w:val="en-US" w:eastAsia="zh-CN" w:bidi="ar-SA"/>
        </w:rPr>
        <w:t xml:space="preserve">附件3 </w:t>
      </w:r>
    </w:p>
    <w:p w14:paraId="0D0E6EBE">
      <w:pPr>
        <w:pStyle w:val="3"/>
        <w:jc w:val="center"/>
        <w:rPr>
          <w:rFonts w:hint="eastAsia" w:ascii="Times New Roman" w:hAnsi="Times New Roman" w:eastAsia="方正小标宋简体" w:cs="方正小标宋简体"/>
          <w:b w:val="0"/>
          <w:bCs/>
          <w:i w:val="0"/>
          <w:iCs w:val="0"/>
          <w:color w:val="000000"/>
          <w:w w:val="90"/>
          <w:kern w:val="0"/>
          <w:sz w:val="40"/>
          <w:szCs w:val="40"/>
          <w:u w:val="none"/>
          <w:lang w:val="en-US" w:eastAsia="zh-CN" w:bidi="ar-SA"/>
        </w:rPr>
      </w:pPr>
      <w:r>
        <w:rPr>
          <w:rFonts w:hint="eastAsia" w:ascii="Times New Roman" w:hAnsi="Times New Roman" w:eastAsia="方正小标宋简体" w:cs="方正小标宋简体"/>
          <w:b w:val="0"/>
          <w:bCs/>
          <w:i w:val="0"/>
          <w:iCs w:val="0"/>
          <w:color w:val="000000"/>
          <w:w w:val="90"/>
          <w:kern w:val="0"/>
          <w:sz w:val="40"/>
          <w:szCs w:val="40"/>
          <w:u w:val="none"/>
          <w:lang w:val="en-US" w:eastAsia="zh-CN" w:bidi="ar-SA"/>
        </w:rPr>
        <w:t>遂宁市安居区2025年中央财政粮油规模种植主体单产提升项目主体档案汇总表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
        <w:gridCol w:w="885"/>
        <w:gridCol w:w="2438"/>
        <w:gridCol w:w="1858"/>
        <w:gridCol w:w="885"/>
        <w:gridCol w:w="1389"/>
        <w:gridCol w:w="1477"/>
        <w:gridCol w:w="1267"/>
        <w:gridCol w:w="1267"/>
        <w:gridCol w:w="1317"/>
        <w:gridCol w:w="886"/>
      </w:tblGrid>
      <w:tr w14:paraId="18CC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1B5AA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项目实施主体</w:t>
            </w: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71181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负责人姓名</w:t>
            </w:r>
          </w:p>
        </w:tc>
        <w:tc>
          <w:tcPr>
            <w:tcW w:w="837" w:type="pct"/>
            <w:tcBorders>
              <w:top w:val="single" w:color="000000" w:sz="4" w:space="0"/>
              <w:left w:val="single" w:color="000000" w:sz="4" w:space="0"/>
              <w:bottom w:val="single" w:color="000000" w:sz="4" w:space="0"/>
              <w:right w:val="single" w:color="000000" w:sz="4" w:space="0"/>
              <w:tl2br w:val="nil"/>
              <w:tr2bl w:val="nil"/>
            </w:tcBorders>
            <w:vAlign w:val="center"/>
          </w:tcPr>
          <w:p w14:paraId="3086D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身份证号码/社会信用代码</w:t>
            </w:r>
          </w:p>
        </w:tc>
        <w:tc>
          <w:tcPr>
            <w:tcW w:w="638" w:type="pct"/>
            <w:tcBorders>
              <w:top w:val="single" w:color="000000" w:sz="4" w:space="0"/>
              <w:left w:val="single" w:color="000000" w:sz="4" w:space="0"/>
              <w:bottom w:val="single" w:color="000000" w:sz="4" w:space="0"/>
              <w:right w:val="single" w:color="000000" w:sz="4" w:space="0"/>
              <w:tl2br w:val="nil"/>
              <w:tr2bl w:val="nil"/>
            </w:tcBorders>
            <w:vAlign w:val="center"/>
          </w:tcPr>
          <w:p w14:paraId="5087B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联系方式</w:t>
            </w: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7FCF0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作物品种</w:t>
            </w:r>
          </w:p>
        </w:tc>
        <w:tc>
          <w:tcPr>
            <w:tcW w:w="477" w:type="pct"/>
            <w:tcBorders>
              <w:top w:val="single" w:color="000000" w:sz="4" w:space="0"/>
              <w:left w:val="single" w:color="000000" w:sz="4" w:space="0"/>
              <w:bottom w:val="single" w:color="000000" w:sz="4" w:space="0"/>
              <w:right w:val="single" w:color="000000" w:sz="4" w:space="0"/>
              <w:tl2br w:val="nil"/>
              <w:tr2bl w:val="nil"/>
            </w:tcBorders>
            <w:vAlign w:val="center"/>
          </w:tcPr>
          <w:p w14:paraId="3F446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单产提升面积（亩）</w:t>
            </w:r>
          </w:p>
        </w:tc>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14:paraId="5866A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落实的关键技术措施</w:t>
            </w: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4B445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总投入（万元）</w:t>
            </w: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497A5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上年亩产水平（公斤）</w:t>
            </w:r>
          </w:p>
        </w:tc>
        <w:tc>
          <w:tcPr>
            <w:tcW w:w="452" w:type="pct"/>
            <w:tcBorders>
              <w:top w:val="single" w:color="000000" w:sz="4" w:space="0"/>
              <w:left w:val="single" w:color="000000" w:sz="4" w:space="0"/>
              <w:bottom w:val="single" w:color="000000" w:sz="4" w:space="0"/>
              <w:right w:val="single" w:color="000000" w:sz="4" w:space="0"/>
              <w:tl2br w:val="nil"/>
              <w:tr2bl w:val="nil"/>
            </w:tcBorders>
            <w:vAlign w:val="center"/>
          </w:tcPr>
          <w:p w14:paraId="33CB9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当年实际亩产（公斤）</w:t>
            </w: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52760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SA"/>
              </w:rPr>
            </w:pPr>
            <w:r>
              <w:rPr>
                <w:rFonts w:hint="eastAsia" w:ascii="方正仿宋_GBK" w:hAnsi="方正仿宋_GBK" w:eastAsia="方正仿宋_GBK" w:cs="方正仿宋_GBK"/>
                <w:b/>
                <w:bCs/>
                <w:i w:val="0"/>
                <w:iCs w:val="0"/>
                <w:color w:val="000000"/>
                <w:kern w:val="0"/>
                <w:sz w:val="24"/>
                <w:szCs w:val="24"/>
                <w:u w:val="none"/>
                <w:lang w:val="en-US" w:eastAsia="zh-CN" w:bidi="ar-SA"/>
              </w:rPr>
              <w:t>备注</w:t>
            </w:r>
          </w:p>
        </w:tc>
      </w:tr>
      <w:tr w14:paraId="5C74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6E01B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1C9BF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837" w:type="pct"/>
            <w:tcBorders>
              <w:top w:val="single" w:color="000000" w:sz="4" w:space="0"/>
              <w:left w:val="single" w:color="000000" w:sz="4" w:space="0"/>
              <w:bottom w:val="single" w:color="000000" w:sz="4" w:space="0"/>
              <w:right w:val="single" w:color="000000" w:sz="4" w:space="0"/>
              <w:tl2br w:val="nil"/>
              <w:tr2bl w:val="nil"/>
            </w:tcBorders>
            <w:vAlign w:val="center"/>
          </w:tcPr>
          <w:p w14:paraId="38E62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638" w:type="pct"/>
            <w:tcBorders>
              <w:top w:val="single" w:color="000000" w:sz="4" w:space="0"/>
              <w:left w:val="single" w:color="000000" w:sz="4" w:space="0"/>
              <w:bottom w:val="single" w:color="000000" w:sz="4" w:space="0"/>
              <w:right w:val="single" w:color="000000" w:sz="4" w:space="0"/>
              <w:tl2br w:val="nil"/>
              <w:tr2bl w:val="nil"/>
            </w:tcBorders>
            <w:vAlign w:val="center"/>
          </w:tcPr>
          <w:p w14:paraId="743D0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0289A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77" w:type="pct"/>
            <w:tcBorders>
              <w:top w:val="single" w:color="000000" w:sz="4" w:space="0"/>
              <w:left w:val="single" w:color="000000" w:sz="4" w:space="0"/>
              <w:bottom w:val="single" w:color="000000" w:sz="4" w:space="0"/>
              <w:right w:val="single" w:color="000000" w:sz="4" w:space="0"/>
              <w:tl2br w:val="nil"/>
              <w:tr2bl w:val="nil"/>
            </w:tcBorders>
            <w:vAlign w:val="center"/>
          </w:tcPr>
          <w:p w14:paraId="621F7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14:paraId="649D1E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73CD0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0E8F9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52" w:type="pct"/>
            <w:tcBorders>
              <w:top w:val="single" w:color="000000" w:sz="4" w:space="0"/>
              <w:left w:val="single" w:color="000000" w:sz="4" w:space="0"/>
              <w:bottom w:val="single" w:color="000000" w:sz="4" w:space="0"/>
              <w:right w:val="single" w:color="000000" w:sz="4" w:space="0"/>
              <w:tl2br w:val="nil"/>
              <w:tr2bl w:val="nil"/>
            </w:tcBorders>
            <w:vAlign w:val="center"/>
          </w:tcPr>
          <w:p w14:paraId="37C104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78ED0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r>
      <w:tr w14:paraId="0221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15C35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03F2D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837" w:type="pct"/>
            <w:tcBorders>
              <w:top w:val="single" w:color="000000" w:sz="4" w:space="0"/>
              <w:left w:val="single" w:color="000000" w:sz="4" w:space="0"/>
              <w:bottom w:val="single" w:color="000000" w:sz="4" w:space="0"/>
              <w:right w:val="single" w:color="000000" w:sz="4" w:space="0"/>
              <w:tl2br w:val="nil"/>
              <w:tr2bl w:val="nil"/>
            </w:tcBorders>
            <w:vAlign w:val="center"/>
          </w:tcPr>
          <w:p w14:paraId="131A73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638" w:type="pct"/>
            <w:tcBorders>
              <w:top w:val="single" w:color="000000" w:sz="4" w:space="0"/>
              <w:left w:val="single" w:color="000000" w:sz="4" w:space="0"/>
              <w:bottom w:val="single" w:color="000000" w:sz="4" w:space="0"/>
              <w:right w:val="single" w:color="000000" w:sz="4" w:space="0"/>
              <w:tl2br w:val="nil"/>
              <w:tr2bl w:val="nil"/>
            </w:tcBorders>
            <w:vAlign w:val="center"/>
          </w:tcPr>
          <w:p w14:paraId="6B570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1A29C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77" w:type="pct"/>
            <w:tcBorders>
              <w:top w:val="single" w:color="000000" w:sz="4" w:space="0"/>
              <w:left w:val="single" w:color="000000" w:sz="4" w:space="0"/>
              <w:bottom w:val="single" w:color="000000" w:sz="4" w:space="0"/>
              <w:right w:val="single" w:color="000000" w:sz="4" w:space="0"/>
              <w:tl2br w:val="nil"/>
              <w:tr2bl w:val="nil"/>
            </w:tcBorders>
            <w:vAlign w:val="center"/>
          </w:tcPr>
          <w:p w14:paraId="3F71B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14:paraId="4327F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55BCB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2BBCB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52" w:type="pct"/>
            <w:tcBorders>
              <w:top w:val="single" w:color="000000" w:sz="4" w:space="0"/>
              <w:left w:val="single" w:color="000000" w:sz="4" w:space="0"/>
              <w:bottom w:val="single" w:color="000000" w:sz="4" w:space="0"/>
              <w:right w:val="single" w:color="000000" w:sz="4" w:space="0"/>
              <w:tl2br w:val="nil"/>
              <w:tr2bl w:val="nil"/>
            </w:tcBorders>
            <w:vAlign w:val="center"/>
          </w:tcPr>
          <w:p w14:paraId="2123F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1506E3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r>
      <w:tr w14:paraId="67C7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340F5A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0B75F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837" w:type="pct"/>
            <w:tcBorders>
              <w:top w:val="single" w:color="000000" w:sz="4" w:space="0"/>
              <w:left w:val="single" w:color="000000" w:sz="4" w:space="0"/>
              <w:bottom w:val="single" w:color="000000" w:sz="4" w:space="0"/>
              <w:right w:val="single" w:color="000000" w:sz="4" w:space="0"/>
              <w:tl2br w:val="nil"/>
              <w:tr2bl w:val="nil"/>
            </w:tcBorders>
            <w:vAlign w:val="center"/>
          </w:tcPr>
          <w:p w14:paraId="45D46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638" w:type="pct"/>
            <w:tcBorders>
              <w:top w:val="single" w:color="000000" w:sz="4" w:space="0"/>
              <w:left w:val="single" w:color="000000" w:sz="4" w:space="0"/>
              <w:bottom w:val="single" w:color="000000" w:sz="4" w:space="0"/>
              <w:right w:val="single" w:color="000000" w:sz="4" w:space="0"/>
              <w:tl2br w:val="nil"/>
              <w:tr2bl w:val="nil"/>
            </w:tcBorders>
            <w:vAlign w:val="center"/>
          </w:tcPr>
          <w:p w14:paraId="65790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14A22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77" w:type="pct"/>
            <w:tcBorders>
              <w:top w:val="single" w:color="000000" w:sz="4" w:space="0"/>
              <w:left w:val="single" w:color="000000" w:sz="4" w:space="0"/>
              <w:bottom w:val="single" w:color="000000" w:sz="4" w:space="0"/>
              <w:right w:val="single" w:color="000000" w:sz="4" w:space="0"/>
              <w:tl2br w:val="nil"/>
              <w:tr2bl w:val="nil"/>
            </w:tcBorders>
            <w:vAlign w:val="center"/>
          </w:tcPr>
          <w:p w14:paraId="7BC0B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14:paraId="7EB6B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60576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l2br w:val="nil"/>
              <w:tr2bl w:val="nil"/>
            </w:tcBorders>
            <w:vAlign w:val="center"/>
          </w:tcPr>
          <w:p w14:paraId="27C91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452" w:type="pct"/>
            <w:tcBorders>
              <w:top w:val="single" w:color="000000" w:sz="4" w:space="0"/>
              <w:left w:val="single" w:color="000000" w:sz="4" w:space="0"/>
              <w:bottom w:val="single" w:color="000000" w:sz="4" w:space="0"/>
              <w:right w:val="single" w:color="000000" w:sz="4" w:space="0"/>
              <w:tl2br w:val="nil"/>
              <w:tr2bl w:val="nil"/>
            </w:tcBorders>
            <w:vAlign w:val="center"/>
          </w:tcPr>
          <w:p w14:paraId="639F3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c>
          <w:tcPr>
            <w:tcW w:w="304" w:type="pct"/>
            <w:tcBorders>
              <w:top w:val="single" w:color="000000" w:sz="4" w:space="0"/>
              <w:left w:val="single" w:color="000000" w:sz="4" w:space="0"/>
              <w:bottom w:val="single" w:color="000000" w:sz="4" w:space="0"/>
              <w:right w:val="single" w:color="000000" w:sz="4" w:space="0"/>
              <w:tl2br w:val="nil"/>
              <w:tr2bl w:val="nil"/>
            </w:tcBorders>
            <w:vAlign w:val="center"/>
          </w:tcPr>
          <w:p w14:paraId="2C24A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SA"/>
              </w:rPr>
            </w:pPr>
          </w:p>
        </w:tc>
      </w:tr>
    </w:tbl>
    <w:p w14:paraId="63A0823D"/>
    <w:p w14:paraId="40C616A6"/>
    <w:p w14:paraId="05BC66A0"/>
    <w:p w14:paraId="1C74F576">
      <w:pPr>
        <w:keepNext w:val="0"/>
        <w:keepLines w:val="0"/>
        <w:pageBreakBefore w:val="0"/>
        <w:widowControl w:val="0"/>
        <w:suppressLineNumbers w:val="0"/>
        <w:suppressAutoHyphens w:val="0"/>
        <w:bidi w:val="0"/>
      </w:pPr>
    </w:p>
    <w:p w14:paraId="033F7F35"/>
    <w:p w14:paraId="1192EA6C"/>
    <w:sectPr>
      <w:pgSz w:w="16838" w:h="11906" w:orient="landscape"/>
      <w:pgMar w:top="1247" w:right="1247" w:bottom="1247" w:left="1247" w:header="851" w:footer="1417" w:gutter="0"/>
      <w:cols w:space="0" w:num="1"/>
      <w:titlePg/>
      <w:rtlGutter w:val="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3C7D">
    <w:pPr>
      <w:pStyle w:val="6"/>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30885" cy="262890"/>
              <wp:effectExtent l="0" t="0" r="0" b="0"/>
              <wp:wrapNone/>
              <wp:docPr id="1" name="文本框 2"/>
              <wp:cNvGraphicFramePr/>
              <a:graphic xmlns:a="http://schemas.openxmlformats.org/drawingml/2006/main">
                <a:graphicData uri="http://schemas.microsoft.com/office/word/2010/wordprocessingShape">
                  <wps:wsp>
                    <wps:cNvSpPr/>
                    <wps:spPr>
                      <a:xfrm>
                        <a:off x="0" y="0"/>
                        <a:ext cx="730757" cy="262899"/>
                      </a:xfrm>
                      <a:prstGeom prst="rect">
                        <a:avLst/>
                      </a:prstGeom>
                      <a:noFill/>
                      <a:ln w="9525" cap="flat" cmpd="sng">
                        <a:noFill/>
                        <a:prstDash val="solid"/>
                        <a:miter/>
                      </a:ln>
                    </wps:spPr>
                    <wps:txbx>
                      <w:txbxContent>
                        <w:p w14:paraId="722A1FF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20.7pt;width:57.55pt;mso-position-horizontal:outside;mso-position-horizontal-relative:margin;mso-wrap-style:none;z-index:251659264;mso-width-relative:page;mso-height-relative:page;" filled="f" stroked="f" coordsize="21600,21600" o:gfxdata="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0FROtIAAAAEAQAADwAAAAAAAAABACAAAAAiAAAAZHJzL2Rvd25y&#10;ZXYueG1sUEsBAhQAFAAAAAgAh07iQCzV8ckEAgAA9AMAAA4AAAAAAAAAAQAgAAAAIQEAAGRycy9l&#10;Mm9Eb2MueG1sUEsFBgAAAAAGAAYAWQEAAJcFAAAAAA==&#10;">
              <v:fill on="f" focussize="0,0"/>
              <v:stroke on="f" joinstyle="miter"/>
              <v:imagedata o:title=""/>
              <o:lock v:ext="edit" aspectratio="f"/>
              <v:textbox inset="0mm,0mm,0mm,0mm" style="mso-fit-shape-to-text:t;">
                <w:txbxContent>
                  <w:p w14:paraId="722A1FF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F11B">
    <w:pPr>
      <w:pStyle w:val="6"/>
      <w:rPr>
        <w:sz w:val="28"/>
        <w:szCs w:val="28"/>
      </w:rPr>
    </w:pPr>
    <w:r>
      <w:rPr>
        <w:sz w:val="28"/>
        <w:szCs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30885" cy="262890"/>
              <wp:effectExtent l="0" t="0" r="0" b="0"/>
              <wp:wrapNone/>
              <wp:docPr id="4" name="文本框 1"/>
              <wp:cNvGraphicFramePr/>
              <a:graphic xmlns:a="http://schemas.openxmlformats.org/drawingml/2006/main">
                <a:graphicData uri="http://schemas.microsoft.com/office/word/2010/wordprocessingShape">
                  <wps:wsp>
                    <wps:cNvSpPr/>
                    <wps:spPr>
                      <a:xfrm>
                        <a:off x="0" y="0"/>
                        <a:ext cx="730758" cy="262899"/>
                      </a:xfrm>
                      <a:prstGeom prst="rect">
                        <a:avLst/>
                      </a:prstGeom>
                      <a:noFill/>
                      <a:ln w="9525" cap="flat" cmpd="sng">
                        <a:noFill/>
                        <a:prstDash val="solid"/>
                        <a:miter/>
                      </a:ln>
                    </wps:spPr>
                    <wps:txbx>
                      <w:txbxContent>
                        <w:p w14:paraId="7F296063">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20.7pt;width:57.55pt;mso-position-horizontal:outside;mso-position-horizontal-relative:margin;mso-wrap-style:none;z-index:251659264;mso-width-relative:page;mso-height-relative:page;" filled="f" stroked="f" coordsize="21600,21600" o:gfxdata="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0FROtIAAAAEAQAADwAAAAAAAAABACAAAAAiAAAAZHJzL2Rvd25y&#10;ZXYueG1sUEsBAhQAFAAAAAgAh07iQBfqWGQEAgAA9AMAAA4AAAAAAAAAAQAgAAAAIQEAAGRycy9l&#10;Mm9Eb2MueG1sUEsFBgAAAAAGAAYAWQEAAJcFAAAAAA==&#10;">
              <v:fill on="f" focussize="0,0"/>
              <v:stroke on="f" joinstyle="miter"/>
              <v:imagedata o:title=""/>
              <o:lock v:ext="edit" aspectratio="f"/>
              <v:textbox inset="0mm,0mm,0mm,0mm" style="mso-fit-shape-to-text:t;">
                <w:txbxContent>
                  <w:p w14:paraId="7F296063">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4A27">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noLineBreaksAfter w:lang="zh-CN" w:val="$([{£¥·‘“〈《「『【〔〖〝﹙﹛﹝＄（．［｛￡￥"/>
  <w:noLineBreaksBefore w:lang="zh-CN" w:val="!%),.:;&gt;?]}¢¨°·ˇˉ―‖’”…‰′″›℃∶、。〃〉》」』】〕〗〞︶︺︾﹀﹄﹚﹜﹞！＂％＇），．：；？］｀｜｝～￠"/>
  <w:compat>
    <w:spaceForUL/>
    <w:balanceSingleByteDoubleByteWidth/>
    <w:ulTrailSpace/>
    <w:doNotExpandShiftReturn/>
    <w:adjustLineHeightInTable/>
    <w:doNotWrapTextWithPunct/>
    <w:doNotUseEastAsianBreakRules/>
    <w:useFELayout/>
    <w:compatSetting w:name="compatibilityMode" w:uri="http://schemas.microsoft.com/office/word" w:val="15"/>
  </w:compat>
  <w:rsids>
    <w:rsidRoot w:val="00000000"/>
    <w:rsid w:val="08504131"/>
    <w:rsid w:val="53312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line="413" w:lineRule="auto"/>
      <w:jc w:val="both"/>
      <w:outlineLvl w:val="1"/>
    </w:pPr>
    <w:rPr>
      <w:rFonts w:ascii="Arial" w:hAnsi="Arial" w:eastAsia="黑体" w:cs="Times New Roman"/>
      <w:b/>
      <w:kern w:val="2"/>
      <w:sz w:val="32"/>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widowControl w:val="0"/>
      <w:ind w:left="2940"/>
      <w:jc w:val="both"/>
    </w:pPr>
    <w:rPr>
      <w:rFonts w:ascii="Times New Roman" w:hAnsi="Times New Roman" w:eastAsia="宋体" w:cs="Times New Roman"/>
      <w:kern w:val="2"/>
      <w:sz w:val="21"/>
      <w:szCs w:val="22"/>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next w:val="5"/>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toc 1"/>
    <w:basedOn w:val="1"/>
    <w:next w:val="1"/>
    <w:autoRedefine/>
    <w:qFormat/>
    <w:uiPriority w:val="0"/>
  </w:style>
  <w:style w:type="paragraph" w:customStyle="1" w:styleId="11">
    <w:name w:val="章标题"/>
    <w:basedOn w:val="1"/>
    <w:qFormat/>
    <w:uiPriority w:val="0"/>
    <w:pPr>
      <w:widowControl/>
      <w:spacing w:before="158" w:after="153" w:line="323" w:lineRule="atLeast"/>
      <w:ind w:right="-120"/>
      <w:jc w:val="center"/>
      <w:textAlignment w:val="baseline"/>
    </w:pPr>
    <w:rPr>
      <w:rFonts w:ascii="Times New Roman" w:hAnsi="Times New Roman" w:eastAsia="宋体" w:cs="Times New Roman"/>
      <w:color w:val="FF0000"/>
      <w:kern w:val="2"/>
      <w:sz w:val="1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6EECB-258C-4446-A838-2F90B5EC526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12</Pages>
  <Words>2425</Words>
  <Characters>2547</Characters>
  <Lines>0</Lines>
  <Paragraphs>57</Paragraphs>
  <TotalTime>4</TotalTime>
  <ScaleCrop>false</ScaleCrop>
  <LinksUpToDate>false</LinksUpToDate>
  <CharactersWithSpaces>2550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梅子</cp:lastModifiedBy>
  <dcterms:modified xsi:type="dcterms:W3CDTF">2025-12-02T06:14:22Z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eyJoZGlkIjoiZGM4NjUzNDA1NDkyY2MxZmJmZThlN2U3ZTFkMjcwOGYiLCJ1c2VySWQiOiIxMzAzMDQ2NzEzIn0=</vt:lpwstr>
  </property>
  <property fmtid="{D5CDD505-2E9C-101B-9397-08002B2CF9AE}" pid="3" name="KSOProductBuildVer">
    <vt:lpwstr>2052-12.1.0.23542</vt:lpwstr>
  </property>
  <property fmtid="{D5CDD505-2E9C-101B-9397-08002B2CF9AE}" pid="4" name="ICV">
    <vt:lpwstr>F2FEDBA8129C4D809AA0756E08D02AAA_12</vt:lpwstr>
  </property>
</Properties>
</file>