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78441"/>
      <w:bookmarkStart w:id="1" w:name="_Toc15377425"/>
      <w:bookmarkStart w:id="2" w:name="_Toc15377193"/>
      <w:bookmarkStart w:id="3" w:name="_Toc15396597"/>
      <w:bookmarkStart w:id="4" w:name="_Toc15396475"/>
      <w:bookmarkStart w:id="5" w:name="_Toc15306267"/>
    </w:p>
    <w:p>
      <w:pPr>
        <w:spacing w:line="600" w:lineRule="exact"/>
        <w:jc w:val="center"/>
        <w:rPr>
          <w:rFonts w:ascii="方正小标宋简体" w:hAnsi="宋体" w:eastAsia="方正小标宋简体"/>
          <w:sz w:val="72"/>
          <w:szCs w:val="72"/>
        </w:rPr>
      </w:pPr>
    </w:p>
    <w:p>
      <w:pPr>
        <w:spacing w:line="600" w:lineRule="exact"/>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9833"/>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7" w:name="_Toc15377194"/>
      <w:bookmarkStart w:id="8" w:name="_Toc15378442"/>
      <w:bookmarkStart w:id="9" w:name="_Toc15377426"/>
      <w:bookmarkStart w:id="10" w:name="_Toc16280"/>
      <w:bookmarkStart w:id="11" w:name="_Toc15396598"/>
      <w:bookmarkStart w:id="12" w:name="_Toc15396476"/>
      <w:r>
        <w:rPr>
          <w:rFonts w:hint="eastAsia" w:ascii="方正小标宋简体" w:hAnsi="方正小标宋简体" w:eastAsia="方正小标宋简体" w:cs="方正小标宋简体"/>
          <w:sz w:val="72"/>
          <w:szCs w:val="72"/>
        </w:rPr>
        <w:t>四川省</w:t>
      </w:r>
      <w:bookmarkEnd w:id="5"/>
      <w:bookmarkStart w:id="13" w:name="_Toc24296"/>
      <w:bookmarkStart w:id="14" w:name="_Toc15306268"/>
      <w:r>
        <w:rPr>
          <w:rFonts w:hint="eastAsia" w:ascii="方正小标宋简体" w:hAnsi="宋体" w:eastAsia="方正小标宋简体"/>
          <w:color w:val="000000"/>
          <w:sz w:val="72"/>
          <w:szCs w:val="72"/>
        </w:rPr>
        <w:t>遂宁市安居区</w:t>
      </w:r>
      <w:bookmarkEnd w:id="13"/>
      <w:r>
        <w:rPr>
          <w:rFonts w:hint="eastAsia" w:ascii="方正小标宋简体" w:hAnsi="宋体" w:eastAsia="方正小标宋简体"/>
          <w:color w:val="000000"/>
          <w:sz w:val="72"/>
          <w:szCs w:val="72"/>
        </w:rPr>
        <w:t>科学技术协会</w:t>
      </w: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bookmarkEnd w:id="14"/>
    </w:p>
    <w:p>
      <w:pPr>
        <w:pStyle w:val="15"/>
        <w:adjustRightInd w:val="0"/>
        <w:snapToGrid w:val="0"/>
        <w:spacing w:line="440" w:lineRule="exact"/>
        <w:jc w:val="left"/>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rPr>
        <w:id w:val="147473539"/>
        <w15:color w:val="DBDBDB"/>
        <w:docPartObj>
          <w:docPartGallery w:val="Table of Contents"/>
          <w:docPartUnique/>
        </w:docPartObj>
      </w:sdtPr>
      <w:sdtEndPr>
        <w:rPr>
          <w:rFonts w:ascii="Times New Roman" w:hAnsi="Times New Roman"/>
          <w:b/>
        </w:rPr>
      </w:sdtEndPr>
      <w:sdtContent>
        <w:p>
          <w:pPr>
            <w:jc w:val="center"/>
          </w:pPr>
          <w:r>
            <w:rPr>
              <w:rFonts w:ascii="宋体" w:hAnsi="宋体"/>
            </w:rPr>
            <w:t>目录</w:t>
          </w:r>
        </w:p>
        <w:p>
          <w:pPr>
            <w:pStyle w:val="38"/>
            <w:tabs>
              <w:tab w:val="right" w:leader="dot" w:pos="8306"/>
            </w:tabs>
            <w:rPr>
              <w:b/>
            </w:rPr>
          </w:pPr>
          <w:r>
            <w:fldChar w:fldCharType="begin"/>
          </w:r>
          <w:r>
            <w:instrText xml:space="preserve">TOC \o "1-2" \h \u </w:instrText>
          </w:r>
          <w:r>
            <w:fldChar w:fldCharType="separate"/>
          </w:r>
        </w:p>
        <w:p>
          <w:pPr>
            <w:pStyle w:val="38"/>
            <w:tabs>
              <w:tab w:val="right" w:leader="dot" w:pos="8306"/>
            </w:tabs>
            <w:rPr>
              <w:b/>
            </w:rPr>
          </w:pPr>
          <w:r>
            <w:fldChar w:fldCharType="begin"/>
          </w:r>
          <w:r>
            <w:instrText xml:space="preserve"> HYPERLINK \l "_Toc24680" </w:instrText>
          </w:r>
          <w:r>
            <w:fldChar w:fldCharType="separate"/>
          </w:r>
          <w:r>
            <w:rPr>
              <w:rFonts w:hint="eastAsia" w:ascii="黑体" w:hAnsi="黑体" w:eastAsia="黑体"/>
              <w:b/>
            </w:rPr>
            <w:t>第一部分 部门概况</w:t>
          </w:r>
          <w:r>
            <w:rPr>
              <w:b/>
            </w:rPr>
            <w:tab/>
          </w:r>
          <w:r>
            <w:rPr>
              <w:b/>
            </w:rPr>
            <w:fldChar w:fldCharType="begin"/>
          </w:r>
          <w:r>
            <w:rPr>
              <w:b/>
            </w:rPr>
            <w:instrText xml:space="preserve"> PAGEREF _Toc24680 </w:instrText>
          </w:r>
          <w:r>
            <w:rPr>
              <w:b/>
            </w:rPr>
            <w:fldChar w:fldCharType="separate"/>
          </w:r>
          <w:r>
            <w:rPr>
              <w:b/>
            </w:rPr>
            <w:t>3</w:t>
          </w:r>
          <w:r>
            <w:rPr>
              <w:b/>
            </w:rPr>
            <w:fldChar w:fldCharType="end"/>
          </w:r>
          <w:r>
            <w:rPr>
              <w:b/>
            </w:rPr>
            <w:fldChar w:fldCharType="end"/>
          </w:r>
        </w:p>
        <w:p>
          <w:pPr>
            <w:pStyle w:val="39"/>
            <w:tabs>
              <w:tab w:val="right" w:leader="dot" w:pos="8306"/>
            </w:tabs>
            <w:ind w:left="420"/>
          </w:pPr>
          <w:r>
            <w:fldChar w:fldCharType="begin"/>
          </w:r>
          <w:r>
            <w:instrText xml:space="preserve"> HYPERLINK \l "_Toc16525" </w:instrText>
          </w:r>
          <w:r>
            <w:fldChar w:fldCharType="separate"/>
          </w:r>
          <w:r>
            <w:rPr>
              <w:rFonts w:ascii="黑体" w:hAnsi="黑体" w:eastAsia="黑体"/>
            </w:rPr>
            <w:t xml:space="preserve">一、 </w:t>
          </w:r>
          <w:r>
            <w:rPr>
              <w:rFonts w:hint="eastAsia" w:ascii="黑体" w:hAnsi="黑体" w:eastAsia="黑体"/>
            </w:rPr>
            <w:t>部门职责</w:t>
          </w:r>
          <w:r>
            <w:tab/>
          </w:r>
          <w:r>
            <w:fldChar w:fldCharType="begin"/>
          </w:r>
          <w:r>
            <w:instrText xml:space="preserve"> PAGEREF _Toc16525 </w:instrText>
          </w:r>
          <w:r>
            <w:fldChar w:fldCharType="separate"/>
          </w:r>
          <w:r>
            <w:t>3</w:t>
          </w:r>
          <w:r>
            <w:fldChar w:fldCharType="end"/>
          </w:r>
          <w:r>
            <w:fldChar w:fldCharType="end"/>
          </w:r>
        </w:p>
        <w:p>
          <w:pPr>
            <w:pStyle w:val="38"/>
            <w:tabs>
              <w:tab w:val="right" w:leader="dot" w:pos="8306"/>
            </w:tabs>
            <w:rPr>
              <w:b/>
            </w:rPr>
          </w:pPr>
          <w:r>
            <w:fldChar w:fldCharType="begin"/>
          </w:r>
          <w:r>
            <w:instrText xml:space="preserve"> HYPERLINK \l "_Toc335" </w:instrText>
          </w:r>
          <w:r>
            <w:fldChar w:fldCharType="separate"/>
          </w:r>
          <w:r>
            <w:rPr>
              <w:rFonts w:hint="eastAsia" w:ascii="黑体" w:hAnsi="黑体" w:eastAsia="黑体"/>
              <w:b/>
            </w:rPr>
            <w:t>第二部分 2022年度</w:t>
          </w:r>
          <w:r>
            <w:rPr>
              <w:rFonts w:hint="eastAsia" w:ascii="黑体" w:hAnsi="黑体" w:eastAsia="黑体"/>
              <w:b/>
              <w:bCs/>
            </w:rPr>
            <w:t>部门决算情况说明</w:t>
          </w:r>
          <w:r>
            <w:rPr>
              <w:b/>
            </w:rPr>
            <w:tab/>
          </w:r>
          <w:r>
            <w:rPr>
              <w:b/>
            </w:rPr>
            <w:fldChar w:fldCharType="begin"/>
          </w:r>
          <w:r>
            <w:rPr>
              <w:b/>
            </w:rPr>
            <w:instrText xml:space="preserve"> PAGEREF _Toc335 </w:instrText>
          </w:r>
          <w:r>
            <w:rPr>
              <w:b/>
            </w:rPr>
            <w:fldChar w:fldCharType="separate"/>
          </w:r>
          <w:r>
            <w:rPr>
              <w:b/>
            </w:rPr>
            <w:t>4</w:t>
          </w:r>
          <w:r>
            <w:rPr>
              <w:b/>
            </w:rPr>
            <w:fldChar w:fldCharType="end"/>
          </w:r>
          <w:r>
            <w:rPr>
              <w:b/>
            </w:rPr>
            <w:fldChar w:fldCharType="end"/>
          </w:r>
        </w:p>
        <w:p>
          <w:pPr>
            <w:pStyle w:val="39"/>
            <w:tabs>
              <w:tab w:val="right" w:leader="dot" w:pos="8306"/>
            </w:tabs>
            <w:ind w:left="420"/>
          </w:pPr>
          <w:r>
            <w:fldChar w:fldCharType="begin"/>
          </w:r>
          <w:r>
            <w:instrText xml:space="preserve"> HYPERLINK \l "_Toc24747"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_Toc24747 </w:instrText>
          </w:r>
          <w:r>
            <w:fldChar w:fldCharType="separate"/>
          </w:r>
          <w:r>
            <w:t>4</w:t>
          </w:r>
          <w:r>
            <w:fldChar w:fldCharType="end"/>
          </w:r>
          <w:r>
            <w:fldChar w:fldCharType="end"/>
          </w:r>
        </w:p>
        <w:p>
          <w:pPr>
            <w:pStyle w:val="39"/>
            <w:tabs>
              <w:tab w:val="right" w:leader="dot" w:pos="8306"/>
            </w:tabs>
            <w:ind w:left="420"/>
          </w:pPr>
          <w:r>
            <w:fldChar w:fldCharType="begin"/>
          </w:r>
          <w:r>
            <w:instrText xml:space="preserve"> HYPERLINK \l "_Toc20003"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_Toc20003 </w:instrText>
          </w:r>
          <w:r>
            <w:fldChar w:fldCharType="separate"/>
          </w:r>
          <w:r>
            <w:t>5</w:t>
          </w:r>
          <w:r>
            <w:fldChar w:fldCharType="end"/>
          </w:r>
          <w:r>
            <w:fldChar w:fldCharType="end"/>
          </w:r>
        </w:p>
        <w:p>
          <w:pPr>
            <w:pStyle w:val="39"/>
            <w:tabs>
              <w:tab w:val="right" w:leader="dot" w:pos="8306"/>
            </w:tabs>
            <w:ind w:left="420"/>
          </w:pPr>
          <w:r>
            <w:fldChar w:fldCharType="begin"/>
          </w:r>
          <w:r>
            <w:instrText xml:space="preserve"> HYPERLINK \l "_Toc22187"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_Toc22187 </w:instrText>
          </w:r>
          <w:r>
            <w:fldChar w:fldCharType="separate"/>
          </w:r>
          <w:r>
            <w:t>6</w:t>
          </w:r>
          <w:r>
            <w:fldChar w:fldCharType="end"/>
          </w:r>
          <w:r>
            <w:fldChar w:fldCharType="end"/>
          </w:r>
        </w:p>
        <w:p>
          <w:pPr>
            <w:pStyle w:val="39"/>
            <w:tabs>
              <w:tab w:val="right" w:leader="dot" w:pos="8306"/>
            </w:tabs>
            <w:ind w:left="420"/>
          </w:pPr>
          <w:r>
            <w:fldChar w:fldCharType="begin"/>
          </w:r>
          <w:r>
            <w:instrText xml:space="preserve"> HYPERLINK \l "_Toc32628"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_Toc32628 </w:instrText>
          </w:r>
          <w:r>
            <w:fldChar w:fldCharType="separate"/>
          </w:r>
          <w:r>
            <w:t>7</w:t>
          </w:r>
          <w:r>
            <w:fldChar w:fldCharType="end"/>
          </w:r>
          <w:r>
            <w:fldChar w:fldCharType="end"/>
          </w:r>
        </w:p>
        <w:p>
          <w:pPr>
            <w:pStyle w:val="39"/>
            <w:tabs>
              <w:tab w:val="right" w:leader="dot" w:pos="8306"/>
            </w:tabs>
            <w:ind w:left="420"/>
          </w:pPr>
          <w:r>
            <w:fldChar w:fldCharType="begin"/>
          </w:r>
          <w:r>
            <w:instrText xml:space="preserve"> HYPERLINK \l "_Toc7698"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_Toc7698 </w:instrText>
          </w:r>
          <w:r>
            <w:fldChar w:fldCharType="separate"/>
          </w:r>
          <w:r>
            <w:t>8</w:t>
          </w:r>
          <w:r>
            <w:fldChar w:fldCharType="end"/>
          </w:r>
          <w:r>
            <w:fldChar w:fldCharType="end"/>
          </w:r>
        </w:p>
        <w:p>
          <w:pPr>
            <w:pStyle w:val="39"/>
            <w:tabs>
              <w:tab w:val="right" w:leader="dot" w:pos="8306"/>
            </w:tabs>
            <w:ind w:left="420"/>
          </w:pPr>
          <w:r>
            <w:fldChar w:fldCharType="begin"/>
          </w:r>
          <w:r>
            <w:instrText xml:space="preserve"> HYPERLINK \l "_Toc32073"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_Toc32073 </w:instrText>
          </w:r>
          <w:r>
            <w:fldChar w:fldCharType="separate"/>
          </w:r>
          <w:r>
            <w:t>11</w:t>
          </w:r>
          <w:r>
            <w:fldChar w:fldCharType="end"/>
          </w:r>
          <w:r>
            <w:fldChar w:fldCharType="end"/>
          </w:r>
        </w:p>
        <w:p>
          <w:pPr>
            <w:pStyle w:val="39"/>
            <w:tabs>
              <w:tab w:val="right" w:leader="dot" w:pos="8306"/>
            </w:tabs>
            <w:ind w:left="420"/>
          </w:pPr>
          <w:r>
            <w:fldChar w:fldCharType="begin"/>
          </w:r>
          <w:r>
            <w:instrText xml:space="preserve"> HYPERLINK \l "_Toc24987"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_Toc24987 </w:instrText>
          </w:r>
          <w:r>
            <w:fldChar w:fldCharType="separate"/>
          </w:r>
          <w:r>
            <w:t>12</w:t>
          </w:r>
          <w:r>
            <w:fldChar w:fldCharType="end"/>
          </w:r>
          <w:r>
            <w:fldChar w:fldCharType="end"/>
          </w:r>
        </w:p>
        <w:p>
          <w:pPr>
            <w:pStyle w:val="39"/>
            <w:tabs>
              <w:tab w:val="right" w:leader="dot" w:pos="8306"/>
            </w:tabs>
            <w:ind w:left="420"/>
          </w:pPr>
          <w:r>
            <w:fldChar w:fldCharType="begin"/>
          </w:r>
          <w:r>
            <w:instrText xml:space="preserve"> HYPERLINK \l "_Toc21809"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_Toc21809 </w:instrText>
          </w:r>
          <w:r>
            <w:fldChar w:fldCharType="separate"/>
          </w:r>
          <w:r>
            <w:t>14</w:t>
          </w:r>
          <w:r>
            <w:fldChar w:fldCharType="end"/>
          </w:r>
          <w:r>
            <w:fldChar w:fldCharType="end"/>
          </w:r>
        </w:p>
        <w:p>
          <w:pPr>
            <w:pStyle w:val="39"/>
            <w:tabs>
              <w:tab w:val="right" w:leader="dot" w:pos="8306"/>
            </w:tabs>
            <w:ind w:left="420"/>
          </w:pPr>
          <w:r>
            <w:fldChar w:fldCharType="begin"/>
          </w:r>
          <w:r>
            <w:instrText xml:space="preserve"> HYPERLINK \l "_Toc25982" </w:instrText>
          </w:r>
          <w:r>
            <w:fldChar w:fldCharType="separate"/>
          </w:r>
          <w:r>
            <w:rPr>
              <w:rFonts w:hint="eastAsia" w:ascii="黑体" w:hAnsi="黑体" w:eastAsia="黑体"/>
            </w:rPr>
            <w:t>九、 国有资本经营预算支出决算情况说明</w:t>
          </w:r>
          <w:r>
            <w:tab/>
          </w:r>
          <w:r>
            <w:fldChar w:fldCharType="begin"/>
          </w:r>
          <w:r>
            <w:instrText xml:space="preserve"> PAGEREF _Toc25982 </w:instrText>
          </w:r>
          <w:r>
            <w:fldChar w:fldCharType="separate"/>
          </w:r>
          <w:r>
            <w:t>14</w:t>
          </w:r>
          <w:r>
            <w:fldChar w:fldCharType="end"/>
          </w:r>
          <w:r>
            <w:fldChar w:fldCharType="end"/>
          </w:r>
        </w:p>
        <w:p>
          <w:pPr>
            <w:pStyle w:val="39"/>
            <w:tabs>
              <w:tab w:val="right" w:leader="dot" w:pos="8306"/>
            </w:tabs>
            <w:ind w:left="420"/>
          </w:pPr>
          <w:r>
            <w:fldChar w:fldCharType="begin"/>
          </w:r>
          <w:r>
            <w:instrText xml:space="preserve"> HYPERLINK \l "_Toc19805" </w:instrText>
          </w:r>
          <w:r>
            <w:fldChar w:fldCharType="separate"/>
          </w:r>
          <w:r>
            <w:rPr>
              <w:rFonts w:hint="eastAsia" w:ascii="黑体" w:hAnsi="黑体" w:eastAsia="黑体"/>
            </w:rPr>
            <w:t>十、 其他重要事项的情况说明</w:t>
          </w:r>
          <w:r>
            <w:tab/>
          </w:r>
          <w:r>
            <w:fldChar w:fldCharType="begin"/>
          </w:r>
          <w:r>
            <w:instrText xml:space="preserve"> PAGEREF _Toc19805 </w:instrText>
          </w:r>
          <w:r>
            <w:fldChar w:fldCharType="separate"/>
          </w:r>
          <w:r>
            <w:t>14</w:t>
          </w:r>
          <w:r>
            <w:fldChar w:fldCharType="end"/>
          </w:r>
          <w:r>
            <w:fldChar w:fldCharType="end"/>
          </w:r>
        </w:p>
        <w:p>
          <w:pPr>
            <w:pStyle w:val="38"/>
            <w:tabs>
              <w:tab w:val="right" w:leader="dot" w:pos="8306"/>
            </w:tabs>
            <w:rPr>
              <w:b/>
            </w:rPr>
          </w:pPr>
          <w:r>
            <w:fldChar w:fldCharType="begin"/>
          </w:r>
          <w:r>
            <w:instrText xml:space="preserve"> HYPERLINK \l "_Toc32154" </w:instrText>
          </w:r>
          <w: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_Toc32154 </w:instrText>
          </w:r>
          <w:r>
            <w:rPr>
              <w:b/>
            </w:rPr>
            <w:fldChar w:fldCharType="separate"/>
          </w:r>
          <w:r>
            <w:rPr>
              <w:b/>
            </w:rPr>
            <w:t>17</w:t>
          </w:r>
          <w:r>
            <w:rPr>
              <w:b/>
            </w:rPr>
            <w:fldChar w:fldCharType="end"/>
          </w:r>
          <w:r>
            <w:rPr>
              <w:b/>
            </w:rPr>
            <w:fldChar w:fldCharType="end"/>
          </w:r>
        </w:p>
        <w:p>
          <w:pPr>
            <w:pStyle w:val="38"/>
            <w:tabs>
              <w:tab w:val="right" w:leader="dot" w:pos="8306"/>
            </w:tabs>
            <w:rPr>
              <w:b/>
            </w:rPr>
          </w:pPr>
          <w:r>
            <w:fldChar w:fldCharType="begin"/>
          </w:r>
          <w:r>
            <w:instrText xml:space="preserve"> HYPERLINK \l "_Toc24257"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_Toc24257 </w:instrText>
          </w:r>
          <w:r>
            <w:rPr>
              <w:b/>
            </w:rPr>
            <w:fldChar w:fldCharType="separate"/>
          </w:r>
          <w:r>
            <w:rPr>
              <w:b/>
            </w:rPr>
            <w:t>20</w:t>
          </w:r>
          <w:r>
            <w:rPr>
              <w:b/>
            </w:rPr>
            <w:fldChar w:fldCharType="end"/>
          </w:r>
          <w:r>
            <w:rPr>
              <w:b/>
            </w:rPr>
            <w:fldChar w:fldCharType="end"/>
          </w:r>
        </w:p>
        <w:p>
          <w:pPr>
            <w:pStyle w:val="38"/>
            <w:tabs>
              <w:tab w:val="right" w:leader="dot" w:pos="8306"/>
            </w:tabs>
            <w:rPr>
              <w:b/>
            </w:rPr>
          </w:pPr>
          <w:r>
            <w:fldChar w:fldCharType="begin"/>
          </w:r>
          <w:r>
            <w:instrText xml:space="preserve"> HYPERLINK \l "_Toc10596" </w:instrText>
          </w:r>
          <w:r>
            <w:fldChar w:fldCharType="separate"/>
          </w:r>
          <w:r>
            <w:rPr>
              <w:rFonts w:hint="eastAsia" w:ascii="黑体" w:hAnsi="黑体" w:eastAsia="黑体" w:cs="黑体"/>
              <w:b/>
              <w:szCs w:val="32"/>
            </w:rPr>
            <w:t>附件1</w:t>
          </w:r>
          <w:r>
            <w:rPr>
              <w:b/>
            </w:rPr>
            <w:tab/>
          </w:r>
          <w:r>
            <w:rPr>
              <w:b/>
            </w:rPr>
            <w:fldChar w:fldCharType="begin"/>
          </w:r>
          <w:r>
            <w:rPr>
              <w:b/>
            </w:rPr>
            <w:instrText xml:space="preserve"> PAGEREF _Toc10596 </w:instrText>
          </w:r>
          <w:r>
            <w:rPr>
              <w:b/>
            </w:rPr>
            <w:fldChar w:fldCharType="separate"/>
          </w:r>
          <w:r>
            <w:rPr>
              <w:b/>
            </w:rPr>
            <w:t>20</w:t>
          </w:r>
          <w:r>
            <w:rPr>
              <w:b/>
            </w:rPr>
            <w:fldChar w:fldCharType="end"/>
          </w:r>
          <w:r>
            <w:rPr>
              <w:b/>
            </w:rPr>
            <w:fldChar w:fldCharType="end"/>
          </w:r>
        </w:p>
        <w:p>
          <w:pPr>
            <w:pStyle w:val="39"/>
            <w:tabs>
              <w:tab w:val="right" w:leader="dot" w:pos="8306"/>
            </w:tabs>
            <w:ind w:left="0" w:leftChars="0"/>
            <w:rPr>
              <w:rFonts w:eastAsia="黑体"/>
            </w:rPr>
          </w:pPr>
          <w:r>
            <w:rPr>
              <w:rFonts w:hint="eastAsia" w:ascii="黑体" w:hAnsi="黑体" w:eastAsia="黑体" w:cs="黑体"/>
              <w:b/>
              <w:szCs w:val="32"/>
            </w:rPr>
            <w:t>附件2.                                                                          22</w:t>
          </w:r>
        </w:p>
        <w:p>
          <w:pPr>
            <w:pStyle w:val="38"/>
            <w:tabs>
              <w:tab w:val="right" w:leader="dot" w:pos="8306"/>
            </w:tabs>
            <w:rPr>
              <w:b/>
            </w:rPr>
          </w:pPr>
          <w:r>
            <w:fldChar w:fldCharType="begin"/>
          </w:r>
          <w:r>
            <w:instrText xml:space="preserve"> HYPERLINK \l "_Toc27874"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_Toc27874 </w:instrText>
          </w:r>
          <w:r>
            <w:rPr>
              <w:b/>
            </w:rPr>
            <w:fldChar w:fldCharType="separate"/>
          </w:r>
          <w:r>
            <w:rPr>
              <w:b/>
            </w:rPr>
            <w:t>50</w:t>
          </w:r>
          <w:r>
            <w:rPr>
              <w:b/>
            </w:rPr>
            <w:fldChar w:fldCharType="end"/>
          </w:r>
          <w:r>
            <w:rPr>
              <w:b/>
            </w:rPr>
            <w:fldChar w:fldCharType="end"/>
          </w:r>
        </w:p>
        <w:p>
          <w:pPr>
            <w:pStyle w:val="39"/>
            <w:tabs>
              <w:tab w:val="right" w:leader="dot" w:pos="8306"/>
            </w:tabs>
            <w:ind w:left="420"/>
          </w:pPr>
          <w:r>
            <w:fldChar w:fldCharType="begin"/>
          </w:r>
          <w:r>
            <w:instrText xml:space="preserve"> HYPERLINK \l "_Toc18829" </w:instrText>
          </w:r>
          <w:r>
            <w:fldChar w:fldCharType="separate"/>
          </w:r>
          <w:r>
            <w:rPr>
              <w:rFonts w:hint="eastAsia" w:ascii="仿宋" w:hAnsi="仿宋" w:eastAsia="仿宋"/>
            </w:rPr>
            <w:t>一、收入支出决算总表</w:t>
          </w:r>
          <w:r>
            <w:tab/>
          </w:r>
          <w:r>
            <w:fldChar w:fldCharType="begin"/>
          </w:r>
          <w:r>
            <w:instrText xml:space="preserve"> PAGEREF _Toc18829 </w:instrText>
          </w:r>
          <w:r>
            <w:fldChar w:fldCharType="separate"/>
          </w:r>
          <w:r>
            <w:t>50</w:t>
          </w:r>
          <w:r>
            <w:fldChar w:fldCharType="end"/>
          </w:r>
          <w:r>
            <w:fldChar w:fldCharType="end"/>
          </w:r>
        </w:p>
        <w:p>
          <w:pPr>
            <w:pStyle w:val="39"/>
            <w:tabs>
              <w:tab w:val="right" w:leader="dot" w:pos="8306"/>
            </w:tabs>
            <w:ind w:left="420"/>
            <w:rPr>
              <w:rFonts w:eastAsia="宋体"/>
            </w:rPr>
          </w:pPr>
          <w:r>
            <w:fldChar w:fldCharType="begin"/>
          </w:r>
          <w:r>
            <w:instrText xml:space="preserve"> HYPERLINK \l "_Toc16189" </w:instrText>
          </w:r>
          <w:r>
            <w:fldChar w:fldCharType="separate"/>
          </w:r>
          <w:r>
            <w:rPr>
              <w:rFonts w:hint="eastAsia" w:ascii="仿宋" w:hAnsi="仿宋" w:eastAsia="仿宋"/>
            </w:rPr>
            <w:t>二、收入决算表</w:t>
          </w:r>
          <w:r>
            <w:tab/>
          </w:r>
          <w:r>
            <w:fldChar w:fldCharType="begin"/>
          </w:r>
          <w:r>
            <w:instrText xml:space="preserve"> PAGEREF _Toc16189 </w:instrText>
          </w:r>
          <w:r>
            <w:fldChar w:fldCharType="separate"/>
          </w:r>
          <w:r>
            <w:t>50</w:t>
          </w:r>
          <w:r>
            <w:fldChar w:fldCharType="end"/>
          </w:r>
          <w:r>
            <w:fldChar w:fldCharType="end"/>
          </w:r>
          <w:r>
            <w:rPr>
              <w:rFonts w:hint="eastAsia"/>
            </w:rPr>
            <w:t xml:space="preserve"> </w:t>
          </w:r>
        </w:p>
        <w:p>
          <w:pPr>
            <w:pStyle w:val="39"/>
            <w:tabs>
              <w:tab w:val="right" w:leader="dot" w:pos="8306"/>
            </w:tabs>
            <w:ind w:left="420"/>
          </w:pPr>
          <w:r>
            <w:fldChar w:fldCharType="begin"/>
          </w:r>
          <w:r>
            <w:instrText xml:space="preserve"> HYPERLINK \l "_Toc12164" </w:instrText>
          </w:r>
          <w:r>
            <w:fldChar w:fldCharType="separate"/>
          </w:r>
          <w:r>
            <w:rPr>
              <w:rFonts w:hint="eastAsia" w:ascii="仿宋" w:hAnsi="仿宋" w:eastAsia="仿宋"/>
            </w:rPr>
            <w:t>三、支出决算表</w:t>
          </w:r>
          <w:r>
            <w:tab/>
          </w:r>
          <w:r>
            <w:fldChar w:fldCharType="begin"/>
          </w:r>
          <w:r>
            <w:instrText xml:space="preserve"> PAGEREF _Toc12164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"_Toc19798" </w:instrText>
          </w:r>
          <w:r>
            <w:fldChar w:fldCharType="separate"/>
          </w:r>
          <w:r>
            <w:rPr>
              <w:rFonts w:hint="eastAsia" w:ascii="仿宋" w:hAnsi="仿宋" w:eastAsia="仿宋"/>
            </w:rPr>
            <w:t>四、财政拨款收入支出决算总表</w:t>
          </w:r>
          <w:r>
            <w:tab/>
          </w:r>
          <w:r>
            <w:fldChar w:fldCharType="begin"/>
          </w:r>
          <w:r>
            <w:instrText xml:space="preserve"> PAGEREF _Toc19798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"_Toc16353" </w:instrText>
          </w:r>
          <w:r>
            <w:fldChar w:fldCharType="separate"/>
          </w:r>
          <w:r>
            <w:rPr>
              <w:rFonts w:hint="eastAsia" w:ascii="仿宋" w:hAnsi="仿宋" w:eastAsia="仿宋"/>
            </w:rPr>
            <w:t>五、财政拨款支出决算明细表</w:t>
          </w:r>
          <w:r>
            <w:tab/>
          </w:r>
          <w:r>
            <w:fldChar w:fldCharType="begin"/>
          </w:r>
          <w:r>
            <w:instrText xml:space="preserve"> PAGEREF _Toc16353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"_Toc31853" </w:instrText>
          </w:r>
          <w:r>
            <w:fldChar w:fldCharType="separate"/>
          </w:r>
          <w:r>
            <w:rPr>
              <w:rFonts w:hint="eastAsia" w:ascii="仿宋" w:hAnsi="仿宋" w:eastAsia="仿宋"/>
            </w:rPr>
            <w:t>六、一般公共预算财政拨款支出决算表</w:t>
          </w:r>
          <w:r>
            <w:tab/>
          </w:r>
          <w:r>
            <w:fldChar w:fldCharType="begin"/>
          </w:r>
          <w:r>
            <w:instrText xml:space="preserve"> PAGEREF _Toc31853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"_Toc25004" </w:instrText>
          </w:r>
          <w:r>
            <w:fldChar w:fldCharType="separate"/>
          </w:r>
          <w:r>
            <w:rPr>
              <w:rFonts w:hint="eastAsia" w:ascii="仿宋" w:hAnsi="仿宋" w:eastAsia="仿宋"/>
            </w:rPr>
            <w:t>七、一般公共预算财政拨款支出决算明细表</w:t>
          </w:r>
          <w:r>
            <w:tab/>
          </w:r>
          <w:r>
            <w:fldChar w:fldCharType="begin"/>
          </w:r>
          <w:r>
            <w:instrText xml:space="preserve"> PAGEREF _Toc25004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"_Toc6905" </w:instrText>
          </w:r>
          <w:r>
            <w:fldChar w:fldCharType="separate"/>
          </w:r>
          <w:r>
            <w:rPr>
              <w:rFonts w:hint="eastAsia" w:ascii="仿宋" w:hAnsi="仿宋" w:eastAsia="仿宋"/>
            </w:rPr>
            <w:t>八、一般公共预算财政拨款基本支出决算表</w:t>
          </w:r>
          <w:r>
            <w:tab/>
          </w:r>
          <w:r>
            <w:fldChar w:fldCharType="begin"/>
          </w:r>
          <w:r>
            <w:instrText xml:space="preserve"> PAGEREF _Toc6905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"_Toc18153" </w:instrText>
          </w:r>
          <w:r>
            <w:fldChar w:fldCharType="separate"/>
          </w:r>
          <w:r>
            <w:rPr>
              <w:rFonts w:hint="eastAsia" w:ascii="仿宋" w:hAnsi="仿宋" w:eastAsia="仿宋"/>
            </w:rPr>
            <w:t>九、一般公共预算财政拨款项目支出决算表</w:t>
          </w:r>
          <w:r>
            <w:tab/>
          </w:r>
          <w:r>
            <w:fldChar w:fldCharType="begin"/>
          </w:r>
          <w:r>
            <w:instrText xml:space="preserve"> PAGEREF _Toc18153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"_Toc17087" </w:instrText>
          </w:r>
          <w:r>
            <w:fldChar w:fldCharType="separate"/>
          </w:r>
          <w:r>
            <w:rPr>
              <w:rFonts w:hint="eastAsia" w:ascii="仿宋" w:hAnsi="仿宋" w:eastAsia="仿宋"/>
            </w:rPr>
            <w:t>十、政府性基金预算财政拨款收入支出决算表</w:t>
          </w:r>
          <w:r>
            <w:tab/>
          </w:r>
          <w:r>
            <w:fldChar w:fldCharType="begin"/>
          </w:r>
          <w:r>
            <w:instrText xml:space="preserve"> PAGEREF _Toc17087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"_Toc31414" </w:instrText>
          </w:r>
          <w:r>
            <w:fldChar w:fldCharType="separate"/>
          </w:r>
          <w:r>
            <w:rPr>
              <w:rFonts w:hint="eastAsia" w:ascii="仿宋" w:hAnsi="仿宋" w:eastAsia="仿宋"/>
            </w:rPr>
            <w:t>十一、国有资本经营预算财政拨款收入支出决算表</w:t>
          </w:r>
          <w:r>
            <w:tab/>
          </w:r>
          <w:r>
            <w:fldChar w:fldCharType="begin"/>
          </w:r>
          <w:r>
            <w:instrText xml:space="preserve"> PAGEREF _Toc31414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"_Toc4376" </w:instrText>
          </w:r>
          <w:r>
            <w:fldChar w:fldCharType="separate"/>
          </w:r>
          <w:r>
            <w:rPr>
              <w:rFonts w:hint="eastAsia" w:ascii="仿宋" w:hAnsi="仿宋" w:eastAsia="仿宋"/>
            </w:rPr>
            <w:t>十二、国有资本经营预算财政拨款支出决算表</w:t>
          </w:r>
          <w:r>
            <w:tab/>
          </w:r>
          <w:r>
            <w:fldChar w:fldCharType="begin"/>
          </w:r>
          <w:r>
            <w:instrText xml:space="preserve"> PAGEREF _Toc4376 </w:instrText>
          </w:r>
          <w:r>
            <w:fldChar w:fldCharType="separate"/>
          </w:r>
          <w:r>
            <w:t>50</w:t>
          </w:r>
          <w:r>
            <w:fldChar w:fldCharType="end"/>
          </w:r>
          <w:r>
            <w:fldChar w:fldCharType="end"/>
          </w:r>
        </w:p>
        <w:p>
          <w:pPr>
            <w:pStyle w:val="39"/>
            <w:tabs>
              <w:tab w:val="right" w:leader="dot" w:pos="8306"/>
            </w:tabs>
            <w:ind w:left="420"/>
          </w:pPr>
          <w:r>
            <w:fldChar w:fldCharType="begin"/>
          </w:r>
          <w:r>
            <w:instrText xml:space="preserve"> HYPERLINK \l "_Toc4367" </w:instrText>
          </w:r>
          <w:r>
            <w:fldChar w:fldCharType="separate"/>
          </w:r>
          <w:r>
            <w:rPr>
              <w:rFonts w:hint="eastAsia" w:ascii="仿宋" w:hAnsi="仿宋" w:eastAsia="仿宋"/>
            </w:rPr>
            <w:t>十三、财政拨款“三公”经费支出决算表</w:t>
          </w:r>
          <w:r>
            <w:tab/>
          </w:r>
          <w:r>
            <w:fldChar w:fldCharType="begin"/>
          </w:r>
          <w:r>
            <w:instrText xml:space="preserve"> PAGEREF _Toc4367 </w:instrText>
          </w:r>
          <w:r>
            <w:fldChar w:fldCharType="separate"/>
          </w:r>
          <w:r>
            <w:t>50</w:t>
          </w:r>
          <w:r>
            <w:fldChar w:fldCharType="end"/>
          </w:r>
          <w:r>
            <w:fldChar w:fldCharType="end"/>
          </w:r>
        </w:p>
        <w:p>
          <w:r>
            <w:rPr>
              <w:b/>
            </w:rPr>
            <w:fldChar w:fldCharType="end"/>
          </w:r>
        </w:p>
      </w:sdtContent>
    </w:sdt>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5" w:name="_Toc15396599"/>
      <w:bookmarkStart w:id="16" w:name="_Toc15377196"/>
      <w:r>
        <w:rPr>
          <w:rFonts w:ascii="仿宋" w:hAnsi="仿宋" w:eastAsia="仿宋"/>
          <w:b/>
          <w:sz w:val="24"/>
        </w:rPr>
        <w:br w:type="page"/>
      </w:r>
    </w:p>
    <w:p>
      <w:pPr>
        <w:pStyle w:val="5"/>
        <w:jc w:val="center"/>
        <w:rPr>
          <w:rStyle w:val="31"/>
          <w:rFonts w:ascii="黑体" w:hAnsi="黑体" w:eastAsia="黑体"/>
          <w:b/>
          <w:bCs w:val="0"/>
        </w:rPr>
      </w:pPr>
      <w:bookmarkStart w:id="17" w:name="_Toc24680"/>
      <w:r>
        <w:rPr>
          <w:rFonts w:hint="eastAsia" w:ascii="黑体" w:hAnsi="黑体" w:eastAsia="黑体"/>
          <w:b w:val="0"/>
        </w:rPr>
        <w:t xml:space="preserve">第一部分 </w:t>
      </w:r>
      <w:r>
        <w:rPr>
          <w:rStyle w:val="31"/>
          <w:rFonts w:hint="eastAsia" w:ascii="黑体" w:hAnsi="黑体" w:eastAsia="黑体"/>
          <w:b w:val="0"/>
          <w:bCs w:val="0"/>
        </w:rPr>
        <w:t>部门概况</w:t>
      </w:r>
      <w:bookmarkEnd w:id="15"/>
      <w:bookmarkEnd w:id="16"/>
      <w:bookmarkEnd w:id="17"/>
    </w:p>
    <w:p>
      <w:pPr>
        <w:widowControl/>
        <w:jc w:val="left"/>
        <w:rPr>
          <w:rFonts w:ascii="黑体" w:eastAsia="黑体"/>
          <w:sz w:val="32"/>
          <w:szCs w:val="32"/>
        </w:rPr>
      </w:pPr>
    </w:p>
    <w:p>
      <w:pPr>
        <w:pStyle w:val="6"/>
        <w:numPr>
          <w:ilvl w:val="0"/>
          <w:numId w:val="2"/>
        </w:numPr>
        <w:rPr>
          <w:rFonts w:ascii="黑体" w:hAnsi="黑体" w:eastAsia="黑体"/>
          <w:b w:val="0"/>
        </w:rPr>
      </w:pPr>
      <w:bookmarkStart w:id="18" w:name="_Toc16525"/>
      <w:r>
        <w:rPr>
          <w:rFonts w:hint="eastAsia" w:ascii="黑体" w:hAnsi="黑体" w:eastAsia="黑体"/>
          <w:b w:val="0"/>
        </w:rPr>
        <w:t>部门职责</w:t>
      </w:r>
      <w:bookmarkEnd w:id="18"/>
    </w:p>
    <w:p>
      <w:pPr>
        <w:pStyle w:val="16"/>
        <w:spacing w:before="0" w:beforeAutospacing="0" w:after="0" w:afterAutospacing="0" w:line="560" w:lineRule="exact"/>
        <w:ind w:firstLine="640" w:firstLineChars="200"/>
        <w:rPr>
          <w:rFonts w:ascii="仿宋" w:hAnsi="仿宋" w:eastAsia="仿宋" w:cs="仿宋"/>
          <w:kern w:val="2"/>
          <w:sz w:val="32"/>
        </w:rPr>
      </w:pPr>
      <w:r>
        <w:rPr>
          <w:rFonts w:hint="eastAsia" w:ascii="仿宋" w:hAnsi="仿宋" w:eastAsia="仿宋" w:cs="仿宋"/>
          <w:kern w:val="2"/>
          <w:sz w:val="32"/>
        </w:rPr>
        <w:t>1.认真贯彻执行党的路线、方针、政策，坚持科协工作服务于经济建设的方针，在区委的领导和上级科协的指导下，发挥党和政府联系科技工作者的桥梁和纽带作用，履行和完成党领导下的人民团体的职责和任务。</w:t>
      </w:r>
    </w:p>
    <w:p>
      <w:pPr>
        <w:pStyle w:val="16"/>
        <w:spacing w:before="0" w:beforeAutospacing="0" w:after="0" w:afterAutospacing="0" w:line="560" w:lineRule="exact"/>
        <w:ind w:firstLine="640" w:firstLineChars="200"/>
        <w:rPr>
          <w:rFonts w:ascii="仿宋" w:hAnsi="仿宋" w:eastAsia="仿宋" w:cs="仿宋"/>
          <w:kern w:val="2"/>
          <w:sz w:val="32"/>
        </w:rPr>
      </w:pPr>
      <w:r>
        <w:rPr>
          <w:rFonts w:hint="eastAsia" w:ascii="仿宋" w:hAnsi="仿宋" w:eastAsia="仿宋" w:cs="仿宋"/>
          <w:kern w:val="2"/>
          <w:sz w:val="32"/>
        </w:rPr>
        <w:t>2.开展学术交流，活跃学术思想，组织优秀论文评审。促进科学发展、知识创新和决策的科学化、民主化，推进“科教兴区”战略实施进程。</w:t>
      </w:r>
    </w:p>
    <w:p>
      <w:pPr>
        <w:pStyle w:val="16"/>
        <w:spacing w:before="0" w:beforeAutospacing="0" w:after="0" w:afterAutospacing="0" w:line="560" w:lineRule="exact"/>
        <w:ind w:firstLine="640" w:firstLineChars="200"/>
        <w:rPr>
          <w:rFonts w:ascii="仿宋" w:hAnsi="仿宋" w:eastAsia="仿宋" w:cs="仿宋"/>
          <w:kern w:val="2"/>
          <w:sz w:val="32"/>
        </w:rPr>
      </w:pPr>
      <w:r>
        <w:rPr>
          <w:rFonts w:hint="eastAsia" w:ascii="仿宋" w:hAnsi="仿宋" w:eastAsia="仿宋" w:cs="仿宋"/>
          <w:kern w:val="2"/>
          <w:sz w:val="32"/>
        </w:rPr>
        <w:t>3.科普科学知识，弘扬科学技术，传播科学思想和科学方法，反对迷信愚昧，揭露和抵制一切伪科学、反科学行为，揭批邪教反动本质，捍卫科学尊严；组织看展面向农村、社区、园区、企事业单位、青少年、各级领导干部以及全社会的科普教育活动，提高全区人民的科学文化素质。</w:t>
      </w:r>
    </w:p>
    <w:p>
      <w:pPr>
        <w:pStyle w:val="16"/>
        <w:spacing w:before="0" w:beforeAutospacing="0" w:after="0" w:afterAutospacing="0" w:line="560" w:lineRule="exact"/>
        <w:ind w:firstLine="640" w:firstLineChars="200"/>
        <w:rPr>
          <w:rFonts w:ascii="仿宋" w:hAnsi="仿宋" w:eastAsia="仿宋" w:cs="仿宋"/>
          <w:kern w:val="2"/>
          <w:sz w:val="32"/>
        </w:rPr>
      </w:pPr>
      <w:r>
        <w:rPr>
          <w:rFonts w:hint="eastAsia" w:ascii="仿宋" w:hAnsi="仿宋" w:eastAsia="仿宋" w:cs="仿宋"/>
          <w:kern w:val="2"/>
          <w:sz w:val="32"/>
        </w:rPr>
        <w:t>4.组织开展科技工作者继续教育；组织、指导各乡镇（街道）科协开展实用技术培训工作；组织各乡镇（街道）科协、各级学（协）会开展科技扶贫帮困工作。组织兴办符合区科协宗旨的社会公益性事业；为科技人员、科技团体的科研活动提供服务，接受委托承担基础项目评估、成果鉴定、专业技术服务资格评审等工作。</w:t>
      </w:r>
    </w:p>
    <w:p>
      <w:pPr>
        <w:pStyle w:val="16"/>
        <w:spacing w:before="0" w:beforeAutospacing="0" w:after="0" w:afterAutospacing="0" w:line="560" w:lineRule="exact"/>
        <w:ind w:firstLine="640" w:firstLineChars="200"/>
        <w:rPr>
          <w:rFonts w:ascii="仿宋" w:hAnsi="仿宋" w:eastAsia="仿宋" w:cs="仿宋"/>
          <w:kern w:val="2"/>
          <w:sz w:val="32"/>
        </w:rPr>
      </w:pPr>
      <w:r>
        <w:rPr>
          <w:rFonts w:hint="eastAsia" w:ascii="仿宋" w:hAnsi="仿宋" w:eastAsia="仿宋" w:cs="仿宋"/>
          <w:kern w:val="2"/>
          <w:sz w:val="32"/>
        </w:rPr>
        <w:t>5.开展科技咨询服务，推广先进科学技术，促进科技成果向现实生产力转化。</w:t>
      </w:r>
    </w:p>
    <w:p>
      <w:pPr>
        <w:pStyle w:val="16"/>
        <w:spacing w:before="0" w:beforeAutospacing="0" w:after="0" w:afterAutospacing="0" w:line="560" w:lineRule="exact"/>
        <w:ind w:firstLine="640" w:firstLineChars="200"/>
        <w:rPr>
          <w:rFonts w:ascii="仿宋" w:hAnsi="仿宋" w:eastAsia="仿宋" w:cs="仿宋"/>
          <w:kern w:val="2"/>
          <w:sz w:val="32"/>
        </w:rPr>
      </w:pPr>
      <w:r>
        <w:rPr>
          <w:rFonts w:hint="eastAsia" w:ascii="仿宋" w:hAnsi="仿宋" w:eastAsia="仿宋" w:cs="仿宋"/>
          <w:kern w:val="2"/>
          <w:sz w:val="32"/>
        </w:rPr>
        <w:t>6.反映科技工作者的意见和要求，维护科技工作者的合法权益，举荐人才，表彰奖励科普成果和优秀科普工作者，做好“科技工作者之家”的创建工作。</w:t>
      </w:r>
    </w:p>
    <w:p>
      <w:pPr>
        <w:pStyle w:val="16"/>
        <w:spacing w:before="0" w:beforeAutospacing="0" w:after="0" w:afterAutospacing="0" w:line="560" w:lineRule="exact"/>
        <w:ind w:firstLine="640" w:firstLineChars="200"/>
        <w:rPr>
          <w:rFonts w:ascii="仿宋" w:hAnsi="仿宋" w:eastAsia="仿宋" w:cs="仿宋"/>
          <w:kern w:val="2"/>
          <w:sz w:val="32"/>
        </w:rPr>
      </w:pPr>
      <w:r>
        <w:rPr>
          <w:rFonts w:hint="eastAsia" w:ascii="仿宋" w:hAnsi="仿宋" w:eastAsia="仿宋" w:cs="仿宋"/>
          <w:kern w:val="2"/>
          <w:sz w:val="32"/>
        </w:rPr>
        <w:t>7.参与科技政策的制定，开展决策论证，提高政策建议参与政商、科学决策、民主监督工作。</w:t>
      </w:r>
    </w:p>
    <w:p>
      <w:pPr>
        <w:pStyle w:val="16"/>
        <w:spacing w:before="0" w:beforeAutospacing="0" w:after="0" w:afterAutospacing="0" w:line="560" w:lineRule="exact"/>
        <w:ind w:firstLine="640" w:firstLineChars="200"/>
        <w:rPr>
          <w:rFonts w:ascii="仿宋" w:hAnsi="仿宋" w:eastAsia="仿宋" w:cs="仿宋"/>
          <w:kern w:val="2"/>
          <w:sz w:val="32"/>
        </w:rPr>
      </w:pPr>
      <w:r>
        <w:rPr>
          <w:rFonts w:hint="eastAsia" w:ascii="仿宋" w:hAnsi="仿宋" w:eastAsia="仿宋" w:cs="仿宋"/>
          <w:kern w:val="2"/>
          <w:sz w:val="32"/>
        </w:rPr>
        <w:t>8.负责抓好区级学（协）会、乡镇（街道）科协和农村专业技术协会的组织网络建设，搞好科技示范基地和科技示范户的推荐、评定和服务工作。</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rPr>
        <w:t>9.承办区委、区政府和上级科协部门交办的其他事项</w:t>
      </w:r>
      <w:r>
        <w:rPr>
          <w:rFonts w:hint="eastAsia" w:ascii="仿宋" w:hAnsi="仿宋" w:eastAsia="仿宋" w:cs="仿宋"/>
          <w:sz w:val="32"/>
          <w:szCs w:val="32"/>
        </w:rPr>
        <w:t>。</w:t>
      </w:r>
      <w:bookmarkStart w:id="19" w:name="_Toc15377200"/>
      <w:bookmarkStart w:id="20" w:name="_Toc15396601"/>
    </w:p>
    <w:p>
      <w:pPr>
        <w:snapToGrid w:val="0"/>
        <w:spacing w:line="560" w:lineRule="atLeast"/>
        <w:rPr>
          <w:rStyle w:val="32"/>
          <w:rFonts w:ascii="仿宋" w:hAnsi="仿宋" w:eastAsia="仿宋" w:cs="仿宋"/>
          <w:b w:val="0"/>
        </w:rPr>
      </w:pPr>
      <w:r>
        <w:rPr>
          <w:rFonts w:hint="eastAsia" w:ascii="黑体" w:eastAsia="黑体"/>
        </w:rPr>
        <w:t>二、</w:t>
      </w:r>
      <w:r>
        <w:rPr>
          <w:rFonts w:hint="eastAsia" w:ascii="黑体" w:hAnsi="黑体" w:eastAsia="黑体"/>
          <w:sz w:val="32"/>
          <w:szCs w:val="32"/>
        </w:rPr>
        <w:t>机</w:t>
      </w:r>
      <w:r>
        <w:rPr>
          <w:rStyle w:val="32"/>
          <w:rFonts w:hint="eastAsia" w:ascii="黑体" w:hAnsi="黑体" w:eastAsia="黑体"/>
          <w:b w:val="0"/>
          <w:bCs w:val="0"/>
        </w:rPr>
        <w:t>构设置</w:t>
      </w:r>
      <w:bookmarkEnd w:id="19"/>
      <w:bookmarkEnd w:id="20"/>
    </w:p>
    <w:p>
      <w:pPr>
        <w:ind w:firstLine="800" w:firstLineChars="250"/>
        <w:rPr>
          <w:rFonts w:ascii="仿宋" w:hAnsi="仿宋" w:eastAsia="仿宋"/>
          <w:sz w:val="32"/>
          <w:szCs w:val="32"/>
        </w:rPr>
      </w:pPr>
      <w:r>
        <w:rPr>
          <w:rFonts w:hint="eastAsia" w:ascii="仿宋" w:hAnsi="仿宋" w:eastAsia="仿宋" w:cs="仿宋"/>
          <w:sz w:val="32"/>
          <w:szCs w:val="32"/>
        </w:rPr>
        <w:t>安居区科协</w:t>
      </w:r>
      <w:r>
        <w:rPr>
          <w:rFonts w:hint="eastAsia" w:ascii="仿宋" w:hAnsi="仿宋" w:eastAsia="仿宋"/>
          <w:sz w:val="32"/>
          <w:szCs w:val="32"/>
        </w:rPr>
        <w:t>下属二级预算单位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cs="仿宋"/>
          <w:color w:val="000000"/>
          <w:sz w:val="32"/>
          <w:szCs w:val="32"/>
        </w:rPr>
        <w:t>无纳入</w:t>
      </w:r>
      <w:r>
        <w:rPr>
          <w:rFonts w:hint="eastAsia" w:ascii="仿宋" w:hAnsi="仿宋" w:eastAsia="仿宋" w:cs="仿宋"/>
          <w:color w:val="000000"/>
          <w:kern w:val="2"/>
          <w:sz w:val="32"/>
          <w:szCs w:val="32"/>
        </w:rPr>
        <w:t>安居区科协</w:t>
      </w:r>
      <w:r>
        <w:rPr>
          <w:rFonts w:hint="eastAsia" w:ascii="仿宋" w:hAnsi="仿宋" w:eastAsia="仿宋"/>
          <w:sz w:val="32"/>
          <w:szCs w:val="32"/>
        </w:rPr>
        <w:t>2022年度部门决算编制范围的二级预算单位</w:t>
      </w:r>
    </w:p>
    <w:p>
      <w:pPr>
        <w:pStyle w:val="5"/>
        <w:ind w:right="440"/>
        <w:jc w:val="center"/>
        <w:rPr>
          <w:rStyle w:val="31"/>
          <w:rFonts w:ascii="黑体" w:hAnsi="黑体" w:eastAsia="黑体"/>
          <w:b w:val="0"/>
          <w:bCs/>
        </w:rPr>
      </w:pPr>
      <w:bookmarkStart w:id="21" w:name="_Toc335"/>
      <w:bookmarkStart w:id="22" w:name="_Toc15396602"/>
      <w:bookmarkStart w:id="23" w:name="_Toc15377204"/>
      <w:r>
        <w:rPr>
          <w:rFonts w:hint="eastAsia" w:ascii="黑体" w:hAnsi="黑体" w:eastAsia="黑体"/>
          <w:b w:val="0"/>
        </w:rPr>
        <w:t>第二部分 2022年度</w:t>
      </w:r>
      <w:r>
        <w:rPr>
          <w:rStyle w:val="31"/>
          <w:rFonts w:hint="eastAsia" w:ascii="黑体" w:hAnsi="黑体" w:eastAsia="黑体"/>
          <w:b w:val="0"/>
          <w:bCs/>
        </w:rPr>
        <w:t>部门决算情况说明</w:t>
      </w:r>
      <w:bookmarkEnd w:id="21"/>
      <w:bookmarkEnd w:id="22"/>
      <w:bookmarkEnd w:id="23"/>
    </w:p>
    <w:p/>
    <w:p>
      <w:pPr>
        <w:pStyle w:val="30"/>
        <w:numPr>
          <w:ilvl w:val="0"/>
          <w:numId w:val="3"/>
        </w:numPr>
        <w:spacing w:line="600" w:lineRule="exact"/>
        <w:ind w:firstLineChars="0"/>
        <w:outlineLvl w:val="1"/>
        <w:rPr>
          <w:rStyle w:val="32"/>
          <w:rFonts w:ascii="黑体" w:hAnsi="黑体" w:eastAsia="黑体"/>
          <w:b w:val="0"/>
        </w:rPr>
      </w:pPr>
      <w:bookmarkStart w:id="24" w:name="_Toc24747"/>
      <w:bookmarkStart w:id="25" w:name="_Toc15396603"/>
      <w:bookmarkStart w:id="26"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bookmarkEnd w:id="26"/>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186</w:t>
      </w:r>
      <w:r>
        <w:rPr>
          <w:rFonts w:hint="eastAsia" w:ascii="仿宋" w:hAnsi="仿宋" w:eastAsia="仿宋"/>
          <w:sz w:val="32"/>
          <w:szCs w:val="32"/>
        </w:rPr>
        <w:t>.</w:t>
      </w:r>
      <w:r>
        <w:rPr>
          <w:rFonts w:ascii="仿宋" w:hAnsi="仿宋" w:eastAsia="仿宋"/>
          <w:sz w:val="32"/>
          <w:szCs w:val="32"/>
        </w:rPr>
        <w:t>86</w:t>
      </w:r>
      <w:r>
        <w:rPr>
          <w:rFonts w:hint="eastAsia" w:ascii="仿宋" w:hAnsi="仿宋" w:eastAsia="仿宋"/>
          <w:sz w:val="32"/>
          <w:szCs w:val="32"/>
        </w:rPr>
        <w:t>万元。与2021年相比，收、支总计各减少</w:t>
      </w:r>
      <w:r>
        <w:rPr>
          <w:rFonts w:ascii="仿宋" w:hAnsi="仿宋" w:eastAsia="仿宋"/>
          <w:sz w:val="32"/>
          <w:szCs w:val="32"/>
        </w:rPr>
        <w:t>30</w:t>
      </w:r>
      <w:r>
        <w:rPr>
          <w:rFonts w:hint="eastAsia" w:ascii="仿宋" w:hAnsi="仿宋" w:eastAsia="仿宋"/>
          <w:sz w:val="32"/>
          <w:szCs w:val="32"/>
        </w:rPr>
        <w:t>.</w:t>
      </w:r>
      <w:r>
        <w:rPr>
          <w:rFonts w:ascii="仿宋" w:hAnsi="仿宋" w:eastAsia="仿宋"/>
          <w:sz w:val="32"/>
          <w:szCs w:val="32"/>
        </w:rPr>
        <w:t>63</w:t>
      </w:r>
      <w:r>
        <w:rPr>
          <w:rFonts w:hint="eastAsia" w:ascii="仿宋" w:hAnsi="仿宋" w:eastAsia="仿宋"/>
          <w:sz w:val="32"/>
          <w:szCs w:val="32"/>
        </w:rPr>
        <w:t>万元，下降</w:t>
      </w:r>
      <w:r>
        <w:rPr>
          <w:rFonts w:ascii="仿宋" w:hAnsi="仿宋" w:eastAsia="仿宋"/>
          <w:sz w:val="32"/>
          <w:szCs w:val="32"/>
        </w:rPr>
        <w:t>14</w:t>
      </w:r>
      <w:r>
        <w:rPr>
          <w:rFonts w:hint="eastAsia" w:ascii="仿宋" w:hAnsi="仿宋" w:eastAsia="仿宋"/>
          <w:sz w:val="32"/>
          <w:szCs w:val="32"/>
        </w:rPr>
        <w:t>.</w:t>
      </w:r>
      <w:r>
        <w:rPr>
          <w:rFonts w:ascii="仿宋" w:hAnsi="仿宋" w:eastAsia="仿宋"/>
          <w:sz w:val="32"/>
          <w:szCs w:val="32"/>
        </w:rPr>
        <w:t>08%</w:t>
      </w:r>
      <w:r>
        <w:rPr>
          <w:rFonts w:hint="eastAsia" w:ascii="仿宋" w:hAnsi="仿宋" w:eastAsia="仿宋"/>
          <w:sz w:val="32"/>
          <w:szCs w:val="32"/>
        </w:rPr>
        <w:t>。主要变动原因是单位</w:t>
      </w:r>
      <w:r>
        <w:rPr>
          <w:rFonts w:hint="eastAsia" w:ascii="仿宋" w:hAnsi="仿宋" w:eastAsia="仿宋"/>
          <w:sz w:val="32"/>
          <w:szCs w:val="32"/>
          <w:lang w:eastAsia="zh-CN"/>
        </w:rPr>
        <w:t>厉行节约</w:t>
      </w:r>
      <w:r>
        <w:rPr>
          <w:rFonts w:hint="eastAsia" w:ascii="仿宋" w:hAnsi="仿宋" w:eastAsia="仿宋"/>
          <w:sz w:val="32"/>
          <w:szCs w:val="32"/>
        </w:rPr>
        <w:t>，缩减开支。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
        <w:spacing w:before="93"/>
      </w:pPr>
      <w:r>
        <w:rPr>
          <w:rFonts w:hint="eastAsia"/>
        </w:rPr>
        <w:drawing>
          <wp:inline distT="0" distB="0" distL="114300" distR="114300">
            <wp:extent cx="5207635" cy="3822065"/>
            <wp:effectExtent l="0" t="0" r="12065" b="698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30"/>
        <w:numPr>
          <w:ilvl w:val="0"/>
          <w:numId w:val="3"/>
        </w:numPr>
        <w:spacing w:line="600" w:lineRule="exact"/>
        <w:ind w:firstLineChars="0"/>
        <w:outlineLvl w:val="1"/>
        <w:rPr>
          <w:rStyle w:val="32"/>
          <w:rFonts w:ascii="黑体" w:hAnsi="黑体" w:eastAsia="黑体"/>
          <w:b w:val="0"/>
        </w:rPr>
      </w:pPr>
      <w:bookmarkStart w:id="27" w:name="_Toc15396604"/>
      <w:bookmarkStart w:id="28" w:name="_Toc20003"/>
      <w:bookmarkStart w:id="29" w:name="_Toc15377206"/>
      <w:r>
        <w:rPr>
          <w:rFonts w:hint="eastAsia" w:ascii="黑体" w:hAnsi="黑体" w:eastAsia="黑体"/>
          <w:sz w:val="32"/>
          <w:szCs w:val="32"/>
        </w:rPr>
        <w:t>收</w:t>
      </w:r>
      <w:r>
        <w:rPr>
          <w:rStyle w:val="32"/>
          <w:rFonts w:hint="eastAsia" w:ascii="黑体" w:hAnsi="黑体" w:eastAsia="黑体"/>
          <w:b w:val="0"/>
        </w:rPr>
        <w:t>入决算情况说明</w:t>
      </w:r>
      <w:bookmarkEnd w:id="27"/>
      <w:bookmarkEnd w:id="28"/>
      <w:bookmarkEnd w:id="29"/>
    </w:p>
    <w:p>
      <w:pPr>
        <w:spacing w:line="600" w:lineRule="exact"/>
        <w:ind w:firstLine="640" w:firstLineChars="200"/>
        <w:outlineLvl w:val="1"/>
        <w:rPr>
          <w:rFonts w:ascii="仿宋" w:hAnsi="仿宋" w:eastAsia="仿宋"/>
          <w:sz w:val="32"/>
          <w:szCs w:val="32"/>
        </w:rPr>
      </w:pPr>
      <w:bookmarkStart w:id="30" w:name="_Toc20933"/>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186</w:t>
      </w:r>
      <w:r>
        <w:rPr>
          <w:rFonts w:hint="eastAsia" w:ascii="仿宋" w:hAnsi="仿宋" w:eastAsia="仿宋"/>
          <w:sz w:val="32"/>
          <w:szCs w:val="32"/>
        </w:rPr>
        <w:t>.</w:t>
      </w:r>
      <w:r>
        <w:rPr>
          <w:rFonts w:ascii="仿宋" w:hAnsi="仿宋" w:eastAsia="仿宋"/>
          <w:sz w:val="32"/>
          <w:szCs w:val="32"/>
        </w:rPr>
        <w:t>86</w:t>
      </w:r>
      <w:r>
        <w:rPr>
          <w:rFonts w:hint="eastAsia" w:ascii="仿宋" w:hAnsi="仿宋" w:eastAsia="仿宋"/>
          <w:sz w:val="32"/>
          <w:szCs w:val="32"/>
        </w:rPr>
        <w:t>万元，其中：一般公共预算财政拨款收入</w:t>
      </w:r>
      <w:r>
        <w:rPr>
          <w:rFonts w:ascii="仿宋" w:hAnsi="仿宋" w:eastAsia="仿宋"/>
          <w:sz w:val="32"/>
          <w:szCs w:val="32"/>
        </w:rPr>
        <w:t>186</w:t>
      </w:r>
      <w:r>
        <w:rPr>
          <w:rFonts w:hint="eastAsia" w:ascii="仿宋" w:hAnsi="仿宋" w:eastAsia="仿宋"/>
          <w:sz w:val="32"/>
          <w:szCs w:val="32"/>
        </w:rPr>
        <w:t>.</w:t>
      </w:r>
      <w:r>
        <w:rPr>
          <w:rFonts w:ascii="仿宋" w:hAnsi="仿宋" w:eastAsia="仿宋"/>
          <w:sz w:val="32"/>
          <w:szCs w:val="32"/>
        </w:rPr>
        <w:t>86</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bookmarkEnd w:id="30"/>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
        <w:spacing w:before="93"/>
      </w:pPr>
      <w:r>
        <w:rPr>
          <w:rFonts w:hint="eastAsia"/>
          <w:color w:val="FF0000"/>
          <w:sz w:val="32"/>
          <w:szCs w:val="32"/>
        </w:rPr>
        <w:drawing>
          <wp:anchor distT="0" distB="0" distL="114300" distR="114300" simplePos="0" relativeHeight="251659264" behindDoc="0" locked="0" layoutInCell="1" allowOverlap="1">
            <wp:simplePos x="0" y="0"/>
            <wp:positionH relativeFrom="column">
              <wp:posOffset>0</wp:posOffset>
            </wp:positionH>
            <wp:positionV relativeFrom="paragraph">
              <wp:posOffset>400050</wp:posOffset>
            </wp:positionV>
            <wp:extent cx="5080000" cy="4502150"/>
            <wp:effectExtent l="0" t="0" r="6350" b="12700"/>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
        <w:spacing w:before="93"/>
      </w:pPr>
    </w:p>
    <w:p>
      <w:pPr>
        <w:pStyle w:val="30"/>
        <w:numPr>
          <w:ilvl w:val="0"/>
          <w:numId w:val="3"/>
        </w:numPr>
        <w:spacing w:line="600" w:lineRule="exact"/>
        <w:ind w:firstLineChars="0"/>
        <w:outlineLvl w:val="1"/>
        <w:rPr>
          <w:rStyle w:val="32"/>
          <w:rFonts w:ascii="黑体" w:hAnsi="黑体" w:eastAsia="黑体"/>
          <w:b w:val="0"/>
        </w:rPr>
      </w:pPr>
      <w:bookmarkStart w:id="31" w:name="_Toc22187"/>
      <w:bookmarkStart w:id="32" w:name="_Toc15377207"/>
      <w:bookmarkStart w:id="33" w:name="_Toc15396605"/>
      <w:r>
        <w:rPr>
          <w:rFonts w:hint="eastAsia" w:ascii="黑体" w:hAnsi="黑体" w:eastAsia="黑体"/>
          <w:sz w:val="32"/>
          <w:szCs w:val="32"/>
        </w:rPr>
        <w:t>支</w:t>
      </w:r>
      <w:r>
        <w:rPr>
          <w:rStyle w:val="32"/>
          <w:rFonts w:hint="eastAsia" w:ascii="黑体" w:hAnsi="黑体" w:eastAsia="黑体"/>
          <w:b w:val="0"/>
        </w:rPr>
        <w:t>出决算情况说明</w:t>
      </w:r>
      <w:bookmarkEnd w:id="31"/>
      <w:bookmarkEnd w:id="32"/>
      <w:bookmarkEnd w:id="33"/>
    </w:p>
    <w:p>
      <w:pPr>
        <w:spacing w:line="600" w:lineRule="exact"/>
        <w:ind w:firstLine="640" w:firstLineChars="200"/>
        <w:outlineLvl w:val="1"/>
        <w:rPr>
          <w:rFonts w:ascii="仿宋" w:hAnsi="仿宋" w:eastAsia="仿宋"/>
          <w:sz w:val="32"/>
          <w:szCs w:val="32"/>
        </w:rPr>
      </w:pPr>
      <w:bookmarkStart w:id="34" w:name="_Toc31945"/>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186.86</w:t>
      </w:r>
      <w:r>
        <w:rPr>
          <w:rFonts w:hint="eastAsia" w:ascii="仿宋" w:hAnsi="仿宋" w:eastAsia="仿宋"/>
          <w:sz w:val="32"/>
          <w:szCs w:val="32"/>
        </w:rPr>
        <w:t>万元，其中：基本支出</w:t>
      </w:r>
      <w:r>
        <w:rPr>
          <w:rFonts w:ascii="仿宋" w:hAnsi="仿宋" w:eastAsia="仿宋"/>
          <w:sz w:val="32"/>
          <w:szCs w:val="32"/>
        </w:rPr>
        <w:t>97.87</w:t>
      </w:r>
      <w:r>
        <w:rPr>
          <w:rFonts w:hint="eastAsia" w:ascii="仿宋" w:hAnsi="仿宋" w:eastAsia="仿宋"/>
          <w:sz w:val="32"/>
          <w:szCs w:val="32"/>
        </w:rPr>
        <w:t>万元，占</w:t>
      </w:r>
      <w:r>
        <w:rPr>
          <w:rFonts w:ascii="仿宋" w:hAnsi="仿宋" w:eastAsia="仿宋"/>
          <w:sz w:val="32"/>
          <w:szCs w:val="32"/>
        </w:rPr>
        <w:t>52.38%</w:t>
      </w:r>
      <w:r>
        <w:rPr>
          <w:rFonts w:hint="eastAsia" w:ascii="仿宋" w:hAnsi="仿宋" w:eastAsia="仿宋"/>
          <w:sz w:val="32"/>
          <w:szCs w:val="32"/>
        </w:rPr>
        <w:t>；项目支出</w:t>
      </w:r>
      <w:r>
        <w:rPr>
          <w:rFonts w:ascii="仿宋" w:hAnsi="仿宋" w:eastAsia="仿宋"/>
          <w:sz w:val="32"/>
          <w:szCs w:val="32"/>
        </w:rPr>
        <w:t>88.99</w:t>
      </w:r>
      <w:r>
        <w:rPr>
          <w:rFonts w:hint="eastAsia" w:ascii="仿宋" w:hAnsi="仿宋" w:eastAsia="仿宋"/>
          <w:sz w:val="32"/>
          <w:szCs w:val="32"/>
        </w:rPr>
        <w:t>万元，占</w:t>
      </w:r>
      <w:r>
        <w:rPr>
          <w:rFonts w:ascii="仿宋" w:hAnsi="仿宋" w:eastAsia="仿宋"/>
          <w:sz w:val="32"/>
          <w:szCs w:val="32"/>
        </w:rPr>
        <w:t>47.62%</w:t>
      </w:r>
      <w:r>
        <w:rPr>
          <w:rFonts w:hint="eastAsia" w:ascii="仿宋" w:hAnsi="仿宋" w:eastAsia="仿宋"/>
          <w:sz w:val="32"/>
          <w:szCs w:val="32"/>
        </w:rPr>
        <w:t>。</w:t>
      </w:r>
      <w:bookmarkEnd w:id="34"/>
    </w:p>
    <w:p>
      <w:pPr>
        <w:spacing w:line="600" w:lineRule="exact"/>
        <w:ind w:firstLine="1600" w:firstLineChars="500"/>
        <w:rPr>
          <w:rFonts w:ascii="仿宋" w:hAnsi="仿宋" w:eastAsia="仿宋"/>
          <w:sz w:val="32"/>
          <w:szCs w:val="32"/>
        </w:rPr>
      </w:pPr>
      <w:r>
        <w:rPr>
          <w:rFonts w:hint="eastAsia" w:ascii="仿宋" w:hAnsi="仿宋" w:eastAsia="仿宋"/>
          <w:sz w:val="32"/>
          <w:szCs w:val="32"/>
        </w:rPr>
        <w:t>（图3：支出决算结构图）（饼状图）</w:t>
      </w:r>
    </w:p>
    <w:p>
      <w:pPr>
        <w:pStyle w:val="2"/>
        <w:spacing w:before="93"/>
      </w:pPr>
    </w:p>
    <w:p>
      <w:pPr>
        <w:pStyle w:val="2"/>
        <w:spacing w:before="93"/>
      </w:pPr>
    </w:p>
    <w:p>
      <w:pPr>
        <w:pStyle w:val="2"/>
        <w:spacing w:before="93"/>
      </w:pPr>
    </w:p>
    <w:p>
      <w:pPr>
        <w:pStyle w:val="2"/>
        <w:spacing w:before="93"/>
      </w:pPr>
      <w:r>
        <w:rPr>
          <w:rFonts w:hint="eastAsia"/>
          <w:color w:val="FF0000"/>
          <w:sz w:val="32"/>
          <w:szCs w:val="32"/>
        </w:rPr>
        <w:drawing>
          <wp:anchor distT="0" distB="0" distL="114300" distR="114300" simplePos="0" relativeHeight="251660288" behindDoc="0" locked="0" layoutInCell="1" allowOverlap="1">
            <wp:simplePos x="0" y="0"/>
            <wp:positionH relativeFrom="column">
              <wp:posOffset>198120</wp:posOffset>
            </wp:positionH>
            <wp:positionV relativeFrom="paragraph">
              <wp:posOffset>187325</wp:posOffset>
            </wp:positionV>
            <wp:extent cx="5080000" cy="3810000"/>
            <wp:effectExtent l="4445" t="4445" r="5715" b="1079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32"/>
          <w:rFonts w:ascii="黑体" w:hAnsi="黑体" w:eastAsia="黑体"/>
          <w:b w:val="0"/>
        </w:rPr>
      </w:pPr>
      <w:bookmarkStart w:id="35" w:name="_Toc15377208"/>
      <w:bookmarkStart w:id="36" w:name="_Toc15396606"/>
      <w:bookmarkStart w:id="37" w:name="_Toc32628"/>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5"/>
      <w:bookmarkEnd w:id="36"/>
      <w:bookmarkEnd w:id="3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22年财政拨款收、支总计1</w:t>
      </w:r>
      <w:r>
        <w:rPr>
          <w:rFonts w:ascii="仿宋" w:hAnsi="仿宋" w:eastAsia="仿宋"/>
          <w:sz w:val="32"/>
          <w:szCs w:val="32"/>
        </w:rPr>
        <w:t>86</w:t>
      </w:r>
      <w:r>
        <w:rPr>
          <w:rFonts w:hint="eastAsia" w:ascii="仿宋" w:hAnsi="仿宋" w:eastAsia="仿宋"/>
          <w:sz w:val="32"/>
          <w:szCs w:val="32"/>
        </w:rPr>
        <w:t>.</w:t>
      </w:r>
      <w:r>
        <w:rPr>
          <w:rFonts w:ascii="仿宋" w:hAnsi="仿宋" w:eastAsia="仿宋"/>
          <w:sz w:val="32"/>
          <w:szCs w:val="32"/>
        </w:rPr>
        <w:t>86</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21年相比，财政拨款收、支总计各增加3.</w:t>
      </w:r>
      <w:r>
        <w:rPr>
          <w:rFonts w:ascii="仿宋" w:hAnsi="仿宋" w:eastAsia="仿宋"/>
          <w:sz w:val="32"/>
          <w:szCs w:val="32"/>
        </w:rPr>
        <w:t>66</w:t>
      </w:r>
      <w:r>
        <w:rPr>
          <w:rFonts w:hint="eastAsia" w:ascii="仿宋" w:hAnsi="仿宋" w:eastAsia="仿宋"/>
          <w:sz w:val="32"/>
          <w:szCs w:val="32"/>
        </w:rPr>
        <w:t>万元，增长</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99%</w:t>
      </w:r>
      <w:r>
        <w:rPr>
          <w:rFonts w:hint="eastAsia" w:ascii="仿宋" w:hAnsi="仿宋" w:eastAsia="仿宋"/>
          <w:sz w:val="32"/>
          <w:szCs w:val="32"/>
        </w:rPr>
        <w:t>。主要变动原因是2</w:t>
      </w:r>
      <w:r>
        <w:rPr>
          <w:rFonts w:ascii="仿宋" w:hAnsi="仿宋" w:eastAsia="仿宋"/>
          <w:sz w:val="32"/>
          <w:szCs w:val="32"/>
        </w:rPr>
        <w:t>021</w:t>
      </w:r>
      <w:r>
        <w:rPr>
          <w:rFonts w:hint="eastAsia" w:ascii="仿宋" w:hAnsi="仿宋" w:eastAsia="仿宋"/>
          <w:sz w:val="32"/>
          <w:szCs w:val="32"/>
        </w:rPr>
        <w:t>年有上年结转结余。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pStyle w:val="2"/>
        <w:spacing w:before="93"/>
      </w:pPr>
    </w:p>
    <w:p>
      <w:pPr>
        <w:pStyle w:val="2"/>
        <w:spacing w:before="93"/>
      </w:pPr>
    </w:p>
    <w:p>
      <w:pPr>
        <w:pStyle w:val="2"/>
        <w:spacing w:before="93"/>
      </w:pPr>
    </w:p>
    <w:p>
      <w:pPr>
        <w:pStyle w:val="2"/>
        <w:spacing w:before="93"/>
      </w:pPr>
    </w:p>
    <w:p>
      <w:pPr>
        <w:pStyle w:val="2"/>
        <w:spacing w:before="93"/>
      </w:pPr>
      <w:r>
        <w:rPr>
          <w:rFonts w:hint="eastAsia"/>
        </w:rPr>
        <w:drawing>
          <wp:inline distT="0" distB="0" distL="114300" distR="114300">
            <wp:extent cx="5274310" cy="3718560"/>
            <wp:effectExtent l="0" t="0" r="2540" b="1524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spacing w:before="93"/>
      </w:pPr>
    </w:p>
    <w:p>
      <w:pPr>
        <w:spacing w:line="600" w:lineRule="exact"/>
        <w:ind w:firstLine="640" w:firstLineChars="200"/>
        <w:outlineLvl w:val="1"/>
        <w:rPr>
          <w:rStyle w:val="32"/>
          <w:rFonts w:ascii="黑体" w:hAnsi="黑体" w:eastAsia="黑体"/>
          <w:b w:val="0"/>
        </w:rPr>
      </w:pPr>
      <w:bookmarkStart w:id="38" w:name="_Toc15377209"/>
      <w:bookmarkStart w:id="39" w:name="_Toc7698"/>
      <w:bookmarkStart w:id="40" w:name="_Toc15396607"/>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8"/>
      <w:bookmarkEnd w:id="39"/>
      <w:bookmarkEnd w:id="40"/>
    </w:p>
    <w:p>
      <w:pPr>
        <w:spacing w:line="600" w:lineRule="exact"/>
        <w:ind w:firstLine="643" w:firstLineChars="200"/>
        <w:outlineLvl w:val="2"/>
        <w:rPr>
          <w:rFonts w:ascii="仿宋" w:hAnsi="仿宋" w:eastAsia="仿宋"/>
          <w:b/>
          <w:sz w:val="32"/>
          <w:szCs w:val="32"/>
        </w:rPr>
      </w:pPr>
      <w:bookmarkStart w:id="41" w:name="_Toc15377210"/>
      <w:r>
        <w:rPr>
          <w:rFonts w:hint="eastAsia" w:ascii="仿宋" w:hAnsi="仿宋" w:eastAsia="仿宋"/>
          <w:b/>
          <w:sz w:val="32"/>
          <w:szCs w:val="32"/>
        </w:rPr>
        <w:t>（一）一般公共预算财政拨款支出决算总体情况</w:t>
      </w:r>
      <w:bookmarkEnd w:id="41"/>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186</w:t>
      </w:r>
      <w:r>
        <w:rPr>
          <w:rFonts w:hint="eastAsia" w:ascii="仿宋" w:hAnsi="仿宋" w:eastAsia="仿宋"/>
          <w:sz w:val="32"/>
          <w:szCs w:val="32"/>
        </w:rPr>
        <w:t>.</w:t>
      </w:r>
      <w:r>
        <w:rPr>
          <w:rFonts w:ascii="仿宋" w:hAnsi="仿宋" w:eastAsia="仿宋"/>
          <w:sz w:val="32"/>
          <w:szCs w:val="32"/>
        </w:rPr>
        <w:t>86</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30</w:t>
      </w:r>
      <w:r>
        <w:rPr>
          <w:rFonts w:hint="eastAsia" w:ascii="仿宋" w:hAnsi="仿宋" w:eastAsia="仿宋"/>
          <w:sz w:val="32"/>
          <w:szCs w:val="32"/>
        </w:rPr>
        <w:t>.</w:t>
      </w:r>
      <w:r>
        <w:rPr>
          <w:rFonts w:ascii="仿宋" w:hAnsi="仿宋" w:eastAsia="仿宋"/>
          <w:sz w:val="32"/>
          <w:szCs w:val="32"/>
        </w:rPr>
        <w:t>63</w:t>
      </w:r>
      <w:r>
        <w:rPr>
          <w:rFonts w:hint="eastAsia" w:ascii="仿宋" w:hAnsi="仿宋" w:eastAsia="仿宋"/>
          <w:sz w:val="32"/>
          <w:szCs w:val="32"/>
        </w:rPr>
        <w:t>万元，下降</w:t>
      </w:r>
      <w:r>
        <w:rPr>
          <w:rFonts w:ascii="仿宋" w:hAnsi="仿宋" w:eastAsia="仿宋"/>
          <w:sz w:val="32"/>
          <w:szCs w:val="32"/>
        </w:rPr>
        <w:t>14</w:t>
      </w:r>
      <w:r>
        <w:rPr>
          <w:rFonts w:hint="eastAsia" w:ascii="仿宋" w:hAnsi="仿宋" w:eastAsia="仿宋"/>
          <w:sz w:val="32"/>
          <w:szCs w:val="32"/>
        </w:rPr>
        <w:t>.</w:t>
      </w:r>
      <w:r>
        <w:rPr>
          <w:rFonts w:ascii="仿宋" w:hAnsi="仿宋" w:eastAsia="仿宋"/>
          <w:sz w:val="32"/>
          <w:szCs w:val="32"/>
        </w:rPr>
        <w:t>08%</w:t>
      </w:r>
      <w:r>
        <w:rPr>
          <w:rFonts w:hint="eastAsia" w:ascii="仿宋" w:hAnsi="仿宋" w:eastAsia="仿宋"/>
          <w:sz w:val="32"/>
          <w:szCs w:val="32"/>
        </w:rPr>
        <w:t>。主要变动原因是单位</w:t>
      </w:r>
      <w:r>
        <w:rPr>
          <w:rFonts w:hint="eastAsia" w:ascii="仿宋" w:hAnsi="仿宋" w:eastAsia="仿宋"/>
          <w:sz w:val="32"/>
          <w:szCs w:val="32"/>
          <w:lang w:eastAsia="zh-CN"/>
        </w:rPr>
        <w:t>厉行节约</w:t>
      </w:r>
      <w:r>
        <w:rPr>
          <w:rFonts w:hint="eastAsia" w:ascii="仿宋" w:hAnsi="仿宋" w:eastAsia="仿宋"/>
          <w:sz w:val="32"/>
          <w:szCs w:val="32"/>
        </w:rPr>
        <w:t>，缩减开支。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2"/>
        <w:spacing w:before="93"/>
      </w:pPr>
    </w:p>
    <w:p>
      <w:pPr>
        <w:pStyle w:val="2"/>
        <w:spacing w:before="93"/>
      </w:pPr>
    </w:p>
    <w:p>
      <w:pPr>
        <w:pStyle w:val="2"/>
        <w:spacing w:before="93"/>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1312" behindDoc="0" locked="0" layoutInCell="1" allowOverlap="1">
            <wp:simplePos x="0" y="0"/>
            <wp:positionH relativeFrom="column">
              <wp:posOffset>0</wp:posOffset>
            </wp:positionH>
            <wp:positionV relativeFrom="paragraph">
              <wp:posOffset>403860</wp:posOffset>
            </wp:positionV>
            <wp:extent cx="5080000" cy="3810000"/>
            <wp:effectExtent l="0" t="0" r="6350" b="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2"/>
        <w:spacing w:before="93"/>
      </w:pPr>
    </w:p>
    <w:p>
      <w:pPr>
        <w:spacing w:line="600" w:lineRule="exact"/>
        <w:ind w:firstLine="643" w:firstLineChars="200"/>
        <w:outlineLvl w:val="2"/>
        <w:rPr>
          <w:rFonts w:ascii="仿宋" w:hAnsi="仿宋" w:eastAsia="仿宋"/>
          <w:b/>
          <w:sz w:val="32"/>
          <w:szCs w:val="32"/>
        </w:rPr>
      </w:pPr>
      <w:bookmarkStart w:id="42" w:name="_Toc15377211"/>
      <w:r>
        <w:rPr>
          <w:rFonts w:hint="eastAsia" w:ascii="仿宋" w:hAnsi="仿宋" w:eastAsia="仿宋"/>
          <w:b/>
          <w:sz w:val="32"/>
          <w:szCs w:val="32"/>
        </w:rPr>
        <w:t>（二）一般公共预算财政拨款支出决算结构情况</w:t>
      </w:r>
      <w:bookmarkEnd w:id="42"/>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22年一般公共预算财政拨款支出186.86万元，主要用于以下方面</w:t>
      </w:r>
      <w:r>
        <w:rPr>
          <w:rFonts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168.77万元，占90.32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6.35万元，占3.40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3.76万元，占2.01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7.98万元，占4.27</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p>
    <w:p>
      <w:pPr>
        <w:pStyle w:val="2"/>
        <w:spacing w:before="93"/>
        <w:rPr>
          <w:rFonts w:ascii="仿宋" w:hAnsi="仿宋" w:eastAsia="仿宋"/>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99695</wp:posOffset>
            </wp:positionH>
            <wp:positionV relativeFrom="paragraph">
              <wp:posOffset>261620</wp:posOffset>
            </wp:positionV>
            <wp:extent cx="5080000" cy="4243705"/>
            <wp:effectExtent l="4445" t="4445" r="20955" b="190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3" w:firstLineChars="200"/>
        <w:outlineLvl w:val="2"/>
        <w:rPr>
          <w:rFonts w:ascii="仿宋" w:hAnsi="仿宋" w:eastAsia="仿宋"/>
          <w:b/>
          <w:sz w:val="32"/>
          <w:szCs w:val="32"/>
        </w:rPr>
      </w:pPr>
      <w:bookmarkStart w:id="43" w:name="_Toc15377212"/>
      <w:r>
        <w:rPr>
          <w:rFonts w:hint="eastAsia" w:ascii="仿宋" w:hAnsi="仿宋" w:eastAsia="仿宋"/>
          <w:b/>
          <w:sz w:val="32"/>
          <w:szCs w:val="32"/>
        </w:rPr>
        <w:t>（三）一般公共预算财政拨款支出决算具体情况</w:t>
      </w:r>
      <w:bookmarkEnd w:id="43"/>
    </w:p>
    <w:p>
      <w:pPr>
        <w:spacing w:line="600" w:lineRule="exact"/>
        <w:ind w:firstLine="643" w:firstLineChars="200"/>
        <w:outlineLvl w:val="2"/>
        <w:rPr>
          <w:rFonts w:ascii="仿宋" w:hAnsi="仿宋" w:eastAsia="仿宋"/>
          <w:sz w:val="32"/>
          <w:szCs w:val="32"/>
        </w:rPr>
      </w:pPr>
      <w:bookmarkStart w:id="44" w:name="_Toc15377444"/>
      <w:bookmarkStart w:id="45" w:name="_Toc15377213"/>
      <w:bookmarkStart w:id="46" w:name="_Toc15378460"/>
      <w:r>
        <w:rPr>
          <w:rFonts w:hint="eastAsia" w:ascii="仿宋" w:hAnsi="仿宋" w:eastAsia="仿宋"/>
          <w:b/>
          <w:sz w:val="32"/>
          <w:szCs w:val="32"/>
        </w:rPr>
        <w:t>2022年一般公共预算支出决算数为186.86</w:t>
      </w:r>
      <w:r>
        <w:rPr>
          <w:rFonts w:hint="eastAsia" w:ascii="仿宋" w:hAnsi="仿宋" w:eastAsia="仿宋"/>
          <w:sz w:val="32"/>
          <w:szCs w:val="32"/>
        </w:rPr>
        <w:t>，</w:t>
      </w:r>
      <w:r>
        <w:rPr>
          <w:rStyle w:val="20"/>
          <w:rFonts w:hint="eastAsia" w:ascii="仿宋" w:hAnsi="仿宋" w:eastAsia="仿宋"/>
          <w:bCs/>
          <w:sz w:val="32"/>
          <w:szCs w:val="32"/>
        </w:rPr>
        <w:t>完成预算100</w:t>
      </w:r>
      <w:r>
        <w:rPr>
          <w:rStyle w:val="20"/>
          <w:rFonts w:ascii="仿宋" w:hAnsi="仿宋" w:eastAsia="仿宋"/>
          <w:bCs/>
          <w:sz w:val="32"/>
          <w:szCs w:val="32"/>
        </w:rPr>
        <w:t>%</w:t>
      </w:r>
      <w:r>
        <w:rPr>
          <w:rStyle w:val="20"/>
          <w:rFonts w:hint="eastAsia" w:ascii="仿宋" w:hAnsi="仿宋" w:eastAsia="仿宋"/>
          <w:bCs/>
          <w:sz w:val="32"/>
          <w:szCs w:val="32"/>
        </w:rPr>
        <w:t>。其中：</w:t>
      </w:r>
      <w:bookmarkEnd w:id="44"/>
      <w:bookmarkEnd w:id="45"/>
      <w:bookmarkEnd w:id="46"/>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1.科学技术206（类）01（款）01（项）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支出决算为79.78万元，完成预算100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，决算数与预算数持平。</w:t>
      </w:r>
    </w:p>
    <w:p>
      <w:pPr>
        <w:spacing w:line="600" w:lineRule="exact"/>
        <w:ind w:firstLine="643" w:firstLineChars="200"/>
        <w:rPr>
          <w:rStyle w:val="20"/>
          <w:rFonts w:ascii="仿宋" w:hAnsi="仿宋" w:eastAsia="仿宋"/>
          <w:b w:val="0"/>
          <w:bCs/>
          <w:sz w:val="32"/>
          <w:szCs w:val="32"/>
        </w:rPr>
      </w:pPr>
      <w:r>
        <w:rPr>
          <w:rStyle w:val="20"/>
          <w:rFonts w:hint="eastAsia" w:ascii="仿宋" w:hAnsi="仿宋" w:eastAsia="仿宋"/>
          <w:bCs/>
          <w:color w:val="000000"/>
          <w:sz w:val="32"/>
          <w:szCs w:val="32"/>
        </w:rPr>
        <w:t>2.科学技术206（类）01（款）02（项）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支出决算为0.14万元，完成预算100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Style w:val="20"/>
          <w:rFonts w:hint="eastAsia" w:ascii="仿宋" w:hAnsi="仿宋" w:eastAsia="仿宋"/>
          <w:b w:val="0"/>
          <w:bCs/>
          <w:sz w:val="32"/>
          <w:szCs w:val="32"/>
        </w:rPr>
        <w:t>决算数与预算数持平。</w:t>
      </w:r>
    </w:p>
    <w:p>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color w:val="000000"/>
          <w:sz w:val="32"/>
          <w:szCs w:val="32"/>
        </w:rPr>
        <w:t>3.科学技术206（类）01（款）99（项）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支出决算为10.00万元，完成预算100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Style w:val="20"/>
          <w:rFonts w:hint="eastAsia" w:ascii="仿宋" w:hAnsi="仿宋" w:eastAsia="仿宋"/>
          <w:b w:val="0"/>
          <w:bCs/>
          <w:sz w:val="32"/>
          <w:szCs w:val="32"/>
        </w:rPr>
        <w:t>决算数与预算数持平。</w:t>
      </w:r>
    </w:p>
    <w:p>
      <w:pPr>
        <w:pStyle w:val="2"/>
        <w:spacing w:before="93"/>
      </w:pPr>
    </w:p>
    <w:p>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color w:val="000000"/>
          <w:sz w:val="32"/>
          <w:szCs w:val="32"/>
        </w:rPr>
        <w:t>4.科学技术206（类）05（款）99（项）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支出决算为9.94万元，完成预算100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Style w:val="20"/>
          <w:rFonts w:hint="eastAsia" w:ascii="仿宋" w:hAnsi="仿宋" w:eastAsia="仿宋"/>
          <w:b w:val="0"/>
          <w:bCs/>
          <w:sz w:val="32"/>
          <w:szCs w:val="32"/>
        </w:rPr>
        <w:t>决算数与预算数持平。</w:t>
      </w:r>
    </w:p>
    <w:p>
      <w:pPr>
        <w:spacing w:line="600" w:lineRule="exact"/>
        <w:ind w:firstLine="643" w:firstLineChars="200"/>
        <w:rPr>
          <w:rStyle w:val="20"/>
          <w:rFonts w:ascii="仿宋" w:hAnsi="仿宋" w:eastAsia="仿宋"/>
          <w:b w:val="0"/>
          <w:bCs/>
          <w:color w:val="000000"/>
          <w:sz w:val="32"/>
          <w:szCs w:val="32"/>
        </w:rPr>
      </w:pPr>
      <w:r>
        <w:rPr>
          <w:rStyle w:val="20"/>
          <w:rFonts w:hint="eastAsia" w:ascii="仿宋" w:hAnsi="仿宋" w:eastAsia="仿宋"/>
          <w:bCs/>
          <w:color w:val="000000"/>
          <w:sz w:val="32"/>
          <w:szCs w:val="32"/>
        </w:rPr>
        <w:t>5.科学技术206（类）07（款）02（项）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支出决算为9.98万元，完成预算100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Style w:val="20"/>
          <w:rFonts w:hint="eastAsia" w:ascii="仿宋" w:hAnsi="仿宋" w:eastAsia="仿宋"/>
          <w:b w:val="0"/>
          <w:bCs/>
          <w:sz w:val="32"/>
          <w:szCs w:val="32"/>
        </w:rPr>
        <w:t>决算数与预算数持平。</w:t>
      </w:r>
    </w:p>
    <w:p>
      <w:pPr>
        <w:spacing w:line="600" w:lineRule="exact"/>
        <w:ind w:firstLine="643" w:firstLineChars="200"/>
        <w:rPr>
          <w:rFonts w:ascii="仿宋" w:hAnsi="仿宋" w:eastAsia="仿宋"/>
          <w:b/>
          <w:sz w:val="32"/>
          <w:szCs w:val="32"/>
        </w:rPr>
      </w:pPr>
      <w:r>
        <w:rPr>
          <w:rStyle w:val="20"/>
          <w:rFonts w:hint="eastAsia" w:ascii="仿宋" w:hAnsi="仿宋" w:eastAsia="仿宋"/>
          <w:bCs/>
          <w:color w:val="000000"/>
          <w:sz w:val="32"/>
          <w:szCs w:val="32"/>
        </w:rPr>
        <w:t>6.科学技术206（类）07（款）99（项）</w:t>
      </w:r>
      <w:r>
        <w:rPr>
          <w:rStyle w:val="20"/>
          <w:rFonts w:ascii="仿宋" w:hAnsi="仿宋" w:eastAsia="仿宋"/>
          <w:bCs/>
          <w:color w:val="000000"/>
          <w:sz w:val="32"/>
          <w:szCs w:val="32"/>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支出决算为58.93万元，完成预算100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Style w:val="20"/>
          <w:rFonts w:hint="eastAsia" w:ascii="仿宋" w:hAnsi="仿宋" w:eastAsia="仿宋"/>
          <w:b w:val="0"/>
          <w:bCs/>
          <w:sz w:val="32"/>
          <w:szCs w:val="32"/>
        </w:rPr>
        <w:t>决算数与预算数持平。</w:t>
      </w:r>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7</w:t>
      </w:r>
      <w:r>
        <w:rPr>
          <w:rStyle w:val="20"/>
          <w:rFonts w:ascii="仿宋" w:hAnsi="仿宋" w:eastAsia="仿宋"/>
          <w:bCs/>
          <w:sz w:val="32"/>
          <w:szCs w:val="32"/>
        </w:rPr>
        <w:t>.</w:t>
      </w:r>
      <w:r>
        <w:rPr>
          <w:rStyle w:val="20"/>
          <w:rFonts w:hint="eastAsia" w:ascii="仿宋" w:hAnsi="仿宋" w:eastAsia="仿宋"/>
          <w:bCs/>
          <w:sz w:val="32"/>
          <w:szCs w:val="32"/>
        </w:rPr>
        <w:t>社会保障和就业208（类）05（款）05（项）</w:t>
      </w:r>
      <w:r>
        <w:rPr>
          <w:rStyle w:val="20"/>
          <w:rFonts w:ascii="仿宋" w:hAnsi="仿宋" w:eastAsia="仿宋"/>
          <w:bCs/>
          <w:sz w:val="32"/>
          <w:szCs w:val="32"/>
        </w:rPr>
        <w:t>:</w:t>
      </w:r>
      <w:r>
        <w:rPr>
          <w:rStyle w:val="20"/>
          <w:rFonts w:ascii="仿宋" w:hAnsi="仿宋" w:eastAsia="仿宋"/>
          <w:b w:val="0"/>
          <w:bCs/>
          <w:sz w:val="32"/>
          <w:szCs w:val="32"/>
        </w:rPr>
        <w:t xml:space="preserve"> </w:t>
      </w:r>
      <w:r>
        <w:rPr>
          <w:rStyle w:val="20"/>
          <w:rFonts w:hint="eastAsia" w:ascii="仿宋" w:hAnsi="仿宋" w:eastAsia="仿宋"/>
          <w:b w:val="0"/>
          <w:bCs/>
          <w:sz w:val="32"/>
          <w:szCs w:val="32"/>
        </w:rPr>
        <w:t>支出决算为6.35万元，完成预算100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，决算数与预算数持平。</w:t>
      </w:r>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8</w:t>
      </w:r>
      <w:r>
        <w:rPr>
          <w:rStyle w:val="20"/>
          <w:rFonts w:ascii="仿宋" w:hAnsi="仿宋" w:eastAsia="仿宋"/>
          <w:bCs/>
          <w:sz w:val="32"/>
          <w:szCs w:val="32"/>
        </w:rPr>
        <w:t>.</w:t>
      </w:r>
      <w:r>
        <w:rPr>
          <w:rFonts w:hint="eastAsia" w:ascii="仿宋" w:hAnsi="仿宋" w:eastAsia="仿宋"/>
          <w:b/>
          <w:bCs/>
          <w:sz w:val="32"/>
          <w:szCs w:val="32"/>
        </w:rPr>
        <w:t>卫生健康210</w:t>
      </w:r>
      <w:r>
        <w:rPr>
          <w:rStyle w:val="20"/>
          <w:rFonts w:hint="eastAsia" w:ascii="仿宋" w:hAnsi="仿宋" w:eastAsia="仿宋"/>
          <w:bCs/>
          <w:sz w:val="32"/>
          <w:szCs w:val="32"/>
        </w:rPr>
        <w:t>（类）11（款）01（项）</w:t>
      </w:r>
      <w:r>
        <w:rPr>
          <w:rStyle w:val="20"/>
          <w:rFonts w:ascii="仿宋" w:hAnsi="仿宋" w:eastAsia="仿宋"/>
          <w:bCs/>
          <w:sz w:val="32"/>
          <w:szCs w:val="32"/>
        </w:rPr>
        <w:t>:</w:t>
      </w:r>
      <w:r>
        <w:rPr>
          <w:rStyle w:val="20"/>
          <w:rFonts w:hint="eastAsia" w:ascii="仿宋" w:hAnsi="仿宋" w:eastAsia="仿宋"/>
          <w:b w:val="0"/>
          <w:bCs/>
          <w:sz w:val="32"/>
          <w:szCs w:val="32"/>
        </w:rPr>
        <w:t>支出决算为3.00万元，完成预算100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，决算数与预算数持平。</w:t>
      </w:r>
    </w:p>
    <w:p>
      <w:pPr>
        <w:spacing w:line="600" w:lineRule="exact"/>
        <w:ind w:firstLine="643" w:firstLineChars="200"/>
        <w:rPr>
          <w:rFonts w:ascii="仿宋" w:hAnsi="仿宋" w:eastAsia="仿宋"/>
          <w:b/>
          <w:sz w:val="32"/>
          <w:szCs w:val="32"/>
        </w:rPr>
      </w:pPr>
      <w:r>
        <w:rPr>
          <w:rStyle w:val="20"/>
          <w:rFonts w:hint="eastAsia" w:ascii="仿宋" w:hAnsi="仿宋" w:eastAsia="仿宋"/>
          <w:bCs/>
          <w:sz w:val="32"/>
          <w:szCs w:val="32"/>
        </w:rPr>
        <w:t>9</w:t>
      </w:r>
      <w:r>
        <w:rPr>
          <w:rStyle w:val="20"/>
          <w:rFonts w:ascii="仿宋" w:hAnsi="仿宋" w:eastAsia="仿宋"/>
          <w:bCs/>
          <w:sz w:val="32"/>
          <w:szCs w:val="32"/>
        </w:rPr>
        <w:t>.</w:t>
      </w:r>
      <w:r>
        <w:rPr>
          <w:rFonts w:hint="eastAsia" w:ascii="仿宋" w:hAnsi="仿宋" w:eastAsia="仿宋"/>
          <w:b/>
          <w:bCs/>
          <w:sz w:val="32"/>
          <w:szCs w:val="32"/>
        </w:rPr>
        <w:t>卫生健康210</w:t>
      </w:r>
      <w:r>
        <w:rPr>
          <w:rStyle w:val="20"/>
          <w:rFonts w:hint="eastAsia" w:ascii="仿宋" w:hAnsi="仿宋" w:eastAsia="仿宋"/>
          <w:bCs/>
          <w:sz w:val="32"/>
          <w:szCs w:val="32"/>
        </w:rPr>
        <w:t>（类）11（款）03（项）</w:t>
      </w:r>
      <w:r>
        <w:rPr>
          <w:rStyle w:val="20"/>
          <w:rFonts w:ascii="仿宋" w:hAnsi="仿宋" w:eastAsia="仿宋"/>
          <w:bCs/>
          <w:sz w:val="32"/>
          <w:szCs w:val="32"/>
        </w:rPr>
        <w:t>:</w:t>
      </w:r>
      <w:r>
        <w:rPr>
          <w:rStyle w:val="20"/>
          <w:rFonts w:hint="eastAsia" w:ascii="仿宋" w:hAnsi="仿宋" w:eastAsia="仿宋"/>
          <w:b w:val="0"/>
          <w:bCs/>
          <w:sz w:val="32"/>
          <w:szCs w:val="32"/>
        </w:rPr>
        <w:t>支出决算为0.76万元，完成预算100</w:t>
      </w:r>
      <w:r>
        <w:rPr>
          <w:rStyle w:val="20"/>
          <w:rFonts w:ascii="仿宋" w:hAnsi="仿宋" w:eastAsia="仿宋"/>
          <w:b w:val="0"/>
          <w:bCs/>
          <w:sz w:val="32"/>
          <w:szCs w:val="32"/>
        </w:rPr>
        <w:t>%</w:t>
      </w:r>
      <w:r>
        <w:rPr>
          <w:rStyle w:val="20"/>
          <w:rFonts w:hint="eastAsia" w:ascii="仿宋" w:hAnsi="仿宋" w:eastAsia="仿宋"/>
          <w:b w:val="0"/>
          <w:bCs/>
          <w:sz w:val="32"/>
          <w:szCs w:val="32"/>
        </w:rPr>
        <w:t>，决算数与预算数持平。</w:t>
      </w:r>
    </w:p>
    <w:p>
      <w:pPr>
        <w:spacing w:line="600" w:lineRule="exact"/>
        <w:ind w:firstLine="643" w:firstLineChars="200"/>
        <w:rPr>
          <w:rFonts w:ascii="仿宋" w:hAnsi="仿宋" w:eastAsia="仿宋"/>
          <w:b/>
          <w:sz w:val="32"/>
          <w:szCs w:val="32"/>
        </w:rPr>
      </w:pPr>
      <w:r>
        <w:rPr>
          <w:rStyle w:val="20"/>
          <w:rFonts w:hint="eastAsia" w:ascii="仿宋" w:hAnsi="仿宋" w:eastAsia="仿宋"/>
          <w:color w:val="000000"/>
          <w:sz w:val="32"/>
          <w:szCs w:val="32"/>
        </w:rPr>
        <w:t>10.住房保障支出221</w:t>
      </w:r>
      <w:r>
        <w:rPr>
          <w:rStyle w:val="20"/>
          <w:rFonts w:hint="eastAsia" w:ascii="仿宋" w:hAnsi="仿宋" w:eastAsia="仿宋"/>
          <w:bCs/>
          <w:color w:val="000000"/>
          <w:sz w:val="32"/>
          <w:szCs w:val="32"/>
        </w:rPr>
        <w:t>（类）02（款）01（项）</w:t>
      </w:r>
      <w:r>
        <w:rPr>
          <w:rStyle w:val="20"/>
          <w:rFonts w:ascii="仿宋" w:hAnsi="仿宋" w:eastAsia="仿宋"/>
          <w:bCs/>
          <w:color w:val="000000"/>
          <w:sz w:val="32"/>
          <w:szCs w:val="32"/>
        </w:rPr>
        <w:t>:</w:t>
      </w:r>
      <w:r>
        <w:rPr>
          <w:rStyle w:val="20"/>
          <w:rFonts w:hint="eastAsia" w:ascii="仿宋" w:hAnsi="仿宋" w:eastAsia="仿宋"/>
          <w:b w:val="0"/>
          <w:bCs/>
          <w:color w:val="000000"/>
          <w:sz w:val="32"/>
          <w:szCs w:val="32"/>
        </w:rPr>
        <w:t>支出决算为7.98万元，完成预算100</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w:t>
      </w:r>
      <w:r>
        <w:rPr>
          <w:rStyle w:val="20"/>
          <w:rFonts w:hint="eastAsia" w:ascii="仿宋" w:hAnsi="仿宋" w:eastAsia="仿宋"/>
          <w:b w:val="0"/>
          <w:bCs/>
          <w:sz w:val="32"/>
          <w:szCs w:val="32"/>
        </w:rPr>
        <w:t>决算数与预算数持平</w:t>
      </w:r>
      <w:r>
        <w:rPr>
          <w:rStyle w:val="20"/>
          <w:rFonts w:hint="eastAsia" w:ascii="仿宋" w:hAnsi="仿宋" w:eastAsia="仿宋"/>
          <w:b w:val="0"/>
          <w:bCs/>
          <w:color w:val="000000"/>
          <w:sz w:val="32"/>
          <w:szCs w:val="32"/>
        </w:rPr>
        <w:t>。</w:t>
      </w:r>
    </w:p>
    <w:p>
      <w:pPr>
        <w:tabs>
          <w:tab w:val="right" w:pos="8306"/>
        </w:tabs>
        <w:spacing w:line="600" w:lineRule="exact"/>
        <w:ind w:firstLine="640"/>
        <w:outlineLvl w:val="1"/>
        <w:rPr>
          <w:rStyle w:val="32"/>
        </w:rPr>
      </w:pPr>
      <w:bookmarkStart w:id="47" w:name="_Toc15377214"/>
      <w:bookmarkStart w:id="48" w:name="_Toc15396608"/>
      <w:bookmarkStart w:id="49" w:name="_Toc32073"/>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7"/>
      <w:bookmarkEnd w:id="48"/>
      <w:bookmarkEnd w:id="49"/>
      <w:r>
        <w:rPr>
          <w:rStyle w:val="32"/>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22年一般公共预算财政拨款基本支出97.87万元，其中：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人员经费84.03万元，主要包括：基本工资、津贴补贴、奖金、机关事业单位基本养老保险缴费、职工基本医疗保险缴费、公务员医疗补助缴费、奖励金、住房公积金等。</w:t>
      </w:r>
      <w:r>
        <w:rPr>
          <w:rFonts w:ascii="仿宋" w:hAnsi="仿宋" w:eastAsia="仿宋"/>
          <w:sz w:val="32"/>
          <w:szCs w:val="32"/>
        </w:rPr>
        <w:br w:type="textWrapping"/>
      </w:r>
      <w:r>
        <w:rPr>
          <w:rFonts w:hint="eastAsia" w:ascii="仿宋" w:hAnsi="仿宋" w:eastAsia="仿宋"/>
          <w:sz w:val="32"/>
          <w:szCs w:val="32"/>
        </w:rPr>
        <w:t>　　公用经费13.84万元，主要包括：办公费、印刷费、邮电费、差旅费、公务接待费、劳务费、委托业务费、工会经费、福利费、其他交通费、其他商品和服务支出等。</w:t>
      </w:r>
    </w:p>
    <w:p>
      <w:pPr>
        <w:spacing w:line="600" w:lineRule="exact"/>
        <w:ind w:firstLine="640"/>
        <w:outlineLvl w:val="1"/>
        <w:rPr>
          <w:rStyle w:val="32"/>
          <w:rFonts w:ascii="黑体" w:hAnsi="黑体" w:eastAsia="黑体"/>
          <w:b w:val="0"/>
        </w:rPr>
      </w:pPr>
      <w:bookmarkStart w:id="50" w:name="_Toc15377215"/>
      <w:bookmarkStart w:id="51" w:name="_Toc24987"/>
      <w:bookmarkStart w:id="52" w:name="_Toc15396609"/>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50"/>
      <w:bookmarkEnd w:id="51"/>
      <w:bookmarkEnd w:id="52"/>
    </w:p>
    <w:p>
      <w:pPr>
        <w:spacing w:line="600" w:lineRule="exact"/>
        <w:ind w:firstLine="640"/>
        <w:outlineLvl w:val="2"/>
        <w:rPr>
          <w:rFonts w:ascii="仿宋" w:hAnsi="仿宋" w:eastAsia="仿宋"/>
          <w:b/>
          <w:sz w:val="32"/>
          <w:szCs w:val="32"/>
        </w:rPr>
      </w:pPr>
      <w:bookmarkStart w:id="53" w:name="_Toc15377216"/>
      <w:r>
        <w:rPr>
          <w:rFonts w:hint="eastAsia" w:ascii="仿宋" w:hAnsi="仿宋" w:eastAsia="仿宋"/>
          <w:b/>
          <w:sz w:val="32"/>
          <w:szCs w:val="32"/>
        </w:rPr>
        <w:t>（一）“三公”经费财政拨款支出决算总体情况说明</w:t>
      </w:r>
      <w:bookmarkEnd w:id="5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22年“三公”经费财政拨款支出决算为0.38万元，完成预算100</w:t>
      </w:r>
      <w:r>
        <w:rPr>
          <w:rFonts w:ascii="仿宋" w:hAnsi="仿宋" w:eastAsia="仿宋"/>
          <w:sz w:val="32"/>
          <w:szCs w:val="32"/>
        </w:rPr>
        <w:t>%</w:t>
      </w:r>
      <w:r>
        <w:rPr>
          <w:rFonts w:hint="eastAsia" w:ascii="仿宋" w:hAnsi="仿宋" w:eastAsia="仿宋"/>
          <w:sz w:val="32"/>
          <w:szCs w:val="32"/>
        </w:rPr>
        <w:t>，较上年减少0.39万元，下降50.65%。决算数小于预算数的主要原因是单位</w:t>
      </w:r>
      <w:r>
        <w:rPr>
          <w:rFonts w:hint="eastAsia" w:ascii="仿宋" w:hAnsi="仿宋" w:eastAsia="仿宋"/>
          <w:sz w:val="32"/>
          <w:szCs w:val="32"/>
          <w:lang w:eastAsia="zh-CN"/>
        </w:rPr>
        <w:t>厉行节约</w:t>
      </w:r>
      <w:r>
        <w:rPr>
          <w:rFonts w:hint="eastAsia" w:ascii="仿宋" w:hAnsi="仿宋" w:eastAsia="仿宋"/>
          <w:sz w:val="32"/>
          <w:szCs w:val="32"/>
        </w:rPr>
        <w:t>，缩减开支。</w:t>
      </w:r>
    </w:p>
    <w:p>
      <w:pPr>
        <w:spacing w:line="600" w:lineRule="exact"/>
        <w:ind w:firstLine="640"/>
        <w:outlineLvl w:val="2"/>
        <w:rPr>
          <w:rFonts w:ascii="仿宋" w:hAnsi="仿宋" w:eastAsia="仿宋"/>
          <w:b/>
          <w:sz w:val="32"/>
          <w:szCs w:val="32"/>
        </w:rPr>
      </w:pPr>
      <w:bookmarkStart w:id="54" w:name="_Toc15377217"/>
      <w:r>
        <w:rPr>
          <w:rFonts w:hint="eastAsia" w:ascii="仿宋" w:hAnsi="仿宋" w:eastAsia="仿宋"/>
          <w:b/>
          <w:sz w:val="32"/>
          <w:szCs w:val="32"/>
        </w:rPr>
        <w:t>（二）“三公”经费财政拨款支出决算具体情况说明</w:t>
      </w:r>
      <w:bookmarkEnd w:id="5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；公务接待费支出决算0.38万元，占100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rPr>
          <w:rFonts w:ascii="仿宋" w:hAnsi="仿宋" w:eastAsia="仿宋"/>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290195</wp:posOffset>
            </wp:positionH>
            <wp:positionV relativeFrom="paragraph">
              <wp:posOffset>375285</wp:posOffset>
            </wp:positionV>
            <wp:extent cx="5080000" cy="3764280"/>
            <wp:effectExtent l="4445" t="4445" r="20955" b="2222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3"/>
        <w:rPr>
          <w:rFonts w:ascii="仿宋" w:hAnsi="仿宋" w:eastAsia="仿宋"/>
          <w:sz w:val="32"/>
          <w:szCs w:val="32"/>
        </w:rPr>
      </w:pPr>
    </w:p>
    <w:p>
      <w:pPr>
        <w:pStyle w:val="4"/>
        <w:rPr>
          <w:rFonts w:ascii="仿宋" w:hAnsi="仿宋" w:eastAsia="仿宋"/>
          <w:sz w:val="32"/>
          <w:szCs w:val="32"/>
        </w:rPr>
      </w:pPr>
    </w:p>
    <w:p>
      <w:pPr>
        <w:pStyle w:val="4"/>
        <w:ind w:left="0"/>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20"/>
          <w:rFonts w:hint="eastAsia" w:ascii="仿宋" w:hAnsi="仿宋" w:eastAsia="仿宋"/>
          <w:b w:val="0"/>
          <w:bCs/>
          <w:sz w:val="32"/>
          <w:szCs w:val="32"/>
        </w:rPr>
        <w:t>完成预算0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20"/>
          <w:rFonts w:hint="eastAsia" w:ascii="仿宋" w:hAnsi="仿宋" w:eastAsia="仿宋"/>
          <w:b w:val="0"/>
          <w:bCs/>
          <w:sz w:val="32"/>
          <w:szCs w:val="32"/>
        </w:rPr>
        <w:t>完成预算0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公务用车购置及运行维护费支出决算比支出决算比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持平。</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月底，单位共有公务用车0辆，其中：轿车0辆、越野车0辆、载客汽车0辆。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0.38万元，</w:t>
      </w:r>
      <w:r>
        <w:rPr>
          <w:rStyle w:val="20"/>
          <w:rFonts w:hint="eastAsia" w:ascii="仿宋" w:hAnsi="仿宋" w:eastAsia="仿宋"/>
          <w:b w:val="0"/>
          <w:bCs/>
          <w:sz w:val="32"/>
          <w:szCs w:val="32"/>
        </w:rPr>
        <w:t>完成预算100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21年减少0.39万元，下降50.65</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单位</w:t>
      </w:r>
      <w:r>
        <w:rPr>
          <w:rFonts w:hint="eastAsia" w:ascii="仿宋" w:hAnsi="仿宋" w:eastAsia="仿宋"/>
          <w:sz w:val="32"/>
          <w:szCs w:val="32"/>
          <w:lang w:eastAsia="zh-CN"/>
        </w:rPr>
        <w:t>厉行节约</w:t>
      </w:r>
      <w:r>
        <w:rPr>
          <w:rFonts w:hint="eastAsia" w:ascii="仿宋" w:hAnsi="仿宋" w:eastAsia="仿宋"/>
          <w:sz w:val="32"/>
          <w:szCs w:val="32"/>
        </w:rPr>
        <w:t>，缩减开支。</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0.38</w:t>
      </w:r>
      <w:r>
        <w:rPr>
          <w:rFonts w:hint="eastAsia" w:ascii="仿宋_GB2312" w:eastAsia="仿宋_GB2312"/>
          <w:sz w:val="32"/>
          <w:szCs w:val="32"/>
        </w:rPr>
        <w:t>万元，主要用于执行公务、开展业务活动开支的交通费、住宿费、用餐费等。国内公务接待5批次，56人次（不包括陪同人员），共计支出0.38万元，具体内容包括：</w:t>
      </w:r>
      <w:r>
        <w:rPr>
          <w:rFonts w:hint="eastAsia" w:ascii="仿宋_GB2312" w:eastAsia="仿宋_GB2312"/>
          <w:color w:val="000000"/>
          <w:sz w:val="32"/>
          <w:szCs w:val="32"/>
        </w:rPr>
        <w:t>执行公务、开展业务活动开支的交通费、用餐费等</w:t>
      </w:r>
      <w:r>
        <w:rPr>
          <w:rFonts w:hint="eastAsia" w:ascii="仿宋_GB2312" w:eastAsia="仿宋_GB2312"/>
          <w:sz w:val="32"/>
          <w:szCs w:val="32"/>
        </w:rPr>
        <w:t>。</w:t>
      </w:r>
    </w:p>
    <w:p>
      <w:pPr>
        <w:spacing w:line="600" w:lineRule="exact"/>
        <w:ind w:firstLine="640"/>
        <w:rPr>
          <w:rFonts w:ascii="仿宋_GB2312" w:eastAsia="仿宋_GB2312"/>
          <w:sz w:val="32"/>
          <w:szCs w:val="32"/>
        </w:rPr>
      </w:pP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万元，外事接待0批次，0人次（不包括陪同人员），共计支出0万元。</w:t>
      </w:r>
    </w:p>
    <w:p>
      <w:pPr>
        <w:spacing w:line="600" w:lineRule="exact"/>
        <w:ind w:firstLine="640"/>
        <w:rPr>
          <w:rFonts w:ascii="黑体" w:eastAsia="黑体"/>
          <w:sz w:val="32"/>
          <w:szCs w:val="32"/>
        </w:rPr>
      </w:pPr>
      <w:bookmarkStart w:id="55" w:name="_Toc15396610"/>
      <w:bookmarkStart w:id="56" w:name="_Toc15377218"/>
    </w:p>
    <w:p>
      <w:pPr>
        <w:spacing w:line="600" w:lineRule="exact"/>
        <w:ind w:firstLine="640"/>
        <w:outlineLvl w:val="1"/>
        <w:rPr>
          <w:rStyle w:val="32"/>
          <w:rFonts w:ascii="黑体" w:hAnsi="黑体" w:eastAsia="黑体"/>
        </w:rPr>
      </w:pPr>
      <w:bookmarkStart w:id="57" w:name="_Toc21809"/>
      <w:r>
        <w:rPr>
          <w:rFonts w:hint="eastAsia" w:ascii="黑体" w:eastAsia="黑体"/>
          <w:sz w:val="32"/>
          <w:szCs w:val="32"/>
        </w:rPr>
        <w:t>八、</w:t>
      </w:r>
      <w:r>
        <w:rPr>
          <w:rStyle w:val="32"/>
          <w:rFonts w:hint="eastAsia" w:ascii="黑体" w:hAnsi="黑体" w:eastAsia="黑体"/>
          <w:b w:val="0"/>
        </w:rPr>
        <w:t>政府性基金预算支出决算情况说明</w:t>
      </w:r>
      <w:bookmarkEnd w:id="55"/>
      <w:bookmarkEnd w:id="56"/>
      <w:bookmarkEnd w:id="5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spacing w:line="600" w:lineRule="exact"/>
        <w:ind w:firstLine="640"/>
        <w:rPr>
          <w:rFonts w:ascii="仿宋_GB2312" w:eastAsia="仿宋_GB2312"/>
          <w:sz w:val="32"/>
          <w:szCs w:val="32"/>
        </w:rPr>
      </w:pPr>
    </w:p>
    <w:p>
      <w:pPr>
        <w:numPr>
          <w:ilvl w:val="0"/>
          <w:numId w:val="4"/>
        </w:numPr>
        <w:spacing w:line="600" w:lineRule="exact"/>
        <w:ind w:firstLine="640"/>
        <w:outlineLvl w:val="1"/>
        <w:rPr>
          <w:rStyle w:val="32"/>
          <w:rFonts w:ascii="黑体" w:hAnsi="黑体" w:eastAsia="黑体"/>
          <w:b w:val="0"/>
        </w:rPr>
      </w:pPr>
      <w:bookmarkStart w:id="58" w:name="_Toc15396611"/>
      <w:bookmarkStart w:id="59" w:name="_Toc25982"/>
      <w:bookmarkStart w:id="60" w:name="_Toc15377219"/>
      <w:r>
        <w:rPr>
          <w:rStyle w:val="32"/>
          <w:rFonts w:hint="eastAsia" w:ascii="黑体" w:hAnsi="黑体" w:eastAsia="黑体"/>
          <w:b w:val="0"/>
        </w:rPr>
        <w:t>国有资本经营预算支出决算情况说明</w:t>
      </w:r>
      <w:bookmarkEnd w:id="58"/>
      <w:bookmarkEnd w:id="59"/>
      <w:bookmarkEnd w:id="60"/>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4"/>
        </w:numPr>
        <w:spacing w:line="600" w:lineRule="exact"/>
        <w:ind w:firstLine="640"/>
        <w:outlineLvl w:val="1"/>
        <w:rPr>
          <w:rStyle w:val="32"/>
          <w:rFonts w:ascii="黑体" w:hAnsi="黑体" w:eastAsia="黑体"/>
          <w:b w:val="0"/>
        </w:rPr>
      </w:pPr>
      <w:bookmarkStart w:id="61" w:name="_Toc15396612"/>
      <w:bookmarkStart w:id="62" w:name="_Toc15377221"/>
      <w:bookmarkStart w:id="63" w:name="_Toc19805"/>
      <w:r>
        <w:rPr>
          <w:rStyle w:val="32"/>
          <w:rFonts w:hint="eastAsia" w:ascii="黑体" w:hAnsi="黑体" w:eastAsia="黑体"/>
          <w:b w:val="0"/>
        </w:rPr>
        <w:t>其他重要事项的情况说明</w:t>
      </w:r>
      <w:bookmarkEnd w:id="61"/>
      <w:bookmarkEnd w:id="62"/>
      <w:bookmarkEnd w:id="63"/>
    </w:p>
    <w:p>
      <w:pPr>
        <w:spacing w:line="600" w:lineRule="exact"/>
        <w:ind w:firstLine="643" w:firstLineChars="200"/>
        <w:outlineLvl w:val="2"/>
        <w:rPr>
          <w:rFonts w:ascii="仿宋" w:hAnsi="仿宋" w:eastAsia="仿宋"/>
          <w:sz w:val="32"/>
          <w:szCs w:val="32"/>
        </w:rPr>
      </w:pPr>
      <w:bookmarkStart w:id="64" w:name="_Toc15377222"/>
      <w:r>
        <w:rPr>
          <w:rFonts w:hint="eastAsia" w:ascii="仿宋" w:hAnsi="仿宋" w:eastAsia="仿宋"/>
          <w:b/>
          <w:sz w:val="32"/>
          <w:szCs w:val="32"/>
        </w:rPr>
        <w:t>（一）机关运行经费支出情况</w:t>
      </w:r>
      <w:bookmarkEnd w:id="64"/>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 w:hAnsi="仿宋" w:eastAsia="仿宋" w:cs="仿宋"/>
          <w:color w:val="000000"/>
          <w:sz w:val="32"/>
          <w:szCs w:val="32"/>
        </w:rPr>
        <w:t>科学技术协会</w:t>
      </w:r>
      <w:r>
        <w:rPr>
          <w:rFonts w:hint="eastAsia" w:ascii="仿宋_GB2312" w:eastAsia="仿宋_GB2312"/>
          <w:sz w:val="32"/>
          <w:szCs w:val="32"/>
        </w:rPr>
        <w:t>机关运行经费支出13.84万元，比</w:t>
      </w:r>
      <w:r>
        <w:rPr>
          <w:rFonts w:ascii="仿宋_GB2312" w:eastAsia="仿宋_GB2312"/>
          <w:sz w:val="32"/>
          <w:szCs w:val="32"/>
        </w:rPr>
        <w:t>20</w:t>
      </w:r>
      <w:r>
        <w:rPr>
          <w:rFonts w:hint="eastAsia" w:ascii="仿宋_GB2312" w:eastAsia="仿宋_GB2312"/>
          <w:sz w:val="32"/>
          <w:szCs w:val="32"/>
        </w:rPr>
        <w:t>21年减少1.24万元，下降9.84</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单位</w:t>
      </w:r>
      <w:r>
        <w:rPr>
          <w:rFonts w:hint="eastAsia" w:ascii="仿宋" w:hAnsi="仿宋" w:eastAsia="仿宋"/>
          <w:sz w:val="32"/>
          <w:szCs w:val="32"/>
          <w:lang w:eastAsia="zh-CN"/>
        </w:rPr>
        <w:t>厉行节约</w:t>
      </w:r>
      <w:r>
        <w:rPr>
          <w:rFonts w:hint="eastAsia" w:ascii="仿宋" w:hAnsi="仿宋" w:eastAsia="仿宋"/>
          <w:sz w:val="32"/>
          <w:szCs w:val="32"/>
        </w:rPr>
        <w:t>，缩减开支</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5" w:name="_Toc15377223"/>
      <w:r>
        <w:rPr>
          <w:rFonts w:hint="eastAsia" w:ascii="仿宋" w:hAnsi="仿宋" w:eastAsia="仿宋"/>
          <w:b/>
          <w:sz w:val="32"/>
          <w:szCs w:val="32"/>
        </w:rPr>
        <w:t>（二）政府采购支出情况</w:t>
      </w:r>
      <w:bookmarkEnd w:id="6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 w:hAnsi="仿宋" w:eastAsia="仿宋" w:cs="仿宋"/>
          <w:color w:val="000000"/>
          <w:sz w:val="32"/>
          <w:szCs w:val="32"/>
        </w:rPr>
        <w:t>科学技术协会</w:t>
      </w:r>
      <w:r>
        <w:rPr>
          <w:rFonts w:hint="eastAsia" w:ascii="仿宋_GB2312" w:eastAsia="仿宋_GB2312"/>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66" w:name="_Toc15377224"/>
      <w:r>
        <w:rPr>
          <w:rFonts w:hint="eastAsia" w:ascii="仿宋" w:hAnsi="仿宋" w:eastAsia="仿宋"/>
          <w:b/>
          <w:sz w:val="32"/>
          <w:szCs w:val="32"/>
        </w:rPr>
        <w:t>（三）国有资产占有使用情况</w:t>
      </w:r>
      <w:bookmarkEnd w:id="66"/>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hAnsi="仿宋" w:eastAsia="仿宋" w:cs="仿宋"/>
          <w:color w:val="000000"/>
          <w:sz w:val="32"/>
          <w:szCs w:val="32"/>
        </w:rPr>
        <w:t>科学技术协会</w:t>
      </w:r>
      <w:r>
        <w:rPr>
          <w:rFonts w:hint="eastAsia" w:ascii="仿宋_GB2312" w:eastAsia="仿宋_GB2312"/>
          <w:sz w:val="32"/>
          <w:szCs w:val="32"/>
        </w:rPr>
        <w:t>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科普活动经费、科普阵地建设、天府科技云服务、青少年科创及乡土人才大赛4个项目开展了预算事前绩效评估，对4个项目编制了绩效目标，预算执行过程中，选取4个项目开展绩效监控。</w:t>
      </w:r>
    </w:p>
    <w:p>
      <w:pPr>
        <w:adjustRightInd w:val="0"/>
        <w:snapToGrid w:val="0"/>
        <w:spacing w:line="560" w:lineRule="exact"/>
        <w:ind w:firstLine="640" w:firstLineChars="200"/>
        <w:contextualSpacing/>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w:t>
      </w:r>
      <w:r>
        <w:rPr>
          <w:rFonts w:hint="eastAsia" w:ascii="仿宋" w:hAnsi="仿宋" w:eastAsia="仿宋" w:cs="仿宋"/>
          <w:color w:val="000000"/>
          <w:sz w:val="32"/>
          <w:szCs w:val="32"/>
        </w:rPr>
        <w:t>科学技术协会</w:t>
      </w:r>
      <w:r>
        <w:rPr>
          <w:rFonts w:hint="eastAsia" w:ascii="仿宋_GB2312" w:hAnsi="仿宋_GB2312" w:eastAsia="仿宋_GB2312" w:cs="仿宋_GB2312"/>
          <w:sz w:val="32"/>
          <w:szCs w:val="32"/>
        </w:rPr>
        <w:t>部门整体（含部门预算项目）绩效自评报告、科普活动经费、科普阵地建设、天府科技云服务、青少年科创及乡土人才大赛专项预算项目绩效自评报告，其中，部门整体（含部门预算项目）绩效自评得分为100分，绩效自评综述：</w:t>
      </w:r>
      <w:r>
        <w:rPr>
          <w:rFonts w:ascii="仿宋_GB2312" w:hAnsi="仿宋_GB2312" w:eastAsia="仿宋_GB2312" w:cs="仿宋_GB2312"/>
          <w:sz w:val="32"/>
          <w:szCs w:val="32"/>
        </w:rPr>
        <w:t>安居区科学技术协会为进一步加强财务管理，规范公务支付业务，减少现金支付结算，提高支付透明度，强化资金安全，制定了《安居区科学技术协会内部控制规范建设》内部控制制度，包括：预算管理、采购管理、结算管理、资产管理、财务机构、财务监督等管理事项</w:t>
      </w:r>
      <w:r>
        <w:rPr>
          <w:rFonts w:hint="eastAsia" w:ascii="仿宋_GB2312" w:hAnsi="仿宋_GB2312" w:eastAsia="仿宋_GB2312" w:cs="仿宋_GB2312"/>
          <w:sz w:val="32"/>
          <w:szCs w:val="32"/>
        </w:rPr>
        <w:t>；</w:t>
      </w:r>
      <w:r>
        <w:rPr>
          <w:rFonts w:ascii="仿宋_GB2312" w:hAnsi="仿宋_GB2312" w:eastAsia="仿宋_GB2312" w:cs="仿宋_GB2312"/>
          <w:sz w:val="32"/>
          <w:szCs w:val="32"/>
          <w:lang w:val="zh-CN"/>
        </w:rPr>
        <w:t>在今后编制预算时，</w:t>
      </w:r>
      <w:r>
        <w:rPr>
          <w:rFonts w:ascii="仿宋_GB2312" w:hAnsi="仿宋_GB2312" w:eastAsia="仿宋_GB2312" w:cs="仿宋_GB2312"/>
          <w:sz w:val="32"/>
          <w:szCs w:val="32"/>
        </w:rPr>
        <w:t>根据信息公开</w:t>
      </w:r>
      <w:r>
        <w:rPr>
          <w:rFonts w:ascii="仿宋_GB2312" w:hAnsi="仿宋_GB2312" w:eastAsia="仿宋_GB2312" w:cs="仿宋_GB2312"/>
          <w:sz w:val="32"/>
          <w:szCs w:val="32"/>
          <w:lang w:val="zh-CN"/>
        </w:rPr>
        <w:t>按要求将</w:t>
      </w:r>
      <w:r>
        <w:rPr>
          <w:rFonts w:ascii="仿宋_GB2312" w:hAnsi="仿宋_GB2312" w:eastAsia="仿宋_GB2312" w:cs="仿宋_GB2312"/>
          <w:sz w:val="32"/>
          <w:szCs w:val="32"/>
        </w:rPr>
        <w:t>我单位</w:t>
      </w:r>
      <w:r>
        <w:rPr>
          <w:rFonts w:ascii="仿宋_GB2312" w:hAnsi="仿宋_GB2312" w:eastAsia="仿宋_GB2312" w:cs="仿宋_GB2312"/>
          <w:sz w:val="32"/>
          <w:szCs w:val="32"/>
          <w:lang w:val="zh-CN"/>
        </w:rPr>
        <w:t>整体绩效自评情况和</w:t>
      </w:r>
      <w:r>
        <w:rPr>
          <w:rFonts w:ascii="仿宋_GB2312" w:hAnsi="仿宋_GB2312" w:eastAsia="仿宋_GB2312" w:cs="仿宋_GB2312"/>
          <w:sz w:val="32"/>
          <w:szCs w:val="32"/>
        </w:rPr>
        <w:t>自</w:t>
      </w:r>
      <w:r>
        <w:rPr>
          <w:rFonts w:ascii="仿宋_GB2312" w:hAnsi="仿宋_GB2312" w:eastAsia="仿宋_GB2312" w:cs="仿宋_GB2312"/>
          <w:sz w:val="32"/>
          <w:szCs w:val="32"/>
          <w:lang w:val="zh-CN"/>
        </w:rPr>
        <w:t>行组织的评价情况向社会公开；根据整改</w:t>
      </w:r>
      <w:r>
        <w:rPr>
          <w:rFonts w:ascii="仿宋_GB2312" w:hAnsi="仿宋_GB2312" w:eastAsia="仿宋_GB2312" w:cs="仿宋_GB2312"/>
          <w:sz w:val="32"/>
          <w:szCs w:val="32"/>
        </w:rPr>
        <w:t>反馈</w:t>
      </w:r>
      <w:r>
        <w:rPr>
          <w:rFonts w:ascii="仿宋_GB2312" w:hAnsi="仿宋_GB2312" w:eastAsia="仿宋_GB2312" w:cs="仿宋_GB2312"/>
          <w:sz w:val="32"/>
          <w:szCs w:val="32"/>
          <w:lang w:val="zh-CN"/>
        </w:rPr>
        <w:t>问题、完善政策、改进管理的情况</w:t>
      </w:r>
      <w:r>
        <w:rPr>
          <w:rFonts w:ascii="仿宋_GB2312" w:hAnsi="仿宋_GB2312" w:eastAsia="仿宋_GB2312" w:cs="仿宋_GB2312"/>
          <w:sz w:val="32"/>
          <w:szCs w:val="32"/>
        </w:rPr>
        <w:t>并及时向财政部门反馈结果应用情况</w:t>
      </w:r>
      <w:r>
        <w:rPr>
          <w:rFonts w:ascii="仿宋_GB2312" w:hAnsi="仿宋_GB2312" w:eastAsia="仿宋_GB2312" w:cs="仿宋_GB2312"/>
          <w:sz w:val="32"/>
          <w:szCs w:val="32"/>
          <w:lang w:val="zh-CN"/>
        </w:rPr>
        <w:t>；将绩效自评价结果作为改进预算管理和安排以后年度预算的重要依据。</w:t>
      </w:r>
      <w:r>
        <w:rPr>
          <w:rFonts w:hint="eastAsia" w:ascii="仿宋_GB2312" w:hAnsi="仿宋_GB2312" w:eastAsia="仿宋_GB2312" w:cs="仿宋_GB2312"/>
          <w:sz w:val="32"/>
          <w:szCs w:val="32"/>
        </w:rPr>
        <w:t>绩效自评报告详见附件。</w:t>
      </w:r>
      <w:r>
        <w:rPr>
          <w:rFonts w:ascii="仿宋_GB2312" w:eastAsia="仿宋_GB2312"/>
          <w:b/>
          <w:sz w:val="32"/>
          <w:szCs w:val="32"/>
        </w:rPr>
        <w:br w:type="page"/>
      </w:r>
    </w:p>
    <w:p>
      <w:pPr>
        <w:numPr>
          <w:ilvl w:val="0"/>
          <w:numId w:val="5"/>
        </w:numPr>
        <w:spacing w:line="600" w:lineRule="exact"/>
        <w:ind w:firstLine="660" w:firstLineChars="150"/>
        <w:jc w:val="center"/>
        <w:outlineLvl w:val="0"/>
        <w:rPr>
          <w:rStyle w:val="31"/>
          <w:rFonts w:ascii="黑体" w:hAnsi="黑体" w:eastAsia="黑体"/>
          <w:b w:val="0"/>
        </w:rPr>
      </w:pPr>
      <w:bookmarkStart w:id="67" w:name="_Toc32154"/>
      <w:bookmarkStart w:id="68" w:name="_Toc15377225"/>
      <w:bookmarkStart w:id="69" w:name="_Toc15396613"/>
      <w:r>
        <w:rPr>
          <w:rFonts w:hint="eastAsia" w:ascii="黑体" w:hAnsi="黑体" w:eastAsia="黑体"/>
          <w:sz w:val="44"/>
          <w:szCs w:val="44"/>
        </w:rPr>
        <w:t>名</w:t>
      </w:r>
      <w:r>
        <w:rPr>
          <w:rStyle w:val="31"/>
          <w:rFonts w:hint="eastAsia" w:ascii="黑体" w:hAnsi="黑体" w:eastAsia="黑体"/>
          <w:b w:val="0"/>
        </w:rPr>
        <w:t>词解释</w:t>
      </w:r>
      <w:bookmarkEnd w:id="67"/>
      <w:bookmarkEnd w:id="68"/>
      <w:bookmarkEnd w:id="69"/>
    </w:p>
    <w:p>
      <w:pPr>
        <w:spacing w:line="600" w:lineRule="exact"/>
        <w:jc w:val="left"/>
        <w:rPr>
          <w:rFonts w:ascii="宋体"/>
          <w:b/>
          <w:sz w:val="44"/>
          <w:szCs w:val="44"/>
        </w:rPr>
      </w:pP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9"/>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rPr>
        <w:t>9</w:t>
      </w:r>
      <w:r>
        <w:rPr>
          <w:rFonts w:ascii="仿宋_GB2312" w:eastAsia="仿宋_GB2312"/>
          <w:sz w:val="32"/>
          <w:szCs w:val="32"/>
        </w:rPr>
        <w:t>.</w:t>
      </w:r>
      <w:r>
        <w:rPr>
          <w:rFonts w:hint="eastAsia" w:ascii="仿宋_GB2312" w:eastAsia="仿宋_GB2312"/>
          <w:sz w:val="32"/>
          <w:szCs w:val="32"/>
        </w:rPr>
        <w:t>科学技术</w:t>
      </w:r>
      <w:r>
        <w:rPr>
          <w:rFonts w:hint="eastAsia" w:ascii="仿宋" w:hAnsi="仿宋" w:eastAsia="仿宋" w:cs="仿宋"/>
          <w:color w:val="000000"/>
          <w:sz w:val="32"/>
          <w:szCs w:val="32"/>
        </w:rPr>
        <w:t>206（类）01（款）01（项）：指行政单位（包括实行公务员管理的事业单位）的基本支出</w:t>
      </w:r>
      <w:r>
        <w:rPr>
          <w:rFonts w:hint="eastAsia" w:ascii="仿宋_GB2312" w:eastAsia="仿宋_GB2312"/>
          <w:sz w:val="32"/>
          <w:szCs w:val="32"/>
        </w:rPr>
        <w:t>。</w:t>
      </w:r>
    </w:p>
    <w:p>
      <w:pPr>
        <w:pStyle w:val="2"/>
        <w:spacing w:before="93"/>
        <w:ind w:firstLine="640" w:firstLineChars="200"/>
        <w:rPr>
          <w:rFonts w:ascii="仿宋" w:hAnsi="仿宋" w:eastAsia="仿宋" w:cs="仿宋"/>
          <w:color w:val="000000"/>
          <w:sz w:val="32"/>
          <w:szCs w:val="32"/>
        </w:rPr>
      </w:pPr>
      <w:r>
        <w:rPr>
          <w:rFonts w:hint="eastAsia"/>
          <w:sz w:val="32"/>
          <w:szCs w:val="32"/>
        </w:rPr>
        <w:t>10.科学技术</w:t>
      </w:r>
      <w:r>
        <w:rPr>
          <w:rFonts w:hint="eastAsia" w:ascii="仿宋" w:hAnsi="仿宋" w:eastAsia="仿宋" w:cs="仿宋"/>
          <w:color w:val="000000"/>
          <w:sz w:val="32"/>
          <w:szCs w:val="32"/>
        </w:rPr>
        <w:t>206（类）01（款）02（项）：指行政单位（包括实行公务员管理的事业单位）未单独设置项级科目的其他项目支出。</w:t>
      </w:r>
    </w:p>
    <w:p>
      <w:pPr>
        <w:pStyle w:val="8"/>
        <w:numPr>
          <w:ilvl w:val="0"/>
          <w:numId w:val="0"/>
        </w:numPr>
        <w:ind w:firstLine="640" w:firstLineChars="200"/>
        <w:rPr>
          <w:rFonts w:eastAsia="仿宋"/>
        </w:rPr>
      </w:pPr>
      <w:r>
        <w:rPr>
          <w:rFonts w:hint="eastAsia" w:ascii="仿宋" w:hAnsi="仿宋" w:eastAsia="仿宋" w:cs="仿宋"/>
          <w:color w:val="000000"/>
          <w:sz w:val="32"/>
          <w:szCs w:val="32"/>
        </w:rPr>
        <w:t>11.科学技术支出206（类）01（款）99（项）：反映除上述项目以外其他用于科学技术管理事务方面的支出。</w:t>
      </w:r>
    </w:p>
    <w:p>
      <w:pPr>
        <w:pStyle w:val="8"/>
        <w:numPr>
          <w:ilvl w:val="0"/>
          <w:numId w:val="0"/>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12.科学技术支出206（类）05（款）99（项）：指除机构运行、技术创新服务体系、科技条件专项项目以外其他用于科技条件与服务方面的支出。</w:t>
      </w:r>
    </w:p>
    <w:p>
      <w:pPr>
        <w:pStyle w:val="8"/>
        <w:numPr>
          <w:ilvl w:val="0"/>
          <w:numId w:val="0"/>
        </w:num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13.科学技术支出206（类）07（款）02（项）：指用于开展科普活动的支出。</w:t>
      </w:r>
    </w:p>
    <w:p>
      <w:pPr>
        <w:pStyle w:val="8"/>
        <w:numPr>
          <w:ilvl w:val="0"/>
          <w:numId w:val="0"/>
        </w:numPr>
        <w:ind w:firstLine="640" w:firstLineChars="200"/>
        <w:rPr>
          <w:rFonts w:ascii="仿宋_GB2312" w:hAnsi="仿宋_GB2312" w:eastAsia="仿宋_GB2312" w:cs="仿宋_GB2312"/>
          <w:color w:val="000000"/>
          <w:sz w:val="32"/>
          <w:szCs w:val="32"/>
        </w:rPr>
      </w:pPr>
      <w:r>
        <w:rPr>
          <w:rFonts w:hint="eastAsia" w:ascii="仿宋" w:hAnsi="仿宋" w:eastAsia="仿宋" w:cs="仿宋"/>
          <w:color w:val="000000"/>
          <w:sz w:val="32"/>
          <w:szCs w:val="32"/>
        </w:rPr>
        <w:t>14.科学技术支出206（类）07（款）99（项）：指除机构运行、科普活动、青少年科技活动、学术交流活动、科技馆站项目以外其他用于科学技术普及方面的支出。</w:t>
      </w:r>
    </w:p>
    <w:p>
      <w:pPr>
        <w:pStyle w:val="8"/>
        <w:numPr>
          <w:ilvl w:val="0"/>
          <w:numId w:val="0"/>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15.社会保障和就业支出208（类）05（款）05（项）：指机关事业单位实施养老保险制度由单位缴纳的基本养老保险费支出</w:t>
      </w:r>
    </w:p>
    <w:p>
      <w:pPr>
        <w:pStyle w:val="8"/>
        <w:numPr>
          <w:ilvl w:val="0"/>
          <w:numId w:val="0"/>
        </w:num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卫生健康支出210（类）11（款）01（项）：指行政单位（包括实行公务员管理的事业单位）基本医疗保险缴费经费，未参加医疗保险的行政单位的公费医疗经费，按国家规定享受离休人员、红军老战士待遇人员的医疗经费。</w:t>
      </w:r>
    </w:p>
    <w:p>
      <w:pPr>
        <w:ind w:firstLine="640" w:firstLineChars="200"/>
        <w:rPr>
          <w:rStyle w:val="20"/>
          <w:rFonts w:ascii="仿宋_GB2312" w:hAnsi="仿宋_GB2312" w:eastAsia="仿宋_GB2312" w:cs="仿宋_GB2312"/>
          <w:b w:val="0"/>
          <w:color w:val="000000"/>
          <w:sz w:val="32"/>
          <w:szCs w:val="32"/>
        </w:rPr>
      </w:pPr>
      <w:r>
        <w:rPr>
          <w:rFonts w:hint="eastAsia" w:ascii="仿宋_GB2312" w:hAnsi="仿宋_GB2312" w:eastAsia="仿宋_GB2312" w:cs="仿宋_GB2312"/>
          <w:color w:val="000000"/>
          <w:sz w:val="32"/>
          <w:szCs w:val="32"/>
        </w:rPr>
        <w:t>17.卫生健康支出210（类）11（款）03（项）：指财政部门安排的公务员医疗补助经费。</w:t>
      </w:r>
    </w:p>
    <w:p>
      <w:pPr>
        <w:pStyle w:val="8"/>
        <w:numPr>
          <w:ilvl w:val="0"/>
          <w:numId w:val="0"/>
        </w:numPr>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18.住房保障支出221（类）02（款）01（项）：指行政事业单位按人力资源和社会保障部、财政部规定的基本工资和津贴补贴以及规定比例为职工缴纳的住房公积金。</w:t>
      </w:r>
    </w:p>
    <w:p>
      <w:pPr>
        <w:pStyle w:val="3"/>
      </w:pPr>
    </w:p>
    <w:p>
      <w:pPr>
        <w:ind w:firstLine="640" w:firstLineChars="200"/>
        <w:rPr>
          <w:rFonts w:ascii="仿宋_GB2312" w:eastAsia="仿宋_GB2312"/>
          <w:sz w:val="32"/>
          <w:szCs w:val="32"/>
        </w:rPr>
      </w:pPr>
      <w:r>
        <w:rPr>
          <w:rFonts w:hint="eastAsia" w:ascii="仿宋_GB2312" w:eastAsia="仿宋_GB2312"/>
          <w:sz w:val="32"/>
          <w:szCs w:val="32"/>
        </w:rPr>
        <w:t>19</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23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Fonts w:ascii="宋体"/>
          <w:b/>
          <w:sz w:val="44"/>
          <w:szCs w:val="44"/>
        </w:rPr>
      </w:pPr>
      <w:bookmarkStart w:id="70" w:name="_Toc15377226"/>
    </w:p>
    <w:p>
      <w:pPr>
        <w:spacing w:line="600" w:lineRule="exact"/>
        <w:jc w:val="center"/>
        <w:rPr>
          <w:rFonts w:ascii="宋体"/>
          <w:b/>
          <w:sz w:val="44"/>
          <w:szCs w:val="44"/>
        </w:rPr>
      </w:pPr>
    </w:p>
    <w:p>
      <w:pPr>
        <w:spacing w:line="600" w:lineRule="exact"/>
        <w:jc w:val="center"/>
        <w:outlineLvl w:val="0"/>
        <w:rPr>
          <w:rStyle w:val="31"/>
          <w:rFonts w:ascii="黑体" w:hAnsi="黑体" w:eastAsia="黑体"/>
          <w:b w:val="0"/>
        </w:rPr>
      </w:pPr>
      <w:r>
        <w:rPr>
          <w:rFonts w:ascii="宋体"/>
          <w:b/>
          <w:sz w:val="44"/>
          <w:szCs w:val="44"/>
        </w:rPr>
        <w:br w:type="page"/>
      </w:r>
      <w:bookmarkStart w:id="71" w:name="_Toc24257"/>
      <w:bookmarkStart w:id="72" w:name="_Toc15396614"/>
      <w:r>
        <w:rPr>
          <w:rFonts w:hint="eastAsia" w:ascii="黑体" w:hAnsi="黑体" w:eastAsia="黑体"/>
          <w:sz w:val="44"/>
          <w:szCs w:val="44"/>
        </w:rPr>
        <w:t>第</w:t>
      </w:r>
      <w:r>
        <w:rPr>
          <w:rStyle w:val="31"/>
          <w:rFonts w:hint="eastAsia" w:ascii="黑体" w:hAnsi="黑体" w:eastAsia="黑体"/>
          <w:b w:val="0"/>
        </w:rPr>
        <w:t>四部分 附件</w:t>
      </w:r>
      <w:bookmarkEnd w:id="71"/>
      <w:bookmarkEnd w:id="72"/>
    </w:p>
    <w:p>
      <w:pPr>
        <w:spacing w:line="572" w:lineRule="exact"/>
        <w:jc w:val="left"/>
        <w:outlineLvl w:val="0"/>
        <w:rPr>
          <w:rFonts w:ascii="方正小标宋简体" w:hAnsi="方正小标宋简体" w:eastAsia="黑体" w:cs="方正小标宋简体"/>
          <w:sz w:val="44"/>
          <w:szCs w:val="44"/>
        </w:rPr>
      </w:pPr>
      <w:bookmarkStart w:id="73" w:name="_Toc10596"/>
      <w:r>
        <w:rPr>
          <w:rFonts w:hint="eastAsia" w:ascii="黑体" w:hAnsi="黑体" w:eastAsia="黑体" w:cs="黑体"/>
          <w:sz w:val="32"/>
          <w:szCs w:val="32"/>
        </w:rPr>
        <w:t>附件1</w:t>
      </w:r>
      <w:bookmarkEnd w:id="73"/>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2022年部门整体绩效评价报告</w:t>
      </w:r>
    </w:p>
    <w:p>
      <w:pPr>
        <w:pStyle w:val="6"/>
        <w:ind w:firstLine="640" w:firstLineChars="200"/>
        <w:rPr>
          <w:rFonts w:ascii="黑体" w:eastAsia="黑体"/>
          <w:b w:val="0"/>
          <w:lang w:val="zh-CN"/>
        </w:rPr>
      </w:pPr>
      <w:bookmarkStart w:id="74" w:name="_Toc29731"/>
      <w:r>
        <w:rPr>
          <w:rFonts w:hint="eastAsia" w:ascii="黑体" w:eastAsia="黑体"/>
          <w:b w:val="0"/>
        </w:rPr>
        <w:t>一、</w:t>
      </w:r>
      <w:r>
        <w:rPr>
          <w:rFonts w:hint="eastAsia" w:ascii="黑体" w:eastAsia="黑体"/>
          <w:b w:val="0"/>
          <w:lang w:val="zh-CN"/>
        </w:rPr>
        <w:t>部门（单位）概况</w:t>
      </w:r>
      <w:bookmarkEnd w:id="74"/>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（一）机构组成。</w:t>
      </w:r>
    </w:p>
    <w:p>
      <w:pPr>
        <w:pStyle w:val="8"/>
        <w:numPr>
          <w:ilvl w:val="0"/>
          <w:numId w:val="0"/>
        </w:numPr>
        <w:ind w:firstLine="960" w:firstLineChars="300"/>
        <w:rPr>
          <w:rFonts w:eastAsia="仿宋"/>
          <w:lang w:val="zh-CN"/>
        </w:rPr>
      </w:pPr>
      <w:r>
        <w:rPr>
          <w:rFonts w:hint="eastAsia" w:ascii="仿宋" w:hAnsi="仿宋" w:eastAsia="仿宋" w:cs="仿宋"/>
          <w:sz w:val="32"/>
          <w:szCs w:val="32"/>
        </w:rPr>
        <w:t>根据群团机构设立有关规定，经区委机构编制委员会2017年12月15日会议研究决定，设立区科学技术协会。2个内设机构：办公室、科普部。核定参公编制5个。</w:t>
      </w:r>
    </w:p>
    <w:p>
      <w:pPr>
        <w:numPr>
          <w:ilvl w:val="0"/>
          <w:numId w:val="6"/>
        </w:num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机构职能。</w:t>
      </w:r>
    </w:p>
    <w:p>
      <w:pPr>
        <w:pStyle w:val="2"/>
        <w:spacing w:before="93"/>
        <w:ind w:firstLine="640" w:firstLineChars="200"/>
        <w:rPr>
          <w:lang w:val="zh-CN"/>
        </w:rPr>
      </w:pPr>
      <w:r>
        <w:rPr>
          <w:rFonts w:hint="eastAsia" w:ascii="仿宋" w:hAnsi="仿宋" w:eastAsia="仿宋" w:cs="仿宋"/>
          <w:sz w:val="32"/>
          <w:szCs w:val="32"/>
        </w:rPr>
        <w:t>弘扬科学精神、普及科学知识、传播科学思想和科学方法、捍卫科学尊严；推广先进技术，提高全民的科学文化素质。开展科学技术交流活动，推动科技工作者的交流与合作。对区级学（协）会、企业科协、农村专业技术协会进行指导与管理。承办上级科协、区委、区府交办的其他事项。</w:t>
      </w:r>
    </w:p>
    <w:p>
      <w:pPr>
        <w:numPr>
          <w:ilvl w:val="0"/>
          <w:numId w:val="6"/>
        </w:num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人员概况。</w:t>
      </w:r>
    </w:p>
    <w:p>
      <w:pPr>
        <w:pStyle w:val="2"/>
        <w:spacing w:before="93"/>
        <w:ind w:left="420" w:leftChars="200"/>
        <w:rPr>
          <w:lang w:val="zh-CN"/>
        </w:rPr>
      </w:pPr>
      <w:r>
        <w:rPr>
          <w:rFonts w:hint="eastAsia" w:ascii="仿宋" w:hAnsi="仿宋" w:eastAsia="仿宋" w:cs="仿宋"/>
          <w:color w:val="000000" w:themeColor="text1"/>
          <w:sz w:val="32"/>
          <w:szCs w:val="32"/>
          <w:lang w:eastAsia="zh-CN"/>
          <w14:textFill>
            <w14:solidFill>
              <w14:schemeClr w14:val="tx1"/>
            </w14:solidFill>
          </w14:textFill>
        </w:rPr>
        <w:t>截至</w:t>
      </w:r>
      <w:r>
        <w:rPr>
          <w:rFonts w:hint="eastAsia" w:ascii="仿宋" w:hAnsi="仿宋" w:eastAsia="仿宋" w:cs="仿宋"/>
          <w:color w:val="000000" w:themeColor="text1"/>
          <w:sz w:val="32"/>
          <w:szCs w:val="32"/>
          <w14:textFill>
            <w14:solidFill>
              <w14:schemeClr w14:val="tx1"/>
            </w14:solidFill>
          </w14:textFill>
        </w:rPr>
        <w:t>2022年12月31日，区科协实有人员6人，其中：行政在编人员6人。</w:t>
      </w:r>
    </w:p>
    <w:p>
      <w:pPr>
        <w:pStyle w:val="6"/>
        <w:ind w:firstLine="640" w:firstLineChars="200"/>
        <w:rPr>
          <w:rFonts w:ascii="黑体" w:eastAsia="黑体"/>
          <w:b w:val="0"/>
        </w:rPr>
      </w:pPr>
      <w:bookmarkStart w:id="75" w:name="_Toc29986"/>
      <w:r>
        <w:rPr>
          <w:rFonts w:hint="eastAsia" w:ascii="黑体" w:eastAsia="黑体"/>
          <w:b w:val="0"/>
        </w:rPr>
        <w:t>二、部门财政资金收支情况</w:t>
      </w:r>
      <w:bookmarkEnd w:id="75"/>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（一）部门财政资金收入情况。</w:t>
      </w:r>
    </w:p>
    <w:p>
      <w:pPr>
        <w:pStyle w:val="2"/>
        <w:spacing w:before="93"/>
        <w:ind w:firstLine="640" w:firstLineChars="200"/>
        <w:rPr>
          <w:lang w:val="zh-CN"/>
        </w:rPr>
      </w:pPr>
      <w:r>
        <w:rPr>
          <w:rFonts w:hint="eastAsia" w:ascii="仿宋" w:hAnsi="仿宋" w:eastAsia="仿宋" w:cs="仿宋"/>
          <w:sz w:val="32"/>
          <w:szCs w:val="32"/>
        </w:rPr>
        <w:t>2022年收入合计186.86万元,较2021年183.2万元增加了3.66万元，主要原因是单位本年度人员有所增加。</w:t>
      </w:r>
    </w:p>
    <w:p>
      <w:pPr>
        <w:numPr>
          <w:ilvl w:val="0"/>
          <w:numId w:val="7"/>
        </w:num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部门财政资金支出情况。</w:t>
      </w:r>
    </w:p>
    <w:p>
      <w:pPr>
        <w:pStyle w:val="2"/>
        <w:spacing w:before="93"/>
        <w:ind w:firstLine="640" w:firstLineChars="200"/>
        <w:rPr>
          <w:lang w:val="zh-CN"/>
        </w:rPr>
      </w:pPr>
      <w:r>
        <w:rPr>
          <w:rFonts w:hint="eastAsia" w:ascii="仿宋" w:hAnsi="仿宋" w:eastAsia="仿宋" w:cs="仿宋"/>
          <w:sz w:val="32"/>
          <w:szCs w:val="32"/>
        </w:rPr>
        <w:t>2022年支出合计186.86万元，支出较2021年217.49万元减少了30.63万元，主要原因是单位</w:t>
      </w:r>
      <w:r>
        <w:rPr>
          <w:rFonts w:hint="eastAsia" w:ascii="仿宋" w:hAnsi="仿宋" w:eastAsia="仿宋" w:cs="仿宋"/>
          <w:sz w:val="32"/>
          <w:szCs w:val="32"/>
          <w:lang w:eastAsia="zh-CN"/>
        </w:rPr>
        <w:t>厉行节约</w:t>
      </w:r>
      <w:r>
        <w:rPr>
          <w:rFonts w:hint="eastAsia" w:ascii="仿宋" w:hAnsi="仿宋" w:eastAsia="仿宋" w:cs="仿宋"/>
          <w:sz w:val="32"/>
          <w:szCs w:val="32"/>
        </w:rPr>
        <w:t>，缩减开支。</w:t>
      </w:r>
    </w:p>
    <w:p>
      <w:pPr>
        <w:pStyle w:val="6"/>
        <w:ind w:firstLine="640" w:firstLineChars="200"/>
        <w:rPr>
          <w:rFonts w:ascii="黑体" w:eastAsia="黑体"/>
          <w:b w:val="0"/>
        </w:rPr>
      </w:pPr>
      <w:bookmarkStart w:id="76" w:name="_Toc27359"/>
      <w:r>
        <w:rPr>
          <w:rFonts w:hint="eastAsia" w:ascii="黑体" w:eastAsia="黑体"/>
          <w:b w:val="0"/>
        </w:rPr>
        <w:t>三、部门整体预算绩效管理情况</w:t>
      </w:r>
      <w:bookmarkEnd w:id="76"/>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（一）部门预算项目绩效管理。</w:t>
      </w:r>
    </w:p>
    <w:p>
      <w:pPr>
        <w:widowControl/>
        <w:adjustRightInd w:val="0"/>
        <w:snapToGrid w:val="0"/>
        <w:spacing w:line="572" w:lineRule="exact"/>
        <w:ind w:firstLine="640" w:firstLineChars="200"/>
        <w:contextualSpacing/>
        <w:jc w:val="left"/>
        <w:rPr>
          <w:rFonts w:ascii="仿宋" w:hAnsi="仿宋" w:eastAsia="仿宋" w:cs="仿宋"/>
          <w:kern w:val="0"/>
          <w:sz w:val="32"/>
          <w:szCs w:val="32"/>
          <w:shd w:val="clear" w:color="auto" w:fill="FFFFFF"/>
          <w:lang w:val="zh-CN"/>
        </w:rPr>
      </w:pPr>
      <w:r>
        <w:rPr>
          <w:rFonts w:hint="eastAsia" w:ascii="仿宋" w:hAnsi="仿宋" w:eastAsia="仿宋" w:cs="仿宋"/>
          <w:sz w:val="32"/>
          <w:szCs w:val="32"/>
        </w:rPr>
        <w:t>安居区科学技术协会为进一步加强财务管理，规范公务支付业务，减少现金支付结算，提高支付透明度，强化资金安全，制定了《安居区科学技术协会内部控制规范建设》内部控制制度，包括：预算管理、采购管理、结算管理、资产管理、财务机构、财务监督等管理事项。</w:t>
      </w:r>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（二）结果应用情况。</w:t>
      </w:r>
    </w:p>
    <w:p>
      <w:pPr>
        <w:widowControl/>
        <w:adjustRightInd w:val="0"/>
        <w:snapToGrid w:val="0"/>
        <w:spacing w:line="572"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 w:hAnsi="仿宋" w:eastAsia="仿宋" w:cs="仿宋"/>
          <w:sz w:val="32"/>
          <w:szCs w:val="32"/>
          <w:lang w:val="zh-CN"/>
        </w:rPr>
        <w:t>在今后编制预算时，</w:t>
      </w:r>
      <w:r>
        <w:rPr>
          <w:rFonts w:hint="eastAsia" w:ascii="仿宋" w:hAnsi="仿宋" w:eastAsia="仿宋" w:cs="仿宋"/>
          <w:sz w:val="32"/>
          <w:szCs w:val="32"/>
        </w:rPr>
        <w:t>根据信息公开</w:t>
      </w:r>
      <w:r>
        <w:rPr>
          <w:rFonts w:hint="eastAsia" w:ascii="仿宋" w:hAnsi="仿宋" w:eastAsia="仿宋" w:cs="仿宋"/>
          <w:sz w:val="32"/>
          <w:szCs w:val="32"/>
          <w:lang w:val="zh-CN"/>
        </w:rPr>
        <w:t>按要求将</w:t>
      </w:r>
      <w:r>
        <w:rPr>
          <w:rFonts w:hint="eastAsia" w:ascii="仿宋" w:hAnsi="仿宋" w:eastAsia="仿宋" w:cs="仿宋"/>
          <w:sz w:val="32"/>
          <w:szCs w:val="32"/>
        </w:rPr>
        <w:t>我单位</w:t>
      </w:r>
      <w:r>
        <w:rPr>
          <w:rFonts w:hint="eastAsia" w:ascii="仿宋" w:hAnsi="仿宋" w:eastAsia="仿宋" w:cs="仿宋"/>
          <w:sz w:val="32"/>
          <w:szCs w:val="32"/>
          <w:lang w:val="zh-CN"/>
        </w:rPr>
        <w:t>整体绩效自评情况和</w:t>
      </w:r>
      <w:r>
        <w:rPr>
          <w:rFonts w:hint="eastAsia" w:ascii="仿宋" w:hAnsi="仿宋" w:eastAsia="仿宋" w:cs="仿宋"/>
          <w:sz w:val="32"/>
          <w:szCs w:val="32"/>
        </w:rPr>
        <w:t>自</w:t>
      </w:r>
      <w:r>
        <w:rPr>
          <w:rFonts w:hint="eastAsia" w:ascii="仿宋" w:hAnsi="仿宋" w:eastAsia="仿宋" w:cs="仿宋"/>
          <w:sz w:val="32"/>
          <w:szCs w:val="32"/>
          <w:lang w:val="zh-CN"/>
        </w:rPr>
        <w:t>行组织的评价情况向社会公开；根据整改</w:t>
      </w:r>
      <w:r>
        <w:rPr>
          <w:rFonts w:hint="eastAsia" w:ascii="仿宋" w:hAnsi="仿宋" w:eastAsia="仿宋" w:cs="仿宋"/>
          <w:sz w:val="32"/>
          <w:szCs w:val="32"/>
        </w:rPr>
        <w:t>反馈</w:t>
      </w:r>
      <w:r>
        <w:rPr>
          <w:rFonts w:hint="eastAsia" w:ascii="仿宋" w:hAnsi="仿宋" w:eastAsia="仿宋" w:cs="仿宋"/>
          <w:sz w:val="32"/>
          <w:szCs w:val="32"/>
          <w:lang w:val="zh-CN"/>
        </w:rPr>
        <w:t>问题、完善政策、改进管理的情况</w:t>
      </w:r>
      <w:r>
        <w:rPr>
          <w:rFonts w:hint="eastAsia" w:ascii="仿宋" w:hAnsi="仿宋" w:eastAsia="仿宋" w:cs="仿宋"/>
          <w:sz w:val="32"/>
          <w:szCs w:val="32"/>
        </w:rPr>
        <w:t>并及时向财政部门反馈结果应用情况</w:t>
      </w:r>
      <w:r>
        <w:rPr>
          <w:rFonts w:hint="eastAsia" w:ascii="仿宋" w:hAnsi="仿宋" w:eastAsia="仿宋" w:cs="仿宋"/>
          <w:sz w:val="32"/>
          <w:szCs w:val="32"/>
          <w:lang w:val="zh-CN"/>
        </w:rPr>
        <w:t>；将绩效自评价结果作为改进预算管理和安排以后年度预算的重要依据</w:t>
      </w:r>
      <w:r>
        <w:rPr>
          <w:rFonts w:hint="eastAsia" w:ascii="仿宋" w:hAnsi="仿宋" w:eastAsia="仿宋" w:cs="仿宋"/>
          <w:kern w:val="0"/>
          <w:sz w:val="32"/>
          <w:szCs w:val="32"/>
          <w:shd w:val="clear" w:color="auto" w:fill="FFFFFF"/>
          <w:lang w:val="zh-CN"/>
        </w:rPr>
        <w:t>。</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p>
    <w:p>
      <w:pPr>
        <w:pStyle w:val="6"/>
        <w:ind w:firstLine="640" w:firstLineChars="200"/>
        <w:rPr>
          <w:rFonts w:ascii="黑体" w:eastAsia="黑体"/>
          <w:b w:val="0"/>
        </w:rPr>
      </w:pPr>
      <w:bookmarkStart w:id="77" w:name="_Toc2599"/>
      <w:r>
        <w:rPr>
          <w:rFonts w:hint="eastAsia" w:ascii="黑体" w:eastAsia="黑体"/>
          <w:b w:val="0"/>
        </w:rPr>
        <w:t>四、评价结论及建议</w:t>
      </w:r>
      <w:bookmarkEnd w:id="77"/>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（一）评价结论。</w:t>
      </w:r>
    </w:p>
    <w:p>
      <w:pPr>
        <w:pStyle w:val="2"/>
        <w:spacing w:before="93"/>
        <w:ind w:firstLine="960" w:firstLineChars="300"/>
        <w:rPr>
          <w:lang w:val="zh-CN"/>
        </w:rPr>
      </w:pPr>
      <w:r>
        <w:rPr>
          <w:rFonts w:hint="eastAsia" w:ascii="仿宋" w:hAnsi="仿宋" w:eastAsia="仿宋" w:cs="仿宋"/>
          <w:sz w:val="32"/>
          <w:szCs w:val="32"/>
        </w:rPr>
        <w:t>一是科学地做好年度项目经费预算。根据上年度项目经费使用情况和项目执行情况，科学、合理地做好下一年度的项目安排和经费预算，确保各项目经费落实到位，项目有序执行；二是加强组织领导，制定项目执行计划，有序推进项目。领导重视、组织有力是项目推进的保障，合理制定项目执行计划是项目有序开展的前提；三是强化绩效评价，做好项目相关资料收集。注重收集项目相关资料，做好项目绩效评价工作。</w:t>
      </w:r>
    </w:p>
    <w:p>
      <w:pPr>
        <w:numPr>
          <w:ilvl w:val="0"/>
          <w:numId w:val="7"/>
        </w:num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存在问题。</w:t>
      </w:r>
    </w:p>
    <w:p>
      <w:pPr>
        <w:pStyle w:val="2"/>
        <w:spacing w:before="93"/>
        <w:ind w:firstLine="960" w:firstLineChars="300"/>
        <w:rPr>
          <w:lang w:val="zh-CN"/>
        </w:rPr>
      </w:pPr>
      <w:r>
        <w:rPr>
          <w:rFonts w:hint="eastAsia" w:ascii="仿宋" w:hAnsi="仿宋" w:eastAsia="仿宋" w:cs="仿宋"/>
          <w:sz w:val="32"/>
          <w:szCs w:val="32"/>
        </w:rPr>
        <w:t>部门整体支出绩效目标需进一步细化。业务类支出未能根据部门职能及当年度工作规划等进行细化，不利于部门整体支出绩效评价工作的开展。</w:t>
      </w:r>
    </w:p>
    <w:p>
      <w:pPr>
        <w:autoSpaceDE w:val="0"/>
        <w:autoSpaceDN w:val="0"/>
        <w:adjustRightInd w:val="0"/>
        <w:spacing w:line="600" w:lineRule="exact"/>
        <w:ind w:firstLine="643" w:firstLineChars="200"/>
        <w:jc w:val="left"/>
        <w:outlineLvl w:val="2"/>
        <w:rPr>
          <w:rFonts w:ascii="仿宋" w:hAnsi="仿宋" w:eastAsia="仿宋"/>
          <w:b/>
          <w:sz w:val="32"/>
          <w:szCs w:val="32"/>
          <w:lang w:val="zh-CN"/>
        </w:rPr>
      </w:pPr>
      <w:r>
        <w:rPr>
          <w:rFonts w:hint="eastAsia" w:ascii="仿宋" w:hAnsi="仿宋" w:eastAsia="仿宋"/>
          <w:b/>
          <w:sz w:val="32"/>
          <w:szCs w:val="32"/>
          <w:lang w:val="zh-CN"/>
        </w:rPr>
        <w:t>（三）改进建议。</w:t>
      </w:r>
    </w:p>
    <w:p>
      <w:pPr>
        <w:autoSpaceDE w:val="0"/>
        <w:autoSpaceDN w:val="0"/>
        <w:adjustRightInd w:val="0"/>
        <w:spacing w:line="600" w:lineRule="exact"/>
        <w:ind w:firstLine="640" w:firstLineChars="200"/>
        <w:jc w:val="left"/>
        <w:outlineLvl w:val="2"/>
        <w:rPr>
          <w:rFonts w:ascii="仿宋" w:hAnsi="仿宋" w:eastAsia="仿宋"/>
          <w:b/>
          <w:sz w:val="32"/>
          <w:szCs w:val="32"/>
          <w:lang w:val="zh-CN"/>
        </w:rPr>
      </w:pPr>
      <w:r>
        <w:rPr>
          <w:rFonts w:hint="eastAsia" w:ascii="仿宋" w:hAnsi="仿宋" w:eastAsia="仿宋" w:cs="仿宋"/>
          <w:sz w:val="32"/>
          <w:szCs w:val="32"/>
        </w:rPr>
        <w:t>下一步，区科协将细化预算编制工作，认真做好预算的编制。进一步加强内部机构的预算管理意识，严格按照预算编制的相关制度和要求，本着“勤俭节约、保障运转”的原则进行预算的编制；编制范围尽可能的全面、不漏项，进一步提高预算编制的科学性、合理性、严谨性和可控性。 在日常预算管理过程中，进一步加强预算支出的审核、跟踪及预算执行情况分析</w:t>
      </w:r>
      <w:r>
        <w:rPr>
          <w:rFonts w:eastAsia="仿宋_GB2312"/>
          <w:sz w:val="32"/>
          <w:szCs w:val="32"/>
        </w:rPr>
        <w:t>。</w:t>
      </w:r>
    </w:p>
    <w:p>
      <w:pPr>
        <w:widowControl/>
        <w:adjustRightInd w:val="0"/>
        <w:snapToGrid w:val="0"/>
        <w:spacing w:line="62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附表：</w:t>
      </w:r>
      <w:r>
        <w:rPr>
          <w:rFonts w:hint="eastAsia" w:ascii="仿宋_GB2312" w:hAnsi="Calibri" w:eastAsia="仿宋_GB2312" w:cs="仿宋"/>
          <w:kern w:val="0"/>
          <w:sz w:val="32"/>
          <w:szCs w:val="32"/>
        </w:rPr>
        <w:t xml:space="preserve">1. </w:t>
      </w:r>
      <w:r>
        <w:rPr>
          <w:rFonts w:hint="eastAsia" w:ascii="仿宋_GB2312" w:hAnsi="Calibri" w:eastAsia="仿宋_GB2312" w:cs="仿宋"/>
          <w:kern w:val="0"/>
          <w:sz w:val="32"/>
          <w:szCs w:val="32"/>
          <w:lang w:val="zh-CN"/>
        </w:rPr>
        <w:t>部门整体支出绩效自评表</w:t>
      </w:r>
    </w:p>
    <w:tbl>
      <w:tblPr>
        <w:tblStyle w:val="18"/>
        <w:tblW w:w="8505" w:type="dxa"/>
        <w:jc w:val="center"/>
        <w:tblLayout w:type="autofit"/>
        <w:tblCellMar>
          <w:top w:w="0" w:type="dxa"/>
          <w:left w:w="0" w:type="dxa"/>
          <w:bottom w:w="0" w:type="dxa"/>
          <w:right w:w="0" w:type="dxa"/>
        </w:tblCellMar>
      </w:tblPr>
      <w:tblGrid>
        <w:gridCol w:w="579"/>
        <w:gridCol w:w="579"/>
        <w:gridCol w:w="690"/>
        <w:gridCol w:w="712"/>
        <w:gridCol w:w="1476"/>
        <w:gridCol w:w="3276"/>
        <w:gridCol w:w="627"/>
        <w:gridCol w:w="566"/>
      </w:tblGrid>
      <w:tr>
        <w:tblPrEx>
          <w:tblCellMar>
            <w:top w:w="0" w:type="dxa"/>
            <w:left w:w="0" w:type="dxa"/>
            <w:bottom w:w="0" w:type="dxa"/>
            <w:right w:w="0" w:type="dxa"/>
          </w:tblCellMar>
        </w:tblPrEx>
        <w:trPr>
          <w:trHeight w:val="377" w:hRule="atLeast"/>
          <w:jc w:val="center"/>
        </w:trPr>
        <w:tc>
          <w:tcPr>
            <w:tcW w:w="14182" w:type="dxa"/>
            <w:gridSpan w:val="8"/>
            <w:tcBorders>
              <w:top w:val="nil"/>
              <w:left w:val="nil"/>
              <w:bottom w:val="nil"/>
              <w:right w:val="nil"/>
            </w:tcBorders>
            <w:shd w:val="clear" w:color="auto" w:fill="auto"/>
            <w:tcMar>
              <w:top w:w="15" w:type="dxa"/>
              <w:left w:w="15" w:type="dxa"/>
              <w:right w:w="15" w:type="dxa"/>
            </w:tcMar>
            <w:vAlign w:val="center"/>
          </w:tcPr>
          <w:p>
            <w:pPr>
              <w:rPr>
                <w:rFonts w:hint="eastAsia" w:eastAsia="黑体"/>
                <w:color w:val="000000"/>
                <w:szCs w:val="32"/>
              </w:rPr>
            </w:pPr>
          </w:p>
        </w:tc>
      </w:tr>
      <w:tr>
        <w:tblPrEx>
          <w:tblCellMar>
            <w:top w:w="0" w:type="dxa"/>
            <w:left w:w="0" w:type="dxa"/>
            <w:bottom w:w="0" w:type="dxa"/>
            <w:right w:w="0" w:type="dxa"/>
          </w:tblCellMar>
        </w:tblPrEx>
        <w:trPr>
          <w:trHeight w:val="681" w:hRule="atLeast"/>
          <w:jc w:val="center"/>
        </w:trPr>
        <w:tc>
          <w:tcPr>
            <w:tcW w:w="14182" w:type="dxa"/>
            <w:gridSpan w:val="8"/>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eastAsia="方正小标宋简体"/>
                <w:color w:val="000000"/>
                <w:sz w:val="40"/>
                <w:szCs w:val="40"/>
              </w:rPr>
            </w:pPr>
            <w:r>
              <w:rPr>
                <w:rFonts w:eastAsia="方正小标宋简体"/>
                <w:color w:val="000000"/>
                <w:kern w:val="0"/>
                <w:sz w:val="40"/>
                <w:szCs w:val="40"/>
                <w:lang w:bidi="ar"/>
              </w:rPr>
              <w:t>202</w:t>
            </w:r>
            <w:r>
              <w:rPr>
                <w:rFonts w:hint="eastAsia" w:eastAsia="方正小标宋简体"/>
                <w:color w:val="000000"/>
                <w:kern w:val="0"/>
                <w:sz w:val="40"/>
                <w:szCs w:val="40"/>
                <w:lang w:bidi="ar"/>
              </w:rPr>
              <w:t>2</w:t>
            </w:r>
            <w:r>
              <w:rPr>
                <w:rFonts w:eastAsia="方正小标宋简体"/>
                <w:color w:val="000000"/>
                <w:kern w:val="0"/>
                <w:sz w:val="40"/>
                <w:szCs w:val="40"/>
                <w:lang w:bidi="ar"/>
              </w:rPr>
              <w:t>年区级部门整体支出绩效评价指标体系</w:t>
            </w:r>
          </w:p>
        </w:tc>
      </w:tr>
      <w:tr>
        <w:tblPrEx>
          <w:tblCellMar>
            <w:top w:w="0" w:type="dxa"/>
            <w:left w:w="0" w:type="dxa"/>
            <w:bottom w:w="0" w:type="dxa"/>
            <w:right w:w="0" w:type="dxa"/>
          </w:tblCellMar>
        </w:tblPrEx>
        <w:trPr>
          <w:trHeight w:val="439" w:hRule="atLeast"/>
          <w:jc w:val="center"/>
        </w:trPr>
        <w:tc>
          <w:tcPr>
            <w:tcW w:w="25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eastAsia="黑体"/>
                <w:b/>
                <w:color w:val="000000"/>
                <w:sz w:val="24"/>
              </w:rPr>
            </w:pPr>
            <w:r>
              <w:rPr>
                <w:rFonts w:eastAsia="黑体"/>
                <w:b/>
                <w:color w:val="000000"/>
                <w:kern w:val="0"/>
                <w:sz w:val="24"/>
                <w:lang w:bidi="ar"/>
              </w:rPr>
              <w:t>绩效指标</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eastAsia="黑体"/>
                <w:b/>
                <w:color w:val="000000"/>
                <w:sz w:val="24"/>
              </w:rPr>
            </w:pPr>
            <w:r>
              <w:rPr>
                <w:rFonts w:eastAsia="黑体"/>
                <w:b/>
                <w:color w:val="000000"/>
                <w:kern w:val="0"/>
                <w:sz w:val="24"/>
                <w:lang w:bidi="ar"/>
              </w:rPr>
              <w:t>指标分值</w:t>
            </w:r>
          </w:p>
        </w:tc>
        <w:tc>
          <w:tcPr>
            <w:tcW w:w="25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eastAsia="黑体"/>
                <w:b/>
                <w:color w:val="000000"/>
                <w:sz w:val="24"/>
              </w:rPr>
            </w:pPr>
            <w:r>
              <w:rPr>
                <w:rFonts w:eastAsia="黑体"/>
                <w:b/>
                <w:color w:val="000000"/>
                <w:kern w:val="0"/>
                <w:sz w:val="24"/>
                <w:lang w:bidi="ar"/>
              </w:rPr>
              <w:t>指标解释</w:t>
            </w:r>
          </w:p>
        </w:tc>
        <w:tc>
          <w:tcPr>
            <w:tcW w:w="5902"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eastAsia="黑体"/>
                <w:b/>
                <w:color w:val="000000"/>
                <w:sz w:val="24"/>
              </w:rPr>
            </w:pPr>
            <w:r>
              <w:rPr>
                <w:rFonts w:eastAsia="黑体"/>
                <w:b/>
                <w:color w:val="000000"/>
                <w:kern w:val="0"/>
                <w:sz w:val="24"/>
                <w:lang w:bidi="ar"/>
              </w:rPr>
              <w:t>计分标准</w:t>
            </w:r>
          </w:p>
        </w:tc>
        <w:tc>
          <w:tcPr>
            <w:tcW w:w="101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eastAsia="黑体"/>
                <w:b/>
                <w:color w:val="000000"/>
                <w:sz w:val="24"/>
              </w:rPr>
            </w:pPr>
            <w:r>
              <w:rPr>
                <w:rFonts w:eastAsia="黑体"/>
                <w:b/>
                <w:color w:val="000000"/>
                <w:kern w:val="0"/>
                <w:sz w:val="24"/>
                <w:lang w:bidi="ar"/>
              </w:rPr>
              <w:t>自评得分</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eastAsia="黑体"/>
                <w:b/>
                <w:color w:val="000000"/>
                <w:sz w:val="24"/>
              </w:rPr>
            </w:pPr>
            <w:r>
              <w:rPr>
                <w:rFonts w:eastAsia="黑体"/>
                <w:b/>
                <w:color w:val="000000"/>
                <w:kern w:val="0"/>
                <w:sz w:val="24"/>
                <w:lang w:bidi="ar"/>
              </w:rPr>
              <w:t>备注</w:t>
            </w:r>
          </w:p>
        </w:tc>
      </w:tr>
      <w:tr>
        <w:tblPrEx>
          <w:tblCellMar>
            <w:top w:w="0" w:type="dxa"/>
            <w:left w:w="0" w:type="dxa"/>
            <w:bottom w:w="0" w:type="dxa"/>
            <w:right w:w="0" w:type="dxa"/>
          </w:tblCellMar>
        </w:tblPrEx>
        <w:trPr>
          <w:trHeight w:val="442"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eastAsia="黑体"/>
                <w:b/>
                <w:color w:val="000000"/>
                <w:sz w:val="24"/>
              </w:rPr>
            </w:pPr>
            <w:r>
              <w:rPr>
                <w:rFonts w:eastAsia="黑体"/>
                <w:b/>
                <w:color w:val="000000"/>
                <w:kern w:val="0"/>
                <w:sz w:val="24"/>
                <w:lang w:bidi="ar"/>
              </w:rPr>
              <w:t>一级指标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eastAsia="黑体"/>
                <w:b/>
                <w:color w:val="000000"/>
                <w:sz w:val="24"/>
              </w:rPr>
            </w:pPr>
            <w:r>
              <w:rPr>
                <w:rFonts w:eastAsia="黑体"/>
                <w:b/>
                <w:color w:val="000000"/>
                <w:kern w:val="0"/>
                <w:sz w:val="24"/>
                <w:lang w:bidi="ar"/>
              </w:rPr>
              <w:t>二级指标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eastAsia="黑体"/>
                <w:b/>
                <w:color w:val="000000"/>
                <w:sz w:val="24"/>
              </w:rPr>
            </w:pPr>
            <w:r>
              <w:rPr>
                <w:rFonts w:eastAsia="黑体"/>
                <w:b/>
                <w:color w:val="000000"/>
                <w:kern w:val="0"/>
                <w:sz w:val="24"/>
                <w:lang w:bidi="ar"/>
              </w:rPr>
              <w:t>三级指标</w:t>
            </w: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eastAsia="黑体"/>
                <w:b/>
                <w:color w:val="000000"/>
                <w:sz w:val="24"/>
              </w:rPr>
            </w:pPr>
          </w:p>
        </w:tc>
        <w:tc>
          <w:tcPr>
            <w:tcW w:w="25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eastAsia="黑体"/>
                <w:b/>
                <w:color w:val="000000"/>
                <w:sz w:val="24"/>
              </w:rPr>
            </w:pPr>
          </w:p>
        </w:tc>
        <w:tc>
          <w:tcPr>
            <w:tcW w:w="5902"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eastAsia="黑体"/>
                <w:b/>
                <w:color w:val="000000"/>
                <w:sz w:val="24"/>
              </w:rPr>
            </w:pPr>
          </w:p>
        </w:tc>
        <w:tc>
          <w:tcPr>
            <w:tcW w:w="101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eastAsia="黑体"/>
                <w:b/>
                <w:color w:val="000000"/>
                <w:sz w:val="24"/>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eastAsia="黑体"/>
                <w:b/>
                <w:color w:val="000000"/>
                <w:sz w:val="24"/>
              </w:rPr>
            </w:pPr>
          </w:p>
        </w:tc>
      </w:tr>
      <w:tr>
        <w:tblPrEx>
          <w:tblCellMar>
            <w:top w:w="0" w:type="dxa"/>
            <w:left w:w="0" w:type="dxa"/>
            <w:bottom w:w="0" w:type="dxa"/>
            <w:right w:w="0" w:type="dxa"/>
          </w:tblCellMar>
        </w:tblPrEx>
        <w:trPr>
          <w:trHeight w:val="148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部门预算管理（80分）</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预算编制（30分）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目标制定</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评价部门绩效目标是否要素完整、细化量化。</w:t>
            </w:r>
          </w:p>
        </w:tc>
        <w:tc>
          <w:tcPr>
            <w:tcW w:w="5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kern w:val="0"/>
                <w:szCs w:val="21"/>
                <w:lang w:bidi="ar"/>
              </w:rPr>
            </w:pPr>
            <w:r>
              <w:rPr>
                <w:rFonts w:eastAsia="方正仿宋简体"/>
                <w:color w:val="000000"/>
                <w:kern w:val="0"/>
                <w:szCs w:val="21"/>
                <w:lang w:bidi="ar"/>
              </w:rPr>
              <w:t>1.绩效目标编制要素完整的，得5分，否则酌情扣分。</w:t>
            </w:r>
          </w:p>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2.绩效指标细化量化的，得5分，否则酌情扣分。有项目绩效目标的部门（单位），根据项目绩效目标编制质量打分，无项目绩效目标的部门，根据部门整体支出绩效目标打分。</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r>
        <w:tblPrEx>
          <w:tblCellMar>
            <w:top w:w="0" w:type="dxa"/>
            <w:left w:w="0" w:type="dxa"/>
            <w:bottom w:w="0" w:type="dxa"/>
            <w:right w:w="0" w:type="dxa"/>
          </w:tblCellMar>
        </w:tblPrEx>
        <w:trPr>
          <w:trHeight w:val="1361"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目标实现</w:t>
            </w:r>
          </w:p>
        </w:tc>
        <w:tc>
          <w:tcPr>
            <w:tcW w:w="11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25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评价部门绩效目标实际实现程度与预期目标的偏离度。</w:t>
            </w:r>
          </w:p>
        </w:tc>
        <w:tc>
          <w:tcPr>
            <w:tcW w:w="59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r>
        <w:tblPrEx>
          <w:tblCellMar>
            <w:top w:w="0" w:type="dxa"/>
            <w:left w:w="0" w:type="dxa"/>
            <w:bottom w:w="0" w:type="dxa"/>
            <w:right w:w="0" w:type="dxa"/>
          </w:tblCellMar>
        </w:tblPrEx>
        <w:trPr>
          <w:trHeight w:val="108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72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114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编制准确</w:t>
            </w:r>
          </w:p>
        </w:tc>
        <w:tc>
          <w:tcPr>
            <w:tcW w:w="11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259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评价部门年初预算编制是否科学准确。</w:t>
            </w:r>
          </w:p>
        </w:tc>
        <w:tc>
          <w:tcPr>
            <w:tcW w:w="590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指标得分=（1-（10×部门全年预算调剂金额/年初部门预算数））*指标分值。其中：若部门全年预算调剂金额/年初部门预算数&gt;0.1，此项得0分。</w:t>
            </w:r>
          </w:p>
        </w:tc>
        <w:tc>
          <w:tcPr>
            <w:tcW w:w="10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88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r>
        <w:tblPrEx>
          <w:tblCellMar>
            <w:top w:w="0" w:type="dxa"/>
            <w:left w:w="0" w:type="dxa"/>
            <w:bottom w:w="0" w:type="dxa"/>
            <w:right w:w="0" w:type="dxa"/>
          </w:tblCellMar>
        </w:tblPrEx>
        <w:trPr>
          <w:trHeight w:val="1361" w:hRule="atLeast"/>
          <w:jc w:val="center"/>
        </w:trPr>
        <w:tc>
          <w:tcPr>
            <w:tcW w:w="72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 xml:space="preserve">                                                                             预算执行（30分）</w:t>
            </w:r>
          </w:p>
        </w:tc>
        <w:tc>
          <w:tcPr>
            <w:tcW w:w="11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支出控制</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部门公用经费及非定额公用支出控制情况。</w:t>
            </w:r>
          </w:p>
        </w:tc>
        <w:tc>
          <w:tcPr>
            <w:tcW w:w="59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计算部门日常公用经费、项目支出中“办公费、印刷费、水费、电费、物业管理费”等科目年初预算数与决算数偏差程度预决算偏差程度在10%以内的，得10分。偏差度在10%-20%之间的，得5分，偏差度超过20%的，不得分。</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8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bl>
    <w:p>
      <w:pPr>
        <w:pStyle w:val="2"/>
        <w:spacing w:before="93"/>
        <w:rPr>
          <w:lang w:val="zh-CN"/>
        </w:rPr>
      </w:pPr>
    </w:p>
    <w:p>
      <w:pPr>
        <w:pStyle w:val="3"/>
        <w:rPr>
          <w:lang w:val="zh-CN"/>
        </w:rPr>
      </w:pPr>
    </w:p>
    <w:p>
      <w:pPr>
        <w:pStyle w:val="4"/>
        <w:rPr>
          <w:lang w:val="zh-CN"/>
        </w:rPr>
      </w:pPr>
    </w:p>
    <w:p>
      <w:pPr>
        <w:rPr>
          <w:lang w:val="zh-CN"/>
        </w:rPr>
      </w:pPr>
    </w:p>
    <w:p>
      <w:pPr>
        <w:pStyle w:val="2"/>
        <w:spacing w:before="93"/>
        <w:rPr>
          <w:lang w:val="zh-CN"/>
        </w:rPr>
      </w:pPr>
    </w:p>
    <w:p>
      <w:pPr>
        <w:pStyle w:val="3"/>
        <w:rPr>
          <w:rFonts w:hint="eastAsia"/>
          <w:lang w:val="zh-CN"/>
        </w:rPr>
      </w:pPr>
    </w:p>
    <w:tbl>
      <w:tblPr>
        <w:tblStyle w:val="18"/>
        <w:tblW w:w="8505" w:type="dxa"/>
        <w:jc w:val="center"/>
        <w:tblLayout w:type="autofit"/>
        <w:tblCellMar>
          <w:top w:w="0" w:type="dxa"/>
          <w:left w:w="0" w:type="dxa"/>
          <w:bottom w:w="0" w:type="dxa"/>
          <w:right w:w="0" w:type="dxa"/>
        </w:tblCellMar>
      </w:tblPr>
      <w:tblGrid>
        <w:gridCol w:w="583"/>
        <w:gridCol w:w="583"/>
        <w:gridCol w:w="688"/>
        <w:gridCol w:w="711"/>
        <w:gridCol w:w="1509"/>
        <w:gridCol w:w="3353"/>
        <w:gridCol w:w="623"/>
        <w:gridCol w:w="455"/>
      </w:tblGrid>
      <w:tr>
        <w:tblPrEx>
          <w:tblCellMar>
            <w:top w:w="0" w:type="dxa"/>
            <w:left w:w="0" w:type="dxa"/>
            <w:bottom w:w="0" w:type="dxa"/>
            <w:right w:w="0" w:type="dxa"/>
          </w:tblCellMar>
        </w:tblPrEx>
        <w:trPr>
          <w:trHeight w:val="1770" w:hRule="atLeast"/>
          <w:jc w:val="center"/>
        </w:trPr>
        <w:tc>
          <w:tcPr>
            <w:tcW w:w="720"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11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动态调整</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评价部门开展绩效运行监控后，将绩效监控结果应用到预算调整的情况。</w:t>
            </w:r>
          </w:p>
        </w:tc>
        <w:tc>
          <w:tcPr>
            <w:tcW w:w="59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kern w:val="0"/>
                <w:szCs w:val="21"/>
                <w:lang w:bidi="ar"/>
              </w:rPr>
            </w:pPr>
            <w:r>
              <w:rPr>
                <w:rFonts w:eastAsia="方正仿宋简体"/>
                <w:color w:val="000000"/>
                <w:kern w:val="0"/>
                <w:szCs w:val="21"/>
                <w:lang w:bidi="ar"/>
              </w:rPr>
              <w:t>1.当部门绩效监控调整取消额和结余注销额均不为零时，指标得分=部门项目支出绩效监控调整取消额÷(部门绩效监控调整取消额+预算结余注销额）*10</w:t>
            </w:r>
          </w:p>
          <w:p>
            <w:pPr>
              <w:widowControl/>
              <w:adjustRightInd w:val="0"/>
              <w:snapToGrid w:val="0"/>
              <w:spacing w:line="240" w:lineRule="exact"/>
              <w:jc w:val="left"/>
              <w:textAlignment w:val="center"/>
              <w:rPr>
                <w:rFonts w:eastAsia="方正仿宋简体"/>
                <w:color w:val="000000"/>
                <w:kern w:val="0"/>
                <w:szCs w:val="21"/>
                <w:lang w:bidi="ar"/>
              </w:rPr>
            </w:pPr>
            <w:r>
              <w:rPr>
                <w:rFonts w:eastAsia="方正仿宋简体"/>
                <w:color w:val="000000"/>
                <w:kern w:val="0"/>
                <w:szCs w:val="21"/>
                <w:lang w:bidi="ar"/>
              </w:rPr>
              <w:t>2.当部门绩效监控调整取消额为零，结余注销额不为零时，指标得分=（1-10*结余注销额/年度预算总额）*10，结余注销额超过部门年度预算总额10%的，指标不得分。</w:t>
            </w:r>
          </w:p>
          <w:p>
            <w:pPr>
              <w:widowControl/>
              <w:adjustRightInd w:val="0"/>
              <w:snapToGrid w:val="0"/>
              <w:spacing w:line="240" w:lineRule="exact"/>
              <w:jc w:val="left"/>
              <w:textAlignment w:val="center"/>
            </w:pPr>
            <w:r>
              <w:rPr>
                <w:rFonts w:eastAsia="方正仿宋简体"/>
                <w:color w:val="000000"/>
                <w:kern w:val="0"/>
                <w:szCs w:val="21"/>
                <w:lang w:bidi="ar"/>
              </w:rPr>
              <w:t xml:space="preserve"> 3.当部门绩效监控调整取消额与结余注销额均为零时，得满分。 </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8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r>
        <w:tblPrEx>
          <w:tblCellMar>
            <w:top w:w="0" w:type="dxa"/>
            <w:left w:w="0" w:type="dxa"/>
            <w:bottom w:w="0" w:type="dxa"/>
            <w:right w:w="0" w:type="dxa"/>
          </w:tblCellMar>
        </w:tblPrEx>
        <w:trPr>
          <w:trHeight w:val="1163" w:hRule="atLeast"/>
          <w:jc w:val="center"/>
        </w:trPr>
        <w:tc>
          <w:tcPr>
            <w:tcW w:w="720"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11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执行进度</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评价部门在6、9、11月的预算执行情况。</w:t>
            </w:r>
          </w:p>
        </w:tc>
        <w:tc>
          <w:tcPr>
            <w:tcW w:w="59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部门预算执行进度在6、9、11月应达到序时进度的80%、90%、90%，即实际支出进度分别达到40%、67.5%、82.5%。6、9、11月部门预算执行进度达到量化指标的分别得3、4、3分，未达到目标进度</w:t>
            </w:r>
            <w:bookmarkStart w:id="133" w:name="_GoBack"/>
            <w:bookmarkEnd w:id="133"/>
            <w:r>
              <w:rPr>
                <w:rFonts w:eastAsia="方正仿宋简体"/>
                <w:color w:val="000000"/>
                <w:kern w:val="0"/>
                <w:szCs w:val="21"/>
                <w:lang w:bidi="ar"/>
              </w:rPr>
              <w:t>的按其实际进度占目标进度的比重计算得分。</w:t>
            </w:r>
          </w:p>
        </w:tc>
        <w:tc>
          <w:tcPr>
            <w:tcW w:w="10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88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r>
        <w:tblPrEx>
          <w:tblCellMar>
            <w:top w:w="0" w:type="dxa"/>
            <w:left w:w="0" w:type="dxa"/>
            <w:bottom w:w="0" w:type="dxa"/>
            <w:right w:w="0" w:type="dxa"/>
          </w:tblCellMar>
        </w:tblPrEx>
        <w:trPr>
          <w:trHeight w:val="559"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720"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完成结果（20分）</w:t>
            </w:r>
          </w:p>
        </w:tc>
        <w:tc>
          <w:tcPr>
            <w:tcW w:w="11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预算完成</w:t>
            </w:r>
          </w:p>
        </w:tc>
        <w:tc>
          <w:tcPr>
            <w:tcW w:w="119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259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评价部门预算项目年终预算执行情况。</w:t>
            </w:r>
          </w:p>
        </w:tc>
        <w:tc>
          <w:tcPr>
            <w:tcW w:w="590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部门预算项目12月预算执行进度达到100%的，得10分，未达100%的，按照实际进度量化计算得分。</w:t>
            </w:r>
          </w:p>
        </w:tc>
        <w:tc>
          <w:tcPr>
            <w:tcW w:w="10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szCs w:val="21"/>
              </w:rPr>
              <w:t>10</w:t>
            </w:r>
          </w:p>
        </w:tc>
        <w:tc>
          <w:tcPr>
            <w:tcW w:w="88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p>
        </w:tc>
      </w:tr>
      <w:tr>
        <w:tblPrEx>
          <w:tblCellMar>
            <w:top w:w="0" w:type="dxa"/>
            <w:left w:w="0" w:type="dxa"/>
            <w:bottom w:w="0" w:type="dxa"/>
            <w:right w:w="0" w:type="dxa"/>
          </w:tblCellMar>
        </w:tblPrEx>
        <w:trPr>
          <w:trHeight w:val="490" w:hRule="atLeast"/>
          <w:jc w:val="center"/>
        </w:trPr>
        <w:tc>
          <w:tcPr>
            <w:tcW w:w="72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72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114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违规记录</w:t>
            </w:r>
          </w:p>
        </w:tc>
        <w:tc>
          <w:tcPr>
            <w:tcW w:w="11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259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根据审计监督、财政检查结果反映部门上一年度部门预算管理是否合规。</w:t>
            </w:r>
          </w:p>
        </w:tc>
        <w:tc>
          <w:tcPr>
            <w:tcW w:w="590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依据评价年度审计监督、财政检查结果，出现部门预算管理方面违纪违规问题的，每个问题扣0.5分，直至扣完。</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r>
        <w:tblPrEx>
          <w:tblCellMar>
            <w:top w:w="0" w:type="dxa"/>
            <w:left w:w="0" w:type="dxa"/>
            <w:bottom w:w="0" w:type="dxa"/>
            <w:right w:w="0" w:type="dxa"/>
          </w:tblCellMar>
        </w:tblPrEx>
        <w:trPr>
          <w:trHeight w:val="647" w:hRule="atLeast"/>
          <w:jc w:val="center"/>
        </w:trPr>
        <w:tc>
          <w:tcPr>
            <w:tcW w:w="7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绩效结果应用（10分）</w:t>
            </w:r>
          </w:p>
        </w:tc>
        <w:tc>
          <w:tcPr>
            <w:tcW w:w="7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信息公开（2分)</w:t>
            </w:r>
          </w:p>
        </w:tc>
        <w:tc>
          <w:tcPr>
            <w:tcW w:w="11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自评公开</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2</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评价部门是否按要求将部门整体绩效自评情况和自行组织的评价情况向社会公开。</w:t>
            </w:r>
          </w:p>
        </w:tc>
        <w:tc>
          <w:tcPr>
            <w:tcW w:w="59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按要求将相关绩效信息随同决算公开的，得2分，否则不得分。</w:t>
            </w:r>
          </w:p>
        </w:tc>
        <w:tc>
          <w:tcPr>
            <w:tcW w:w="1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2</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r>
        <w:tblPrEx>
          <w:tblCellMar>
            <w:top w:w="0" w:type="dxa"/>
            <w:left w:w="0" w:type="dxa"/>
            <w:bottom w:w="0" w:type="dxa"/>
            <w:right w:w="0" w:type="dxa"/>
          </w:tblCellMar>
        </w:tblPrEx>
        <w:trPr>
          <w:trHeight w:val="907" w:hRule="atLeast"/>
          <w:jc w:val="center"/>
        </w:trPr>
        <w:tc>
          <w:tcPr>
            <w:tcW w:w="72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整改反馈（8分）</w:t>
            </w:r>
          </w:p>
        </w:tc>
        <w:tc>
          <w:tcPr>
            <w:tcW w:w="114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结果整改</w:t>
            </w:r>
          </w:p>
        </w:tc>
        <w:tc>
          <w:tcPr>
            <w:tcW w:w="11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4</w:t>
            </w:r>
          </w:p>
        </w:tc>
        <w:tc>
          <w:tcPr>
            <w:tcW w:w="25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评价部门根据绩效管理结果整改问题、完善政策、改进管理的情况。</w:t>
            </w:r>
          </w:p>
        </w:tc>
        <w:tc>
          <w:tcPr>
            <w:tcW w:w="59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针对绩效管理过程中（包括绩效目标核查、绩效监控核查和重点绩效评价）提出的问题进行整改，将绩效管理结果应用于完善政策、改进管理、预算挂钩等的，得4分。否则，酌情扣分。</w:t>
            </w:r>
          </w:p>
        </w:tc>
        <w:tc>
          <w:tcPr>
            <w:tcW w:w="101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r>
        <w:tblPrEx>
          <w:tblCellMar>
            <w:top w:w="0" w:type="dxa"/>
            <w:left w:w="0" w:type="dxa"/>
            <w:bottom w:w="0" w:type="dxa"/>
            <w:right w:w="0" w:type="dxa"/>
          </w:tblCellMar>
        </w:tblPrEx>
        <w:trPr>
          <w:trHeight w:val="663" w:hRule="atLeast"/>
          <w:jc w:val="center"/>
        </w:trPr>
        <w:tc>
          <w:tcPr>
            <w:tcW w:w="720"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720"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rPr>
                <w:rFonts w:eastAsia="方正仿宋简体"/>
                <w:color w:val="000000"/>
                <w:szCs w:val="21"/>
              </w:rPr>
            </w:pPr>
          </w:p>
        </w:tc>
        <w:tc>
          <w:tcPr>
            <w:tcW w:w="114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应用反馈</w:t>
            </w:r>
          </w:p>
        </w:tc>
        <w:tc>
          <w:tcPr>
            <w:tcW w:w="119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4</w:t>
            </w:r>
          </w:p>
        </w:tc>
        <w:tc>
          <w:tcPr>
            <w:tcW w:w="259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评价部门按要求及时向财政部门反馈结果应用情况。</w:t>
            </w:r>
          </w:p>
        </w:tc>
        <w:tc>
          <w:tcPr>
            <w:tcW w:w="590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部门在规定时间内向财政部门反馈应用绩效结果报告的，得满分，否则不得分。</w:t>
            </w:r>
          </w:p>
        </w:tc>
        <w:tc>
          <w:tcPr>
            <w:tcW w:w="10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4</w:t>
            </w:r>
          </w:p>
        </w:tc>
        <w:tc>
          <w:tcPr>
            <w:tcW w:w="8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r>
        <w:tblPrEx>
          <w:tblCellMar>
            <w:top w:w="0" w:type="dxa"/>
            <w:left w:w="0" w:type="dxa"/>
            <w:bottom w:w="0" w:type="dxa"/>
            <w:right w:w="0" w:type="dxa"/>
          </w:tblCellMar>
        </w:tblPrEx>
        <w:trPr>
          <w:trHeight w:val="10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自评质量（10分）</w:t>
            </w:r>
          </w:p>
        </w:tc>
        <w:tc>
          <w:tcPr>
            <w:tcW w:w="7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自评质量（10分）</w:t>
            </w:r>
          </w:p>
        </w:tc>
        <w:tc>
          <w:tcPr>
            <w:tcW w:w="114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自评准确</w:t>
            </w:r>
          </w:p>
        </w:tc>
        <w:tc>
          <w:tcPr>
            <w:tcW w:w="11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25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评价部门整体支出自评准确率。</w:t>
            </w:r>
          </w:p>
        </w:tc>
        <w:tc>
          <w:tcPr>
            <w:tcW w:w="590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left"/>
              <w:textAlignment w:val="center"/>
              <w:rPr>
                <w:rFonts w:eastAsia="方正仿宋简体"/>
                <w:color w:val="000000"/>
                <w:szCs w:val="21"/>
              </w:rPr>
            </w:pPr>
            <w:r>
              <w:rPr>
                <w:rFonts w:eastAsia="方正仿宋简体"/>
                <w:color w:val="000000"/>
                <w:kern w:val="0"/>
                <w:szCs w:val="21"/>
                <w:lang w:bidi="ar"/>
              </w:rPr>
              <w:t>部门整体支出自评得分与评价组抽查得分差异在5%以内的，不扣分；在5%-10%之间的，扣4分，在10%-20%的，扣8分，在20%以上的，扣10分。（部门在自评时，此项指标无需打分，部门自评满分为90分）</w:t>
            </w:r>
          </w:p>
        </w:tc>
        <w:tc>
          <w:tcPr>
            <w:tcW w:w="10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jc w:val="center"/>
              <w:textAlignment w:val="center"/>
              <w:rPr>
                <w:rFonts w:eastAsia="方正仿宋简体"/>
                <w:color w:val="000000"/>
                <w:szCs w:val="21"/>
              </w:rPr>
            </w:pPr>
            <w:r>
              <w:rPr>
                <w:rFonts w:eastAsia="方正仿宋简体"/>
                <w:color w:val="000000"/>
                <w:kern w:val="0"/>
                <w:szCs w:val="21"/>
                <w:lang w:bidi="ar"/>
              </w:rPr>
              <w:t>10</w:t>
            </w:r>
          </w:p>
        </w:tc>
        <w:tc>
          <w:tcPr>
            <w:tcW w:w="8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adjustRightInd w:val="0"/>
              <w:snapToGrid w:val="0"/>
              <w:spacing w:line="240" w:lineRule="exact"/>
              <w:rPr>
                <w:rFonts w:eastAsia="方正仿宋简体"/>
                <w:color w:val="000000"/>
                <w:szCs w:val="21"/>
              </w:rPr>
            </w:pPr>
          </w:p>
        </w:tc>
      </w:tr>
    </w:tbl>
    <w:p>
      <w:pPr>
        <w:pStyle w:val="3"/>
        <w:rPr>
          <w:lang w:val="zh-CN"/>
        </w:rPr>
      </w:pPr>
    </w:p>
    <w:p>
      <w:pPr>
        <w:pStyle w:val="4"/>
        <w:rPr>
          <w:lang w:val="zh-CN"/>
        </w:rPr>
      </w:pPr>
    </w:p>
    <w:p>
      <w:pPr>
        <w:rPr>
          <w:lang w:val="zh-CN"/>
        </w:rPr>
      </w:pPr>
    </w:p>
    <w:p>
      <w:pPr>
        <w:pStyle w:val="2"/>
        <w:spacing w:before="93"/>
        <w:rPr>
          <w:lang w:val="zh-CN"/>
        </w:rPr>
      </w:pPr>
    </w:p>
    <w:p>
      <w:pPr>
        <w:pStyle w:val="3"/>
        <w:rPr>
          <w:lang w:val="zh-CN"/>
        </w:rPr>
      </w:pPr>
    </w:p>
    <w:p>
      <w:pPr>
        <w:pStyle w:val="4"/>
        <w:rPr>
          <w:lang w:val="zh-CN"/>
        </w:rPr>
      </w:pPr>
    </w:p>
    <w:p>
      <w:pPr>
        <w:rPr>
          <w:rFonts w:hint="eastAsia"/>
          <w:lang w:val="zh-CN"/>
        </w:rPr>
      </w:pPr>
    </w:p>
    <w:p>
      <w:pPr>
        <w:widowControl/>
        <w:numPr>
          <w:ilvl w:val="0"/>
          <w:numId w:val="8"/>
        </w:numPr>
        <w:adjustRightInd w:val="0"/>
        <w:snapToGrid w:val="0"/>
        <w:spacing w:line="580" w:lineRule="exact"/>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科普活动项目绩效目标自评表</w:t>
      </w:r>
    </w:p>
    <w:tbl>
      <w:tblPr>
        <w:tblStyle w:val="18"/>
        <w:tblW w:w="8504" w:type="dxa"/>
        <w:tblInd w:w="0" w:type="dxa"/>
        <w:shd w:val="clear" w:color="auto" w:fill="auto"/>
        <w:tblLayout w:type="autofit"/>
        <w:tblCellMar>
          <w:top w:w="0" w:type="dxa"/>
          <w:left w:w="0" w:type="dxa"/>
          <w:bottom w:w="0" w:type="dxa"/>
          <w:right w:w="0" w:type="dxa"/>
        </w:tblCellMar>
      </w:tblPr>
      <w:tblGrid>
        <w:gridCol w:w="518"/>
        <w:gridCol w:w="1112"/>
        <w:gridCol w:w="1043"/>
        <w:gridCol w:w="1204"/>
        <w:gridCol w:w="345"/>
        <w:gridCol w:w="898"/>
        <w:gridCol w:w="345"/>
        <w:gridCol w:w="847"/>
        <w:gridCol w:w="389"/>
        <w:gridCol w:w="318"/>
        <w:gridCol w:w="1485"/>
      </w:tblGrid>
      <w:tr>
        <w:tblPrEx>
          <w:shd w:val="clear" w:color="auto" w:fill="auto"/>
          <w:tblCellMar>
            <w:top w:w="0" w:type="dxa"/>
            <w:left w:w="0" w:type="dxa"/>
            <w:bottom w:w="0" w:type="dxa"/>
            <w:right w:w="0"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51090422T000000404619-科普活动经费</w:t>
            </w:r>
          </w:p>
        </w:tc>
      </w:tr>
      <w:tr>
        <w:tblPrEx>
          <w:shd w:val="clear" w:color="auto" w:fill="auto"/>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遂宁市安居区科学技术协会部门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遂宁市安居区科学技术协会</w:t>
            </w:r>
          </w:p>
        </w:tc>
      </w:tr>
      <w:tr>
        <w:tblPrEx>
          <w:shd w:val="clear" w:color="auto" w:fill="auto"/>
          <w:tblCellMar>
            <w:top w:w="0" w:type="dxa"/>
            <w:left w:w="0" w:type="dxa"/>
            <w:bottom w:w="0" w:type="dxa"/>
            <w:right w:w="0" w:type="dxa"/>
          </w:tblCellMar>
        </w:tblPrEx>
        <w:trPr>
          <w:trHeight w:val="283"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shd w:val="clear" w:color="auto" w:fill="auto"/>
          <w:tblCellMar>
            <w:top w:w="0" w:type="dxa"/>
            <w:left w:w="0" w:type="dxa"/>
            <w:bottom w:w="0" w:type="dxa"/>
            <w:right w:w="0" w:type="dxa"/>
          </w:tblCellMar>
        </w:tblPrEx>
        <w:trPr>
          <w:trHeight w:val="113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联合团委、关工委、教育局、经科局、农业农村局等单位开展科普大篷车进校园、社区、企业等科普教育活动及实用技术培训活动。利用科普宣传月、周、日对群众开展科普宣传活动。对科普大篷车进行运行维护、车载产品保养维修、维护等。</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shd w:val="clear" w:color="auto" w:fill="auto"/>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shd w:val="clear" w:color="auto" w:fill="auto"/>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shd w:val="clear" w:color="auto" w:fill="auto"/>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9.99</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shd w:val="clear" w:color="auto" w:fill="auto"/>
          <w:tblCellMar>
            <w:top w:w="0" w:type="dxa"/>
            <w:left w:w="0" w:type="dxa"/>
            <w:bottom w:w="0" w:type="dxa"/>
            <w:right w:w="0"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联合团委、关工委、教育局、农业农村局等单位开展青少年科普教育活动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科普活动经费</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科普活动经费项目绩效总体评价良好。</w:t>
            </w:r>
          </w:p>
        </w:tc>
      </w:tr>
      <w:tr>
        <w:tblPrEx>
          <w:shd w:val="clear" w:color="auto" w:fill="auto"/>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基层科普力量薄弱，各镇（街道）人员长期不固定，工作经常处于临时应付状态。科技工作者联系纽带不紧密，下沉到各企业、学校、社区等机构开展现场科普交流不充分。</w:t>
            </w:r>
          </w:p>
        </w:tc>
      </w:tr>
      <w:tr>
        <w:tblPrEx>
          <w:shd w:val="clear" w:color="auto" w:fill="auto"/>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协调部门、镇（街道）组建固定的工作人员，长期稳定从事科普教育工作，基本建成通畅的工作机制和沟通渠道。科技工作者在“全国科普日”“科技工作者日”等重要活动期间，开展多种形式的工作交流，增强科协对全区科技工作者的感情吸引力和工作向心力。</w:t>
            </w:r>
          </w:p>
        </w:tc>
      </w:tr>
      <w:tr>
        <w:tblPrEx>
          <w:shd w:val="clear" w:color="auto" w:fill="auto"/>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Pr>
        <w:pStyle w:val="2"/>
        <w:rPr>
          <w:rFonts w:hint="eastAsia" w:ascii="仿宋_GB2312" w:hAnsi="Calibri" w:eastAsia="仿宋_GB2312" w:cs="仿宋"/>
          <w:kern w:val="0"/>
          <w:sz w:val="32"/>
          <w:szCs w:val="32"/>
        </w:rPr>
      </w:pPr>
    </w:p>
    <w:p>
      <w:pPr>
        <w:pStyle w:val="3"/>
      </w:pPr>
    </w:p>
    <w:p>
      <w:pPr>
        <w:widowControl/>
        <w:numPr>
          <w:ilvl w:val="0"/>
          <w:numId w:val="0"/>
        </w:numPr>
        <w:adjustRightInd w:val="0"/>
        <w:snapToGrid w:val="0"/>
        <w:spacing w:line="580" w:lineRule="exact"/>
        <w:ind w:firstLine="1920" w:firstLineChars="6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3.</w:t>
      </w:r>
      <w:r>
        <w:rPr>
          <w:rFonts w:hint="eastAsia" w:ascii="仿宋" w:hAnsi="仿宋" w:eastAsia="仿宋" w:cs="仿宋"/>
          <w:i w:val="0"/>
          <w:color w:val="000000"/>
          <w:kern w:val="0"/>
          <w:sz w:val="36"/>
          <w:szCs w:val="36"/>
          <w:u w:val="none"/>
          <w:lang w:val="en-US" w:eastAsia="zh-CN" w:bidi="ar"/>
        </w:rPr>
        <w:t>科普阵地建设</w:t>
      </w:r>
      <w:r>
        <w:rPr>
          <w:rFonts w:hint="eastAsia" w:ascii="仿宋" w:hAnsi="仿宋" w:eastAsia="仿宋" w:cs="仿宋"/>
          <w:kern w:val="0"/>
          <w:sz w:val="36"/>
          <w:szCs w:val="36"/>
        </w:rPr>
        <w:t>项目绩效目</w:t>
      </w:r>
    </w:p>
    <w:tbl>
      <w:tblPr>
        <w:tblStyle w:val="18"/>
        <w:tblW w:w="8504" w:type="dxa"/>
        <w:tblInd w:w="0" w:type="dxa"/>
        <w:shd w:val="clear" w:color="auto" w:fill="auto"/>
        <w:tblLayout w:type="autofit"/>
        <w:tblCellMar>
          <w:top w:w="0" w:type="dxa"/>
          <w:left w:w="0" w:type="dxa"/>
          <w:bottom w:w="0" w:type="dxa"/>
          <w:right w:w="0" w:type="dxa"/>
        </w:tblCellMar>
      </w:tblPr>
      <w:tblGrid>
        <w:gridCol w:w="521"/>
        <w:gridCol w:w="1129"/>
        <w:gridCol w:w="1006"/>
        <w:gridCol w:w="1223"/>
        <w:gridCol w:w="348"/>
        <w:gridCol w:w="862"/>
        <w:gridCol w:w="348"/>
        <w:gridCol w:w="852"/>
        <w:gridCol w:w="391"/>
        <w:gridCol w:w="319"/>
        <w:gridCol w:w="1505"/>
      </w:tblGrid>
      <w:tr>
        <w:tblPrEx>
          <w:shd w:val="clear" w:color="auto" w:fill="auto"/>
          <w:tblCellMar>
            <w:top w:w="0" w:type="dxa"/>
            <w:left w:w="0" w:type="dxa"/>
            <w:bottom w:w="0" w:type="dxa"/>
            <w:right w:w="0" w:type="dxa"/>
          </w:tblCellMar>
        </w:tblPrEx>
        <w:trPr>
          <w:trHeight w:val="901"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51090422T000000404624-科普阵地建设</w:t>
            </w:r>
          </w:p>
        </w:tc>
      </w:tr>
      <w:tr>
        <w:tblPrEx>
          <w:shd w:val="clear" w:color="auto" w:fill="auto"/>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遂宁市安居区科学技术协会部门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遂宁市安居区科学技术协会</w:t>
            </w:r>
          </w:p>
        </w:tc>
      </w:tr>
      <w:tr>
        <w:tblPrEx>
          <w:shd w:val="clear" w:color="auto" w:fill="auto"/>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shd w:val="clear" w:color="auto" w:fill="auto"/>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shd w:val="clear" w:color="auto" w:fill="auto"/>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shd w:val="clear" w:color="auto" w:fill="auto"/>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shd w:val="clear" w:color="auto" w:fill="auto"/>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科普阵地建设项目绩效总体评价良好。</w:t>
            </w: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无</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Pr>
        <w:pStyle w:val="2"/>
        <w:rPr>
          <w:rFonts w:hint="eastAsia" w:ascii="仿宋_GB2312" w:hAnsi="Calibri" w:eastAsia="仿宋_GB2312" w:cs="仿宋"/>
          <w:kern w:val="0"/>
          <w:sz w:val="32"/>
          <w:szCs w:val="32"/>
        </w:rPr>
      </w:pPr>
    </w:p>
    <w:p>
      <w:pPr>
        <w:pStyle w:val="3"/>
      </w:pPr>
    </w:p>
    <w:p>
      <w:pPr>
        <w:widowControl/>
        <w:numPr>
          <w:ilvl w:val="0"/>
          <w:numId w:val="0"/>
        </w:numPr>
        <w:adjustRightInd w:val="0"/>
        <w:snapToGrid w:val="0"/>
        <w:spacing w:line="58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en-US" w:eastAsia="zh-CN"/>
        </w:rPr>
        <w:t>3.</w:t>
      </w:r>
      <w:r>
        <w:rPr>
          <w:rFonts w:ascii="仿宋_GB2312" w:hAnsi="Calibri" w:eastAsia="仿宋_GB2312" w:cs="仿宋"/>
          <w:kern w:val="0"/>
          <w:sz w:val="32"/>
          <w:szCs w:val="32"/>
        </w:rPr>
        <w:t>青少年科创</w:t>
      </w:r>
      <w:r>
        <w:rPr>
          <w:rFonts w:hint="eastAsia" w:ascii="仿宋_GB2312" w:hAnsi="Calibri" w:eastAsia="仿宋_GB2312" w:cs="仿宋"/>
          <w:kern w:val="0"/>
          <w:sz w:val="32"/>
          <w:szCs w:val="32"/>
        </w:rPr>
        <w:t>大赛</w:t>
      </w:r>
      <w:r>
        <w:rPr>
          <w:rFonts w:ascii="仿宋_GB2312" w:hAnsi="Calibri" w:eastAsia="仿宋_GB2312" w:cs="仿宋"/>
          <w:kern w:val="0"/>
          <w:sz w:val="32"/>
          <w:szCs w:val="32"/>
        </w:rPr>
        <w:t>及乡土人才</w:t>
      </w:r>
      <w:r>
        <w:rPr>
          <w:rFonts w:hint="eastAsia" w:ascii="仿宋_GB2312" w:hAnsi="Calibri" w:eastAsia="仿宋_GB2312" w:cs="仿宋"/>
          <w:kern w:val="0"/>
          <w:sz w:val="32"/>
          <w:szCs w:val="32"/>
        </w:rPr>
        <w:t>大赛项目绩效标自评表</w:t>
      </w:r>
    </w:p>
    <w:tbl>
      <w:tblPr>
        <w:tblStyle w:val="18"/>
        <w:tblW w:w="8504" w:type="dxa"/>
        <w:tblInd w:w="0" w:type="dxa"/>
        <w:shd w:val="clear" w:color="auto" w:fill="auto"/>
        <w:tblLayout w:type="autofit"/>
        <w:tblCellMar>
          <w:top w:w="0" w:type="dxa"/>
          <w:left w:w="0" w:type="dxa"/>
          <w:bottom w:w="0" w:type="dxa"/>
          <w:right w:w="0" w:type="dxa"/>
        </w:tblCellMar>
      </w:tblPr>
      <w:tblGrid>
        <w:gridCol w:w="519"/>
        <w:gridCol w:w="1121"/>
        <w:gridCol w:w="999"/>
        <w:gridCol w:w="1214"/>
        <w:gridCol w:w="347"/>
        <w:gridCol w:w="905"/>
        <w:gridCol w:w="347"/>
        <w:gridCol w:w="850"/>
        <w:gridCol w:w="390"/>
        <w:gridCol w:w="318"/>
        <w:gridCol w:w="1494"/>
      </w:tblGrid>
      <w:tr>
        <w:tblPrEx>
          <w:shd w:val="clear" w:color="auto" w:fill="auto"/>
          <w:tblCellMar>
            <w:top w:w="0" w:type="dxa"/>
            <w:left w:w="0" w:type="dxa"/>
            <w:bottom w:w="0" w:type="dxa"/>
            <w:right w:w="0" w:type="dxa"/>
          </w:tblCellMar>
        </w:tblPrEx>
        <w:trPr>
          <w:trHeight w:val="901"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51090422T000000404628-青少年科创及乡土人才大赛</w:t>
            </w:r>
          </w:p>
        </w:tc>
      </w:tr>
      <w:tr>
        <w:tblPrEx>
          <w:shd w:val="clear" w:color="auto" w:fill="auto"/>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遂宁市安居区科学技术协会部门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遂宁市安居区科学技术协会</w:t>
            </w:r>
          </w:p>
        </w:tc>
      </w:tr>
      <w:tr>
        <w:tblPrEx>
          <w:shd w:val="clear" w:color="auto" w:fill="auto"/>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shd w:val="clear" w:color="auto" w:fill="auto"/>
          <w:tblCellMar>
            <w:top w:w="0" w:type="dxa"/>
            <w:left w:w="0" w:type="dxa"/>
            <w:bottom w:w="0" w:type="dxa"/>
            <w:right w:w="0"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联合区教体局开展全区青少年科创大赛，开展科技教师培训，培训科技教师300人以上。组织支持农技协积极参加各级乡土人才大赛，为乡镇、街道提供科技创新平台，实现农民通过创新创业得到乡村振兴。</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shd w:val="clear" w:color="auto" w:fill="auto"/>
          <w:tblCellMar>
            <w:top w:w="0" w:type="dxa"/>
            <w:left w:w="0" w:type="dxa"/>
            <w:bottom w:w="0" w:type="dxa"/>
            <w:right w:w="0"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shd w:val="clear" w:color="auto" w:fill="auto"/>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shd w:val="clear" w:color="auto" w:fill="auto"/>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4.94</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shd w:val="clear" w:color="auto" w:fill="auto"/>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培训科技教师</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青少年科创及乡土人才大赛费用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青少年科创及乡土人才大赛项目绩效总体评价良好。</w:t>
            </w: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全区各中小学科技创新水平参差不齐，部分学校积极性不高、科技创新能力有待提升。</w:t>
            </w: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加大科技教师培训力度，提升科技教师业务素质，全面提升全区中小学科技创新能力。</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Pr>
        <w:pStyle w:val="2"/>
        <w:rPr>
          <w:rFonts w:hint="eastAsia" w:ascii="仿宋_GB2312" w:hAnsi="Calibri" w:eastAsia="仿宋_GB2312" w:cs="仿宋"/>
          <w:kern w:val="0"/>
          <w:sz w:val="32"/>
          <w:szCs w:val="32"/>
        </w:rPr>
      </w:pPr>
    </w:p>
    <w:p>
      <w:pPr>
        <w:pStyle w:val="3"/>
        <w:rPr>
          <w:rFonts w:hint="eastAsia" w:ascii="仿宋_GB2312" w:hAnsi="Calibri" w:eastAsia="仿宋_GB2312" w:cs="仿宋"/>
          <w:kern w:val="0"/>
          <w:sz w:val="32"/>
          <w:szCs w:val="32"/>
        </w:rPr>
      </w:pPr>
    </w:p>
    <w:p>
      <w:pPr>
        <w:pStyle w:val="4"/>
        <w:rPr>
          <w:rFonts w:hint="eastAsia" w:ascii="仿宋_GB2312" w:hAnsi="Calibri" w:eastAsia="仿宋_GB2312" w:cs="仿宋"/>
          <w:kern w:val="0"/>
          <w:sz w:val="32"/>
          <w:szCs w:val="32"/>
        </w:rPr>
      </w:pPr>
    </w:p>
    <w:p/>
    <w:p>
      <w:pPr>
        <w:pStyle w:val="2"/>
        <w:spacing w:before="93"/>
      </w:pPr>
      <w:r>
        <w:rPr>
          <w:rFonts w:hint="eastAsia" w:hAnsi="Calibri" w:cs="仿宋"/>
          <w:sz w:val="32"/>
          <w:szCs w:val="32"/>
        </w:rPr>
        <w:t xml:space="preserve">          4.天府科技云项目绩效目标自评表</w:t>
      </w:r>
    </w:p>
    <w:tbl>
      <w:tblPr>
        <w:tblStyle w:val="18"/>
        <w:tblW w:w="8504" w:type="dxa"/>
        <w:jc w:val="center"/>
        <w:shd w:val="clear" w:color="auto" w:fill="auto"/>
        <w:tblLayout w:type="autofit"/>
        <w:tblCellMar>
          <w:top w:w="0" w:type="dxa"/>
          <w:left w:w="0" w:type="dxa"/>
          <w:bottom w:w="0" w:type="dxa"/>
          <w:right w:w="0" w:type="dxa"/>
        </w:tblCellMar>
      </w:tblPr>
      <w:tblGrid>
        <w:gridCol w:w="521"/>
        <w:gridCol w:w="1129"/>
        <w:gridCol w:w="1006"/>
        <w:gridCol w:w="1273"/>
        <w:gridCol w:w="348"/>
        <w:gridCol w:w="912"/>
        <w:gridCol w:w="348"/>
        <w:gridCol w:w="752"/>
        <w:gridCol w:w="391"/>
        <w:gridCol w:w="319"/>
        <w:gridCol w:w="1505"/>
      </w:tblGrid>
      <w:tr>
        <w:tblPrEx>
          <w:shd w:val="clear" w:color="auto" w:fill="auto"/>
          <w:tblCellMar>
            <w:top w:w="0" w:type="dxa"/>
            <w:left w:w="0" w:type="dxa"/>
            <w:bottom w:w="0" w:type="dxa"/>
            <w:right w:w="0" w:type="dxa"/>
          </w:tblCellMar>
        </w:tblPrEx>
        <w:trPr>
          <w:trHeight w:val="901" w:hRule="atLeast"/>
          <w:jc w:val="center"/>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shd w:val="clear" w:color="auto" w:fill="auto"/>
          <w:tblCellMar>
            <w:top w:w="0" w:type="dxa"/>
            <w:left w:w="0" w:type="dxa"/>
            <w:bottom w:w="0" w:type="dxa"/>
            <w:right w:w="0" w:type="dxa"/>
          </w:tblCellMar>
        </w:tblPrEx>
        <w:trPr>
          <w:trHeight w:val="286"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51090422T000000404626-天府科技云服务</w:t>
            </w:r>
          </w:p>
        </w:tc>
      </w:tr>
      <w:tr>
        <w:tblPrEx>
          <w:shd w:val="clear" w:color="auto" w:fill="auto"/>
          <w:tblCellMar>
            <w:top w:w="0" w:type="dxa"/>
            <w:left w:w="0" w:type="dxa"/>
            <w:bottom w:w="0" w:type="dxa"/>
            <w:right w:w="0" w:type="dxa"/>
          </w:tblCellMar>
        </w:tblPrEx>
        <w:trPr>
          <w:trHeight w:val="512" w:hRule="atLeast"/>
          <w:jc w:val="center"/>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遂宁市安居区科学技术协会部门</w:t>
            </w:r>
          </w:p>
        </w:tc>
        <w:tc>
          <w:tcPr>
            <w:tcW w:w="1091"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遂宁市安居区科学技术协会</w:t>
            </w:r>
          </w:p>
        </w:tc>
      </w:tr>
      <w:tr>
        <w:tblPrEx>
          <w:shd w:val="clear" w:color="auto" w:fill="auto"/>
          <w:tblCellMar>
            <w:top w:w="0" w:type="dxa"/>
            <w:left w:w="0" w:type="dxa"/>
            <w:bottom w:w="0" w:type="dxa"/>
            <w:right w:w="0" w:type="dxa"/>
          </w:tblCellMar>
        </w:tblPrEx>
        <w:trPr>
          <w:trHeight w:val="286"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shd w:val="clear" w:color="auto" w:fill="auto"/>
          <w:tblCellMar>
            <w:top w:w="0" w:type="dxa"/>
            <w:left w:w="0" w:type="dxa"/>
            <w:bottom w:w="0" w:type="dxa"/>
            <w:right w:w="0" w:type="dxa"/>
          </w:tblCellMar>
        </w:tblPrEx>
        <w:trPr>
          <w:trHeight w:val="904"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建成面向所有科技工作者（团队）和所有企事业单位和广大人民群众开放共享的“天府科技云服务”平台，实现科技服务的市场化、精准化、便捷化、实现科普服务智能化，促进科技服务供给侧与需求侧精准对接、互利共赢。</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shd w:val="clear" w:color="auto" w:fill="auto"/>
          <w:tblCellMar>
            <w:top w:w="0" w:type="dxa"/>
            <w:left w:w="0" w:type="dxa"/>
            <w:bottom w:w="0" w:type="dxa"/>
            <w:right w:w="0" w:type="dxa"/>
          </w:tblCellMar>
        </w:tblPrEx>
        <w:trPr>
          <w:trHeight w:val="693"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361"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shd w:val="clear" w:color="auto" w:fill="auto"/>
          <w:tblCellMar>
            <w:top w:w="0" w:type="dxa"/>
            <w:left w:w="0" w:type="dxa"/>
            <w:bottom w:w="0" w:type="dxa"/>
            <w:right w:w="0" w:type="dxa"/>
          </w:tblCellMar>
        </w:tblPrEx>
        <w:trPr>
          <w:trHeight w:val="38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shd w:val="clear" w:color="auto" w:fill="auto"/>
          <w:tblCellMar>
            <w:top w:w="0" w:type="dxa"/>
            <w:left w:w="0" w:type="dxa"/>
            <w:bottom w:w="0" w:type="dxa"/>
            <w:right w:w="0" w:type="dxa"/>
          </w:tblCellMar>
        </w:tblPrEx>
        <w:trPr>
          <w:trHeight w:val="43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64.00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7.81%</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0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37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i/>
                <w:color w:val="000000"/>
                <w:sz w:val="18"/>
                <w:szCs w:val="18"/>
                <w:u w:val="none"/>
              </w:rPr>
            </w:pPr>
          </w:p>
        </w:tc>
      </w:tr>
      <w:tr>
        <w:tblPrEx>
          <w:shd w:val="clear" w:color="auto" w:fill="auto"/>
          <w:tblCellMar>
            <w:top w:w="0" w:type="dxa"/>
            <w:left w:w="0" w:type="dxa"/>
            <w:bottom w:w="0" w:type="dxa"/>
            <w:right w:w="0" w:type="dxa"/>
          </w:tblCellMar>
        </w:tblPrEx>
        <w:trPr>
          <w:trHeight w:val="452" w:hRule="atLeast"/>
          <w:jc w:val="center"/>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shd w:val="clear" w:color="auto" w:fill="auto"/>
          <w:tblCellMar>
            <w:top w:w="0" w:type="dxa"/>
            <w:left w:w="0" w:type="dxa"/>
            <w:bottom w:w="0" w:type="dxa"/>
            <w:right w:w="0" w:type="dxa"/>
          </w:tblCellMar>
        </w:tblPrEx>
        <w:trPr>
          <w:trHeight w:val="339"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平台运行、维护费用</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452" w:hRule="atLeast"/>
          <w:jc w:val="center"/>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45</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color w:val="000000"/>
                <w:sz w:val="16"/>
                <w:szCs w:val="16"/>
                <w:u w:val="none"/>
              </w:rPr>
            </w:pPr>
          </w:p>
        </w:tc>
      </w:tr>
      <w:tr>
        <w:tblPrEx>
          <w:shd w:val="clear" w:color="auto" w:fill="auto"/>
          <w:tblCellMar>
            <w:top w:w="0" w:type="dxa"/>
            <w:left w:w="0" w:type="dxa"/>
            <w:bottom w:w="0" w:type="dxa"/>
            <w:right w:w="0" w:type="dxa"/>
          </w:tblCellMar>
        </w:tblPrEx>
        <w:trPr>
          <w:trHeight w:val="286" w:hRule="atLeast"/>
          <w:jc w:val="center"/>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60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天府科技云服务项目绩效总体评价良好。</w:t>
            </w:r>
          </w:p>
        </w:tc>
      </w:tr>
      <w:tr>
        <w:tblPrEx>
          <w:shd w:val="clear" w:color="auto" w:fill="auto"/>
          <w:tblCellMar>
            <w:top w:w="0" w:type="dxa"/>
            <w:left w:w="0" w:type="dxa"/>
            <w:bottom w:w="0" w:type="dxa"/>
            <w:right w:w="0" w:type="dxa"/>
          </w:tblCellMar>
        </w:tblPrEx>
        <w:trPr>
          <w:trHeight w:val="572"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群众参与注册率较全省仍有差距、科技工作者（企事业单位）发布科技所能（所需）仍不积极主动、典型案例示范带动效应还不强等。</w:t>
            </w:r>
          </w:p>
        </w:tc>
      </w:tr>
      <w:tr>
        <w:tblPrEx>
          <w:shd w:val="clear" w:color="auto" w:fill="auto"/>
          <w:tblCellMar>
            <w:top w:w="0" w:type="dxa"/>
            <w:left w:w="0" w:type="dxa"/>
            <w:bottom w:w="0" w:type="dxa"/>
            <w:right w:w="0" w:type="dxa"/>
          </w:tblCellMar>
        </w:tblPrEx>
        <w:trPr>
          <w:trHeight w:val="633" w:hRule="atLeast"/>
          <w:jc w:val="center"/>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加大科普资源网络建设力度，积极动员组织各类科普基地、积极开展“天府科技云”注册，力争实现全覆盖。</w:t>
            </w:r>
          </w:p>
        </w:tc>
      </w:tr>
      <w:tr>
        <w:tblPrEx>
          <w:shd w:val="clear" w:color="auto" w:fill="auto"/>
          <w:tblCellMar>
            <w:top w:w="0" w:type="dxa"/>
            <w:left w:w="0" w:type="dxa"/>
            <w:bottom w:w="0" w:type="dxa"/>
            <w:right w:w="0" w:type="dxa"/>
          </w:tblCellMar>
        </w:tblPrEx>
        <w:trPr>
          <w:trHeight w:val="286" w:hRule="atLeast"/>
          <w:jc w:val="center"/>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pPr>
        <w:widowControl/>
        <w:adjustRightInd w:val="0"/>
        <w:snapToGrid w:val="0"/>
        <w:spacing w:line="580" w:lineRule="exact"/>
        <w:contextualSpacing/>
        <w:jc w:val="left"/>
        <w:rPr>
          <w:rFonts w:ascii="仿宋_GB2312" w:hAnsi="Calibri" w:eastAsia="仿宋_GB2312" w:cs="仿宋"/>
          <w:kern w:val="0"/>
          <w:sz w:val="32"/>
          <w:szCs w:val="32"/>
        </w:rPr>
      </w:pPr>
    </w:p>
    <w:p>
      <w:pPr>
        <w:pStyle w:val="17"/>
        <w:spacing w:line="560" w:lineRule="exact"/>
        <w:ind w:left="0" w:leftChars="0" w:firstLine="0" w:firstLineChars="0"/>
        <w:rPr>
          <w:sz w:val="32"/>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rFonts w:hAnsi="宋体" w:cs="宋体"/>
          <w:sz w:val="32"/>
          <w:szCs w:val="32"/>
          <w:shd w:val="clear" w:color="auto" w:fill="FFFFFF"/>
          <w:lang w:val="zh-CN"/>
        </w:rPr>
      </w:pPr>
    </w:p>
    <w:p>
      <w:pPr>
        <w:pStyle w:val="2"/>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7"/>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6"/>
        <w:ind w:firstLine="640" w:firstLineChars="200"/>
        <w:rPr>
          <w:rFonts w:ascii="黑体" w:eastAsia="黑体"/>
          <w:b w:val="0"/>
          <w:lang w:val="zh-CN"/>
        </w:rPr>
      </w:pPr>
      <w:bookmarkStart w:id="78" w:name="_Toc10947"/>
      <w:r>
        <w:rPr>
          <w:rFonts w:hint="eastAsia" w:ascii="黑体" w:eastAsia="黑体"/>
          <w:b w:val="0"/>
          <w:lang w:val="zh-CN"/>
        </w:rPr>
        <w:t>一、项目概况</w:t>
      </w:r>
      <w:bookmarkEnd w:id="78"/>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科普活动经费主要用于开展科普活动，邀请专家开展实用技术培训、推广新技术新品种以及开展大篷车科普设备保养</w:t>
      </w:r>
      <w:r>
        <w:rPr>
          <w:rFonts w:hint="eastAsia" w:ascii="仿宋_GB2312" w:hAnsi="仿宋_GB2312" w:eastAsia="仿宋_GB2312" w:cs="仿宋_GB2312"/>
          <w:sz w:val="32"/>
          <w:szCs w:val="32"/>
        </w:rPr>
        <w:t>等方面的工作</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项目立项、资金申报的依据。测算依据《科普法》、《遂宁市现代科技馆体系建设实施方案》（遂府办函〔20218〕153号）。</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pStyle w:val="2"/>
        <w:spacing w:before="93"/>
        <w:ind w:firstLine="640" w:firstLineChars="200"/>
        <w:rPr>
          <w:lang w:val="zh-CN"/>
        </w:rPr>
      </w:pPr>
      <w:r>
        <w:rPr>
          <w:rFonts w:hint="eastAsia" w:hAnsi="宋体"/>
          <w:sz w:val="32"/>
          <w:szCs w:val="32"/>
        </w:rPr>
        <w:t>该项目资金严格按照</w:t>
      </w:r>
      <w:r>
        <w:rPr>
          <w:rFonts w:hint="eastAsia" w:ascii="仿宋" w:hAnsi="仿宋" w:eastAsia="仿宋" w:cs="仿宋"/>
          <w:color w:val="000000"/>
          <w:sz w:val="32"/>
          <w:szCs w:val="32"/>
        </w:rPr>
        <w:t>科学技术协会</w:t>
      </w:r>
      <w:r>
        <w:rPr>
          <w:rFonts w:hint="eastAsia" w:hAnsi="宋体"/>
          <w:sz w:val="32"/>
          <w:szCs w:val="32"/>
        </w:rPr>
        <w:t>相关财务制度管理，资金主要用于</w:t>
      </w:r>
      <w:r>
        <w:rPr>
          <w:rFonts w:hint="eastAsia" w:hAnsi="Calibri" w:cs="仿宋"/>
          <w:sz w:val="32"/>
          <w:szCs w:val="32"/>
          <w:lang w:val="zh-CN"/>
        </w:rPr>
        <w:t>开展科普活动，邀请专家开展实用技术培训、推广新技术新品种以及开展大篷车科普设备保养</w:t>
      </w:r>
      <w:r>
        <w:rPr>
          <w:rFonts w:hint="eastAsia" w:hAnsi="仿宋_GB2312" w:cs="仿宋_GB2312"/>
          <w:sz w:val="32"/>
          <w:szCs w:val="32"/>
        </w:rPr>
        <w:t>等方面的工作。</w:t>
      </w:r>
    </w:p>
    <w:p>
      <w:pPr>
        <w:pStyle w:val="8"/>
        <w:numPr>
          <w:ilvl w:val="0"/>
          <w:numId w:val="0"/>
        </w:numPr>
        <w:ind w:firstLine="320" w:firstLineChars="100"/>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8"/>
        <w:numPr>
          <w:ilvl w:val="0"/>
          <w:numId w:val="0"/>
        </w:numPr>
        <w:ind w:firstLine="640" w:firstLineChars="200"/>
        <w:rPr>
          <w:lang w:val="zh-CN"/>
        </w:rPr>
      </w:pPr>
      <w:r>
        <w:rPr>
          <w:rFonts w:hint="eastAsia" w:ascii="仿宋_GB2312" w:hAnsi="宋体" w:eastAsia="仿宋_GB2312"/>
          <w:sz w:val="32"/>
          <w:szCs w:val="32"/>
        </w:rPr>
        <w:t>该项目资金根据</w:t>
      </w:r>
      <w:r>
        <w:rPr>
          <w:rFonts w:hint="eastAsia" w:ascii="仿宋" w:hAnsi="仿宋" w:eastAsia="仿宋" w:cs="仿宋"/>
          <w:color w:val="000000"/>
          <w:sz w:val="32"/>
          <w:szCs w:val="32"/>
        </w:rPr>
        <w:t>科学技术协会</w:t>
      </w:r>
      <w:r>
        <w:rPr>
          <w:rFonts w:hint="eastAsia" w:ascii="仿宋_GB2312" w:hAnsi="宋体" w:eastAsia="仿宋_GB2312"/>
          <w:sz w:val="32"/>
          <w:szCs w:val="32"/>
        </w:rPr>
        <w:t>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widowControl/>
        <w:adjustRightInd w:val="0"/>
        <w:snapToGrid w:val="0"/>
        <w:spacing w:line="580"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Calibri" w:eastAsia="仿宋_GB2312" w:cs="仿宋"/>
          <w:kern w:val="0"/>
          <w:sz w:val="32"/>
          <w:szCs w:val="32"/>
          <w:lang w:val="zh-CN"/>
        </w:rPr>
        <w:t>联合团委、关工委、教育局、经科局、农业农村局等单位开展科普大篷车进校园、社区、企业等科普教育活动及实用技术培训活动。利用科普宣传月、周、日对群众开展科普宣传活动。对科普大篷车进行运行维护、车载产品保养维修、维护等。开展青少年科普教育活动</w:t>
      </w:r>
      <w:r>
        <w:rPr>
          <w:rFonts w:hint="eastAsia" w:ascii="仿宋_GB2312" w:hAnsi="仿宋_GB2312" w:eastAsia="仿宋_GB2312" w:cs="仿宋_GB2312"/>
          <w:kern w:val="0"/>
          <w:sz w:val="32"/>
          <w:szCs w:val="32"/>
          <w:lang w:val="zh-CN"/>
        </w:rPr>
        <w:t>&gt;</w:t>
      </w:r>
      <w:r>
        <w:rPr>
          <w:rFonts w:hint="eastAsia" w:ascii="仿宋_GB2312" w:hAnsi="仿宋_GB2312" w:eastAsia="仿宋_GB2312" w:cs="仿宋_GB2312"/>
          <w:kern w:val="0"/>
          <w:sz w:val="32"/>
          <w:szCs w:val="32"/>
        </w:rPr>
        <w:t>20次，对群众开展科普宣传活动效果达到优良。</w:t>
      </w:r>
      <w:r>
        <w:rPr>
          <w:rFonts w:hint="eastAsia" w:ascii="仿宋" w:hAnsi="仿宋" w:eastAsia="仿宋" w:cs="仿宋"/>
          <w:sz w:val="32"/>
          <w:szCs w:val="32"/>
          <w:lang w:val="zh-CN"/>
        </w:rPr>
        <w:t>申报内容与实际相符，申报目标合理可行。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该</w:t>
      </w:r>
      <w:r>
        <w:rPr>
          <w:rFonts w:hint="eastAsia" w:ascii="仿宋_GB2312" w:hAnsi="宋体" w:eastAsia="仿宋_GB2312"/>
          <w:sz w:val="32"/>
          <w:szCs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6"/>
        <w:ind w:firstLine="640" w:firstLineChars="200"/>
        <w:rPr>
          <w:rFonts w:ascii="黑体" w:eastAsia="黑体"/>
          <w:b w:val="0"/>
          <w:lang w:val="zh-CN"/>
        </w:rPr>
      </w:pPr>
      <w:bookmarkStart w:id="79" w:name="_Toc3528"/>
      <w:r>
        <w:rPr>
          <w:rFonts w:hint="eastAsia" w:ascii="黑体" w:eastAsia="黑体"/>
          <w:b w:val="0"/>
          <w:lang w:val="zh-CN"/>
        </w:rPr>
        <w:t>二、项目资金申报及使用情况</w:t>
      </w:r>
      <w:bookmarkEnd w:id="79"/>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widowControl/>
        <w:adjustRightInd w:val="0"/>
        <w:snapToGrid w:val="0"/>
        <w:spacing w:line="580" w:lineRule="exact"/>
        <w:ind w:firstLine="640" w:firstLineChars="200"/>
        <w:contextualSpacing/>
        <w:jc w:val="left"/>
        <w:rPr>
          <w:rFonts w:ascii="仿宋_GB2312" w:hAnsi="宋体" w:eastAsia="仿宋_GB2312"/>
          <w:sz w:val="32"/>
          <w:szCs w:val="32"/>
          <w:lang w:val="zh-CN"/>
        </w:rPr>
      </w:pPr>
      <w:r>
        <w:rPr>
          <w:rFonts w:hint="eastAsia" w:ascii="仿宋_GB2312" w:hAnsi="仿宋_GB2312" w:eastAsia="仿宋_GB2312" w:cs="仿宋_GB2312"/>
          <w:sz w:val="32"/>
          <w:szCs w:val="32"/>
        </w:rPr>
        <w:t>科普活动</w:t>
      </w:r>
      <w:r>
        <w:rPr>
          <w:rFonts w:hint="eastAsia" w:ascii="仿宋_GB2312" w:hAnsi="宋体" w:eastAsia="仿宋_GB2312"/>
          <w:sz w:val="32"/>
          <w:szCs w:val="32"/>
          <w:lang w:val="zh-CN"/>
        </w:rPr>
        <w:t>经费项目资金申报</w:t>
      </w:r>
      <w:r>
        <w:rPr>
          <w:rFonts w:hint="eastAsia" w:ascii="仿宋_GB2312" w:hAnsi="宋体" w:eastAsia="仿宋_GB2312"/>
          <w:sz w:val="32"/>
          <w:szCs w:val="32"/>
        </w:rPr>
        <w:t>10万</w:t>
      </w:r>
      <w:r>
        <w:rPr>
          <w:rFonts w:hint="eastAsia" w:ascii="仿宋_GB2312" w:hAnsi="宋体" w:eastAsia="仿宋_GB2312"/>
          <w:sz w:val="32"/>
          <w:szCs w:val="32"/>
          <w:lang w:val="zh-CN"/>
        </w:rPr>
        <w:t>，批复</w:t>
      </w:r>
      <w:r>
        <w:rPr>
          <w:rFonts w:hint="eastAsia" w:ascii="仿宋_GB2312" w:hAnsi="宋体" w:eastAsia="仿宋_GB2312"/>
          <w:sz w:val="32"/>
          <w:szCs w:val="32"/>
        </w:rPr>
        <w:t>10万</w:t>
      </w:r>
      <w:r>
        <w:rPr>
          <w:rFonts w:hint="eastAsia" w:ascii="仿宋_GB2312" w:hAnsi="宋体" w:eastAsia="仿宋_GB2312"/>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资金计划。</w:t>
      </w:r>
      <w:r>
        <w:rPr>
          <w:rFonts w:hint="eastAsia" w:ascii="仿宋_GB2312" w:hAnsi="仿宋_GB2312" w:eastAsia="仿宋_GB2312" w:cs="仿宋_GB2312"/>
          <w:sz w:val="32"/>
          <w:szCs w:val="32"/>
        </w:rPr>
        <w:t>该项目资金计划10万元</w:t>
      </w:r>
      <w:r>
        <w:rPr>
          <w:rFonts w:hint="eastAsia" w:ascii="仿宋_GB2312" w:hAnsi="宋体" w:eastAsia="仿宋_GB2312"/>
          <w:sz w:val="32"/>
          <w:szCs w:val="32"/>
          <w:lang w:val="zh-CN"/>
        </w:rPr>
        <w:t>。</w:t>
      </w:r>
      <w:r>
        <w:rPr>
          <w:rFonts w:hint="eastAsia" w:ascii="仿宋_GB2312" w:hAnsi="Calibri" w:eastAsia="仿宋_GB2312" w:cs="仿宋"/>
          <w:kern w:val="0"/>
          <w:sz w:val="32"/>
          <w:szCs w:val="32"/>
          <w:lang w:val="zh-CN"/>
        </w:rPr>
        <w:t>。</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资金到位。</w:t>
      </w:r>
      <w:r>
        <w:rPr>
          <w:rFonts w:hint="eastAsia" w:ascii="仿宋_GB2312" w:hAnsi="仿宋_GB2312" w:eastAsia="仿宋_GB2312" w:cs="仿宋_GB2312"/>
          <w:sz w:val="32"/>
          <w:szCs w:val="32"/>
        </w:rPr>
        <w:t>该项目资金</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评价时点实际到位10万元</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Calibri" w:eastAsia="仿宋_GB2312" w:cs="仿宋"/>
          <w:kern w:val="0"/>
          <w:sz w:val="32"/>
          <w:szCs w:val="32"/>
          <w:lang w:val="zh-CN"/>
        </w:rPr>
        <w:t>3. 资金使用。</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评价时点项目资金的实际支出9.98万元，主要是用于</w:t>
      </w:r>
      <w:r>
        <w:rPr>
          <w:rFonts w:hint="eastAsia" w:ascii="仿宋_GB2312" w:hAnsi="Calibri" w:eastAsia="仿宋_GB2312" w:cs="仿宋"/>
          <w:kern w:val="0"/>
          <w:sz w:val="32"/>
          <w:szCs w:val="32"/>
          <w:lang w:val="zh-CN"/>
        </w:rPr>
        <w:t>开展科普活动，邀请专家开展实用技术培训、推广新技术新品种以及开展大篷车科普设备保养</w:t>
      </w:r>
      <w:r>
        <w:rPr>
          <w:rFonts w:hint="eastAsia" w:ascii="仿宋_GB2312" w:hAnsi="仿宋_GB2312" w:eastAsia="仿宋_GB2312" w:cs="仿宋_GB2312"/>
          <w:sz w:val="32"/>
          <w:szCs w:val="32"/>
        </w:rPr>
        <w:t>等方面，其中印刷费用1.5万元、劳务费3.54万元。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Calibri" w:eastAsia="仿宋_GB2312" w:cs="仿宋"/>
          <w:kern w:val="0"/>
          <w:sz w:val="32"/>
          <w:szCs w:val="32"/>
          <w:lang w:val="zh-CN"/>
        </w:rPr>
        <w:t>。</w:t>
      </w:r>
    </w:p>
    <w:p>
      <w:pPr>
        <w:pStyle w:val="6"/>
        <w:ind w:firstLine="640" w:firstLineChars="200"/>
        <w:rPr>
          <w:rFonts w:ascii="黑体" w:eastAsia="黑体"/>
          <w:b w:val="0"/>
          <w:lang w:val="zh-CN"/>
        </w:rPr>
      </w:pPr>
      <w:bookmarkStart w:id="80" w:name="_Toc5532"/>
      <w:r>
        <w:rPr>
          <w:rFonts w:hint="eastAsia" w:ascii="黑体" w:eastAsia="黑体"/>
          <w:b w:val="0"/>
          <w:lang w:val="zh-CN"/>
        </w:rPr>
        <w:t>三、项目实施及管理情况</w:t>
      </w:r>
      <w:bookmarkEnd w:id="80"/>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
        <w:spacing w:before="93"/>
        <w:ind w:firstLine="640" w:firstLineChars="200"/>
        <w:rPr>
          <w:lang w:val="zh-CN"/>
        </w:rPr>
      </w:pPr>
      <w:r>
        <w:rPr>
          <w:rFonts w:hint="eastAsia" w:hAnsi="仿宋_GB2312" w:cs="仿宋_GB2312"/>
          <w:sz w:val="32"/>
          <w:szCs w:val="32"/>
        </w:rPr>
        <w:t>科普活动经费</w:t>
      </w:r>
      <w:r>
        <w:rPr>
          <w:rFonts w:hint="eastAsia" w:hAnsi="宋体"/>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（二）项目管理情况。</w:t>
      </w: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w:t>
      </w:r>
      <w:r>
        <w:rPr>
          <w:rFonts w:hint="eastAsia" w:ascii="仿宋_GB2312" w:hAnsi="Calibri" w:eastAsia="仿宋_GB2312" w:cs="仿宋"/>
          <w:kern w:val="0"/>
          <w:sz w:val="32"/>
          <w:szCs w:val="32"/>
          <w:lang w:val="zh-CN"/>
        </w:rPr>
        <w:t>开展科普活动，邀请专家开展实用技术培训、推广新技术新品种以及开展大篷车科普设备保养</w:t>
      </w:r>
      <w:r>
        <w:rPr>
          <w:rFonts w:hint="eastAsia" w:ascii="仿宋_GB2312" w:hAnsi="仿宋_GB2312" w:eastAsia="仿宋_GB2312" w:cs="仿宋_GB2312"/>
          <w:sz w:val="32"/>
          <w:szCs w:val="32"/>
        </w:rPr>
        <w:t>等方面的工作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项目由科学技术协会监管，并严格按照相关财经纪律执行。</w:t>
      </w:r>
    </w:p>
    <w:p>
      <w:pPr>
        <w:pStyle w:val="6"/>
        <w:ind w:firstLine="640" w:firstLineChars="200"/>
        <w:rPr>
          <w:rFonts w:ascii="黑体" w:eastAsia="黑体"/>
          <w:b w:val="0"/>
          <w:lang w:val="zh-CN"/>
        </w:rPr>
      </w:pPr>
      <w:bookmarkStart w:id="81" w:name="_Toc11555"/>
      <w:r>
        <w:rPr>
          <w:rFonts w:hint="eastAsia" w:ascii="黑体" w:eastAsia="黑体"/>
          <w:b w:val="0"/>
          <w:lang w:val="zh-CN"/>
        </w:rPr>
        <w:t>四、项目绩效情况</w:t>
      </w:r>
      <w:bookmarkEnd w:id="81"/>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zh-CN"/>
        </w:rPr>
        <w:t>联合团委、关工委、教育局、农业农村局等单位开展青少年科普教育活动，有效的进行新技术新品种推广，对群众开展科普宣传活动效果优良，群众满意度</w:t>
      </w:r>
      <w:r>
        <w:rPr>
          <w:rFonts w:hint="eastAsia" w:ascii="仿宋_GB2312" w:hAnsi="Calibri" w:eastAsia="仿宋_GB2312" w:cs="仿宋"/>
          <w:kern w:val="0"/>
          <w:sz w:val="32"/>
          <w:szCs w:val="32"/>
        </w:rPr>
        <w:t>100%。</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6"/>
        <w:ind w:firstLine="640" w:firstLineChars="200"/>
        <w:rPr>
          <w:rFonts w:ascii="仿宋_GB2312" w:hAnsi="Calibri" w:eastAsia="仿宋_GB2312" w:cs="仿宋"/>
          <w:b w:val="0"/>
          <w:bCs w:val="0"/>
          <w:kern w:val="0"/>
        </w:rPr>
      </w:pPr>
      <w:bookmarkStart w:id="82" w:name="_Toc21623"/>
      <w:r>
        <w:rPr>
          <w:rFonts w:hint="eastAsia" w:ascii="仿宋_GB2312" w:hAnsi="Calibri" w:eastAsia="仿宋_GB2312" w:cs="仿宋"/>
          <w:b w:val="0"/>
          <w:bCs w:val="0"/>
          <w:kern w:val="0"/>
          <w:lang w:val="zh-CN"/>
        </w:rPr>
        <w:t>联合团委、关工委、教育局、农业农村局等单位开展青少年科普教育活动，有效的进行新技术新品种推广，对群众开展科普宣传活动效果优良，群众满意度</w:t>
      </w:r>
      <w:r>
        <w:rPr>
          <w:rFonts w:hint="eastAsia" w:ascii="仿宋_GB2312" w:hAnsi="Calibri" w:eastAsia="仿宋_GB2312" w:cs="仿宋"/>
          <w:b w:val="0"/>
          <w:bCs w:val="0"/>
          <w:kern w:val="0"/>
        </w:rPr>
        <w:t>100%。</w:t>
      </w:r>
      <w:bookmarkEnd w:id="82"/>
    </w:p>
    <w:p>
      <w:pPr>
        <w:pStyle w:val="6"/>
        <w:ind w:firstLine="640" w:firstLineChars="200"/>
        <w:rPr>
          <w:rFonts w:ascii="黑体" w:eastAsia="黑体"/>
          <w:b w:val="0"/>
          <w:lang w:val="zh-CN"/>
        </w:rPr>
      </w:pPr>
      <w:bookmarkStart w:id="83" w:name="_Toc25582"/>
      <w:r>
        <w:rPr>
          <w:rFonts w:hint="eastAsia" w:ascii="黑体" w:eastAsia="黑体"/>
          <w:b w:val="0"/>
          <w:lang w:val="zh-CN"/>
        </w:rPr>
        <w:t>五、评价结论及建议</w:t>
      </w:r>
      <w:bookmarkEnd w:id="83"/>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仿宋_GB2312" w:eastAsia="仿宋_GB2312" w:cs="仿宋_GB2312"/>
          <w:sz w:val="32"/>
          <w:szCs w:val="32"/>
        </w:rPr>
        <w:t>科普活动</w:t>
      </w:r>
      <w:r>
        <w:rPr>
          <w:rFonts w:hint="eastAsia" w:ascii="仿宋_GB2312" w:hAnsi="宋体" w:eastAsia="仿宋_GB2312"/>
          <w:sz w:val="32"/>
          <w:szCs w:val="32"/>
          <w:lang w:val="zh-CN"/>
        </w:rPr>
        <w:t>经费项目绩效总体评价良好。</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widowControl/>
        <w:adjustRightInd w:val="0"/>
        <w:snapToGrid w:val="0"/>
        <w:spacing w:line="580" w:lineRule="exact"/>
        <w:ind w:firstLine="640" w:firstLineChars="200"/>
        <w:contextualSpacing/>
        <w:jc w:val="left"/>
        <w:rPr>
          <w:rFonts w:ascii="仿宋" w:hAnsi="仿宋" w:eastAsia="仿宋" w:cs="仿宋"/>
          <w:bCs/>
          <w:sz w:val="32"/>
          <w:szCs w:val="32"/>
        </w:rPr>
      </w:pPr>
      <w:r>
        <w:rPr>
          <w:rFonts w:hint="eastAsia" w:ascii="仿宋" w:hAnsi="仿宋" w:eastAsia="仿宋" w:cs="仿宋"/>
          <w:sz w:val="32"/>
          <w:szCs w:val="32"/>
        </w:rPr>
        <w:t>基层科普力量薄弱，各镇（街道）人员长期不固定，工作经常处于临时应付状态。</w:t>
      </w:r>
      <w:r>
        <w:rPr>
          <w:rFonts w:hint="eastAsia" w:ascii="仿宋" w:hAnsi="仿宋" w:eastAsia="仿宋" w:cs="仿宋"/>
          <w:bCs/>
          <w:sz w:val="32"/>
          <w:szCs w:val="32"/>
        </w:rPr>
        <w:t xml:space="preserve">科技工作者联系纽带不紧密，下沉到各企业、学校、社区等机构开展现场科普交流不充分。 </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
          <w:bCs/>
          <w:sz w:val="32"/>
          <w:szCs w:val="32"/>
        </w:rPr>
        <w:t>协调部门、镇（街道）组建固定的工作人员，长期稳定从事科普教育工作，基本建成通畅的工作机制和沟通渠道。科技工作者在“全国科普日”“科技工作者日”等重要活动期间，开展多种形式的工作交流，增强科协对全区科技工作者的感情吸引力和工作向心力</w:t>
      </w:r>
      <w:r>
        <w:rPr>
          <w:rFonts w:hint="eastAsia" w:ascii="仿宋" w:hAnsi="仿宋" w:eastAsia="仿宋" w:cs="仿宋"/>
          <w:sz w:val="32"/>
          <w:szCs w:val="32"/>
        </w:rPr>
        <w:t>。</w:t>
      </w:r>
    </w:p>
    <w:p>
      <w:pPr>
        <w:widowControl/>
        <w:jc w:val="left"/>
        <w:rPr>
          <w:rStyle w:val="31"/>
          <w:rFonts w:ascii="黑体" w:hAnsi="黑体" w:eastAsia="黑体"/>
          <w:b w:val="0"/>
        </w:rPr>
      </w:pPr>
      <w:r>
        <w:rPr>
          <w:rStyle w:val="31"/>
          <w:rFonts w:ascii="黑体" w:hAnsi="黑体" w:eastAsia="黑体"/>
          <w:b w:val="0"/>
        </w:rPr>
        <w:br w:type="page"/>
      </w:r>
    </w:p>
    <w:p>
      <w:pPr>
        <w:pStyle w:val="37"/>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6"/>
        <w:ind w:firstLine="640" w:firstLineChars="200"/>
        <w:rPr>
          <w:rFonts w:ascii="黑体" w:eastAsia="黑体"/>
          <w:b w:val="0"/>
          <w:lang w:val="zh-CN"/>
        </w:rPr>
      </w:pPr>
      <w:bookmarkStart w:id="84" w:name="_Toc30627"/>
      <w:r>
        <w:rPr>
          <w:rFonts w:hint="eastAsia" w:ascii="黑体" w:eastAsia="黑体"/>
          <w:b w:val="0"/>
          <w:lang w:val="zh-CN"/>
        </w:rPr>
        <w:t>一、项目概况</w:t>
      </w:r>
      <w:bookmarkEnd w:id="84"/>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天府科技云服务主要用于</w:t>
      </w:r>
      <w:r>
        <w:rPr>
          <w:rFonts w:hint="eastAsia" w:ascii="仿宋_GB2312" w:hAnsi="仿宋_GB2312" w:eastAsia="仿宋_GB2312" w:cs="仿宋_GB2312"/>
          <w:sz w:val="32"/>
          <w:szCs w:val="32"/>
        </w:rPr>
        <w:t>运行、维护面向所有科技工作者和所有企事业单位和广大人民群众开放共享的“天府科技云服务”平台等方面的工作。</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项目立项、资金申报的依据。：四川省科协《关于全员保姆式服务推进天府科技云服务高质量发展的意见》（川科协发〔2021〕86号）。</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pStyle w:val="2"/>
        <w:spacing w:before="93"/>
        <w:ind w:firstLine="640" w:firstLineChars="200"/>
        <w:rPr>
          <w:lang w:val="zh-CN"/>
        </w:rPr>
      </w:pPr>
      <w:r>
        <w:rPr>
          <w:rFonts w:hint="eastAsia" w:hAnsi="宋体"/>
          <w:sz w:val="32"/>
          <w:szCs w:val="32"/>
        </w:rPr>
        <w:t>该项目资金严格按照</w:t>
      </w:r>
      <w:r>
        <w:rPr>
          <w:rFonts w:hint="eastAsia" w:ascii="仿宋" w:hAnsi="仿宋" w:eastAsia="仿宋" w:cs="仿宋"/>
          <w:color w:val="000000"/>
          <w:sz w:val="32"/>
          <w:szCs w:val="32"/>
        </w:rPr>
        <w:t>科学技术协会</w:t>
      </w:r>
      <w:r>
        <w:rPr>
          <w:rFonts w:hint="eastAsia" w:hAnsi="宋体"/>
          <w:sz w:val="32"/>
          <w:szCs w:val="32"/>
        </w:rPr>
        <w:t>相关财务制度管理，资金主要用于</w:t>
      </w:r>
      <w:r>
        <w:rPr>
          <w:rFonts w:hint="eastAsia" w:hAnsi="仿宋_GB2312" w:cs="仿宋_GB2312"/>
          <w:sz w:val="32"/>
          <w:szCs w:val="32"/>
        </w:rPr>
        <w:t>运行、维护面向所有科技工作者和所有企事业单位和广大人民群众开放共享的“天府科技云服务”平台等方面的工作。</w:t>
      </w:r>
    </w:p>
    <w:p>
      <w:pPr>
        <w:pStyle w:val="8"/>
        <w:numPr>
          <w:ilvl w:val="0"/>
          <w:numId w:val="0"/>
        </w:numPr>
        <w:ind w:firstLine="320" w:firstLineChars="100"/>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8"/>
        <w:numPr>
          <w:ilvl w:val="0"/>
          <w:numId w:val="0"/>
        </w:numPr>
        <w:ind w:firstLine="640" w:firstLineChars="200"/>
        <w:rPr>
          <w:lang w:val="zh-CN"/>
        </w:rPr>
      </w:pPr>
      <w:r>
        <w:rPr>
          <w:rFonts w:hint="eastAsia" w:ascii="仿宋_GB2312" w:hAnsi="宋体" w:eastAsia="仿宋_GB2312"/>
          <w:sz w:val="32"/>
          <w:szCs w:val="32"/>
        </w:rPr>
        <w:t>该项目资金根据</w:t>
      </w:r>
      <w:r>
        <w:rPr>
          <w:rFonts w:hint="eastAsia" w:ascii="仿宋" w:hAnsi="仿宋" w:eastAsia="仿宋" w:cs="仿宋"/>
          <w:color w:val="000000"/>
          <w:sz w:val="32"/>
          <w:szCs w:val="32"/>
        </w:rPr>
        <w:t>科学技术协会</w:t>
      </w:r>
      <w:r>
        <w:rPr>
          <w:rFonts w:hint="eastAsia" w:ascii="仿宋_GB2312" w:hAnsi="宋体" w:eastAsia="仿宋_GB2312"/>
          <w:sz w:val="32"/>
          <w:szCs w:val="32"/>
        </w:rPr>
        <w:t>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widowControl/>
        <w:adjustRightInd w:val="0"/>
        <w:snapToGrid w:val="0"/>
        <w:spacing w:line="580"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Calibri" w:eastAsia="仿宋_GB2312" w:cs="仿宋"/>
          <w:kern w:val="0"/>
          <w:sz w:val="32"/>
          <w:szCs w:val="32"/>
          <w:lang w:val="zh-CN"/>
        </w:rPr>
        <w:t>加大天府科技云服务平台宣传及运维工作，提供全员“保姆式”服务单数50单以上，平台新增科技供给有效需求“一单一策”覆盖率达90%以上，发布科普信息、活动200条以上，精准科普覆盖率和人均科普服务率较上年度环比正增长</w:t>
      </w:r>
      <w:r>
        <w:rPr>
          <w:rFonts w:hint="eastAsia" w:ascii="仿宋_GB2312" w:hAnsi="仿宋_GB2312" w:eastAsia="仿宋_GB2312" w:cs="仿宋_GB2312"/>
          <w:kern w:val="0"/>
          <w:sz w:val="32"/>
          <w:szCs w:val="32"/>
        </w:rPr>
        <w:t>。发布科普信息、活动200条以上，</w:t>
      </w:r>
      <w:r>
        <w:rPr>
          <w:rFonts w:hint="eastAsia" w:ascii="仿宋" w:hAnsi="仿宋" w:eastAsia="仿宋" w:cs="仿宋"/>
          <w:sz w:val="32"/>
          <w:szCs w:val="32"/>
          <w:lang w:val="zh-CN"/>
        </w:rPr>
        <w:t>申报内容与实际相符，申报目标合理可行。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该</w:t>
      </w:r>
      <w:r>
        <w:rPr>
          <w:rFonts w:hint="eastAsia" w:ascii="仿宋_GB2312" w:hAnsi="宋体" w:eastAsia="仿宋_GB2312"/>
          <w:sz w:val="32"/>
          <w:szCs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6"/>
        <w:ind w:firstLine="640" w:firstLineChars="200"/>
        <w:rPr>
          <w:rFonts w:ascii="黑体" w:eastAsia="黑体"/>
          <w:b w:val="0"/>
          <w:lang w:val="zh-CN"/>
        </w:rPr>
      </w:pPr>
      <w:bookmarkStart w:id="85" w:name="_Toc16100"/>
      <w:r>
        <w:rPr>
          <w:rFonts w:hint="eastAsia" w:ascii="黑体" w:eastAsia="黑体"/>
          <w:b w:val="0"/>
          <w:lang w:val="zh-CN"/>
        </w:rPr>
        <w:t>二、项目资金申报及使用情况</w:t>
      </w:r>
      <w:bookmarkEnd w:id="85"/>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widowControl/>
        <w:adjustRightInd w:val="0"/>
        <w:snapToGrid w:val="0"/>
        <w:spacing w:line="580" w:lineRule="exact"/>
        <w:ind w:firstLine="640" w:firstLineChars="200"/>
        <w:contextualSpacing/>
        <w:jc w:val="left"/>
        <w:rPr>
          <w:rFonts w:ascii="仿宋_GB2312" w:hAnsi="宋体" w:eastAsia="仿宋_GB2312"/>
          <w:sz w:val="32"/>
          <w:szCs w:val="32"/>
          <w:lang w:val="zh-CN"/>
        </w:rPr>
      </w:pPr>
      <w:r>
        <w:rPr>
          <w:rFonts w:hint="eastAsia" w:ascii="仿宋_GB2312" w:hAnsi="仿宋_GB2312" w:eastAsia="仿宋_GB2312" w:cs="仿宋_GB2312"/>
          <w:sz w:val="32"/>
          <w:szCs w:val="32"/>
        </w:rPr>
        <w:t>天府科技云服务</w:t>
      </w:r>
      <w:r>
        <w:rPr>
          <w:rFonts w:hint="eastAsia" w:ascii="仿宋_GB2312" w:hAnsi="宋体" w:eastAsia="仿宋_GB2312"/>
          <w:sz w:val="32"/>
          <w:szCs w:val="32"/>
          <w:lang w:val="zh-CN"/>
        </w:rPr>
        <w:t>项目资金申报</w:t>
      </w:r>
      <w:r>
        <w:rPr>
          <w:rFonts w:hint="eastAsia" w:ascii="仿宋_GB2312" w:hAnsi="宋体" w:eastAsia="仿宋_GB2312"/>
          <w:sz w:val="32"/>
          <w:szCs w:val="32"/>
        </w:rPr>
        <w:t>5万</w:t>
      </w:r>
      <w:r>
        <w:rPr>
          <w:rFonts w:hint="eastAsia" w:ascii="仿宋_GB2312" w:hAnsi="宋体" w:eastAsia="仿宋_GB2312"/>
          <w:sz w:val="32"/>
          <w:szCs w:val="32"/>
          <w:lang w:val="zh-CN"/>
        </w:rPr>
        <w:t>，批复</w:t>
      </w:r>
      <w:r>
        <w:rPr>
          <w:rFonts w:hint="eastAsia" w:ascii="仿宋_GB2312" w:hAnsi="宋体" w:eastAsia="仿宋_GB2312"/>
          <w:sz w:val="32"/>
          <w:szCs w:val="32"/>
        </w:rPr>
        <w:t>5万</w:t>
      </w:r>
      <w:r>
        <w:rPr>
          <w:rFonts w:hint="eastAsia" w:ascii="仿宋_GB2312" w:hAnsi="宋体" w:eastAsia="仿宋_GB2312"/>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资金计划。</w:t>
      </w:r>
      <w:r>
        <w:rPr>
          <w:rFonts w:hint="eastAsia" w:ascii="仿宋_GB2312" w:hAnsi="仿宋_GB2312" w:eastAsia="仿宋_GB2312" w:cs="仿宋_GB2312"/>
          <w:sz w:val="32"/>
          <w:szCs w:val="32"/>
        </w:rPr>
        <w:t>该项目资金计划5万元</w:t>
      </w:r>
      <w:r>
        <w:rPr>
          <w:rFonts w:hint="eastAsia" w:ascii="仿宋_GB2312" w:hAnsi="Calibri" w:eastAsia="仿宋_GB2312" w:cs="仿宋"/>
          <w:kern w:val="0"/>
          <w:sz w:val="32"/>
          <w:szCs w:val="32"/>
          <w:lang w:val="zh-CN"/>
        </w:rPr>
        <w:t>。</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资金到位。</w:t>
      </w:r>
      <w:r>
        <w:rPr>
          <w:rFonts w:hint="eastAsia" w:ascii="仿宋_GB2312" w:hAnsi="仿宋_GB2312" w:eastAsia="仿宋_GB2312" w:cs="仿宋_GB2312"/>
          <w:sz w:val="32"/>
          <w:szCs w:val="32"/>
        </w:rPr>
        <w:t>该项目资金</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评价时点实际到位5万元</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Calibri" w:eastAsia="仿宋_GB2312" w:cs="仿宋"/>
          <w:kern w:val="0"/>
          <w:sz w:val="32"/>
          <w:szCs w:val="32"/>
          <w:lang w:val="zh-CN"/>
        </w:rPr>
        <w:t>3. 资金使用。</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评价时点项目资金的实际支出5万元，主要是用于运行、维护面向所有科技工作者和所有企事业单位和广大人民群众开放共享的“天府科技云服务”平台等方面，其中租赁费用0.99万元、劳务费3.08万元。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Calibri" w:eastAsia="仿宋_GB2312" w:cs="仿宋"/>
          <w:kern w:val="0"/>
          <w:sz w:val="32"/>
          <w:szCs w:val="32"/>
          <w:lang w:val="zh-CN"/>
        </w:rPr>
        <w:t>。</w:t>
      </w:r>
    </w:p>
    <w:p>
      <w:pPr>
        <w:pStyle w:val="6"/>
        <w:ind w:firstLine="640" w:firstLineChars="200"/>
        <w:rPr>
          <w:rFonts w:ascii="黑体" w:eastAsia="黑体"/>
          <w:b w:val="0"/>
          <w:lang w:val="zh-CN"/>
        </w:rPr>
      </w:pPr>
      <w:bookmarkStart w:id="86" w:name="_Toc18415"/>
      <w:r>
        <w:rPr>
          <w:rFonts w:hint="eastAsia" w:ascii="黑体" w:eastAsia="黑体"/>
          <w:b w:val="0"/>
          <w:lang w:val="zh-CN"/>
        </w:rPr>
        <w:t>三、项目实施及管理情况</w:t>
      </w:r>
      <w:bookmarkEnd w:id="86"/>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
        <w:spacing w:before="93"/>
        <w:ind w:firstLine="640" w:firstLineChars="200"/>
        <w:rPr>
          <w:lang w:val="zh-CN"/>
        </w:rPr>
      </w:pPr>
      <w:r>
        <w:rPr>
          <w:rFonts w:hint="eastAsia" w:hAnsi="仿宋_GB2312" w:cs="仿宋_GB2312"/>
          <w:sz w:val="32"/>
          <w:szCs w:val="32"/>
        </w:rPr>
        <w:t>天府科技云服务</w:t>
      </w:r>
      <w:r>
        <w:rPr>
          <w:rFonts w:hint="eastAsia" w:hAnsi="宋体"/>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（二）项目管理情况。</w:t>
      </w: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用于运行、维护面向所有科技工作者和所有企事业单位和广大人民群众开放共享的“天府科技云服务”平台等方面的工作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项目由科学技术协会监管，并严格按照相关财经纪律执行。</w:t>
      </w:r>
    </w:p>
    <w:p>
      <w:pPr>
        <w:pStyle w:val="6"/>
        <w:ind w:firstLine="640" w:firstLineChars="200"/>
        <w:rPr>
          <w:rFonts w:ascii="黑体" w:eastAsia="黑体"/>
          <w:b w:val="0"/>
          <w:lang w:val="zh-CN"/>
        </w:rPr>
      </w:pPr>
      <w:bookmarkStart w:id="87" w:name="_Toc7829"/>
      <w:r>
        <w:rPr>
          <w:rFonts w:hint="eastAsia" w:ascii="黑体" w:eastAsia="黑体"/>
          <w:b w:val="0"/>
          <w:lang w:val="zh-CN"/>
        </w:rPr>
        <w:t>四、项目绩效情况</w:t>
      </w:r>
      <w:bookmarkEnd w:id="87"/>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zh-CN"/>
        </w:rPr>
        <w:t>平台新增科技供给有效需求“一单一策”覆盖率</w:t>
      </w:r>
      <w:r>
        <w:rPr>
          <w:rFonts w:hint="eastAsia" w:ascii="仿宋_GB2312" w:hAnsi="Calibri" w:eastAsia="仿宋_GB2312" w:cs="仿宋"/>
          <w:kern w:val="0"/>
          <w:sz w:val="32"/>
          <w:szCs w:val="32"/>
        </w:rPr>
        <w:t>90%以上</w:t>
      </w:r>
      <w:r>
        <w:rPr>
          <w:rFonts w:hint="eastAsia" w:ascii="仿宋_GB2312" w:hAnsi="Calibri" w:eastAsia="仿宋_GB2312" w:cs="仿宋"/>
          <w:kern w:val="0"/>
          <w:sz w:val="32"/>
          <w:szCs w:val="32"/>
          <w:lang w:val="zh-CN"/>
        </w:rPr>
        <w:t>，提供全员“保姆式”服务单数50单以上，群众满意度</w:t>
      </w:r>
      <w:r>
        <w:rPr>
          <w:rFonts w:hint="eastAsia" w:ascii="仿宋_GB2312" w:hAnsi="Calibri" w:eastAsia="仿宋_GB2312" w:cs="仿宋"/>
          <w:kern w:val="0"/>
          <w:sz w:val="32"/>
          <w:szCs w:val="32"/>
        </w:rPr>
        <w:t>100%。</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zh-CN"/>
        </w:rPr>
        <w:t>平台新增科技供给有效需求“一单一策”覆盖率</w:t>
      </w:r>
      <w:r>
        <w:rPr>
          <w:rFonts w:hint="eastAsia" w:ascii="仿宋_GB2312" w:hAnsi="Calibri" w:eastAsia="仿宋_GB2312" w:cs="仿宋"/>
          <w:kern w:val="0"/>
          <w:sz w:val="32"/>
          <w:szCs w:val="32"/>
        </w:rPr>
        <w:t>90%以上</w:t>
      </w:r>
      <w:r>
        <w:rPr>
          <w:rFonts w:hint="eastAsia" w:ascii="仿宋_GB2312" w:hAnsi="Calibri" w:eastAsia="仿宋_GB2312" w:cs="仿宋"/>
          <w:kern w:val="0"/>
          <w:sz w:val="32"/>
          <w:szCs w:val="32"/>
          <w:lang w:val="zh-CN"/>
        </w:rPr>
        <w:t>，提供全员“保姆式”服务单数50单以上，群众满意度</w:t>
      </w:r>
      <w:r>
        <w:rPr>
          <w:rFonts w:hint="eastAsia" w:ascii="仿宋_GB2312" w:hAnsi="Calibri" w:eastAsia="仿宋_GB2312" w:cs="仿宋"/>
          <w:kern w:val="0"/>
          <w:sz w:val="32"/>
          <w:szCs w:val="32"/>
        </w:rPr>
        <w:t>100%。</w:t>
      </w:r>
    </w:p>
    <w:p>
      <w:pPr>
        <w:pStyle w:val="6"/>
        <w:ind w:firstLine="640" w:firstLineChars="200"/>
        <w:rPr>
          <w:rFonts w:ascii="黑体" w:eastAsia="黑体"/>
          <w:b w:val="0"/>
          <w:lang w:val="zh-CN"/>
        </w:rPr>
      </w:pPr>
      <w:bookmarkStart w:id="88" w:name="_Toc23233"/>
      <w:r>
        <w:rPr>
          <w:rFonts w:hint="eastAsia" w:ascii="黑体" w:eastAsia="黑体"/>
          <w:b w:val="0"/>
          <w:lang w:val="zh-CN"/>
        </w:rPr>
        <w:t>五、评价结论及建议</w:t>
      </w:r>
      <w:bookmarkEnd w:id="88"/>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仿宋_GB2312" w:eastAsia="仿宋_GB2312" w:cs="仿宋_GB2312"/>
          <w:sz w:val="32"/>
          <w:szCs w:val="32"/>
        </w:rPr>
        <w:t>天府科技云服务</w:t>
      </w:r>
      <w:r>
        <w:rPr>
          <w:rFonts w:hint="eastAsia" w:ascii="仿宋_GB2312" w:hAnsi="宋体" w:eastAsia="仿宋_GB2312"/>
          <w:sz w:val="32"/>
          <w:szCs w:val="32"/>
          <w:lang w:val="zh-CN"/>
        </w:rPr>
        <w:t>项目绩效总体评价良好。</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widowControl/>
        <w:adjustRightInd w:val="0"/>
        <w:snapToGrid w:val="0"/>
        <w:spacing w:line="580" w:lineRule="exact"/>
        <w:ind w:firstLine="640" w:firstLineChars="200"/>
        <w:contextualSpacing/>
        <w:jc w:val="left"/>
        <w:rPr>
          <w:rFonts w:ascii="仿宋" w:hAnsi="仿宋" w:eastAsia="仿宋" w:cs="仿宋"/>
          <w:bCs/>
          <w:sz w:val="32"/>
          <w:szCs w:val="32"/>
        </w:rPr>
      </w:pPr>
      <w:r>
        <w:rPr>
          <w:rFonts w:hint="eastAsia" w:ascii="仿宋" w:hAnsi="仿宋" w:eastAsia="仿宋" w:cs="仿宋"/>
          <w:sz w:val="32"/>
          <w:szCs w:val="32"/>
        </w:rPr>
        <w:t>群众参与注册率较全省仍有差距、科技工作者（企事业单位）发布科技所能（所需）仍不积极主动、典型案例示范带动效应还不强等。</w:t>
      </w:r>
      <w:r>
        <w:rPr>
          <w:rFonts w:hint="eastAsia" w:ascii="仿宋" w:hAnsi="仿宋" w:eastAsia="仿宋" w:cs="仿宋"/>
          <w:bCs/>
          <w:sz w:val="32"/>
          <w:szCs w:val="32"/>
        </w:rPr>
        <w:t xml:space="preserve"> </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60" w:firstLineChars="200"/>
        <w:contextualSpacing/>
        <w:jc w:val="left"/>
        <w:rPr>
          <w:rFonts w:ascii="仿宋_GB2312" w:hAnsi="Calibri" w:eastAsia="仿宋_GB2312" w:cs="仿宋"/>
          <w:kern w:val="0"/>
          <w:sz w:val="32"/>
          <w:szCs w:val="32"/>
          <w:lang w:val="zh-CN"/>
        </w:rPr>
      </w:pPr>
      <w:r>
        <w:rPr>
          <w:rFonts w:eastAsia="仿宋_GB2312"/>
          <w:sz w:val="33"/>
          <w:szCs w:val="33"/>
        </w:rPr>
        <w:t>加大科普资源网络建设力度，积极动员组织各类科普基地、积极开展“天府科技云”注册，力争实现全覆盖</w:t>
      </w:r>
      <w:r>
        <w:rPr>
          <w:rFonts w:hint="eastAsia" w:ascii="仿宋" w:hAnsi="仿宋" w:eastAsia="仿宋" w:cs="仿宋"/>
          <w:sz w:val="32"/>
          <w:szCs w:val="32"/>
        </w:rPr>
        <w:t>。</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附件：专项预算项目支出绩效自评表</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（以上绩效自评报告，除涉密敏感内容外，原则上都应予以公开。）</w:t>
      </w:r>
    </w:p>
    <w:p>
      <w:pPr>
        <w:pStyle w:val="2"/>
        <w:spacing w:before="93"/>
      </w:pPr>
    </w:p>
    <w:p>
      <w:pPr>
        <w:spacing w:line="600" w:lineRule="exact"/>
        <w:jc w:val="center"/>
        <w:rPr>
          <w:rFonts w:ascii="黑体" w:hAnsi="黑体" w:eastAsia="黑体"/>
          <w:sz w:val="44"/>
          <w:szCs w:val="44"/>
        </w:rPr>
      </w:pPr>
      <w:bookmarkStart w:id="89" w:name="_Toc15396618"/>
    </w:p>
    <w:p>
      <w:pPr>
        <w:pStyle w:val="37"/>
        <w:spacing w:line="578" w:lineRule="exact"/>
        <w:jc w:val="center"/>
        <w:rPr>
          <w:rFonts w:ascii="方正小标宋简体" w:hAnsi="方正小标宋简体" w:eastAsia="方正小标宋简体" w:cs="方正小标宋简体"/>
          <w:color w:val="auto"/>
          <w:kern w:val="2"/>
          <w:sz w:val="32"/>
          <w:szCs w:val="32"/>
          <w:lang w:val="en-US"/>
        </w:rPr>
      </w:pPr>
    </w:p>
    <w:p>
      <w:pPr>
        <w:pStyle w:val="37"/>
        <w:spacing w:line="578" w:lineRule="exact"/>
        <w:jc w:val="center"/>
        <w:rPr>
          <w:rFonts w:ascii="方正小标宋简体" w:hAnsi="方正小标宋简体" w:eastAsia="方正小标宋简体" w:cs="方正小标宋简体"/>
          <w:color w:val="auto"/>
          <w:kern w:val="2"/>
          <w:sz w:val="32"/>
          <w:szCs w:val="32"/>
          <w:lang w:val="en-US"/>
        </w:rPr>
      </w:pPr>
    </w:p>
    <w:p>
      <w:pPr>
        <w:pStyle w:val="37"/>
        <w:spacing w:line="578" w:lineRule="exact"/>
        <w:jc w:val="center"/>
        <w:rPr>
          <w:rFonts w:ascii="方正小标宋简体" w:hAnsi="方正小标宋简体" w:eastAsia="方正小标宋简体" w:cs="方正小标宋简体"/>
          <w:color w:val="auto"/>
          <w:kern w:val="2"/>
          <w:sz w:val="32"/>
          <w:szCs w:val="32"/>
          <w:lang w:val="en-US"/>
        </w:rPr>
      </w:pPr>
    </w:p>
    <w:p>
      <w:pPr>
        <w:pStyle w:val="37"/>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6"/>
        <w:ind w:firstLine="640" w:firstLineChars="200"/>
        <w:rPr>
          <w:rFonts w:ascii="黑体" w:eastAsia="黑体"/>
          <w:b w:val="0"/>
          <w:lang w:val="zh-CN"/>
        </w:rPr>
      </w:pPr>
      <w:bookmarkStart w:id="90" w:name="_Toc26006"/>
      <w:r>
        <w:rPr>
          <w:rFonts w:hint="eastAsia" w:ascii="黑体" w:eastAsia="黑体"/>
          <w:b w:val="0"/>
          <w:lang w:val="zh-CN"/>
        </w:rPr>
        <w:t>一、项目概况</w:t>
      </w:r>
      <w:bookmarkEnd w:id="90"/>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青少年科创及乡土人才大赛主要用于</w:t>
      </w:r>
      <w:r>
        <w:rPr>
          <w:rFonts w:hint="eastAsia" w:ascii="仿宋_GB2312" w:hAnsi="仿宋_GB2312" w:eastAsia="仿宋_GB2312" w:cs="仿宋_GB2312"/>
          <w:sz w:val="32"/>
          <w:szCs w:val="32"/>
        </w:rPr>
        <w:t>全区青少年科创大赛；开展科技教师培训；开展区域活动（创新人才评选、创新创业培训）、宣传展示活动等方面的工作。</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项目立项、资金申报的依据。：中共遂宁市安居区委《关于深入推进创新驱动引领高质量发展建设现代化安居的决定》（遂安委发[2021〕16号）。</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pStyle w:val="2"/>
        <w:spacing w:before="93"/>
        <w:ind w:firstLine="640" w:firstLineChars="200"/>
        <w:rPr>
          <w:lang w:val="zh-CN"/>
        </w:rPr>
      </w:pPr>
      <w:r>
        <w:rPr>
          <w:rFonts w:hint="eastAsia" w:hAnsi="宋体"/>
          <w:sz w:val="32"/>
          <w:szCs w:val="32"/>
        </w:rPr>
        <w:t>该项目资金严格按照</w:t>
      </w:r>
      <w:r>
        <w:rPr>
          <w:rFonts w:hint="eastAsia" w:ascii="仿宋" w:hAnsi="仿宋" w:eastAsia="仿宋" w:cs="仿宋"/>
          <w:color w:val="000000"/>
          <w:sz w:val="32"/>
          <w:szCs w:val="32"/>
        </w:rPr>
        <w:t>科学技术协会</w:t>
      </w:r>
      <w:r>
        <w:rPr>
          <w:rFonts w:hint="eastAsia" w:hAnsi="宋体"/>
          <w:sz w:val="32"/>
          <w:szCs w:val="32"/>
        </w:rPr>
        <w:t>相关财务制度管理，资金主要用于</w:t>
      </w:r>
      <w:r>
        <w:rPr>
          <w:rFonts w:hint="eastAsia" w:hAnsi="仿宋_GB2312" w:cs="仿宋_GB2312"/>
          <w:sz w:val="32"/>
          <w:szCs w:val="32"/>
        </w:rPr>
        <w:t>全区青少年科创大赛；开展科技教师培训；开展区域活动（创新人才评选、创新创业培训）、宣传展示活动等方面的工作。</w:t>
      </w:r>
    </w:p>
    <w:p>
      <w:pPr>
        <w:pStyle w:val="8"/>
        <w:numPr>
          <w:ilvl w:val="0"/>
          <w:numId w:val="0"/>
        </w:numPr>
        <w:ind w:firstLine="320" w:firstLineChars="100"/>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8"/>
        <w:numPr>
          <w:ilvl w:val="0"/>
          <w:numId w:val="0"/>
        </w:numPr>
        <w:ind w:firstLine="640" w:firstLineChars="200"/>
        <w:rPr>
          <w:lang w:val="zh-CN"/>
        </w:rPr>
      </w:pPr>
      <w:r>
        <w:rPr>
          <w:rFonts w:hint="eastAsia" w:ascii="仿宋_GB2312" w:hAnsi="宋体" w:eastAsia="仿宋_GB2312"/>
          <w:sz w:val="32"/>
          <w:szCs w:val="32"/>
        </w:rPr>
        <w:t>该项目资金根据</w:t>
      </w:r>
      <w:r>
        <w:rPr>
          <w:rFonts w:hint="eastAsia" w:ascii="仿宋" w:hAnsi="仿宋" w:eastAsia="仿宋" w:cs="仿宋"/>
          <w:color w:val="000000"/>
          <w:sz w:val="32"/>
          <w:szCs w:val="32"/>
        </w:rPr>
        <w:t>科学技术协会</w:t>
      </w:r>
      <w:r>
        <w:rPr>
          <w:rFonts w:hint="eastAsia" w:ascii="仿宋_GB2312" w:hAnsi="宋体" w:eastAsia="仿宋_GB2312"/>
          <w:sz w:val="32"/>
          <w:szCs w:val="32"/>
        </w:rPr>
        <w:t>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widowControl/>
        <w:adjustRightInd w:val="0"/>
        <w:snapToGrid w:val="0"/>
        <w:spacing w:line="580"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Calibri" w:eastAsia="仿宋_GB2312" w:cs="仿宋"/>
          <w:kern w:val="0"/>
          <w:sz w:val="32"/>
          <w:szCs w:val="32"/>
          <w:lang w:val="zh-CN"/>
        </w:rPr>
        <w:t>联合区教体局开展全区青少年科创大赛，开展科技教师培训，培训科技教师300人以上。组织支持农技协积极参加各级乡土人才大赛，为乡镇、街道提供科技创新平台，实现农民通过创新创业平台为乡村振兴贡献力量。</w:t>
      </w:r>
      <w:r>
        <w:rPr>
          <w:rFonts w:hint="eastAsia" w:ascii="仿宋" w:hAnsi="仿宋" w:eastAsia="仿宋" w:cs="仿宋"/>
          <w:sz w:val="32"/>
          <w:szCs w:val="32"/>
          <w:lang w:val="zh-CN"/>
        </w:rPr>
        <w:t>申报内容与实际相符，申报目标合理可行。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该</w:t>
      </w:r>
      <w:r>
        <w:rPr>
          <w:rFonts w:hint="eastAsia" w:ascii="仿宋_GB2312" w:hAnsi="宋体" w:eastAsia="仿宋_GB2312"/>
          <w:sz w:val="32"/>
          <w:szCs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6"/>
        <w:ind w:firstLine="640" w:firstLineChars="200"/>
        <w:rPr>
          <w:rFonts w:ascii="黑体" w:eastAsia="黑体"/>
          <w:b w:val="0"/>
          <w:lang w:val="zh-CN"/>
        </w:rPr>
      </w:pPr>
      <w:bookmarkStart w:id="91" w:name="_Toc18421"/>
      <w:r>
        <w:rPr>
          <w:rFonts w:hint="eastAsia" w:ascii="黑体" w:eastAsia="黑体"/>
          <w:b w:val="0"/>
          <w:lang w:val="zh-CN"/>
        </w:rPr>
        <w:t>二、项目资金申报及使用情况</w:t>
      </w:r>
      <w:bookmarkEnd w:id="91"/>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widowControl/>
        <w:adjustRightInd w:val="0"/>
        <w:snapToGrid w:val="0"/>
        <w:spacing w:line="580" w:lineRule="exact"/>
        <w:ind w:firstLine="640" w:firstLineChars="200"/>
        <w:contextualSpacing/>
        <w:jc w:val="left"/>
        <w:rPr>
          <w:rFonts w:ascii="仿宋_GB2312" w:hAnsi="宋体" w:eastAsia="仿宋_GB2312"/>
          <w:sz w:val="32"/>
          <w:szCs w:val="32"/>
          <w:lang w:val="zh-CN"/>
        </w:rPr>
      </w:pPr>
      <w:r>
        <w:rPr>
          <w:rFonts w:hint="eastAsia" w:ascii="仿宋_GB2312" w:hAnsi="Calibri" w:eastAsia="仿宋_GB2312" w:cs="仿宋"/>
          <w:kern w:val="0"/>
          <w:sz w:val="32"/>
          <w:szCs w:val="32"/>
          <w:lang w:val="zh-CN"/>
        </w:rPr>
        <w:t>青少年科创及乡土人才大赛</w:t>
      </w:r>
      <w:r>
        <w:rPr>
          <w:rFonts w:hint="eastAsia" w:ascii="仿宋_GB2312" w:hAnsi="宋体" w:eastAsia="仿宋_GB2312"/>
          <w:sz w:val="32"/>
          <w:szCs w:val="32"/>
          <w:lang w:val="zh-CN"/>
        </w:rPr>
        <w:t>项目资金申报</w:t>
      </w:r>
      <w:r>
        <w:rPr>
          <w:rFonts w:hint="eastAsia" w:ascii="仿宋_GB2312" w:hAnsi="宋体" w:eastAsia="仿宋_GB2312"/>
          <w:sz w:val="32"/>
          <w:szCs w:val="32"/>
        </w:rPr>
        <w:t>5万</w:t>
      </w:r>
      <w:r>
        <w:rPr>
          <w:rFonts w:hint="eastAsia" w:ascii="仿宋_GB2312" w:hAnsi="宋体" w:eastAsia="仿宋_GB2312"/>
          <w:sz w:val="32"/>
          <w:szCs w:val="32"/>
          <w:lang w:val="zh-CN"/>
        </w:rPr>
        <w:t>，批复</w:t>
      </w:r>
      <w:r>
        <w:rPr>
          <w:rFonts w:hint="eastAsia" w:ascii="仿宋_GB2312" w:hAnsi="宋体" w:eastAsia="仿宋_GB2312"/>
          <w:sz w:val="32"/>
          <w:szCs w:val="32"/>
        </w:rPr>
        <w:t>5万</w:t>
      </w:r>
      <w:r>
        <w:rPr>
          <w:rFonts w:hint="eastAsia" w:ascii="仿宋_GB2312" w:hAnsi="宋体" w:eastAsia="仿宋_GB2312"/>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资金计划。</w:t>
      </w:r>
      <w:r>
        <w:rPr>
          <w:rFonts w:hint="eastAsia" w:ascii="仿宋_GB2312" w:hAnsi="仿宋_GB2312" w:eastAsia="仿宋_GB2312" w:cs="仿宋_GB2312"/>
          <w:sz w:val="32"/>
          <w:szCs w:val="32"/>
        </w:rPr>
        <w:t>该项目资金计划5万元</w:t>
      </w:r>
      <w:r>
        <w:rPr>
          <w:rFonts w:hint="eastAsia" w:ascii="仿宋_GB2312" w:hAnsi="Calibri" w:eastAsia="仿宋_GB2312" w:cs="仿宋"/>
          <w:kern w:val="0"/>
          <w:sz w:val="32"/>
          <w:szCs w:val="32"/>
          <w:lang w:val="zh-CN"/>
        </w:rPr>
        <w:t>。</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资金到位。</w:t>
      </w:r>
      <w:r>
        <w:rPr>
          <w:rFonts w:hint="eastAsia" w:ascii="仿宋_GB2312" w:hAnsi="仿宋_GB2312" w:eastAsia="仿宋_GB2312" w:cs="仿宋_GB2312"/>
          <w:sz w:val="32"/>
          <w:szCs w:val="32"/>
        </w:rPr>
        <w:t>该项目资金</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评价时点实际到位5万元</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Calibri" w:eastAsia="仿宋_GB2312" w:cs="仿宋"/>
          <w:kern w:val="0"/>
          <w:sz w:val="32"/>
          <w:szCs w:val="32"/>
          <w:lang w:val="zh-CN"/>
        </w:rPr>
        <w:t>3. 资金使用。</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评价时点项目资金的实际支出4.94万元，主要是用于全区青少年科创大赛；开展科技教师培训；开展区域活动（创新人才评选、创新创业培训）、宣传展示活动等方面，其中培训费0.97万元、劳务费0.45万元。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Calibri" w:eastAsia="仿宋_GB2312" w:cs="仿宋"/>
          <w:kern w:val="0"/>
          <w:sz w:val="32"/>
          <w:szCs w:val="32"/>
          <w:lang w:val="zh-CN"/>
        </w:rPr>
        <w:t>。</w:t>
      </w:r>
    </w:p>
    <w:p>
      <w:pPr>
        <w:pStyle w:val="6"/>
        <w:ind w:firstLine="640" w:firstLineChars="200"/>
        <w:rPr>
          <w:rFonts w:ascii="黑体" w:eastAsia="黑体"/>
          <w:b w:val="0"/>
          <w:lang w:val="zh-CN"/>
        </w:rPr>
      </w:pPr>
      <w:bookmarkStart w:id="92" w:name="_Toc5490"/>
      <w:r>
        <w:rPr>
          <w:rFonts w:hint="eastAsia" w:ascii="黑体" w:eastAsia="黑体"/>
          <w:b w:val="0"/>
          <w:lang w:val="zh-CN"/>
        </w:rPr>
        <w:t>三、项目实施及管理情况</w:t>
      </w:r>
      <w:bookmarkEnd w:id="92"/>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
        <w:spacing w:before="93"/>
        <w:ind w:firstLine="640" w:firstLineChars="200"/>
        <w:rPr>
          <w:lang w:val="zh-CN"/>
        </w:rPr>
      </w:pPr>
      <w:r>
        <w:rPr>
          <w:rFonts w:hint="eastAsia" w:hAnsi="Calibri" w:cs="仿宋"/>
          <w:sz w:val="32"/>
          <w:szCs w:val="32"/>
          <w:lang w:val="zh-CN"/>
        </w:rPr>
        <w:t>青少年科创及乡土人才大赛</w:t>
      </w:r>
      <w:r>
        <w:rPr>
          <w:rFonts w:hint="eastAsia" w:hAnsi="宋体"/>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（二）项目管理情况。</w:t>
      </w: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用于全区青少年科创大赛；开展科技教师培训；开展区域活动（创新人才评选、创新创业培训）、宣传展示活动等方面的工作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项目由科学技术协会监管，并严格按照相关财经纪律执行。</w:t>
      </w:r>
    </w:p>
    <w:p>
      <w:pPr>
        <w:pStyle w:val="6"/>
        <w:ind w:firstLine="640" w:firstLineChars="200"/>
        <w:rPr>
          <w:rFonts w:ascii="黑体" w:eastAsia="黑体"/>
          <w:b w:val="0"/>
          <w:lang w:val="zh-CN"/>
        </w:rPr>
      </w:pPr>
      <w:bookmarkStart w:id="93" w:name="_Toc6053"/>
      <w:r>
        <w:rPr>
          <w:rFonts w:hint="eastAsia" w:ascii="黑体" w:eastAsia="黑体"/>
          <w:b w:val="0"/>
          <w:lang w:val="zh-CN"/>
        </w:rPr>
        <w:t>四、项目绩效情况</w:t>
      </w:r>
      <w:bookmarkEnd w:id="93"/>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zh-CN"/>
        </w:rPr>
        <w:t>培训科技教师</w:t>
      </w:r>
      <w:r>
        <w:rPr>
          <w:rFonts w:hint="eastAsia" w:ascii="仿宋_GB2312" w:hAnsi="Calibri" w:eastAsia="仿宋_GB2312" w:cs="仿宋"/>
          <w:kern w:val="0"/>
          <w:sz w:val="32"/>
          <w:szCs w:val="32"/>
        </w:rPr>
        <w:t>300人以上，组织选手积极参加各级创新创业及乡土人才大赛，</w:t>
      </w:r>
      <w:r>
        <w:rPr>
          <w:rFonts w:hint="eastAsia" w:ascii="仿宋_GB2312" w:hAnsi="Calibri" w:eastAsia="仿宋_GB2312" w:cs="仿宋"/>
          <w:kern w:val="0"/>
          <w:sz w:val="32"/>
          <w:szCs w:val="32"/>
          <w:lang w:val="zh-CN"/>
        </w:rPr>
        <w:t>服务对象</w:t>
      </w:r>
      <w:r>
        <w:rPr>
          <w:rFonts w:hint="eastAsia" w:ascii="仿宋_GB2312" w:hAnsi="Calibri" w:eastAsia="仿宋_GB2312" w:cs="仿宋"/>
          <w:kern w:val="0"/>
          <w:sz w:val="32"/>
          <w:szCs w:val="32"/>
        </w:rPr>
        <w:t>100%。</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zh-CN"/>
        </w:rPr>
        <w:t>组织支持农技协积极参加各级乡土人才大赛，为乡镇、街道提供科技创新平台，实现农民通过创新创业平台为乡村振兴贡献力量。</w:t>
      </w:r>
    </w:p>
    <w:p>
      <w:pPr>
        <w:pStyle w:val="6"/>
        <w:ind w:firstLine="640" w:firstLineChars="200"/>
        <w:rPr>
          <w:rFonts w:ascii="黑体" w:eastAsia="黑体"/>
          <w:b w:val="0"/>
          <w:lang w:val="zh-CN"/>
        </w:rPr>
      </w:pPr>
      <w:bookmarkStart w:id="94" w:name="_Toc14269"/>
      <w:r>
        <w:rPr>
          <w:rFonts w:hint="eastAsia" w:ascii="黑体" w:eastAsia="黑体"/>
          <w:b w:val="0"/>
          <w:lang w:val="zh-CN"/>
        </w:rPr>
        <w:t>五、评价结论及建议</w:t>
      </w:r>
      <w:bookmarkEnd w:id="94"/>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Calibri" w:eastAsia="仿宋_GB2312" w:cs="仿宋"/>
          <w:kern w:val="0"/>
          <w:sz w:val="32"/>
          <w:szCs w:val="32"/>
          <w:lang w:val="zh-CN"/>
        </w:rPr>
        <w:t>青少年科创及乡土人才大赛</w:t>
      </w:r>
      <w:r>
        <w:rPr>
          <w:rFonts w:hint="eastAsia" w:ascii="仿宋_GB2312" w:hAnsi="宋体" w:eastAsia="仿宋_GB2312"/>
          <w:sz w:val="32"/>
          <w:szCs w:val="32"/>
          <w:lang w:val="zh-CN"/>
        </w:rPr>
        <w:t>项目绩效总体评价良好。</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widowControl/>
        <w:adjustRightInd w:val="0"/>
        <w:snapToGrid w:val="0"/>
        <w:spacing w:line="580" w:lineRule="exact"/>
        <w:ind w:firstLine="640" w:firstLineChars="200"/>
        <w:contextualSpacing/>
        <w:jc w:val="left"/>
        <w:rPr>
          <w:rFonts w:ascii="仿宋" w:hAnsi="仿宋" w:eastAsia="仿宋" w:cs="仿宋"/>
          <w:bCs/>
          <w:sz w:val="32"/>
          <w:szCs w:val="32"/>
        </w:rPr>
      </w:pPr>
      <w:r>
        <w:rPr>
          <w:rFonts w:hint="eastAsia" w:ascii="仿宋" w:hAnsi="仿宋" w:eastAsia="仿宋" w:cs="仿宋"/>
          <w:sz w:val="32"/>
          <w:szCs w:val="32"/>
        </w:rPr>
        <w:t>全区各中小学科技创新水平参差不齐，部分学校积极性不高、科技创新能力有待提升。</w:t>
      </w:r>
      <w:r>
        <w:rPr>
          <w:rFonts w:hint="eastAsia" w:ascii="仿宋" w:hAnsi="仿宋" w:eastAsia="仿宋" w:cs="仿宋"/>
          <w:bCs/>
          <w:sz w:val="32"/>
          <w:szCs w:val="32"/>
        </w:rPr>
        <w:t xml:space="preserve"> </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adjustRightInd w:val="0"/>
        <w:snapToGrid w:val="0"/>
        <w:spacing w:line="60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加大科技教师培训力度，提升科技教师业务素质，全面提升全区中小学科技创新能力。</w:t>
      </w:r>
    </w:p>
    <w:p>
      <w:pPr>
        <w:pStyle w:val="2"/>
        <w:spacing w:before="93"/>
      </w:pPr>
    </w:p>
    <w:p>
      <w:pPr>
        <w:spacing w:line="600" w:lineRule="exact"/>
        <w:jc w:val="center"/>
        <w:rPr>
          <w:rFonts w:ascii="黑体" w:hAnsi="黑体" w:eastAsia="黑体"/>
          <w:sz w:val="44"/>
          <w:szCs w:val="44"/>
        </w:rPr>
      </w:pPr>
    </w:p>
    <w:p>
      <w:pPr>
        <w:pStyle w:val="2"/>
        <w:spacing w:before="93"/>
        <w:rPr>
          <w:rFonts w:ascii="黑体" w:hAnsi="黑体" w:eastAsia="黑体"/>
          <w:sz w:val="44"/>
          <w:szCs w:val="44"/>
        </w:rPr>
      </w:pPr>
    </w:p>
    <w:p>
      <w:pPr>
        <w:pStyle w:val="3"/>
        <w:rPr>
          <w:rFonts w:ascii="黑体" w:hAnsi="黑体" w:eastAsia="黑体"/>
          <w:sz w:val="44"/>
          <w:szCs w:val="44"/>
        </w:rPr>
      </w:pPr>
    </w:p>
    <w:p>
      <w:pPr>
        <w:pStyle w:val="4"/>
        <w:rPr>
          <w:rFonts w:ascii="黑体" w:hAnsi="黑体" w:eastAsia="黑体"/>
          <w:sz w:val="44"/>
          <w:szCs w:val="44"/>
        </w:rPr>
      </w:pPr>
    </w:p>
    <w:p>
      <w:pPr>
        <w:rPr>
          <w:rFonts w:ascii="黑体" w:hAnsi="黑体" w:eastAsia="黑体"/>
          <w:sz w:val="44"/>
          <w:szCs w:val="44"/>
        </w:rPr>
      </w:pPr>
    </w:p>
    <w:p>
      <w:pPr>
        <w:pStyle w:val="2"/>
        <w:spacing w:before="93"/>
      </w:pPr>
    </w:p>
    <w:p>
      <w:pPr>
        <w:pStyle w:val="37"/>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6"/>
        <w:ind w:firstLine="640" w:firstLineChars="200"/>
        <w:rPr>
          <w:rFonts w:ascii="黑体" w:eastAsia="黑体"/>
          <w:b w:val="0"/>
          <w:lang w:val="zh-CN"/>
        </w:rPr>
      </w:pPr>
      <w:bookmarkStart w:id="95" w:name="_Toc28493"/>
      <w:r>
        <w:rPr>
          <w:rFonts w:hint="eastAsia" w:ascii="黑体" w:eastAsia="黑体"/>
          <w:b w:val="0"/>
          <w:lang w:val="zh-CN"/>
        </w:rPr>
        <w:t>一、项目概况</w:t>
      </w:r>
      <w:bookmarkEnd w:id="95"/>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天府科技云服务主要用于</w:t>
      </w:r>
      <w:r>
        <w:rPr>
          <w:rFonts w:hint="eastAsia" w:ascii="仿宋_GB2312" w:hAnsi="仿宋_GB2312" w:eastAsia="仿宋_GB2312" w:cs="仿宋_GB2312"/>
          <w:sz w:val="32"/>
          <w:szCs w:val="32"/>
        </w:rPr>
        <w:t>运行、维护面向所有科技工作者和所有企事业单位和广大人民群众开放共享的“天府科技云服务”平台等方面的工作。</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项目立项、资金申报的依据。：四川省科协《关于全员保姆式服务推进天府科技云服务高质量发展的意见》（川科协发〔2021〕86号）。</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pStyle w:val="2"/>
        <w:spacing w:before="93"/>
        <w:ind w:firstLine="640" w:firstLineChars="200"/>
        <w:rPr>
          <w:lang w:val="zh-CN"/>
        </w:rPr>
      </w:pPr>
      <w:r>
        <w:rPr>
          <w:rFonts w:hint="eastAsia" w:hAnsi="宋体"/>
          <w:sz w:val="32"/>
          <w:szCs w:val="32"/>
        </w:rPr>
        <w:t>该项目资金严格按照</w:t>
      </w:r>
      <w:r>
        <w:rPr>
          <w:rFonts w:hint="eastAsia" w:ascii="仿宋" w:hAnsi="仿宋" w:eastAsia="仿宋" w:cs="仿宋"/>
          <w:color w:val="000000"/>
          <w:sz w:val="32"/>
          <w:szCs w:val="32"/>
        </w:rPr>
        <w:t>科学技术协会</w:t>
      </w:r>
      <w:r>
        <w:rPr>
          <w:rFonts w:hint="eastAsia" w:hAnsi="宋体"/>
          <w:sz w:val="32"/>
          <w:szCs w:val="32"/>
        </w:rPr>
        <w:t>相关财务制度管理，资金主要用于</w:t>
      </w:r>
      <w:r>
        <w:rPr>
          <w:rFonts w:hint="eastAsia" w:hAnsi="仿宋_GB2312" w:cs="仿宋_GB2312"/>
          <w:sz w:val="32"/>
          <w:szCs w:val="32"/>
        </w:rPr>
        <w:t>运行、维护面向所有科技工作者和所有企事业单位和广大人民群众开放共享的“天府科技云服务”平台等方面的工作。</w:t>
      </w:r>
    </w:p>
    <w:p>
      <w:pPr>
        <w:pStyle w:val="8"/>
        <w:numPr>
          <w:ilvl w:val="0"/>
          <w:numId w:val="0"/>
        </w:numPr>
        <w:ind w:firstLine="320" w:firstLineChars="100"/>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8"/>
        <w:numPr>
          <w:ilvl w:val="0"/>
          <w:numId w:val="0"/>
        </w:numPr>
        <w:ind w:firstLine="640" w:firstLineChars="200"/>
        <w:rPr>
          <w:lang w:val="zh-CN"/>
        </w:rPr>
      </w:pPr>
      <w:r>
        <w:rPr>
          <w:rFonts w:hint="eastAsia" w:ascii="仿宋_GB2312" w:hAnsi="宋体" w:eastAsia="仿宋_GB2312"/>
          <w:sz w:val="32"/>
          <w:szCs w:val="32"/>
        </w:rPr>
        <w:t>该项目资金根据</w:t>
      </w:r>
      <w:r>
        <w:rPr>
          <w:rFonts w:hint="eastAsia" w:ascii="仿宋" w:hAnsi="仿宋" w:eastAsia="仿宋" w:cs="仿宋"/>
          <w:color w:val="000000"/>
          <w:sz w:val="32"/>
          <w:szCs w:val="32"/>
        </w:rPr>
        <w:t>科学技术协会</w:t>
      </w:r>
      <w:r>
        <w:rPr>
          <w:rFonts w:hint="eastAsia" w:ascii="仿宋_GB2312" w:hAnsi="宋体" w:eastAsia="仿宋_GB2312"/>
          <w:sz w:val="32"/>
          <w:szCs w:val="32"/>
        </w:rPr>
        <w:t>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widowControl/>
        <w:adjustRightInd w:val="0"/>
        <w:snapToGrid w:val="0"/>
        <w:spacing w:line="580"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Calibri" w:eastAsia="仿宋_GB2312" w:cs="仿宋"/>
          <w:kern w:val="0"/>
          <w:sz w:val="32"/>
          <w:szCs w:val="32"/>
          <w:lang w:val="zh-CN"/>
        </w:rPr>
        <w:t>加大天府科技云服务平台宣传及运维工作，提供全员“保姆式”服务单数50单以上，平台新增科技供给有效需求“一单一策”覆盖率达90%以上，发布科普信息、活动200条以上，精准科普覆盖率和人均科普服务率较上年度环比正增长</w:t>
      </w:r>
      <w:r>
        <w:rPr>
          <w:rFonts w:hint="eastAsia" w:ascii="仿宋_GB2312" w:hAnsi="仿宋_GB2312" w:eastAsia="仿宋_GB2312" w:cs="仿宋_GB2312"/>
          <w:kern w:val="0"/>
          <w:sz w:val="32"/>
          <w:szCs w:val="32"/>
        </w:rPr>
        <w:t>。发布科普信息、活动200条以上，</w:t>
      </w:r>
      <w:r>
        <w:rPr>
          <w:rFonts w:hint="eastAsia" w:ascii="仿宋" w:hAnsi="仿宋" w:eastAsia="仿宋" w:cs="仿宋"/>
          <w:sz w:val="32"/>
          <w:szCs w:val="32"/>
          <w:lang w:val="zh-CN"/>
        </w:rPr>
        <w:t>申报内容与实际相符，申报目标合理可行。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该</w:t>
      </w:r>
      <w:r>
        <w:rPr>
          <w:rFonts w:hint="eastAsia" w:ascii="仿宋_GB2312" w:hAnsi="宋体" w:eastAsia="仿宋_GB2312"/>
          <w:sz w:val="32"/>
          <w:szCs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6"/>
        <w:ind w:firstLine="640" w:firstLineChars="200"/>
        <w:rPr>
          <w:rFonts w:ascii="黑体" w:eastAsia="黑体"/>
          <w:b w:val="0"/>
          <w:lang w:val="zh-CN"/>
        </w:rPr>
      </w:pPr>
      <w:bookmarkStart w:id="96" w:name="_Toc7491"/>
      <w:r>
        <w:rPr>
          <w:rFonts w:hint="eastAsia" w:ascii="黑体" w:eastAsia="黑体"/>
          <w:b w:val="0"/>
          <w:lang w:val="zh-CN"/>
        </w:rPr>
        <w:t>二、项目资金申报及使用情况</w:t>
      </w:r>
      <w:bookmarkEnd w:id="96"/>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widowControl/>
        <w:adjustRightInd w:val="0"/>
        <w:snapToGrid w:val="0"/>
        <w:spacing w:line="580" w:lineRule="exact"/>
        <w:ind w:firstLine="640" w:firstLineChars="200"/>
        <w:contextualSpacing/>
        <w:jc w:val="left"/>
        <w:rPr>
          <w:rFonts w:ascii="仿宋_GB2312" w:hAnsi="宋体" w:eastAsia="仿宋_GB2312"/>
          <w:sz w:val="32"/>
          <w:szCs w:val="32"/>
          <w:lang w:val="zh-CN"/>
        </w:rPr>
      </w:pPr>
      <w:r>
        <w:rPr>
          <w:rFonts w:hint="eastAsia" w:ascii="仿宋_GB2312" w:hAnsi="仿宋_GB2312" w:eastAsia="仿宋_GB2312" w:cs="仿宋_GB2312"/>
          <w:sz w:val="32"/>
          <w:szCs w:val="32"/>
        </w:rPr>
        <w:t>天府科技云服务</w:t>
      </w:r>
      <w:r>
        <w:rPr>
          <w:rFonts w:hint="eastAsia" w:ascii="仿宋_GB2312" w:hAnsi="宋体" w:eastAsia="仿宋_GB2312"/>
          <w:sz w:val="32"/>
          <w:szCs w:val="32"/>
          <w:lang w:val="zh-CN"/>
        </w:rPr>
        <w:t>项目资金申报</w:t>
      </w:r>
      <w:r>
        <w:rPr>
          <w:rFonts w:hint="eastAsia" w:ascii="仿宋_GB2312" w:hAnsi="宋体" w:eastAsia="仿宋_GB2312"/>
          <w:sz w:val="32"/>
          <w:szCs w:val="32"/>
        </w:rPr>
        <w:t>5万</w:t>
      </w:r>
      <w:r>
        <w:rPr>
          <w:rFonts w:hint="eastAsia" w:ascii="仿宋_GB2312" w:hAnsi="宋体" w:eastAsia="仿宋_GB2312"/>
          <w:sz w:val="32"/>
          <w:szCs w:val="32"/>
          <w:lang w:val="zh-CN"/>
        </w:rPr>
        <w:t>，批复</w:t>
      </w:r>
      <w:r>
        <w:rPr>
          <w:rFonts w:hint="eastAsia" w:ascii="仿宋_GB2312" w:hAnsi="宋体" w:eastAsia="仿宋_GB2312"/>
          <w:sz w:val="32"/>
          <w:szCs w:val="32"/>
        </w:rPr>
        <w:t>5万</w:t>
      </w:r>
      <w:r>
        <w:rPr>
          <w:rFonts w:hint="eastAsia" w:ascii="仿宋_GB2312" w:hAnsi="宋体" w:eastAsia="仿宋_GB2312"/>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资金计划。</w:t>
      </w:r>
      <w:r>
        <w:rPr>
          <w:rFonts w:hint="eastAsia" w:ascii="仿宋_GB2312" w:hAnsi="仿宋_GB2312" w:eastAsia="仿宋_GB2312" w:cs="仿宋_GB2312"/>
          <w:sz w:val="32"/>
          <w:szCs w:val="32"/>
        </w:rPr>
        <w:t>该项目资金计划5万元</w:t>
      </w:r>
      <w:r>
        <w:rPr>
          <w:rFonts w:hint="eastAsia" w:ascii="仿宋_GB2312" w:hAnsi="Calibri" w:eastAsia="仿宋_GB2312" w:cs="仿宋"/>
          <w:kern w:val="0"/>
          <w:sz w:val="32"/>
          <w:szCs w:val="32"/>
          <w:lang w:val="zh-CN"/>
        </w:rPr>
        <w:t>。</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资金到位。</w:t>
      </w:r>
      <w:r>
        <w:rPr>
          <w:rFonts w:hint="eastAsia" w:ascii="仿宋_GB2312" w:hAnsi="仿宋_GB2312" w:eastAsia="仿宋_GB2312" w:cs="仿宋_GB2312"/>
          <w:sz w:val="32"/>
          <w:szCs w:val="32"/>
        </w:rPr>
        <w:t>该项目资金</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评价时点实际到位5万元</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Calibri" w:eastAsia="仿宋_GB2312" w:cs="仿宋"/>
          <w:kern w:val="0"/>
          <w:sz w:val="32"/>
          <w:szCs w:val="32"/>
          <w:lang w:val="zh-CN"/>
        </w:rPr>
        <w:t>3. 资金使用。</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评价时点项目资金的实际支出5万元，主要是用于运行、维护面向所有科技工作者和所有企事业单位和广大人民群众开放共享的“天府科技云服务”平台等方面，其中租赁费用0.99万元、劳务费3.08万元。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Calibri" w:eastAsia="仿宋_GB2312" w:cs="仿宋"/>
          <w:kern w:val="0"/>
          <w:sz w:val="32"/>
          <w:szCs w:val="32"/>
          <w:lang w:val="zh-CN"/>
        </w:rPr>
        <w:t>。</w:t>
      </w:r>
    </w:p>
    <w:p>
      <w:pPr>
        <w:pStyle w:val="6"/>
        <w:ind w:firstLine="640" w:firstLineChars="200"/>
        <w:rPr>
          <w:rFonts w:ascii="黑体" w:eastAsia="黑体"/>
          <w:b w:val="0"/>
          <w:lang w:val="zh-CN"/>
        </w:rPr>
      </w:pPr>
      <w:bookmarkStart w:id="97" w:name="_Toc228"/>
      <w:r>
        <w:rPr>
          <w:rFonts w:hint="eastAsia" w:ascii="黑体" w:eastAsia="黑体"/>
          <w:b w:val="0"/>
          <w:lang w:val="zh-CN"/>
        </w:rPr>
        <w:t>三、项目实施及管理情况</w:t>
      </w:r>
      <w:bookmarkEnd w:id="97"/>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
        <w:spacing w:before="93"/>
        <w:ind w:firstLine="640" w:firstLineChars="200"/>
        <w:rPr>
          <w:lang w:val="zh-CN"/>
        </w:rPr>
      </w:pPr>
      <w:r>
        <w:rPr>
          <w:rFonts w:hint="eastAsia" w:hAnsi="仿宋_GB2312" w:cs="仿宋_GB2312"/>
          <w:sz w:val="32"/>
          <w:szCs w:val="32"/>
        </w:rPr>
        <w:t>天府科技云服务</w:t>
      </w:r>
      <w:r>
        <w:rPr>
          <w:rFonts w:hint="eastAsia" w:hAnsi="宋体"/>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（二）项目管理情况。</w:t>
      </w: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用于运行、维护面向所有科技工作者和所有企事业单位和广大人民群众开放共享的“天府科技云服务”平台等方面的工作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项目由科学技术协会监管，并严格按照相关财经纪律执行。</w:t>
      </w:r>
    </w:p>
    <w:p>
      <w:pPr>
        <w:pStyle w:val="6"/>
        <w:ind w:firstLine="640" w:firstLineChars="200"/>
        <w:rPr>
          <w:rFonts w:ascii="黑体" w:eastAsia="黑体"/>
          <w:b w:val="0"/>
          <w:lang w:val="zh-CN"/>
        </w:rPr>
      </w:pPr>
      <w:bookmarkStart w:id="98" w:name="_Toc2855"/>
      <w:r>
        <w:rPr>
          <w:rFonts w:hint="eastAsia" w:ascii="黑体" w:eastAsia="黑体"/>
          <w:b w:val="0"/>
          <w:lang w:val="zh-CN"/>
        </w:rPr>
        <w:t>四、项目绩效情况</w:t>
      </w:r>
      <w:bookmarkEnd w:id="98"/>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zh-CN"/>
        </w:rPr>
        <w:t>平台新增科技供给有效需求“一单一策”覆盖率</w:t>
      </w:r>
      <w:r>
        <w:rPr>
          <w:rFonts w:hint="eastAsia" w:ascii="仿宋_GB2312" w:hAnsi="Calibri" w:eastAsia="仿宋_GB2312" w:cs="仿宋"/>
          <w:kern w:val="0"/>
          <w:sz w:val="32"/>
          <w:szCs w:val="32"/>
        </w:rPr>
        <w:t>90%以上</w:t>
      </w:r>
      <w:r>
        <w:rPr>
          <w:rFonts w:hint="eastAsia" w:ascii="仿宋_GB2312" w:hAnsi="Calibri" w:eastAsia="仿宋_GB2312" w:cs="仿宋"/>
          <w:kern w:val="0"/>
          <w:sz w:val="32"/>
          <w:szCs w:val="32"/>
          <w:lang w:val="zh-CN"/>
        </w:rPr>
        <w:t>，提供全员“保姆式”服务单数50单以上，群众满意度</w:t>
      </w:r>
      <w:r>
        <w:rPr>
          <w:rFonts w:hint="eastAsia" w:ascii="仿宋_GB2312" w:hAnsi="Calibri" w:eastAsia="仿宋_GB2312" w:cs="仿宋"/>
          <w:kern w:val="0"/>
          <w:sz w:val="32"/>
          <w:szCs w:val="32"/>
        </w:rPr>
        <w:t>100%。</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zh-CN"/>
        </w:rPr>
        <w:t>平台新增科技供给有效需求“一单一策”覆盖率</w:t>
      </w:r>
      <w:r>
        <w:rPr>
          <w:rFonts w:hint="eastAsia" w:ascii="仿宋_GB2312" w:hAnsi="Calibri" w:eastAsia="仿宋_GB2312" w:cs="仿宋"/>
          <w:kern w:val="0"/>
          <w:sz w:val="32"/>
          <w:szCs w:val="32"/>
        </w:rPr>
        <w:t>90%以上</w:t>
      </w:r>
      <w:r>
        <w:rPr>
          <w:rFonts w:hint="eastAsia" w:ascii="仿宋_GB2312" w:hAnsi="Calibri" w:eastAsia="仿宋_GB2312" w:cs="仿宋"/>
          <w:kern w:val="0"/>
          <w:sz w:val="32"/>
          <w:szCs w:val="32"/>
          <w:lang w:val="zh-CN"/>
        </w:rPr>
        <w:t>，提供全员“保姆式”服务单数50单以上，群众满意度</w:t>
      </w:r>
      <w:r>
        <w:rPr>
          <w:rFonts w:hint="eastAsia" w:ascii="仿宋_GB2312" w:hAnsi="Calibri" w:eastAsia="仿宋_GB2312" w:cs="仿宋"/>
          <w:kern w:val="0"/>
          <w:sz w:val="32"/>
          <w:szCs w:val="32"/>
        </w:rPr>
        <w:t>100%。</w:t>
      </w:r>
    </w:p>
    <w:p>
      <w:pPr>
        <w:pStyle w:val="6"/>
        <w:ind w:firstLine="640" w:firstLineChars="200"/>
        <w:rPr>
          <w:rFonts w:ascii="黑体" w:eastAsia="黑体"/>
          <w:b w:val="0"/>
          <w:lang w:val="zh-CN"/>
        </w:rPr>
      </w:pPr>
      <w:bookmarkStart w:id="99" w:name="_Toc5087"/>
      <w:r>
        <w:rPr>
          <w:rFonts w:hint="eastAsia" w:ascii="黑体" w:eastAsia="黑体"/>
          <w:b w:val="0"/>
          <w:lang w:val="zh-CN"/>
        </w:rPr>
        <w:t>五、评价结论及建议</w:t>
      </w:r>
      <w:bookmarkEnd w:id="99"/>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仿宋_GB2312" w:eastAsia="仿宋_GB2312" w:cs="仿宋_GB2312"/>
          <w:sz w:val="32"/>
          <w:szCs w:val="32"/>
        </w:rPr>
        <w:t>天府科技云服务</w:t>
      </w:r>
      <w:r>
        <w:rPr>
          <w:rFonts w:hint="eastAsia" w:ascii="仿宋_GB2312" w:hAnsi="宋体" w:eastAsia="仿宋_GB2312"/>
          <w:sz w:val="32"/>
          <w:szCs w:val="32"/>
          <w:lang w:val="zh-CN"/>
        </w:rPr>
        <w:t>项目绩效总体评价良好。</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widowControl/>
        <w:adjustRightInd w:val="0"/>
        <w:snapToGrid w:val="0"/>
        <w:spacing w:line="580" w:lineRule="exact"/>
        <w:ind w:firstLine="640" w:firstLineChars="200"/>
        <w:contextualSpacing/>
        <w:jc w:val="left"/>
        <w:rPr>
          <w:rFonts w:ascii="仿宋" w:hAnsi="仿宋" w:eastAsia="仿宋" w:cs="仿宋"/>
          <w:bCs/>
          <w:sz w:val="32"/>
          <w:szCs w:val="32"/>
        </w:rPr>
      </w:pPr>
      <w:r>
        <w:rPr>
          <w:rFonts w:hint="eastAsia" w:ascii="仿宋" w:hAnsi="仿宋" w:eastAsia="仿宋" w:cs="仿宋"/>
          <w:sz w:val="32"/>
          <w:szCs w:val="32"/>
        </w:rPr>
        <w:t>群众参与注册率较全省仍有差距、科技工作者（企事业单位）发布科技所能（所需）仍不积极主动、典型案例示范带动效应还不强等。</w:t>
      </w:r>
      <w:r>
        <w:rPr>
          <w:rFonts w:hint="eastAsia" w:ascii="仿宋" w:hAnsi="仿宋" w:eastAsia="仿宋" w:cs="仿宋"/>
          <w:bCs/>
          <w:sz w:val="32"/>
          <w:szCs w:val="32"/>
        </w:rPr>
        <w:t xml:space="preserve"> </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80" w:lineRule="exact"/>
        <w:ind w:firstLine="660" w:firstLineChars="200"/>
        <w:contextualSpacing/>
        <w:jc w:val="left"/>
        <w:rPr>
          <w:rFonts w:ascii="仿宋_GB2312" w:hAnsi="Calibri" w:eastAsia="仿宋_GB2312" w:cs="仿宋"/>
          <w:kern w:val="0"/>
          <w:sz w:val="32"/>
          <w:szCs w:val="32"/>
          <w:lang w:val="zh-CN"/>
        </w:rPr>
      </w:pPr>
      <w:r>
        <w:rPr>
          <w:rFonts w:eastAsia="仿宋_GB2312"/>
          <w:sz w:val="33"/>
          <w:szCs w:val="33"/>
        </w:rPr>
        <w:t>加大科普资源网络建设力度，积极动员组织各类科普基地、积极开展“天府科技云”注册，力争实现全覆盖</w:t>
      </w:r>
      <w:r>
        <w:rPr>
          <w:rFonts w:hint="eastAsia" w:ascii="仿宋" w:hAnsi="仿宋" w:eastAsia="仿宋" w:cs="仿宋"/>
          <w:sz w:val="32"/>
          <w:szCs w:val="32"/>
        </w:rPr>
        <w:t>。</w:t>
      </w:r>
    </w:p>
    <w:p>
      <w:pPr>
        <w:pStyle w:val="2"/>
        <w:spacing w:before="93"/>
      </w:pPr>
    </w:p>
    <w:p>
      <w:pPr>
        <w:spacing w:line="600" w:lineRule="exact"/>
        <w:jc w:val="center"/>
        <w:rPr>
          <w:rFonts w:ascii="黑体" w:hAnsi="黑体" w:eastAsia="黑体"/>
          <w:sz w:val="44"/>
          <w:szCs w:val="44"/>
        </w:rPr>
      </w:pPr>
    </w:p>
    <w:p>
      <w:pPr>
        <w:pStyle w:val="37"/>
        <w:spacing w:line="578" w:lineRule="exact"/>
        <w:jc w:val="center"/>
        <w:rPr>
          <w:rFonts w:ascii="方正小标宋简体" w:hAnsi="方正小标宋简体" w:eastAsia="方正小标宋简体" w:cs="方正小标宋简体"/>
          <w:color w:val="auto"/>
          <w:kern w:val="2"/>
          <w:sz w:val="32"/>
          <w:szCs w:val="32"/>
          <w:lang w:val="en-US"/>
        </w:rPr>
      </w:pPr>
    </w:p>
    <w:p>
      <w:pPr>
        <w:pStyle w:val="37"/>
        <w:spacing w:line="578" w:lineRule="exact"/>
        <w:jc w:val="center"/>
        <w:rPr>
          <w:rFonts w:ascii="方正小标宋简体" w:hAnsi="方正小标宋简体" w:eastAsia="方正小标宋简体" w:cs="方正小标宋简体"/>
          <w:color w:val="auto"/>
          <w:kern w:val="2"/>
          <w:sz w:val="32"/>
          <w:szCs w:val="32"/>
          <w:lang w:val="en-US"/>
        </w:rPr>
      </w:pPr>
    </w:p>
    <w:p>
      <w:pPr>
        <w:pStyle w:val="37"/>
        <w:spacing w:line="578" w:lineRule="exact"/>
        <w:jc w:val="center"/>
        <w:rPr>
          <w:rFonts w:ascii="方正小标宋简体" w:hAnsi="方正小标宋简体" w:eastAsia="方正小标宋简体" w:cs="方正小标宋简体"/>
          <w:color w:val="auto"/>
          <w:kern w:val="2"/>
          <w:sz w:val="32"/>
          <w:szCs w:val="32"/>
          <w:lang w:val="en-US"/>
        </w:rPr>
      </w:pPr>
    </w:p>
    <w:p>
      <w:pPr>
        <w:pStyle w:val="37"/>
        <w:spacing w:line="578" w:lineRule="exact"/>
        <w:jc w:val="center"/>
        <w:rPr>
          <w:rFonts w:ascii="方正小标宋简体" w:hAnsi="方正小标宋简体" w:eastAsia="方正小标宋简体" w:cs="方正小标宋简体"/>
          <w:color w:val="auto"/>
          <w:kern w:val="2"/>
          <w:sz w:val="32"/>
          <w:szCs w:val="32"/>
          <w:lang w:val="en-US"/>
        </w:rPr>
      </w:pPr>
    </w:p>
    <w:p>
      <w:pPr>
        <w:pStyle w:val="37"/>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7"/>
        <w:spacing w:line="578" w:lineRule="exact"/>
        <w:jc w:val="center"/>
        <w:rPr>
          <w:rFonts w:hint="eastAsia" w:ascii="方正小标宋简体" w:hAnsi="方正小标宋简体" w:eastAsia="方正小标宋简体" w:cs="方正小标宋简体"/>
          <w:color w:val="auto"/>
          <w:kern w:val="2"/>
          <w:sz w:val="32"/>
          <w:szCs w:val="32"/>
          <w:lang w:val="en-US"/>
        </w:rPr>
      </w:pPr>
    </w:p>
    <w:p>
      <w:pPr>
        <w:pStyle w:val="37"/>
        <w:spacing w:line="578" w:lineRule="exact"/>
        <w:jc w:val="center"/>
        <w:rPr>
          <w:rFonts w:ascii="宋体" w:hAnsi="宋体"/>
          <w:color w:val="auto"/>
          <w:kern w:val="2"/>
          <w:sz w:val="32"/>
          <w:szCs w:val="32"/>
        </w:rPr>
      </w:pPr>
      <w:r>
        <w:rPr>
          <w:rFonts w:hint="eastAsia" w:ascii="方正小标宋简体" w:hAnsi="方正小标宋简体" w:eastAsia="方正小标宋简体" w:cs="方正小标宋简体"/>
          <w:color w:val="auto"/>
          <w:kern w:val="2"/>
          <w:sz w:val="32"/>
          <w:szCs w:val="32"/>
          <w:lang w:val="en-US"/>
        </w:rPr>
        <w:t>2022年专项预算项目绩效自评报告</w:t>
      </w:r>
    </w:p>
    <w:p>
      <w:pPr>
        <w:pStyle w:val="6"/>
        <w:ind w:firstLine="640" w:firstLineChars="200"/>
        <w:rPr>
          <w:rFonts w:ascii="黑体" w:eastAsia="黑体"/>
          <w:b w:val="0"/>
          <w:lang w:val="zh-CN"/>
        </w:rPr>
      </w:pPr>
      <w:bookmarkStart w:id="100" w:name="_Toc28259"/>
      <w:r>
        <w:rPr>
          <w:rFonts w:hint="eastAsia" w:ascii="黑体" w:eastAsia="黑体"/>
          <w:b w:val="0"/>
          <w:lang w:val="zh-CN"/>
        </w:rPr>
        <w:t>一、项目概况</w:t>
      </w:r>
      <w:bookmarkEnd w:id="100"/>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科普阵地建设主要用于</w:t>
      </w:r>
      <w:r>
        <w:rPr>
          <w:rFonts w:hint="eastAsia" w:ascii="仿宋_GB2312" w:hAnsi="仿宋_GB2312" w:eastAsia="仿宋_GB2312" w:cs="仿宋_GB2312"/>
          <w:sz w:val="32"/>
          <w:szCs w:val="32"/>
        </w:rPr>
        <w:t>开展利用科普大篷车开展科普活动；邀请专家开展实用技术培训、推广新技术新品种；开展大篷车科普设备保养等方面的工作。</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项目立项、资金申报的依据。：《科普法》、《遂宁市现代科技馆体系建设实施方案》（遂府办函〔20218〕153号）。</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pStyle w:val="2"/>
        <w:spacing w:before="93"/>
        <w:ind w:firstLine="640" w:firstLineChars="200"/>
        <w:rPr>
          <w:lang w:val="zh-CN"/>
        </w:rPr>
      </w:pPr>
      <w:r>
        <w:rPr>
          <w:rFonts w:hint="eastAsia" w:hAnsi="宋体"/>
          <w:sz w:val="32"/>
          <w:szCs w:val="32"/>
        </w:rPr>
        <w:t>该项目资金严格按照</w:t>
      </w:r>
      <w:r>
        <w:rPr>
          <w:rFonts w:hint="eastAsia" w:ascii="仿宋" w:hAnsi="仿宋" w:eastAsia="仿宋" w:cs="仿宋"/>
          <w:color w:val="000000"/>
          <w:sz w:val="32"/>
          <w:szCs w:val="32"/>
        </w:rPr>
        <w:t>科学技术协会</w:t>
      </w:r>
      <w:r>
        <w:rPr>
          <w:rFonts w:hint="eastAsia" w:hAnsi="宋体"/>
          <w:sz w:val="32"/>
          <w:szCs w:val="32"/>
        </w:rPr>
        <w:t>相关财务制度管理，资金主要用于</w:t>
      </w:r>
      <w:r>
        <w:rPr>
          <w:rFonts w:hint="eastAsia" w:hAnsi="仿宋_GB2312" w:cs="仿宋_GB2312"/>
          <w:sz w:val="32"/>
          <w:szCs w:val="32"/>
        </w:rPr>
        <w:t>开展利用科普大篷车开展科普活动；邀请专家开展实用技术培训、推广新技术新品种；开展大篷车科普设备保养等方面的工作。</w:t>
      </w:r>
    </w:p>
    <w:p>
      <w:pPr>
        <w:pStyle w:val="8"/>
        <w:numPr>
          <w:ilvl w:val="0"/>
          <w:numId w:val="0"/>
        </w:numPr>
        <w:ind w:firstLine="320" w:firstLineChars="100"/>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8"/>
        <w:numPr>
          <w:ilvl w:val="0"/>
          <w:numId w:val="0"/>
        </w:numPr>
        <w:ind w:firstLine="640" w:firstLineChars="200"/>
        <w:rPr>
          <w:lang w:val="zh-CN"/>
        </w:rPr>
      </w:pPr>
      <w:r>
        <w:rPr>
          <w:rFonts w:hint="eastAsia" w:ascii="仿宋_GB2312" w:hAnsi="宋体" w:eastAsia="仿宋_GB2312"/>
          <w:sz w:val="32"/>
          <w:szCs w:val="32"/>
        </w:rPr>
        <w:t>该项目资金根据</w:t>
      </w:r>
      <w:r>
        <w:rPr>
          <w:rFonts w:hint="eastAsia" w:ascii="仿宋" w:hAnsi="仿宋" w:eastAsia="仿宋" w:cs="仿宋"/>
          <w:color w:val="000000"/>
          <w:sz w:val="32"/>
          <w:szCs w:val="32"/>
        </w:rPr>
        <w:t>科学技术协会</w:t>
      </w:r>
      <w:r>
        <w:rPr>
          <w:rFonts w:hint="eastAsia" w:ascii="仿宋_GB2312" w:hAnsi="宋体" w:eastAsia="仿宋_GB2312"/>
          <w:sz w:val="32"/>
          <w:szCs w:val="32"/>
        </w:rPr>
        <w:t>实际支出情况按需支取。</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widowControl/>
        <w:adjustRightInd w:val="0"/>
        <w:snapToGrid w:val="0"/>
        <w:spacing w:line="580" w:lineRule="exact"/>
        <w:ind w:firstLine="640" w:firstLineChars="200"/>
        <w:contextualSpacing/>
        <w:jc w:val="left"/>
        <w:rPr>
          <w:rFonts w:ascii="仿宋_GB2312" w:hAnsi="仿宋_GB2312" w:eastAsia="仿宋_GB2312" w:cs="仿宋_GB2312"/>
          <w:kern w:val="0"/>
          <w:sz w:val="32"/>
          <w:szCs w:val="32"/>
        </w:rPr>
      </w:pPr>
      <w:r>
        <w:rPr>
          <w:rFonts w:hint="eastAsia" w:ascii="仿宋_GB2312" w:hAnsi="Calibri" w:eastAsia="仿宋_GB2312" w:cs="仿宋"/>
          <w:kern w:val="0"/>
          <w:sz w:val="32"/>
          <w:szCs w:val="32"/>
          <w:lang w:val="zh-CN"/>
        </w:rPr>
        <w:t>规范建设农技协（企业科协）2个，推广新技术新品种5个以上，指导开展科普基地建设工作。</w:t>
      </w:r>
      <w:r>
        <w:rPr>
          <w:rFonts w:hint="eastAsia" w:ascii="仿宋" w:hAnsi="仿宋" w:eastAsia="仿宋" w:cs="仿宋"/>
          <w:sz w:val="32"/>
          <w:szCs w:val="32"/>
          <w:lang w:val="zh-CN"/>
        </w:rPr>
        <w:t>申报内容与实际相符，申报目标合理可行。</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该</w:t>
      </w:r>
      <w:r>
        <w:rPr>
          <w:rFonts w:hint="eastAsia" w:ascii="仿宋_GB2312" w:hAnsi="宋体" w:eastAsia="仿宋_GB2312"/>
          <w:sz w:val="32"/>
          <w:szCs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p>
    <w:p>
      <w:pPr>
        <w:pStyle w:val="6"/>
        <w:ind w:firstLine="640" w:firstLineChars="200"/>
        <w:rPr>
          <w:rFonts w:ascii="黑体" w:eastAsia="黑体"/>
          <w:b w:val="0"/>
          <w:lang w:val="zh-CN"/>
        </w:rPr>
      </w:pPr>
      <w:bookmarkStart w:id="101" w:name="_Toc32576"/>
      <w:r>
        <w:rPr>
          <w:rFonts w:hint="eastAsia" w:ascii="黑体" w:eastAsia="黑体"/>
          <w:b w:val="0"/>
          <w:lang w:val="zh-CN"/>
        </w:rPr>
        <w:t>二、项目资金申报及使用情况</w:t>
      </w:r>
      <w:bookmarkEnd w:id="101"/>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widowControl/>
        <w:adjustRightInd w:val="0"/>
        <w:snapToGrid w:val="0"/>
        <w:spacing w:line="580" w:lineRule="exact"/>
        <w:ind w:firstLine="640" w:firstLineChars="200"/>
        <w:contextualSpacing/>
        <w:jc w:val="left"/>
        <w:rPr>
          <w:rFonts w:ascii="仿宋_GB2312" w:hAnsi="宋体" w:eastAsia="仿宋_GB2312"/>
          <w:sz w:val="32"/>
          <w:szCs w:val="32"/>
          <w:lang w:val="zh-CN"/>
        </w:rPr>
      </w:pPr>
      <w:r>
        <w:rPr>
          <w:rFonts w:hint="eastAsia" w:ascii="仿宋_GB2312" w:hAnsi="Calibri" w:eastAsia="仿宋_GB2312" w:cs="仿宋"/>
          <w:kern w:val="0"/>
          <w:sz w:val="32"/>
          <w:szCs w:val="32"/>
          <w:lang w:val="zh-CN"/>
        </w:rPr>
        <w:t>科普阵地建设</w:t>
      </w:r>
      <w:r>
        <w:rPr>
          <w:rFonts w:hint="eastAsia" w:ascii="仿宋_GB2312" w:hAnsi="宋体" w:eastAsia="仿宋_GB2312"/>
          <w:sz w:val="32"/>
          <w:szCs w:val="32"/>
          <w:lang w:val="zh-CN"/>
        </w:rPr>
        <w:t>项目资金申报</w:t>
      </w:r>
      <w:r>
        <w:rPr>
          <w:rFonts w:hint="eastAsia" w:ascii="仿宋_GB2312" w:hAnsi="宋体" w:eastAsia="仿宋_GB2312"/>
          <w:sz w:val="32"/>
          <w:szCs w:val="32"/>
        </w:rPr>
        <w:t>9万</w:t>
      </w:r>
      <w:r>
        <w:rPr>
          <w:rFonts w:hint="eastAsia" w:ascii="仿宋_GB2312" w:hAnsi="宋体" w:eastAsia="仿宋_GB2312"/>
          <w:sz w:val="32"/>
          <w:szCs w:val="32"/>
          <w:lang w:val="zh-CN"/>
        </w:rPr>
        <w:t>，批复</w:t>
      </w:r>
      <w:r>
        <w:rPr>
          <w:rFonts w:hint="eastAsia" w:ascii="仿宋_GB2312" w:hAnsi="宋体" w:eastAsia="仿宋_GB2312"/>
          <w:sz w:val="32"/>
          <w:szCs w:val="32"/>
        </w:rPr>
        <w:t>9万</w:t>
      </w:r>
      <w:r>
        <w:rPr>
          <w:rFonts w:hint="eastAsia" w:ascii="仿宋_GB2312" w:hAnsi="宋体" w:eastAsia="仿宋_GB2312"/>
          <w:sz w:val="32"/>
          <w:szCs w:val="32"/>
          <w:lang w:val="zh-CN"/>
        </w:rPr>
        <w:t>。</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资金计划。</w:t>
      </w:r>
      <w:r>
        <w:rPr>
          <w:rFonts w:hint="eastAsia" w:ascii="仿宋_GB2312" w:hAnsi="仿宋_GB2312" w:eastAsia="仿宋_GB2312" w:cs="仿宋_GB2312"/>
          <w:sz w:val="32"/>
          <w:szCs w:val="32"/>
        </w:rPr>
        <w:t>该项目资金计划9万元</w:t>
      </w:r>
      <w:r>
        <w:rPr>
          <w:rFonts w:hint="eastAsia" w:ascii="仿宋_GB2312" w:hAnsi="Calibri" w:eastAsia="仿宋_GB2312" w:cs="仿宋"/>
          <w:kern w:val="0"/>
          <w:sz w:val="32"/>
          <w:szCs w:val="32"/>
          <w:lang w:val="zh-CN"/>
        </w:rPr>
        <w:t>。</w:t>
      </w:r>
    </w:p>
    <w:p>
      <w:pPr>
        <w:adjustRightInd w:val="0"/>
        <w:snapToGrid w:val="0"/>
        <w:spacing w:line="600" w:lineRule="exact"/>
        <w:ind w:firstLine="720"/>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资金到位。</w:t>
      </w:r>
      <w:r>
        <w:rPr>
          <w:rFonts w:hint="eastAsia" w:ascii="仿宋_GB2312" w:hAnsi="仿宋_GB2312" w:eastAsia="仿宋_GB2312" w:cs="仿宋_GB2312"/>
          <w:sz w:val="32"/>
          <w:szCs w:val="32"/>
        </w:rPr>
        <w:t>该项目资金</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评价时点实际到位9万元</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Calibri" w:eastAsia="仿宋_GB2312" w:cs="仿宋"/>
          <w:kern w:val="0"/>
          <w:sz w:val="32"/>
          <w:szCs w:val="32"/>
          <w:lang w:val="zh-CN"/>
        </w:rPr>
        <w:t>3. 资金使用。</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评价时点项目资金的实际支出9万元，主要是用于开展利用科普大篷车开展科普活动；邀请专家开展实用技术培训、推广新技术新品种；开展大篷车科普设备保养等方面，其中咨询费6万元。</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Calibri" w:eastAsia="仿宋_GB2312" w:cs="仿宋"/>
          <w:kern w:val="0"/>
          <w:sz w:val="32"/>
          <w:szCs w:val="32"/>
          <w:lang w:val="zh-CN"/>
        </w:rPr>
        <w:t>。</w:t>
      </w:r>
    </w:p>
    <w:p>
      <w:pPr>
        <w:pStyle w:val="6"/>
        <w:ind w:firstLine="640" w:firstLineChars="200"/>
        <w:rPr>
          <w:rFonts w:ascii="黑体" w:eastAsia="黑体"/>
          <w:b w:val="0"/>
          <w:lang w:val="zh-CN"/>
        </w:rPr>
      </w:pPr>
      <w:bookmarkStart w:id="102" w:name="_Toc12318"/>
      <w:r>
        <w:rPr>
          <w:rFonts w:hint="eastAsia" w:ascii="黑体" w:eastAsia="黑体"/>
          <w:b w:val="0"/>
          <w:lang w:val="zh-CN"/>
        </w:rPr>
        <w:t>三、项目实施及管理情况</w:t>
      </w:r>
      <w:bookmarkEnd w:id="102"/>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widowControl/>
        <w:numPr>
          <w:ilvl w:val="0"/>
          <w:numId w:val="9"/>
        </w:numPr>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项目组织架构及实施流程。</w:t>
      </w:r>
    </w:p>
    <w:p>
      <w:pPr>
        <w:pStyle w:val="2"/>
        <w:spacing w:before="93"/>
        <w:ind w:firstLine="640" w:firstLineChars="200"/>
        <w:rPr>
          <w:lang w:val="zh-CN"/>
        </w:rPr>
      </w:pPr>
      <w:r>
        <w:rPr>
          <w:rFonts w:hint="eastAsia" w:hAnsi="Calibri" w:cs="仿宋"/>
          <w:sz w:val="32"/>
          <w:szCs w:val="32"/>
          <w:lang w:val="zh-CN"/>
        </w:rPr>
        <w:t>科普阵地建设</w:t>
      </w:r>
      <w:r>
        <w:rPr>
          <w:rFonts w:hint="eastAsia" w:hAnsi="宋体"/>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（二）项目管理情况。</w:t>
      </w: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用于开展利用科普大篷车开展科普活动；邀请专家开展实用技术培训、推广新技术新品种；开展大篷车科普设备保养等方面的工作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r>
        <w:rPr>
          <w:rFonts w:hint="eastAsia" w:ascii="仿宋_GB2312" w:hAnsi="Calibri" w:eastAsia="仿宋_GB2312" w:cs="仿宋"/>
          <w:kern w:val="0"/>
          <w:sz w:val="32"/>
          <w:szCs w:val="32"/>
          <w:lang w:val="zh-CN"/>
        </w:rPr>
        <w:t>。</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项目由科学技术协会监管，并严格按照相关财经纪律执行。</w:t>
      </w:r>
    </w:p>
    <w:p>
      <w:pPr>
        <w:pStyle w:val="6"/>
        <w:ind w:firstLine="640" w:firstLineChars="200"/>
        <w:rPr>
          <w:rFonts w:ascii="黑体" w:eastAsia="黑体"/>
          <w:b w:val="0"/>
          <w:lang w:val="zh-CN"/>
        </w:rPr>
      </w:pPr>
      <w:bookmarkStart w:id="103" w:name="_Toc25880"/>
      <w:r>
        <w:rPr>
          <w:rFonts w:hint="eastAsia" w:ascii="黑体" w:eastAsia="黑体"/>
          <w:b w:val="0"/>
          <w:lang w:val="zh-CN"/>
        </w:rPr>
        <w:t>四、项目绩效情况</w:t>
      </w:r>
      <w:bookmarkEnd w:id="103"/>
      <w:r>
        <w:rPr>
          <w:rFonts w:hint="eastAsia" w:ascii="黑体" w:eastAsia="黑体"/>
          <w:b w:val="0"/>
          <w:lang w:val="zh-CN"/>
        </w:rPr>
        <w:tab/>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lang w:val="zh-CN"/>
        </w:rPr>
        <w:t>规范建设农技协（企业科协）2个，推广新技术新品种5个以上，指导开展科普基地建设工作</w:t>
      </w:r>
      <w:r>
        <w:rPr>
          <w:rFonts w:hint="eastAsia" w:ascii="仿宋_GB2312" w:hAnsi="Calibri" w:eastAsia="仿宋_GB2312" w:cs="仿宋"/>
          <w:kern w:val="0"/>
          <w:sz w:val="32"/>
          <w:szCs w:val="32"/>
        </w:rPr>
        <w:t>，</w:t>
      </w:r>
      <w:r>
        <w:rPr>
          <w:rFonts w:hint="eastAsia" w:ascii="仿宋_GB2312" w:hAnsi="Calibri" w:eastAsia="仿宋_GB2312" w:cs="仿宋"/>
          <w:kern w:val="0"/>
          <w:sz w:val="32"/>
          <w:szCs w:val="32"/>
          <w:lang w:val="zh-CN"/>
        </w:rPr>
        <w:t>服务对象满意度</w:t>
      </w:r>
      <w:r>
        <w:rPr>
          <w:rFonts w:hint="eastAsia" w:ascii="仿宋_GB2312" w:hAnsi="Calibri" w:eastAsia="仿宋_GB2312" w:cs="仿宋"/>
          <w:kern w:val="0"/>
          <w:sz w:val="32"/>
          <w:szCs w:val="32"/>
        </w:rPr>
        <w:t>100%。</w:t>
      </w:r>
    </w:p>
    <w:p>
      <w:pPr>
        <w:widowControl/>
        <w:adjustRightInd w:val="0"/>
        <w:snapToGrid w:val="0"/>
        <w:spacing w:line="58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6"/>
        <w:ind w:firstLine="640" w:firstLineChars="200"/>
        <w:rPr>
          <w:rFonts w:ascii="仿宋_GB2312" w:hAnsi="Calibri" w:eastAsia="仿宋_GB2312" w:cs="仿宋"/>
          <w:b w:val="0"/>
          <w:bCs w:val="0"/>
          <w:kern w:val="0"/>
          <w:lang w:val="zh-CN"/>
        </w:rPr>
      </w:pPr>
      <w:bookmarkStart w:id="104" w:name="_Toc22940"/>
      <w:r>
        <w:rPr>
          <w:rFonts w:hint="eastAsia" w:ascii="仿宋_GB2312" w:hAnsi="Calibri" w:eastAsia="仿宋_GB2312" w:cs="仿宋"/>
          <w:b w:val="0"/>
          <w:bCs w:val="0"/>
          <w:kern w:val="0"/>
          <w:lang w:val="zh-CN"/>
        </w:rPr>
        <w:t>推进全区科普阵地建设工作，引导、支持全区农技协、企业科协规范发展质量优良。</w:t>
      </w:r>
      <w:bookmarkEnd w:id="104"/>
    </w:p>
    <w:p>
      <w:pPr>
        <w:pStyle w:val="6"/>
        <w:ind w:firstLine="640" w:firstLineChars="200"/>
        <w:rPr>
          <w:rFonts w:ascii="黑体" w:eastAsia="黑体"/>
          <w:b w:val="0"/>
          <w:lang w:val="zh-CN"/>
        </w:rPr>
      </w:pPr>
      <w:bookmarkStart w:id="105" w:name="_Toc17193"/>
      <w:r>
        <w:rPr>
          <w:rFonts w:hint="eastAsia" w:ascii="黑体" w:eastAsia="黑体"/>
          <w:b w:val="0"/>
          <w:lang w:val="zh-CN"/>
        </w:rPr>
        <w:t>五、评价结论及建议</w:t>
      </w:r>
      <w:bookmarkEnd w:id="105"/>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Calibri" w:eastAsia="仿宋_GB2312" w:cs="仿宋"/>
          <w:kern w:val="0"/>
          <w:sz w:val="32"/>
          <w:szCs w:val="32"/>
          <w:lang w:val="zh-CN"/>
        </w:rPr>
        <w:t>科普阵地建设</w:t>
      </w:r>
      <w:r>
        <w:rPr>
          <w:rFonts w:hint="eastAsia" w:ascii="仿宋_GB2312" w:hAnsi="宋体" w:eastAsia="仿宋_GB2312"/>
          <w:sz w:val="32"/>
          <w:szCs w:val="32"/>
          <w:lang w:val="zh-CN"/>
        </w:rPr>
        <w:t>项目绩效总体评价良好。</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widowControl/>
        <w:adjustRightInd w:val="0"/>
        <w:snapToGrid w:val="0"/>
        <w:spacing w:line="580" w:lineRule="exact"/>
        <w:ind w:firstLine="640" w:firstLineChars="200"/>
        <w:contextualSpacing/>
        <w:jc w:val="left"/>
        <w:rPr>
          <w:rFonts w:ascii="仿宋" w:hAnsi="仿宋" w:eastAsia="仿宋" w:cs="仿宋"/>
          <w:bCs/>
          <w:sz w:val="32"/>
          <w:szCs w:val="32"/>
        </w:rPr>
      </w:pPr>
      <w:r>
        <w:rPr>
          <w:rFonts w:hint="eastAsia" w:ascii="仿宋" w:hAnsi="仿宋" w:eastAsia="仿宋" w:cs="仿宋"/>
          <w:sz w:val="32"/>
          <w:szCs w:val="32"/>
        </w:rPr>
        <w:t>无</w:t>
      </w:r>
      <w:r>
        <w:rPr>
          <w:rFonts w:hint="eastAsia" w:ascii="仿宋" w:hAnsi="仿宋" w:eastAsia="仿宋" w:cs="仿宋"/>
          <w:bCs/>
          <w:sz w:val="32"/>
          <w:szCs w:val="32"/>
        </w:rPr>
        <w:t xml:space="preserve"> </w:t>
      </w:r>
    </w:p>
    <w:p>
      <w:pPr>
        <w:widowControl/>
        <w:adjustRightInd w:val="0"/>
        <w:snapToGrid w:val="0"/>
        <w:spacing w:line="58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adjustRightInd w:val="0"/>
        <w:snapToGrid w:val="0"/>
        <w:spacing w:line="600" w:lineRule="exact"/>
        <w:ind w:firstLine="640" w:firstLineChars="200"/>
        <w:rPr>
          <w:rFonts w:ascii="仿宋" w:hAnsi="仿宋" w:eastAsia="仿宋" w:cs="仿宋"/>
          <w:sz w:val="32"/>
          <w:szCs w:val="32"/>
          <w:lang w:val="zh-CN"/>
        </w:rPr>
      </w:pPr>
      <w:r>
        <w:rPr>
          <w:rFonts w:hint="eastAsia" w:ascii="仿宋" w:hAnsi="仿宋" w:eastAsia="仿宋" w:cs="仿宋"/>
          <w:sz w:val="32"/>
          <w:szCs w:val="32"/>
        </w:rPr>
        <w:t>无</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附件：专项预算项目支出绩效自评表</w:t>
      </w:r>
    </w:p>
    <w:p>
      <w:pPr>
        <w:widowControl/>
        <w:adjustRightInd w:val="0"/>
        <w:snapToGrid w:val="0"/>
        <w:spacing w:line="58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（以上绩效自评报告，除涉密敏感内容外，原则上都应予以公开。）</w:t>
      </w:r>
    </w:p>
    <w:p>
      <w:pPr>
        <w:pStyle w:val="2"/>
        <w:spacing w:before="93"/>
        <w:rPr>
          <w:rFonts w:ascii="黑体" w:hAnsi="黑体" w:eastAsia="黑体"/>
          <w:sz w:val="44"/>
          <w:szCs w:val="44"/>
        </w:rPr>
      </w:pPr>
    </w:p>
    <w:p>
      <w:pPr>
        <w:pStyle w:val="3"/>
      </w:pPr>
    </w:p>
    <w:p>
      <w:pPr>
        <w:spacing w:line="600" w:lineRule="exact"/>
        <w:jc w:val="center"/>
        <w:rPr>
          <w:rFonts w:ascii="黑体" w:hAnsi="黑体" w:eastAsia="黑体"/>
          <w:sz w:val="44"/>
          <w:szCs w:val="44"/>
        </w:rPr>
      </w:pPr>
    </w:p>
    <w:p>
      <w:pPr>
        <w:pStyle w:val="2"/>
        <w:spacing w:before="93"/>
        <w:rPr>
          <w:rFonts w:ascii="黑体" w:hAnsi="黑体" w:eastAsia="黑体"/>
          <w:sz w:val="44"/>
          <w:szCs w:val="44"/>
        </w:rPr>
      </w:pPr>
    </w:p>
    <w:p>
      <w:pPr>
        <w:pStyle w:val="3"/>
        <w:rPr>
          <w:rFonts w:ascii="黑体" w:hAnsi="黑体" w:eastAsia="黑体"/>
          <w:sz w:val="44"/>
          <w:szCs w:val="44"/>
        </w:rPr>
      </w:pPr>
    </w:p>
    <w:p>
      <w:pPr>
        <w:pStyle w:val="4"/>
        <w:rPr>
          <w:rFonts w:ascii="黑体" w:hAnsi="黑体" w:eastAsia="黑体"/>
          <w:sz w:val="44"/>
          <w:szCs w:val="44"/>
        </w:rPr>
      </w:pPr>
    </w:p>
    <w:p>
      <w:pPr>
        <w:rPr>
          <w:rFonts w:ascii="黑体" w:hAnsi="黑体" w:eastAsia="黑体"/>
          <w:sz w:val="44"/>
          <w:szCs w:val="44"/>
        </w:rPr>
      </w:pPr>
    </w:p>
    <w:p>
      <w:pPr>
        <w:pStyle w:val="2"/>
        <w:spacing w:before="93"/>
        <w:rPr>
          <w:rFonts w:ascii="黑体" w:hAnsi="黑体" w:eastAsia="黑体"/>
          <w:sz w:val="44"/>
          <w:szCs w:val="44"/>
        </w:rPr>
      </w:pPr>
    </w:p>
    <w:p>
      <w:pPr>
        <w:pStyle w:val="3"/>
        <w:rPr>
          <w:rFonts w:ascii="黑体" w:hAnsi="黑体" w:eastAsia="黑体"/>
          <w:sz w:val="44"/>
          <w:szCs w:val="44"/>
        </w:rPr>
      </w:pPr>
    </w:p>
    <w:p>
      <w:pPr>
        <w:pStyle w:val="4"/>
        <w:rPr>
          <w:rFonts w:ascii="黑体" w:hAnsi="黑体" w:eastAsia="黑体"/>
          <w:sz w:val="44"/>
          <w:szCs w:val="44"/>
        </w:rPr>
      </w:pPr>
    </w:p>
    <w:p/>
    <w:p>
      <w:pPr>
        <w:spacing w:line="600" w:lineRule="exact"/>
        <w:jc w:val="center"/>
        <w:outlineLvl w:val="0"/>
        <w:rPr>
          <w:rFonts w:ascii="仿宋" w:hAnsi="仿宋" w:eastAsia="仿宋"/>
        </w:rPr>
      </w:pPr>
      <w:bookmarkStart w:id="106" w:name="_Toc27874"/>
      <w:r>
        <w:rPr>
          <w:rFonts w:hint="eastAsia" w:ascii="黑体" w:hAnsi="黑体" w:eastAsia="黑体"/>
          <w:sz w:val="44"/>
          <w:szCs w:val="44"/>
        </w:rPr>
        <w:t>第</w:t>
      </w:r>
      <w:r>
        <w:rPr>
          <w:rStyle w:val="31"/>
          <w:rFonts w:hint="eastAsia" w:ascii="黑体" w:hAnsi="黑体" w:eastAsia="黑体"/>
          <w:b w:val="0"/>
        </w:rPr>
        <w:t>五部分 附表</w:t>
      </w:r>
      <w:bookmarkEnd w:id="70"/>
      <w:bookmarkEnd w:id="89"/>
      <w:bookmarkEnd w:id="106"/>
      <w:bookmarkStart w:id="107" w:name="_Toc15396619"/>
    </w:p>
    <w:p>
      <w:pPr>
        <w:pStyle w:val="6"/>
        <w:rPr>
          <w:rFonts w:ascii="仿宋" w:hAnsi="仿宋" w:eastAsia="仿宋"/>
        </w:rPr>
      </w:pPr>
      <w:bookmarkStart w:id="108" w:name="_Toc18829"/>
      <w:r>
        <w:rPr>
          <w:rFonts w:hint="eastAsia" w:ascii="仿宋" w:hAnsi="仿宋" w:eastAsia="仿宋"/>
          <w:b w:val="0"/>
        </w:rPr>
        <w:t>一、收</w:t>
      </w:r>
      <w:r>
        <w:rPr>
          <w:rStyle w:val="32"/>
          <w:rFonts w:hint="eastAsia" w:ascii="仿宋" w:hAnsi="仿宋" w:eastAsia="仿宋"/>
          <w:b w:val="0"/>
          <w:bCs w:val="0"/>
        </w:rPr>
        <w:t>入支出决算总表</w:t>
      </w:r>
      <w:bookmarkEnd w:id="107"/>
      <w:bookmarkEnd w:id="108"/>
    </w:p>
    <w:p>
      <w:pPr>
        <w:pStyle w:val="6"/>
        <w:rPr>
          <w:rFonts w:ascii="仿宋" w:hAnsi="仿宋" w:eastAsia="仿宋"/>
        </w:rPr>
      </w:pPr>
      <w:bookmarkStart w:id="109" w:name="_Toc15396620"/>
      <w:bookmarkStart w:id="110" w:name="_Toc16189"/>
      <w:r>
        <w:rPr>
          <w:rFonts w:hint="eastAsia" w:ascii="仿宋" w:hAnsi="仿宋" w:eastAsia="仿宋"/>
          <w:b w:val="0"/>
        </w:rPr>
        <w:t>二、收</w:t>
      </w:r>
      <w:r>
        <w:rPr>
          <w:rStyle w:val="32"/>
          <w:rFonts w:hint="eastAsia" w:ascii="仿宋" w:hAnsi="仿宋" w:eastAsia="仿宋"/>
          <w:b w:val="0"/>
          <w:bCs w:val="0"/>
        </w:rPr>
        <w:t>入决算表</w:t>
      </w:r>
      <w:bookmarkEnd w:id="109"/>
      <w:bookmarkEnd w:id="110"/>
    </w:p>
    <w:p>
      <w:pPr>
        <w:pStyle w:val="6"/>
        <w:rPr>
          <w:rFonts w:ascii="仿宋" w:hAnsi="仿宋" w:eastAsia="仿宋"/>
        </w:rPr>
      </w:pPr>
      <w:bookmarkStart w:id="111" w:name="_Toc12164"/>
      <w:bookmarkStart w:id="112"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111"/>
      <w:bookmarkEnd w:id="112"/>
    </w:p>
    <w:p>
      <w:pPr>
        <w:pStyle w:val="6"/>
        <w:rPr>
          <w:rFonts w:ascii="仿宋" w:hAnsi="仿宋" w:eastAsia="仿宋"/>
          <w:b w:val="0"/>
        </w:rPr>
      </w:pPr>
      <w:bookmarkStart w:id="113" w:name="_Toc15396622"/>
      <w:bookmarkStart w:id="114" w:name="_Toc19798"/>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113"/>
      <w:bookmarkEnd w:id="114"/>
    </w:p>
    <w:p>
      <w:pPr>
        <w:pStyle w:val="6"/>
        <w:rPr>
          <w:rStyle w:val="32"/>
          <w:rFonts w:ascii="仿宋" w:hAnsi="仿宋" w:eastAsia="仿宋"/>
          <w:b w:val="0"/>
          <w:bCs w:val="0"/>
        </w:rPr>
      </w:pPr>
      <w:bookmarkStart w:id="115" w:name="_Toc15396623"/>
      <w:bookmarkStart w:id="116" w:name="_Toc1635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115"/>
      <w:bookmarkEnd w:id="116"/>
      <w:bookmarkStart w:id="117" w:name="_Toc15396624"/>
    </w:p>
    <w:p>
      <w:pPr>
        <w:pStyle w:val="6"/>
        <w:rPr>
          <w:rFonts w:ascii="仿宋" w:hAnsi="仿宋" w:eastAsia="仿宋"/>
        </w:rPr>
      </w:pPr>
      <w:bookmarkStart w:id="118" w:name="_Toc31853"/>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117"/>
      <w:bookmarkEnd w:id="118"/>
    </w:p>
    <w:p>
      <w:pPr>
        <w:pStyle w:val="6"/>
        <w:rPr>
          <w:rFonts w:ascii="仿宋" w:hAnsi="仿宋" w:eastAsia="仿宋"/>
        </w:rPr>
      </w:pPr>
      <w:bookmarkStart w:id="119" w:name="_Toc25004"/>
      <w:bookmarkStart w:id="120"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119"/>
      <w:bookmarkEnd w:id="120"/>
    </w:p>
    <w:p>
      <w:pPr>
        <w:pStyle w:val="6"/>
        <w:rPr>
          <w:rFonts w:ascii="仿宋" w:hAnsi="仿宋" w:eastAsia="仿宋"/>
        </w:rPr>
      </w:pPr>
      <w:bookmarkStart w:id="121" w:name="_Toc15396626"/>
      <w:bookmarkStart w:id="122" w:name="_Toc6905"/>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121"/>
      <w:bookmarkEnd w:id="122"/>
    </w:p>
    <w:p>
      <w:pPr>
        <w:pStyle w:val="6"/>
        <w:rPr>
          <w:rFonts w:ascii="仿宋" w:hAnsi="仿宋" w:eastAsia="仿宋"/>
        </w:rPr>
      </w:pPr>
      <w:bookmarkStart w:id="123" w:name="_Toc18153"/>
      <w:bookmarkStart w:id="124"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123"/>
      <w:bookmarkEnd w:id="124"/>
    </w:p>
    <w:p>
      <w:pPr>
        <w:pStyle w:val="6"/>
        <w:rPr>
          <w:rFonts w:ascii="仿宋" w:hAnsi="仿宋" w:eastAsia="仿宋"/>
        </w:rPr>
      </w:pPr>
      <w:bookmarkStart w:id="125" w:name="_Toc15396628"/>
      <w:bookmarkStart w:id="126" w:name="_Toc17087"/>
      <w:r>
        <w:rPr>
          <w:rStyle w:val="32"/>
          <w:rFonts w:hint="eastAsia" w:ascii="仿宋" w:hAnsi="仿宋" w:eastAsia="仿宋"/>
          <w:b w:val="0"/>
          <w:bCs w:val="0"/>
        </w:rPr>
        <w:t>十、</w:t>
      </w:r>
      <w:bookmarkEnd w:id="125"/>
      <w:r>
        <w:rPr>
          <w:rFonts w:hint="eastAsia" w:ascii="仿宋" w:hAnsi="仿宋" w:eastAsia="仿宋"/>
          <w:b w:val="0"/>
        </w:rPr>
        <w:t>政</w:t>
      </w:r>
      <w:r>
        <w:rPr>
          <w:rStyle w:val="32"/>
          <w:rFonts w:hint="eastAsia" w:ascii="仿宋" w:hAnsi="仿宋" w:eastAsia="仿宋"/>
          <w:b w:val="0"/>
          <w:bCs w:val="0"/>
        </w:rPr>
        <w:t>府性基金预算财政拨款收入支出决算表</w:t>
      </w:r>
      <w:bookmarkEnd w:id="126"/>
    </w:p>
    <w:p>
      <w:pPr>
        <w:pStyle w:val="6"/>
        <w:rPr>
          <w:rFonts w:ascii="仿宋" w:hAnsi="仿宋" w:eastAsia="仿宋"/>
        </w:rPr>
      </w:pPr>
      <w:bookmarkStart w:id="127" w:name="_Toc15396629"/>
      <w:bookmarkStart w:id="128" w:name="_Toc31414"/>
      <w:r>
        <w:rPr>
          <w:rStyle w:val="32"/>
          <w:rFonts w:hint="eastAsia" w:ascii="仿宋" w:hAnsi="仿宋" w:eastAsia="仿宋"/>
          <w:b w:val="0"/>
          <w:bCs w:val="0"/>
        </w:rPr>
        <w:t>十一、</w:t>
      </w:r>
      <w:bookmarkEnd w:id="127"/>
      <w:r>
        <w:rPr>
          <w:rFonts w:hint="eastAsia" w:ascii="仿宋" w:hAnsi="仿宋" w:eastAsia="仿宋"/>
          <w:b w:val="0"/>
        </w:rPr>
        <w:t>国</w:t>
      </w:r>
      <w:r>
        <w:rPr>
          <w:rStyle w:val="32"/>
          <w:rFonts w:hint="eastAsia" w:ascii="仿宋" w:hAnsi="仿宋" w:eastAsia="仿宋"/>
          <w:b w:val="0"/>
          <w:bCs w:val="0"/>
        </w:rPr>
        <w:t>有资本经营预算财政拨款收入支出决算表</w:t>
      </w:r>
      <w:bookmarkEnd w:id="128"/>
    </w:p>
    <w:p>
      <w:pPr>
        <w:pStyle w:val="6"/>
        <w:rPr>
          <w:rFonts w:ascii="仿宋" w:hAnsi="仿宋" w:eastAsia="仿宋"/>
        </w:rPr>
      </w:pPr>
      <w:bookmarkStart w:id="129" w:name="_Toc15396630"/>
      <w:bookmarkStart w:id="130" w:name="_Toc4376"/>
      <w:r>
        <w:rPr>
          <w:rStyle w:val="32"/>
          <w:rFonts w:hint="eastAsia" w:ascii="仿宋" w:hAnsi="仿宋" w:eastAsia="仿宋"/>
          <w:b w:val="0"/>
          <w:bCs w:val="0"/>
        </w:rPr>
        <w:t>十二、</w:t>
      </w:r>
      <w:bookmarkEnd w:id="129"/>
      <w:r>
        <w:rPr>
          <w:rStyle w:val="32"/>
          <w:rFonts w:hint="eastAsia" w:ascii="仿宋" w:hAnsi="仿宋" w:eastAsia="仿宋"/>
          <w:b w:val="0"/>
          <w:bCs w:val="0"/>
        </w:rPr>
        <w:t>国有资本经营预算财政拨款支出决算表</w:t>
      </w:r>
      <w:bookmarkEnd w:id="130"/>
    </w:p>
    <w:p>
      <w:pPr>
        <w:pStyle w:val="6"/>
        <w:rPr>
          <w:rFonts w:eastAsia="仿宋"/>
        </w:rPr>
      </w:pPr>
      <w:bookmarkStart w:id="131" w:name="_Toc15396631"/>
      <w:bookmarkStart w:id="132" w:name="_Toc4367"/>
      <w:r>
        <w:rPr>
          <w:rStyle w:val="32"/>
          <w:rFonts w:hint="eastAsia" w:ascii="仿宋" w:hAnsi="仿宋" w:eastAsia="仿宋"/>
          <w:b w:val="0"/>
          <w:bCs w:val="0"/>
        </w:rPr>
        <w:t>十三、</w:t>
      </w:r>
      <w:bookmarkEnd w:id="131"/>
      <w:r>
        <w:rPr>
          <w:rStyle w:val="32"/>
          <w:rFonts w:hint="eastAsia" w:ascii="仿宋" w:hAnsi="仿宋" w:eastAsia="仿宋"/>
          <w:b w:val="0"/>
          <w:bCs w:val="0"/>
        </w:rPr>
        <w:t>财政拨款“三公”经费支出决算表</w:t>
      </w:r>
      <w:bookmarkEnd w:id="13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C6307C-C369-4676-BFB7-1CCE785B05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F13C57A-4044-41C0-B9AD-C1E690DEE1B4}"/>
  </w:font>
  <w:font w:name="Cambria">
    <w:panose1 w:val="02040503050406030204"/>
    <w:charset w:val="00"/>
    <w:family w:val="roman"/>
    <w:pitch w:val="default"/>
    <w:sig w:usb0="E00002FF" w:usb1="400004FF" w:usb2="00000000" w:usb3="00000000" w:csb0="2000019F" w:csb1="00000000"/>
    <w:embedRegular r:id="rId3" w:fontKey="{AE60EF51-4179-458C-B2BC-22FF4420B1EB}"/>
  </w:font>
  <w:font w:name="仿宋_GB2312">
    <w:altName w:val="仿宋"/>
    <w:panose1 w:val="02010609030101010101"/>
    <w:charset w:val="86"/>
    <w:family w:val="modern"/>
    <w:pitch w:val="default"/>
    <w:sig w:usb0="00000000" w:usb1="00000000" w:usb2="00000000" w:usb3="00000000" w:csb0="00040000" w:csb1="00000000"/>
    <w:embedRegular r:id="rId4" w:fontKey="{BDAAB8CC-95FF-4320-BD5B-4C12D58C8CCA}"/>
  </w:font>
  <w:font w:name="仿宋">
    <w:panose1 w:val="02010609060101010101"/>
    <w:charset w:val="86"/>
    <w:family w:val="modern"/>
    <w:pitch w:val="default"/>
    <w:sig w:usb0="800002BF" w:usb1="38CF7CFA" w:usb2="00000016" w:usb3="00000000" w:csb0="00040001" w:csb1="00000000"/>
    <w:embedRegular r:id="rId5" w:fontKey="{F343B832-4D03-4572-9360-5B00A48B4E3C}"/>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6" w:fontKey="{4D0410DA-4A2C-48B8-86C4-52C905E8DE17}"/>
  </w:font>
  <w:font w:name="方正仿宋简体">
    <w:panose1 w:val="03000509000000000000"/>
    <w:charset w:val="86"/>
    <w:family w:val="auto"/>
    <w:pitch w:val="default"/>
    <w:sig w:usb0="00000001" w:usb1="080E0000" w:usb2="00000000" w:usb3="00000000" w:csb0="00040000" w:csb1="00000000"/>
    <w:embedRegular r:id="rId7" w:fontKey="{F1C439D6-3AB4-4C07-BEEA-E559EBB09426}"/>
  </w:font>
  <w:font w:name="微软雅黑">
    <w:panose1 w:val="020B0503020204020204"/>
    <w:charset w:val="86"/>
    <w:family w:val="auto"/>
    <w:pitch w:val="default"/>
    <w:sig w:usb0="80000287" w:usb1="280F3C52" w:usb2="00000016" w:usb3="00000000" w:csb0="0004001F" w:csb1="00000000"/>
    <w:embedRegular r:id="rId8" w:fontKey="{7949548A-FC0D-4B10-853E-0E659D49CD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67DA0E"/>
    <w:multiLevelType w:val="singleLevel"/>
    <w:tmpl w:val="9267DA0E"/>
    <w:lvl w:ilvl="0" w:tentative="0">
      <w:start w:val="1"/>
      <w:numFmt w:val="chineseCounting"/>
      <w:suff w:val="nothing"/>
      <w:lvlText w:val="（%1）"/>
      <w:lvlJc w:val="left"/>
      <w:rPr>
        <w:rFonts w:hint="eastAsia"/>
      </w:rPr>
    </w:lvl>
  </w:abstractNum>
  <w:abstractNum w:abstractNumId="1">
    <w:nsid w:val="B0638A7B"/>
    <w:multiLevelType w:val="singleLevel"/>
    <w:tmpl w:val="B0638A7B"/>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062984C"/>
    <w:multiLevelType w:val="singleLevel"/>
    <w:tmpl w:val="F062984C"/>
    <w:lvl w:ilvl="0" w:tentative="0">
      <w:start w:val="1"/>
      <w:numFmt w:val="decimal"/>
      <w:pStyle w:val="8"/>
      <w:lvlText w:val="%1."/>
      <w:lvlJc w:val="left"/>
      <w:pPr>
        <w:tabs>
          <w:tab w:val="left" w:pos="360"/>
        </w:tabs>
        <w:ind w:left="360" w:hanging="360"/>
      </w:pPr>
    </w:lvl>
  </w:abstractNum>
  <w:abstractNum w:abstractNumId="5">
    <w:nsid w:val="067666D1"/>
    <w:multiLevelType w:val="singleLevel"/>
    <w:tmpl w:val="067666D1"/>
    <w:lvl w:ilvl="0" w:tentative="0">
      <w:start w:val="2"/>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5BAC0FD0"/>
    <w:multiLevelType w:val="multilevel"/>
    <w:tmpl w:val="5BAC0FD0"/>
    <w:lvl w:ilvl="0" w:tentative="0">
      <w:start w:val="1"/>
      <w:numFmt w:val="japaneseCounting"/>
      <w:lvlText w:val="%1、"/>
      <w:lvlJc w:val="left"/>
      <w:pPr>
        <w:ind w:left="648" w:hanging="648"/>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674F1A9D"/>
    <w:multiLevelType w:val="singleLevel"/>
    <w:tmpl w:val="674F1A9D"/>
    <w:lvl w:ilvl="0" w:tentative="0">
      <w:start w:val="2"/>
      <w:numFmt w:val="decimal"/>
      <w:lvlText w:val="%1."/>
      <w:lvlJc w:val="left"/>
      <w:pPr>
        <w:tabs>
          <w:tab w:val="left" w:pos="312"/>
        </w:tabs>
        <w:ind w:left="1577" w:firstLine="0"/>
      </w:pPr>
    </w:lvl>
  </w:abstractNum>
  <w:num w:numId="1">
    <w:abstractNumId w:val="4"/>
  </w:num>
  <w:num w:numId="2">
    <w:abstractNumId w:val="7"/>
  </w:num>
  <w:num w:numId="3">
    <w:abstractNumId w:val="6"/>
  </w:num>
  <w:num w:numId="4">
    <w:abstractNumId w:val="2"/>
  </w:num>
  <w:num w:numId="5">
    <w:abstractNumId w:val="3"/>
  </w:num>
  <w:num w:numId="6">
    <w:abstractNumId w:val="5"/>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ZjQzM2ZkZDE1MjYyOTgyYTc4YjE1YjNmZWI3N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19D2"/>
    <w:rsid w:val="00174518"/>
    <w:rsid w:val="0018106D"/>
    <w:rsid w:val="001877A7"/>
    <w:rsid w:val="00191536"/>
    <w:rsid w:val="00195E4E"/>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6600"/>
    <w:rsid w:val="002B2613"/>
    <w:rsid w:val="002D6D05"/>
    <w:rsid w:val="002F1818"/>
    <w:rsid w:val="002F567B"/>
    <w:rsid w:val="003216A9"/>
    <w:rsid w:val="00335A74"/>
    <w:rsid w:val="0036561B"/>
    <w:rsid w:val="0037013F"/>
    <w:rsid w:val="00380C92"/>
    <w:rsid w:val="00383CB9"/>
    <w:rsid w:val="003A484F"/>
    <w:rsid w:val="003A4883"/>
    <w:rsid w:val="003B0BE0"/>
    <w:rsid w:val="003B0C1B"/>
    <w:rsid w:val="003B1166"/>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751FB"/>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5EF8"/>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7E9F"/>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D5597"/>
    <w:rsid w:val="008E1DE7"/>
    <w:rsid w:val="008E707C"/>
    <w:rsid w:val="00900B08"/>
    <w:rsid w:val="00902155"/>
    <w:rsid w:val="00902FA3"/>
    <w:rsid w:val="00910692"/>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1B5C"/>
    <w:rsid w:val="00AB64C9"/>
    <w:rsid w:val="00AC3890"/>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03A"/>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61D79"/>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08DD"/>
    <w:rsid w:val="00F754A1"/>
    <w:rsid w:val="00F81FD9"/>
    <w:rsid w:val="00F841AA"/>
    <w:rsid w:val="00F84A94"/>
    <w:rsid w:val="00F87E96"/>
    <w:rsid w:val="00FA23E8"/>
    <w:rsid w:val="00FD3CC1"/>
    <w:rsid w:val="00FF1E02"/>
    <w:rsid w:val="00FF30B4"/>
    <w:rsid w:val="015975B8"/>
    <w:rsid w:val="02143E91"/>
    <w:rsid w:val="066E0107"/>
    <w:rsid w:val="069A65B0"/>
    <w:rsid w:val="07996F6E"/>
    <w:rsid w:val="094445B2"/>
    <w:rsid w:val="0A2032A3"/>
    <w:rsid w:val="0AAC240E"/>
    <w:rsid w:val="0B852C60"/>
    <w:rsid w:val="0F98263C"/>
    <w:rsid w:val="101860EC"/>
    <w:rsid w:val="10BF041C"/>
    <w:rsid w:val="10C055FF"/>
    <w:rsid w:val="10FB40F0"/>
    <w:rsid w:val="112F5D89"/>
    <w:rsid w:val="118107EC"/>
    <w:rsid w:val="136E1CA1"/>
    <w:rsid w:val="13D50BC4"/>
    <w:rsid w:val="14922675"/>
    <w:rsid w:val="16BB723D"/>
    <w:rsid w:val="16F72C63"/>
    <w:rsid w:val="1A330456"/>
    <w:rsid w:val="1BE8440E"/>
    <w:rsid w:val="1C4C3A51"/>
    <w:rsid w:val="1D155CEE"/>
    <w:rsid w:val="1FF35744"/>
    <w:rsid w:val="20BD316F"/>
    <w:rsid w:val="22FF7A6F"/>
    <w:rsid w:val="23860B96"/>
    <w:rsid w:val="240371BF"/>
    <w:rsid w:val="258B383C"/>
    <w:rsid w:val="288822B5"/>
    <w:rsid w:val="29FD04D3"/>
    <w:rsid w:val="2A094D30"/>
    <w:rsid w:val="2C155C0E"/>
    <w:rsid w:val="2C815051"/>
    <w:rsid w:val="2C8A61B5"/>
    <w:rsid w:val="2DF04E50"/>
    <w:rsid w:val="2E114AFB"/>
    <w:rsid w:val="2F040D46"/>
    <w:rsid w:val="31745184"/>
    <w:rsid w:val="319F7F4E"/>
    <w:rsid w:val="3304709D"/>
    <w:rsid w:val="36AA5135"/>
    <w:rsid w:val="376D39B2"/>
    <w:rsid w:val="37E16F03"/>
    <w:rsid w:val="38044D88"/>
    <w:rsid w:val="386A68D5"/>
    <w:rsid w:val="38D469F0"/>
    <w:rsid w:val="391E1E7A"/>
    <w:rsid w:val="3D98207C"/>
    <w:rsid w:val="3E2919ED"/>
    <w:rsid w:val="3E78745D"/>
    <w:rsid w:val="40FA4E7B"/>
    <w:rsid w:val="422521A6"/>
    <w:rsid w:val="4226071D"/>
    <w:rsid w:val="44A678F3"/>
    <w:rsid w:val="44E268DA"/>
    <w:rsid w:val="48D24C1A"/>
    <w:rsid w:val="4A043320"/>
    <w:rsid w:val="4A627F82"/>
    <w:rsid w:val="4B0E749A"/>
    <w:rsid w:val="4B4F25DA"/>
    <w:rsid w:val="4BE068DB"/>
    <w:rsid w:val="4D196FC1"/>
    <w:rsid w:val="4D545142"/>
    <w:rsid w:val="4D577224"/>
    <w:rsid w:val="4EAB630A"/>
    <w:rsid w:val="4ECE2238"/>
    <w:rsid w:val="507C775A"/>
    <w:rsid w:val="51EE6435"/>
    <w:rsid w:val="5285323E"/>
    <w:rsid w:val="52DB4C0C"/>
    <w:rsid w:val="537E6D0A"/>
    <w:rsid w:val="552A3C28"/>
    <w:rsid w:val="556F5ADF"/>
    <w:rsid w:val="55A41C2D"/>
    <w:rsid w:val="565105AD"/>
    <w:rsid w:val="573214BA"/>
    <w:rsid w:val="575D60CA"/>
    <w:rsid w:val="5AF92295"/>
    <w:rsid w:val="5CD71FC4"/>
    <w:rsid w:val="6094289E"/>
    <w:rsid w:val="61C80A51"/>
    <w:rsid w:val="648A7AE3"/>
    <w:rsid w:val="65982E30"/>
    <w:rsid w:val="660109D5"/>
    <w:rsid w:val="6A7F7BD2"/>
    <w:rsid w:val="6C4A05C8"/>
    <w:rsid w:val="6D323B6A"/>
    <w:rsid w:val="6E7E3605"/>
    <w:rsid w:val="6EE113A4"/>
    <w:rsid w:val="6FF5CC65"/>
    <w:rsid w:val="715C0E4B"/>
    <w:rsid w:val="716828B1"/>
    <w:rsid w:val="719C15B2"/>
    <w:rsid w:val="72734D90"/>
    <w:rsid w:val="73243F55"/>
    <w:rsid w:val="73AD73D5"/>
    <w:rsid w:val="73B6EB34"/>
    <w:rsid w:val="744731E5"/>
    <w:rsid w:val="759A19D9"/>
    <w:rsid w:val="76E3355F"/>
    <w:rsid w:val="778769C8"/>
    <w:rsid w:val="795310F0"/>
    <w:rsid w:val="79EE5BA4"/>
    <w:rsid w:val="7A894339"/>
    <w:rsid w:val="7A97325F"/>
    <w:rsid w:val="7B3867F0"/>
    <w:rsid w:val="7CB4634A"/>
    <w:rsid w:val="7EEF11D3"/>
    <w:rsid w:val="7FA30C79"/>
    <w:rsid w:val="7FB14DC3"/>
    <w:rsid w:val="7FB7269E"/>
    <w:rsid w:val="7FC96657"/>
    <w:rsid w:val="7FED568B"/>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qFormat/>
    <w:uiPriority w:val="99"/>
    <w:pPr>
      <w:spacing w:beforeLines="30"/>
    </w:pPr>
    <w:rPr>
      <w:rFonts w:ascii="仿宋_GB2312" w:eastAsia="仿宋_GB2312"/>
      <w:kern w:val="0"/>
      <w:sz w:val="30"/>
    </w:rPr>
  </w:style>
  <w:style w:type="paragraph" w:styleId="3">
    <w:name w:val="Plain Text"/>
    <w:basedOn w:val="1"/>
    <w:next w:val="4"/>
    <w:qFormat/>
    <w:uiPriority w:val="99"/>
    <w:rPr>
      <w:rFonts w:ascii="宋体" w:hAnsi="Courier New"/>
      <w:kern w:val="0"/>
      <w:sz w:val="20"/>
      <w:szCs w:val="21"/>
    </w:rPr>
  </w:style>
  <w:style w:type="paragraph" w:styleId="4">
    <w:name w:val="toc 5"/>
    <w:basedOn w:val="1"/>
    <w:next w:val="1"/>
    <w:qFormat/>
    <w:uiPriority w:val="0"/>
    <w:pPr>
      <w:ind w:left="1680"/>
    </w:pPr>
  </w:style>
  <w:style w:type="paragraph" w:styleId="8">
    <w:name w:val="List Number"/>
    <w:basedOn w:val="1"/>
    <w:semiHidden/>
    <w:unhideWhenUsed/>
    <w:uiPriority w:val="99"/>
    <w:pPr>
      <w:numPr>
        <w:ilvl w:val="0"/>
        <w:numId w:val="1"/>
      </w:numPr>
    </w:pPr>
  </w:style>
  <w:style w:type="paragraph" w:styleId="9">
    <w:name w:val="Body Text Indent"/>
    <w:basedOn w:val="1"/>
    <w:qFormat/>
    <w:uiPriority w:val="0"/>
    <w:pPr>
      <w:spacing w:after="120"/>
      <w:ind w:left="200" w:leftChars="200"/>
    </w:pPr>
    <w:rPr>
      <w:rFonts w:ascii="仿宋_GB2312"/>
      <w:szCs w:val="32"/>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Body Text First Indent 2"/>
    <w:basedOn w:val="9"/>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5"/>
    <w:qFormat/>
    <w:uiPriority w:val="9"/>
    <w:rPr>
      <w:rFonts w:ascii="Times New Roman" w:hAnsi="Times New Roman"/>
      <w:b/>
      <w:bCs/>
      <w:kern w:val="44"/>
      <w:sz w:val="44"/>
      <w:szCs w:val="44"/>
    </w:rPr>
  </w:style>
  <w:style w:type="character" w:customStyle="1" w:styleId="32">
    <w:name w:val="标题 2 字符"/>
    <w:basedOn w:val="19"/>
    <w:link w:val="6"/>
    <w:qFormat/>
    <w:uiPriority w:val="9"/>
    <w:rPr>
      <w:rFonts w:asciiTheme="majorHAnsi" w:hAnsiTheme="majorHAnsi" w:eastAsiaTheme="majorEastAsia" w:cstheme="majorBidi"/>
      <w:b/>
      <w:bCs/>
      <w:kern w:val="2"/>
      <w:sz w:val="32"/>
      <w:szCs w:val="32"/>
    </w:rPr>
  </w:style>
  <w:style w:type="paragraph" w:customStyle="1" w:styleId="33">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1"/>
    <w:semiHidden/>
    <w:qFormat/>
    <w:uiPriority w:val="99"/>
    <w:rPr>
      <w:rFonts w:ascii="Times New Roman" w:hAnsi="Times New Roman"/>
      <w:kern w:val="2"/>
      <w:sz w:val="18"/>
      <w:szCs w:val="18"/>
    </w:rPr>
  </w:style>
  <w:style w:type="character" w:customStyle="1" w:styleId="35">
    <w:name w:val="标题 3 字符"/>
    <w:basedOn w:val="19"/>
    <w:link w:val="7"/>
    <w:qFormat/>
    <w:uiPriority w:val="9"/>
    <w:rPr>
      <w:rFonts w:ascii="Times New Roman" w:hAnsi="Times New Roman"/>
      <w:b/>
      <w:bCs/>
      <w:kern w:val="2"/>
      <w:sz w:val="32"/>
      <w:szCs w:val="32"/>
    </w:rPr>
  </w:style>
  <w:style w:type="paragraph" w:customStyle="1" w:styleId="36">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paragraph" w:customStyle="1" w:styleId="38">
    <w:name w:val="WPSOffice手动目录 1"/>
    <w:qFormat/>
    <w:uiPriority w:val="0"/>
    <w:rPr>
      <w:rFonts w:asciiTheme="minorHAnsi" w:hAnsiTheme="minorHAnsi" w:eastAsiaTheme="minorEastAsia" w:cstheme="minorBidi"/>
      <w:lang w:val="en-US" w:eastAsia="zh-CN" w:bidi="ar-SA"/>
    </w:rPr>
  </w:style>
  <w:style w:type="paragraph" w:customStyle="1" w:styleId="39">
    <w:name w:val="WPSOffice手动目录 2"/>
    <w:qFormat/>
    <w:uiPriority w:val="0"/>
    <w:pPr>
      <w:ind w:left="200" w:leftChars="200"/>
    </w:pPr>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2"/>
                <c:pt idx="0">
                  <c:v>收入（万元）</c:v>
                </c:pt>
                <c:pt idx="1">
                  <c:v>支出（万元）</c:v>
                </c:pt>
              </c:strCache>
            </c:strRef>
          </c:cat>
          <c:val>
            <c:numRef>
              <c:f>Sheet1!$B$2:$B$5</c:f>
              <c:numCache>
                <c:formatCode>General</c:formatCode>
                <c:ptCount val="4"/>
                <c:pt idx="0">
                  <c:v>186.86</c:v>
                </c:pt>
                <c:pt idx="1">
                  <c:v>186.86</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2"/>
                <c:pt idx="0">
                  <c:v>收入（万元）</c:v>
                </c:pt>
                <c:pt idx="1">
                  <c:v>支出（万元）</c:v>
                </c:pt>
              </c:strCache>
            </c:strRef>
          </c:cat>
          <c:val>
            <c:numRef>
              <c:f>Sheet1!$C$2:$C$5</c:f>
              <c:numCache>
                <c:formatCode>General</c:formatCode>
                <c:ptCount val="4"/>
                <c:pt idx="0">
                  <c:v>217.49</c:v>
                </c:pt>
                <c:pt idx="1">
                  <c:v>217.49</c:v>
                </c:pt>
              </c:numCache>
            </c:numRef>
          </c:val>
        </c:ser>
        <c:dLbls>
          <c:showLegendKey val="0"/>
          <c:showVal val="1"/>
          <c:showCatName val="0"/>
          <c:showSerName val="0"/>
          <c:showPercent val="0"/>
          <c:showBubbleSize val="0"/>
        </c:dLbls>
        <c:gapWidth val="219"/>
        <c:overlap val="-27"/>
        <c:axId val="355055515"/>
        <c:axId val="700472549"/>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Sheet1!$A$2:$A$5</c15:sqref>
                        </c15:formulaRef>
                      </c:ext>
                    </c:extLst>
                    <c:strCache>
                      <c:ptCount val="2"/>
                      <c:pt idx="0">
                        <c:v>收入（万元）</c:v>
                      </c:pt>
                      <c:pt idx="1">
                        <c:v>支出（万元）</c:v>
                      </c:pt>
                    </c:strCache>
                  </c:strRef>
                </c:cat>
                <c:val>
                  <c:numRef>
                    <c:extLst>
                      <c:ext uri="{02D57815-91ED-43cb-92C2-25804820EDAC}">
                        <c15:formulaRef>
                          <c15:sqref>Sheet1!$D$2:$D$5</c15:sqref>
                        </c15:formulaRef>
                      </c:ext>
                    </c:extLst>
                    <c:numCache>
                      <c:formatCode>General</c:formatCode>
                      <c:ptCount val="4"/>
                    </c:numCache>
                  </c:numRef>
                </c:val>
              </c15:ser>
            </c15:filteredBarSeries>
          </c:ext>
        </c:extLst>
      </c:barChart>
      <c:catAx>
        <c:axId val="355055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0472549"/>
        <c:crosses val="autoZero"/>
        <c:auto val="1"/>
        <c:lblAlgn val="ctr"/>
        <c:lblOffset val="100"/>
        <c:noMultiLvlLbl val="0"/>
      </c:catAx>
      <c:valAx>
        <c:axId val="7004725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505551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185"/>
          <c:y val="0.106483309826046"/>
          <c:w val="0.695"/>
          <c:h val="0.926666666666667"/>
        </c:manualLayout>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dLbl>
              <c:idx val="0"/>
              <c:layout>
                <c:manualLayout>
                  <c:x val="-0.2"/>
                  <c:y val="-0.17038059593749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7"/>
                  <c:y val="0.42989160734315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95"/>
                  <c:y val="0.0082176293548637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95"/>
                  <c:y val="0.324155570116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22"/>
                  <c:y val="0.030784625123552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3225"/>
                  <c:y val="0.17900725209066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925"/>
                  <c:y val="0.2536337083393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c:v>
                </c:pt>
                <c:pt idx="6">
                  <c:v>其他收入</c:v>
                </c:pt>
              </c:strCache>
            </c:strRef>
          </c:cat>
          <c:val>
            <c:numRef>
              <c:f>Sheet1!$B$2:$B$8</c:f>
              <c:numCache>
                <c:formatCode>#,##0.00_ </c:formatCode>
                <c:ptCount val="7"/>
                <c:pt idx="0">
                  <c:v>186.86</c:v>
                </c:pt>
                <c:pt idx="1">
                  <c:v>0</c:v>
                </c:pt>
                <c:pt idx="2" c:formatCode="General">
                  <c:v>0</c:v>
                </c:pt>
                <c:pt idx="3" c:formatCode="General">
                  <c:v>0</c:v>
                </c:pt>
                <c:pt idx="4" c:formatCode="General">
                  <c:v>0</c:v>
                </c:pt>
                <c:pt idx="5" c:formatCode="General">
                  <c:v>0</c:v>
                </c:pt>
                <c:pt idx="6" c:formatCode="General">
                  <c:v>0</c:v>
                </c:pt>
              </c:numCache>
            </c:numRef>
          </c:val>
        </c:ser>
        <c:dLbls>
          <c:showLegendKey val="0"/>
          <c:showVal val="0"/>
          <c:showCatName val="0"/>
          <c:showSerName val="0"/>
          <c:showPercent val="1"/>
          <c:showBubbleSize val="0"/>
          <c:showLeaderLines val="0"/>
        </c:dLbls>
        <c:firstSliceAng val="0"/>
      </c:pieChart>
      <c:spPr>
        <a:noFill/>
        <a:ln>
          <a:noFill/>
        </a:ln>
        <a:effectLst/>
      </c:spPr>
    </c:plotArea>
    <c:legend>
      <c:legendPos val="b"/>
      <c:layout>
        <c:manualLayout>
          <c:xMode val="edge"/>
          <c:yMode val="edge"/>
          <c:x val="0.237783661417323"/>
          <c:y val="0.813820952211721"/>
          <c:w val="0.634432677165354"/>
          <c:h val="0.186179047788279"/>
        </c:manualLayou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226285211274971"/>
                  <c:y val="0.00541461952640998"/>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188375"/>
                      <c:h val="0.100833333333333"/>
                    </c:manualLayout>
                  </c15:layout>
                </c:ext>
              </c:extLst>
            </c:dLbl>
            <c:dLbl>
              <c:idx val="1"/>
              <c:layout>
                <c:manualLayout>
                  <c:x val="0.253285210307715"/>
                  <c:y val="-0.0154146153452436"/>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194375"/>
                      <c:h val="0.0883333333333333"/>
                    </c:manualLayout>
                  </c15:layout>
                </c:ext>
              </c:extLst>
            </c:dLbl>
            <c:numFmt formatCode="#,##0.00_ &quot;万&quot;&quot;元&quot;" sourceLinked="0"/>
            <c:spPr>
              <a:solidFill>
                <a:schemeClr val="lt1"/>
              </a:solidFill>
              <a:ln w="12700" cap="flat" cmpd="sng" algn="ctr">
                <a:noFill/>
                <a:prstDash val="sysDot"/>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ln>
                      <a:noFill/>
                    </a:ln>
                    <a:solidFill>
                      <a:schemeClr val="dk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97.87</c:v>
                </c:pt>
                <c:pt idx="1" c:formatCode="0.00_ ">
                  <c:v>88.99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solidFill>
                <a:latin typeface="+mn-lt"/>
                <a:ea typeface="+mn-ea"/>
                <a:cs typeface="+mn-cs"/>
              </a:defRPr>
            </a:pPr>
            <a:r>
              <a:rPr lang="zh-CN" altLang="en-US">
                <a:solidFill>
                  <a:schemeClr val="tx1"/>
                </a:solidFill>
              </a:rPr>
              <a:t>收、支决算总计变动情况图</a:t>
            </a:r>
            <a:endParaRPr lang="zh-CN" altLang="en-US">
              <a:solidFill>
                <a:schemeClr val="tx1"/>
              </a:solidFill>
            </a:endParaRPr>
          </a:p>
        </c:rich>
      </c:tx>
      <c:layout>
        <c:manualLayout>
          <c:xMode val="edge"/>
          <c:yMode val="edge"/>
          <c:x val="0.306875"/>
          <c:y val="0.024666666666666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Sheet1!$A$2:$A$5</c:f>
              <c:strCache>
                <c:ptCount val="2"/>
                <c:pt idx="0">
                  <c:v>收入（万元）</c:v>
                </c:pt>
                <c:pt idx="1">
                  <c:v>支出（万元）</c:v>
                </c:pt>
              </c:strCache>
            </c:strRef>
          </c:cat>
          <c:val>
            <c:numRef>
              <c:f>Sheet1!$B$2:$B$5</c:f>
              <c:numCache>
                <c:formatCode>General</c:formatCode>
                <c:ptCount val="4"/>
                <c:pt idx="0">
                  <c:v>186.86</c:v>
                </c:pt>
                <c:pt idx="1">
                  <c:v>186.86</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Sheet1!$A$2:$A$5</c:f>
              <c:strCache>
                <c:ptCount val="2"/>
                <c:pt idx="0">
                  <c:v>收入（万元）</c:v>
                </c:pt>
                <c:pt idx="1">
                  <c:v>支出（万元）</c:v>
                </c:pt>
              </c:strCache>
            </c:strRef>
          </c:cat>
          <c:val>
            <c:numRef>
              <c:f>Sheet1!$C$2:$C$5</c:f>
              <c:numCache>
                <c:formatCode>General</c:formatCode>
                <c:ptCount val="4"/>
                <c:pt idx="0">
                  <c:v>183.2</c:v>
                </c:pt>
                <c:pt idx="1">
                  <c:v>183.2</c:v>
                </c:pt>
              </c:numCache>
            </c:numRef>
          </c:val>
        </c:ser>
        <c:dLbls>
          <c:showLegendKey val="0"/>
          <c:showVal val="1"/>
          <c:showCatName val="0"/>
          <c:showSerName val="0"/>
          <c:showPercent val="0"/>
          <c:showBubbleSize val="0"/>
        </c:dLbls>
        <c:gapWidth val="219"/>
        <c:overlap val="-27"/>
        <c:axId val="355055515"/>
        <c:axId val="700472549"/>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Sheet1!$A$2:$A$5</c15:sqref>
                        </c15:formulaRef>
                      </c:ext>
                    </c:extLst>
                    <c:strCache>
                      <c:ptCount val="2"/>
                      <c:pt idx="0">
                        <c:v>收入（万元）</c:v>
                      </c:pt>
                      <c:pt idx="1">
                        <c:v>支出（万元）</c:v>
                      </c:pt>
                    </c:strCache>
                  </c:strRef>
                </c:cat>
                <c:val>
                  <c:numRef>
                    <c:extLst>
                      <c:ext uri="{02D57815-91ED-43cb-92C2-25804820EDAC}">
                        <c15:formulaRef>
                          <c15:sqref>Sheet1!$D$2:$D$5</c15:sqref>
                        </c15:formulaRef>
                      </c:ext>
                    </c:extLst>
                    <c:numCache>
                      <c:formatCode>General</c:formatCode>
                      <c:ptCount val="4"/>
                    </c:numCache>
                  </c:numRef>
                </c:val>
              </c15:ser>
            </c15:filteredBarSeries>
          </c:ext>
        </c:extLst>
      </c:barChart>
      <c:catAx>
        <c:axId val="3550555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crossAx val="700472549"/>
        <c:crosses val="autoZero"/>
        <c:auto val="1"/>
        <c:lblAlgn val="ctr"/>
        <c:lblOffset val="100"/>
        <c:noMultiLvlLbl val="0"/>
      </c:catAx>
      <c:valAx>
        <c:axId val="70047254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crossAx val="355055515"/>
        <c:crosses val="autoZero"/>
        <c:crossBetween val="between"/>
      </c:valAx>
      <c:spPr>
        <a:noFill/>
        <a:ln>
          <a:noFill/>
        </a:ln>
        <a:effectLst/>
      </c:spPr>
    </c:plotArea>
    <c:legend>
      <c:legendPos val="b"/>
      <c:legendEntry>
        <c:idx val="0"/>
        <c:txPr>
          <a:bodyPr rot="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solidFill>
            <a:schemeClr val="tx1"/>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85075"/>
          <c:y val="0.1721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2022</c:v>
                </c:pt>
                <c:pt idx="1">
                  <c:v>2021</c:v>
                </c:pt>
              </c:numCache>
            </c:numRef>
          </c:cat>
          <c:val>
            <c:numRef>
              <c:f>Sheet1!$B$2:$B$3</c:f>
              <c:numCache>
                <c:formatCode>General</c:formatCode>
                <c:ptCount val="2"/>
                <c:pt idx="0">
                  <c:v>186.86</c:v>
                </c:pt>
                <c:pt idx="1">
                  <c:v>217.49</c:v>
                </c:pt>
              </c:numCache>
            </c:numRef>
          </c:val>
        </c:ser>
        <c:dLbls>
          <c:showLegendKey val="0"/>
          <c:showVal val="1"/>
          <c:showCatName val="0"/>
          <c:showSerName val="0"/>
          <c:showPercent val="0"/>
          <c:showBubbleSize val="0"/>
        </c:dLbls>
        <c:gapWidth val="219"/>
        <c:overlap val="-27"/>
        <c:axId val="361801296"/>
        <c:axId val="321196904"/>
      </c:barChart>
      <c:catAx>
        <c:axId val="361801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196904"/>
        <c:crosses val="autoZero"/>
        <c:auto val="1"/>
        <c:lblAlgn val="ctr"/>
        <c:lblOffset val="100"/>
        <c:noMultiLvlLbl val="0"/>
      </c:catAx>
      <c:valAx>
        <c:axId val="321196904"/>
        <c:scaling>
          <c:orientation val="minMax"/>
        </c:scaling>
        <c:delete val="0"/>
        <c:axPos val="l"/>
        <c:majorGridlines>
          <c:spPr>
            <a:ln w="9525" cap="flat" cmpd="sng" algn="ctr">
              <a:solidFill>
                <a:schemeClr val="tx1">
                  <a:lumMod val="15000"/>
                  <a:lumOff val="85000"/>
                </a:schemeClr>
              </a:solidFill>
              <a:round/>
            </a:ln>
            <a:effectLst/>
          </c:spPr>
        </c:majorGridlines>
        <c:numFmt formatCode="#,##0.00_ &quot;万&quot;&quot;元&quot;" sourceLinked="0"/>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18012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5625"/>
          <c:y val="0.143833333333333"/>
          <c:w val="0.638375"/>
          <c:h val="0.851166666666667"/>
        </c:manualLayout>
      </c:layout>
      <c:pieChart>
        <c:varyColors val="1"/>
        <c:ser>
          <c:idx val="0"/>
          <c:order val="0"/>
          <c:tx>
            <c:strRef>
              <c:f>Sheet1!$B$1</c:f>
              <c:strCache>
                <c:ptCount val="1"/>
                <c:pt idx="0">
                  <c:v>一般公共预算财政拨款支出决算结构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_ %"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4"/>
                <c:pt idx="0">
                  <c:v>科学技术</c:v>
                </c:pt>
                <c:pt idx="1">
                  <c:v>社会保障和就业</c:v>
                </c:pt>
                <c:pt idx="2">
                  <c:v>卫生健康</c:v>
                </c:pt>
                <c:pt idx="3">
                  <c:v>住房保障</c:v>
                </c:pt>
              </c:strCache>
            </c:strRef>
          </c:cat>
          <c:val>
            <c:numRef>
              <c:f>Sheet1!$B$2:$B$7</c:f>
              <c:numCache>
                <c:formatCode>General</c:formatCode>
                <c:ptCount val="4"/>
                <c:pt idx="0">
                  <c:v>168.77</c:v>
                </c:pt>
                <c:pt idx="1">
                  <c:v>6.35</c:v>
                </c:pt>
                <c:pt idx="2">
                  <c:v>3.76</c:v>
                </c:pt>
                <c:pt idx="3">
                  <c:v>7.98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175"/>
          <c:y val="0.0189065700330865"/>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729375"/>
          <c:y val="0.255237973320729"/>
          <c:w val="0.570625"/>
          <c:h val="0.760833333333333"/>
        </c:manualLayout>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0</c:v>
                </c:pt>
                <c:pt idx="2">
                  <c:v>0.38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18157</Words>
  <Characters>19411</Characters>
  <Lines>26</Lines>
  <Paragraphs>38</Paragraphs>
  <TotalTime>12</TotalTime>
  <ScaleCrop>false</ScaleCrop>
  <LinksUpToDate>false</LinksUpToDate>
  <CharactersWithSpaces>19740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2023-08-22T12:17:00Z</dcterms:created>
  <dc:creator>曹颖</dc:creator>
  <cp:lastModifiedBy>惠</cp:lastModifiedBy>
  <cp:lastPrinted>2023-07-31T02:35:00Z</cp:lastPrinted>
  <dcterms:modified xsi:type="dcterms:W3CDTF">2023-08-25T08:16:21Z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9546F0F4CCB04DC98796E0B5C1788C9C_13</vt:lpwstr>
  </property>
</Properties>
</file>