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7193"/>
      <w:bookmarkStart w:id="1" w:name="_Toc15378441"/>
      <w:bookmarkStart w:id="2" w:name="_Toc15396475"/>
      <w:bookmarkStart w:id="3" w:name="_Toc15377425"/>
      <w:bookmarkStart w:id="4" w:name="_Toc15396597"/>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宋体" w:eastAsia="方正小标宋简体"/>
          <w:color w:val="000000"/>
          <w:sz w:val="72"/>
          <w:szCs w:val="72"/>
          <w:highlight w:val="none"/>
        </w:rPr>
      </w:pPr>
      <w:bookmarkStart w:id="6" w:name="_Toc25527"/>
      <w:bookmarkStart w:id="7" w:name="_Toc2178"/>
      <w:bookmarkStart w:id="8" w:name="_Toc15396476"/>
      <w:bookmarkStart w:id="9" w:name="_Toc15377426"/>
      <w:bookmarkStart w:id="10" w:name="_Toc15378442"/>
      <w:bookmarkStart w:id="11" w:name="_Toc15377194"/>
      <w:bookmarkStart w:id="12" w:name="_Toc15396598"/>
      <w:r>
        <w:rPr>
          <w:rFonts w:hint="eastAsia" w:ascii="方正小标宋简体" w:hAnsi="宋体" w:eastAsia="方正小标宋简体"/>
          <w:color w:val="000000"/>
          <w:sz w:val="72"/>
          <w:szCs w:val="72"/>
          <w:highlight w:val="none"/>
        </w:rPr>
        <w:t>四川省</w:t>
      </w:r>
      <w:bookmarkStart w:id="13" w:name="_Toc15306268"/>
      <w:r>
        <w:rPr>
          <w:rFonts w:hint="eastAsia" w:ascii="方正小标宋简体" w:hAnsi="宋体" w:eastAsia="方正小标宋简体"/>
          <w:color w:val="000000"/>
          <w:sz w:val="72"/>
          <w:szCs w:val="72"/>
          <w:highlight w:val="none"/>
        </w:rPr>
        <w:t>遂宁市安居区</w:t>
      </w:r>
      <w:bookmarkEnd w:id="6"/>
      <w:bookmarkEnd w:id="7"/>
    </w:p>
    <w:p>
      <w:pPr>
        <w:adjustRightInd w:val="0"/>
        <w:snapToGrid w:val="0"/>
        <w:spacing w:line="360" w:lineRule="auto"/>
        <w:jc w:val="center"/>
        <w:outlineLvl w:val="0"/>
        <w:rPr>
          <w:rFonts w:ascii="方正小标宋简体" w:hAnsi="宋体" w:eastAsia="方正小标宋简体"/>
          <w:color w:val="000000"/>
          <w:sz w:val="72"/>
          <w:szCs w:val="72"/>
          <w:highlight w:val="none"/>
        </w:rPr>
      </w:pPr>
      <w:bookmarkStart w:id="14" w:name="_Toc23773"/>
      <w:bookmarkStart w:id="15" w:name="_Toc31741"/>
      <w:r>
        <w:rPr>
          <w:rFonts w:hint="eastAsia" w:ascii="方正小标宋简体" w:hAnsi="宋体" w:eastAsia="方正小标宋简体"/>
          <w:color w:val="000000"/>
          <w:sz w:val="72"/>
          <w:szCs w:val="72"/>
          <w:highlight w:val="none"/>
        </w:rPr>
        <w:t>公路运输管理所决算</w:t>
      </w:r>
      <w:bookmarkEnd w:id="8"/>
      <w:bookmarkEnd w:id="9"/>
      <w:bookmarkEnd w:id="10"/>
      <w:bookmarkEnd w:id="11"/>
      <w:bookmarkEnd w:id="12"/>
      <w:bookmarkEnd w:id="13"/>
      <w:bookmarkEnd w:id="14"/>
      <w:bookmarkEnd w:id="15"/>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2"/>
        <w:adjustRightInd w:val="0"/>
        <w:snapToGrid w:val="0"/>
        <w:spacing w:before="0" w:line="440" w:lineRule="exact"/>
        <w:jc w:val="left"/>
        <w:rPr>
          <w:rFonts w:hint="eastAsia" w:ascii="Times New Roman" w:hAnsi="Times New Roman" w:eastAsia="宋体" w:cs="Times New Roman"/>
          <w:kern w:val="2"/>
          <w:sz w:val="21"/>
          <w:szCs w:val="24"/>
          <w:lang w:val="en-US" w:eastAsia="zh-CN" w:bidi="ar-SA"/>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tab/>
      </w:r>
      <w:r>
        <w:rPr>
          <w:rFonts w:hint="eastAsia" w:ascii="Times New Roman" w:hAnsi="Times New Roman" w:eastAsia="宋体" w:cs="Times New Roman"/>
          <w:kern w:val="2"/>
          <w:sz w:val="21"/>
          <w:szCs w:val="24"/>
          <w:lang w:val="en-US" w:eastAsia="zh-CN" w:bidi="ar-SA"/>
        </w:rPr>
        <w:t>4</w:t>
      </w:r>
    </w:p>
    <w:p>
      <w:pPr>
        <w:pStyle w:val="13"/>
        <w:adjustRightInd w:val="0"/>
        <w:snapToGrid w:val="0"/>
        <w:spacing w:line="440" w:lineRule="exact"/>
        <w:jc w:val="left"/>
        <w:rPr>
          <w:rFonts w:hint="eastAsia" w:ascii="仿宋" w:hAnsi="仿宋"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部门职责</w:t>
      </w:r>
      <w:r>
        <w:tab/>
      </w:r>
      <w:r>
        <w:rPr>
          <w:rFonts w:hint="eastAsia" w:ascii="Times New Roman" w:hAnsi="Times New Roman" w:eastAsia="宋体" w:cs="Times New Roman"/>
          <w:kern w:val="2"/>
          <w:sz w:val="21"/>
          <w:szCs w:val="24"/>
          <w:lang w:val="en-US" w:eastAsia="zh-CN" w:bidi="ar-SA"/>
        </w:rPr>
        <w:t>4</w:t>
      </w:r>
    </w:p>
    <w:p>
      <w:pPr>
        <w:pStyle w:val="13"/>
        <w:adjustRightInd w:val="0"/>
        <w:snapToGrid w:val="0"/>
        <w:spacing w:line="440" w:lineRule="exact"/>
        <w:jc w:val="left"/>
        <w:rPr>
          <w:rFonts w:hint="eastAsia" w:ascii="仿宋" w:hAnsi="仿宋" w:eastAsia="仿宋" w:cs="Times New Roman"/>
          <w:kern w:val="2"/>
          <w:sz w:val="28"/>
          <w:szCs w:val="28"/>
          <w:lang w:val="en-US" w:eastAsia="zh-CN" w:bidi="ar-SA"/>
        </w:rPr>
      </w:pPr>
      <w:r>
        <w:rPr>
          <w:rFonts w:hint="eastAsia"/>
          <w:color w:val="auto"/>
          <w:sz w:val="24"/>
          <w:highlight w:val="none"/>
        </w:rPr>
        <w:t>二、机构设置</w:t>
      </w:r>
      <w:r>
        <w:tab/>
      </w:r>
      <w:r>
        <w:rPr>
          <w:rFonts w:hint="eastAsia" w:ascii="Times New Roman" w:hAnsi="Times New Roman" w:eastAsia="宋体" w:cs="Times New Roman"/>
          <w:kern w:val="2"/>
          <w:sz w:val="21"/>
          <w:szCs w:val="24"/>
          <w:lang w:val="en-US" w:eastAsia="zh-CN" w:bidi="ar-SA"/>
        </w:rPr>
        <w:t>5</w:t>
      </w:r>
    </w:p>
    <w:p>
      <w:pPr>
        <w:pStyle w:val="12"/>
        <w:adjustRightInd w:val="0"/>
        <w:snapToGrid w:val="0"/>
        <w:spacing w:before="0" w:line="440" w:lineRule="exact"/>
        <w:jc w:val="left"/>
        <w:rPr>
          <w:rFonts w:hint="eastAsia"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r>
        <w:tab/>
      </w:r>
      <w:r>
        <w:rPr>
          <w:rFonts w:hint="eastAsia" w:ascii="Times New Roman" w:hAnsi="Times New Roman" w:eastAsia="宋体" w:cs="Times New Roman"/>
          <w:kern w:val="2"/>
          <w:sz w:val="21"/>
          <w:szCs w:val="24"/>
          <w:lang w:val="en-US" w:eastAsia="zh-CN" w:bidi="ar-SA"/>
        </w:rPr>
        <w:t>6</w:t>
      </w:r>
    </w:p>
    <w:p>
      <w:pPr>
        <w:pStyle w:val="13"/>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tab/>
      </w:r>
      <w:r>
        <w:rPr>
          <w:rFonts w:hint="eastAsia"/>
          <w:lang w:val="en-US" w:eastAsia="zh-CN"/>
        </w:rPr>
        <w:t>6</w:t>
      </w:r>
    </w:p>
    <w:p>
      <w:pPr>
        <w:pStyle w:val="13"/>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二、收入决算情况说明</w:t>
      </w:r>
      <w:r>
        <w:tab/>
      </w:r>
      <w:r>
        <w:rPr>
          <w:rFonts w:hint="eastAsia"/>
          <w:lang w:val="en-US" w:eastAsia="zh-CN"/>
        </w:rPr>
        <w:t>6</w:t>
      </w:r>
    </w:p>
    <w:p>
      <w:pPr>
        <w:pStyle w:val="13"/>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三、支出决算情况说明</w:t>
      </w:r>
      <w:r>
        <w:tab/>
      </w:r>
      <w:r>
        <w:rPr>
          <w:rFonts w:hint="eastAsia"/>
          <w:lang w:val="en-US" w:eastAsia="zh-CN"/>
        </w:rPr>
        <w:t>7</w:t>
      </w:r>
    </w:p>
    <w:p>
      <w:pPr>
        <w:pStyle w:val="13"/>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tab/>
      </w:r>
      <w:r>
        <w:rPr>
          <w:rFonts w:hint="eastAsia"/>
          <w:lang w:val="en-US" w:eastAsia="zh-CN"/>
        </w:rPr>
        <w:t>8</w:t>
      </w:r>
    </w:p>
    <w:p>
      <w:pPr>
        <w:pStyle w:val="13"/>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tab/>
      </w:r>
      <w:r>
        <w:rPr>
          <w:rFonts w:hint="eastAsia"/>
          <w:lang w:val="en-US" w:eastAsia="zh-CN"/>
        </w:rPr>
        <w:t>8</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tab/>
      </w:r>
      <w:r>
        <w:rPr>
          <w:rFonts w:hint="eastAsia"/>
          <w:lang w:val="en-US" w:eastAsia="zh-CN"/>
        </w:rPr>
        <w:t>11</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tab/>
      </w:r>
      <w:r>
        <w:rPr>
          <w:rFonts w:hint="eastAsia"/>
          <w:lang w:val="en-US" w:eastAsia="zh-CN"/>
        </w:rPr>
        <w:t>11</w:t>
      </w:r>
    </w:p>
    <w:p>
      <w:pPr>
        <w:pStyle w:val="13"/>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tab/>
      </w:r>
      <w:r>
        <w:rPr>
          <w:rFonts w:hint="eastAsia"/>
          <w:lang w:val="en-US" w:eastAsia="zh-CN"/>
        </w:rPr>
        <w:t>12</w:t>
      </w:r>
    </w:p>
    <w:p>
      <w:pPr>
        <w:pStyle w:val="13"/>
        <w:adjustRightInd w:val="0"/>
        <w:snapToGrid w:val="0"/>
        <w:spacing w:line="440" w:lineRule="exact"/>
        <w:ind w:leftChars="0"/>
        <w:jc w:val="left"/>
        <w:rPr>
          <w:rFonts w:hint="default" w:eastAsia="宋体"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tab/>
      </w:r>
      <w:r>
        <w:rPr>
          <w:rFonts w:hint="eastAsia"/>
          <w:lang w:val="en-US" w:eastAsia="zh-CN"/>
        </w:rPr>
        <w:t>13</w:t>
      </w:r>
    </w:p>
    <w:p>
      <w:pPr>
        <w:pStyle w:val="13"/>
        <w:adjustRightInd w:val="0"/>
        <w:snapToGrid w:val="0"/>
        <w:spacing w:line="440" w:lineRule="exact"/>
        <w:ind w:leftChars="0"/>
        <w:jc w:val="left"/>
      </w:pPr>
      <w:r>
        <w:rPr>
          <w:rStyle w:val="18"/>
          <w:rFonts w:hint="eastAsia" w:asciiTheme="minorEastAsia" w:hAnsiTheme="minorEastAsia" w:eastAsiaTheme="minorEastAsia" w:cstheme="minorEastAsia"/>
          <w:color w:val="auto"/>
          <w:sz w:val="24"/>
          <w:highlight w:val="none"/>
          <w:u w:val="none"/>
          <w:lang w:eastAsia="zh-CN"/>
        </w:rPr>
        <w:t>十</w:t>
      </w:r>
      <w:r>
        <w:rPr>
          <w:rStyle w:val="18"/>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tab/>
      </w:r>
      <w:r>
        <w:rPr>
          <w:rFonts w:hint="eastAsia"/>
          <w:lang w:val="en-US" w:eastAsia="zh-CN"/>
        </w:rPr>
        <w:t>13</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default" w:cstheme="minorBidi"/>
          <w:color w:val="auto"/>
          <w:sz w:val="24"/>
          <w:szCs w:val="24"/>
          <w:highlight w:val="none"/>
          <w:lang w:val="en-US"/>
        </w:rPr>
      </w:pPr>
      <w:r>
        <w:rPr>
          <w:rFonts w:hint="eastAsia" w:ascii="Times New Roman" w:hAnsi="Times New Roman" w:eastAsia="宋体" w:cs="Times New Roman"/>
          <w:color w:val="auto"/>
          <w:kern w:val="2"/>
          <w:sz w:val="24"/>
          <w:szCs w:val="24"/>
          <w:highlight w:val="none"/>
          <w:lang w:val="en-US" w:eastAsia="zh-CN" w:bidi="ar-SA"/>
        </w:rPr>
        <w:t>第三部分 名词解释</w:t>
      </w:r>
      <w:r>
        <w:tab/>
      </w:r>
      <w:r>
        <w:rPr>
          <w:rFonts w:hint="eastAsia"/>
          <w:lang w:val="en-US" w:eastAsia="zh-CN"/>
        </w:rPr>
        <w:t>15</w:t>
      </w:r>
    </w:p>
    <w:p>
      <w:pPr>
        <w:pStyle w:val="12"/>
        <w:adjustRightInd w:val="0"/>
        <w:snapToGrid w:val="0"/>
        <w:spacing w:before="0" w:line="440" w:lineRule="exact"/>
        <w:ind w:firstLine="480" w:firstLineChars="200"/>
        <w:jc w:val="left"/>
        <w:rPr>
          <w:rFonts w:hint="default" w:eastAsia="仿宋" w:cstheme="minorBidi"/>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第四部分 附件</w:t>
      </w:r>
      <w:r>
        <w:tab/>
      </w:r>
      <w:r>
        <w:rPr>
          <w:rFonts w:hint="eastAsia"/>
          <w:lang w:val="en-US" w:eastAsia="zh-CN"/>
        </w:rPr>
        <w:t>19</w:t>
      </w:r>
    </w:p>
    <w:p>
      <w:pPr>
        <w:pStyle w:val="12"/>
        <w:adjustRightInd w:val="0"/>
        <w:snapToGrid w:val="0"/>
        <w:spacing w:before="0" w:line="440" w:lineRule="exact"/>
        <w:ind w:firstLine="480" w:firstLineChars="200"/>
        <w:jc w:val="left"/>
        <w:rPr>
          <w:rFonts w:hint="default" w:eastAsia="仿宋" w:cstheme="minorBidi"/>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第五部分 附表</w:t>
      </w:r>
      <w:r>
        <w:tab/>
      </w:r>
      <w:r>
        <w:rPr>
          <w:rFonts w:hint="eastAsia"/>
          <w:lang w:val="en-US" w:eastAsia="zh-CN"/>
        </w:rPr>
        <w:t>34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color w:val="auto"/>
          <w:sz w:val="24"/>
          <w:highlight w:val="none"/>
        </w:rPr>
        <w:t>十三、财政拨款“三公”经费支出决算表</w:t>
      </w:r>
      <w:bookmarkStart w:id="87" w:name="_GoBack"/>
      <w:bookmarkEnd w:id="87"/>
    </w:p>
    <w:p>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请部门根据实际注明页码</w:t>
      </w:r>
      <w:r>
        <w:rPr>
          <w:rFonts w:ascii="仿宋" w:hAnsi="仿宋" w:eastAsia="仿宋"/>
          <w:color w:val="auto"/>
          <w:sz w:val="24"/>
          <w:highlight w:val="none"/>
        </w:rPr>
        <w:t>)</w:t>
      </w:r>
    </w:p>
    <w:p>
      <w:pPr>
        <w:widowControl/>
        <w:spacing w:line="440" w:lineRule="exact"/>
        <w:jc w:val="left"/>
        <w:rPr>
          <w:rFonts w:ascii="仿宋" w:hAnsi="仿宋" w:eastAsia="仿宋"/>
          <w:bCs/>
          <w:color w:val="auto"/>
          <w:kern w:val="44"/>
          <w:sz w:val="24"/>
          <w:highlight w:val="none"/>
        </w:rPr>
      </w:pPr>
      <w:bookmarkStart w:id="16" w:name="_Toc15396599"/>
      <w:bookmarkStart w:id="17" w:name="_Toc15377196"/>
      <w:r>
        <w:rPr>
          <w:rFonts w:ascii="仿宋" w:hAnsi="仿宋" w:eastAsia="仿宋"/>
          <w:b/>
          <w:color w:val="auto"/>
          <w:sz w:val="24"/>
          <w:highlight w:val="none"/>
        </w:rPr>
        <w:br w:type="page"/>
      </w:r>
    </w:p>
    <w:p>
      <w:pPr>
        <w:pStyle w:val="3"/>
        <w:jc w:val="center"/>
        <w:rPr>
          <w:rStyle w:val="28"/>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6"/>
      <w:bookmarkEnd w:id="17"/>
    </w:p>
    <w:p>
      <w:pPr>
        <w:widowControl/>
        <w:jc w:val="left"/>
        <w:rPr>
          <w:rFonts w:ascii="黑体" w:eastAsia="黑体"/>
          <w:color w:val="auto"/>
          <w:sz w:val="32"/>
          <w:szCs w:val="32"/>
          <w:highlight w:val="none"/>
        </w:rPr>
      </w:pPr>
    </w:p>
    <w:p>
      <w:pPr>
        <w:pStyle w:val="4"/>
        <w:rPr>
          <w:rStyle w:val="29"/>
          <w:rFonts w:hint="eastAsia" w:ascii="仿宋" w:hAnsi="仿宋" w:eastAsia="黑体"/>
          <w:b w:val="0"/>
          <w:bCs w:val="0"/>
          <w:color w:val="auto"/>
          <w:highlight w:val="none"/>
          <w:lang w:eastAsia="zh-CN"/>
        </w:rPr>
      </w:pPr>
      <w:bookmarkStart w:id="18" w:name="_Toc15377197"/>
      <w:bookmarkStart w:id="19" w:name="_Toc15396600"/>
      <w:r>
        <w:rPr>
          <w:rFonts w:hint="eastAsia" w:ascii="黑体" w:hAnsi="黑体" w:eastAsia="黑体"/>
          <w:b w:val="0"/>
          <w:color w:val="auto"/>
          <w:highlight w:val="none"/>
        </w:rPr>
        <w:t>一、</w:t>
      </w:r>
      <w:bookmarkEnd w:id="18"/>
      <w:bookmarkEnd w:id="19"/>
      <w:r>
        <w:rPr>
          <w:rFonts w:hint="eastAsia" w:ascii="黑体" w:hAnsi="黑体" w:eastAsia="黑体"/>
          <w:b w:val="0"/>
          <w:color w:val="auto"/>
          <w:highlight w:val="none"/>
          <w:lang w:eastAsia="zh-CN"/>
        </w:rPr>
        <w:t>部门职责</w:t>
      </w:r>
    </w:p>
    <w:p>
      <w:pPr>
        <w:pStyle w:val="7"/>
        <w:spacing w:after="0" w:line="560" w:lineRule="exact"/>
        <w:ind w:leftChars="0" w:firstLine="640" w:firstLineChars="200"/>
        <w:rPr>
          <w:rFonts w:hint="eastAsia" w:ascii="仿宋" w:hAnsi="仿宋" w:eastAsia="仿宋"/>
          <w:bCs/>
          <w:sz w:val="32"/>
          <w:szCs w:val="32"/>
          <w:highlight w:val="none"/>
        </w:rPr>
      </w:pPr>
      <w:bookmarkStart w:id="20" w:name="_Toc15377199"/>
      <w:bookmarkStart w:id="21" w:name="_Toc15378446"/>
      <w:bookmarkStart w:id="22" w:name="_Toc15396601"/>
      <w:bookmarkStart w:id="23" w:name="_Toc15377200"/>
      <w:r>
        <w:rPr>
          <w:rFonts w:hint="eastAsia" w:ascii="仿宋" w:hAnsi="仿宋" w:eastAsia="仿宋"/>
          <w:bCs/>
          <w:sz w:val="32"/>
          <w:szCs w:val="32"/>
          <w:highlight w:val="none"/>
        </w:rPr>
        <w:t>（1）负责贯彻执行国家和上级交通主管部门有关公路运输的方针、政策和法律法规；</w:t>
      </w:r>
    </w:p>
    <w:p>
      <w:pPr>
        <w:pStyle w:val="7"/>
        <w:spacing w:after="0" w:line="560" w:lineRule="exact"/>
        <w:ind w:leftChars="0" w:firstLine="640" w:firstLineChars="200"/>
        <w:rPr>
          <w:rFonts w:hint="eastAsia" w:ascii="仿宋" w:hAnsi="仿宋" w:eastAsia="仿宋"/>
          <w:bCs/>
          <w:sz w:val="32"/>
          <w:szCs w:val="32"/>
          <w:highlight w:val="none"/>
        </w:rPr>
      </w:pPr>
      <w:r>
        <w:rPr>
          <w:rFonts w:hint="eastAsia" w:ascii="仿宋" w:hAnsi="仿宋" w:eastAsia="仿宋"/>
          <w:bCs/>
          <w:sz w:val="32"/>
          <w:szCs w:val="32"/>
          <w:highlight w:val="none"/>
        </w:rPr>
        <w:t>（2）根据管理权限，审批公路运输、搬运装卸、汽车维修和运输服务业的开业、停业申请，核发经营许可证；</w:t>
      </w:r>
    </w:p>
    <w:p>
      <w:pPr>
        <w:pStyle w:val="7"/>
        <w:spacing w:after="0" w:line="560" w:lineRule="exact"/>
        <w:ind w:leftChars="0" w:firstLine="640" w:firstLineChars="200"/>
        <w:rPr>
          <w:rFonts w:hint="eastAsia" w:ascii="仿宋" w:hAnsi="仿宋" w:eastAsia="仿宋"/>
          <w:bCs/>
          <w:sz w:val="32"/>
          <w:szCs w:val="32"/>
          <w:highlight w:val="none"/>
        </w:rPr>
      </w:pPr>
      <w:r>
        <w:rPr>
          <w:rFonts w:hint="eastAsia" w:ascii="仿宋" w:hAnsi="仿宋" w:eastAsia="仿宋"/>
          <w:bCs/>
          <w:sz w:val="32"/>
          <w:szCs w:val="32"/>
          <w:highlight w:val="none"/>
        </w:rPr>
        <w:t>（3）负责运输市场管理，维护好客、货运输秩序，对公路运输业的商务活动、营运证照、经营范围、服务质量、运输纪律及运价、票证等进行监督和检查，调解运输纠纷；</w:t>
      </w:r>
    </w:p>
    <w:p>
      <w:pPr>
        <w:pStyle w:val="7"/>
        <w:spacing w:after="0" w:line="560" w:lineRule="exact"/>
        <w:ind w:leftChars="0" w:firstLine="640" w:firstLineChars="200"/>
        <w:rPr>
          <w:rFonts w:hint="eastAsia" w:ascii="仿宋" w:hAnsi="仿宋" w:eastAsia="仿宋"/>
          <w:bCs/>
          <w:sz w:val="32"/>
          <w:szCs w:val="32"/>
          <w:highlight w:val="none"/>
        </w:rPr>
      </w:pPr>
      <w:r>
        <w:rPr>
          <w:rFonts w:hint="eastAsia" w:ascii="仿宋" w:hAnsi="仿宋" w:eastAsia="仿宋"/>
          <w:bCs/>
          <w:sz w:val="32"/>
          <w:szCs w:val="32"/>
          <w:highlight w:val="none"/>
        </w:rPr>
        <w:t>（4）组织协调重点物资、大宗物资、重点港站集散物资的运输工作，做好战备、救灾、抢险等物资的运输组织工作；</w:t>
      </w:r>
    </w:p>
    <w:p>
      <w:pPr>
        <w:pStyle w:val="7"/>
        <w:spacing w:after="0" w:line="560" w:lineRule="exact"/>
        <w:ind w:leftChars="0" w:firstLine="640" w:firstLineChars="200"/>
        <w:rPr>
          <w:rFonts w:hint="eastAsia" w:ascii="仿宋" w:hAnsi="仿宋" w:eastAsia="仿宋"/>
          <w:bCs/>
          <w:sz w:val="32"/>
          <w:szCs w:val="32"/>
          <w:highlight w:val="none"/>
        </w:rPr>
      </w:pPr>
      <w:r>
        <w:rPr>
          <w:rFonts w:hint="eastAsia" w:ascii="仿宋" w:hAnsi="仿宋" w:eastAsia="仿宋"/>
          <w:bCs/>
          <w:sz w:val="32"/>
          <w:szCs w:val="32"/>
          <w:highlight w:val="none"/>
        </w:rPr>
        <w:t>（5）做好旅客、货物流量、流向的调查研究和预测，制定辖区内行业发展规划；</w:t>
      </w:r>
    </w:p>
    <w:p>
      <w:pPr>
        <w:pStyle w:val="7"/>
        <w:spacing w:after="0" w:line="560" w:lineRule="exact"/>
        <w:ind w:leftChars="0" w:firstLine="640" w:firstLineChars="200"/>
        <w:rPr>
          <w:rFonts w:hint="eastAsia" w:ascii="仿宋" w:hAnsi="仿宋" w:eastAsia="仿宋"/>
          <w:bCs/>
          <w:sz w:val="32"/>
          <w:szCs w:val="32"/>
          <w:highlight w:val="none"/>
        </w:rPr>
      </w:pPr>
      <w:r>
        <w:rPr>
          <w:rFonts w:hint="eastAsia" w:ascii="仿宋" w:hAnsi="仿宋" w:eastAsia="仿宋"/>
          <w:bCs/>
          <w:sz w:val="32"/>
          <w:szCs w:val="32"/>
          <w:highlight w:val="none"/>
        </w:rPr>
        <w:t>（6）掌握和提供公路运输经济情况，为上级制订发展规划和综合平衡工作提供依据；根据各单位报送的新增和更新车辆计划，按时向同级综合部门和上级交通主管部门提供新增更新车的需求信息；</w:t>
      </w:r>
    </w:p>
    <w:p>
      <w:pPr>
        <w:pStyle w:val="7"/>
        <w:spacing w:after="0" w:line="560" w:lineRule="exact"/>
        <w:ind w:leftChars="0" w:firstLine="640" w:firstLineChars="200"/>
        <w:rPr>
          <w:rFonts w:hint="eastAsia" w:ascii="仿宋" w:hAnsi="仿宋" w:eastAsia="仿宋"/>
          <w:bCs/>
          <w:sz w:val="32"/>
          <w:szCs w:val="32"/>
          <w:highlight w:val="none"/>
        </w:rPr>
      </w:pPr>
      <w:r>
        <w:rPr>
          <w:rFonts w:hint="eastAsia" w:ascii="仿宋" w:hAnsi="仿宋" w:eastAsia="仿宋"/>
          <w:bCs/>
          <w:sz w:val="32"/>
          <w:szCs w:val="32"/>
          <w:highlight w:val="none"/>
        </w:rPr>
        <w:t>（7）建立各类道路运输台</w:t>
      </w:r>
      <w:r>
        <w:rPr>
          <w:rFonts w:hint="eastAsia" w:ascii="仿宋" w:hAnsi="仿宋" w:eastAsia="仿宋"/>
          <w:bCs/>
          <w:sz w:val="32"/>
          <w:szCs w:val="32"/>
          <w:highlight w:val="none"/>
          <w:lang w:val="en-US" w:eastAsia="zh-CN"/>
        </w:rPr>
        <w:t>账</w:t>
      </w:r>
      <w:r>
        <w:rPr>
          <w:rFonts w:hint="eastAsia" w:ascii="仿宋" w:hAnsi="仿宋" w:eastAsia="仿宋"/>
          <w:bCs/>
          <w:sz w:val="32"/>
          <w:szCs w:val="32"/>
          <w:highlight w:val="none"/>
        </w:rPr>
        <w:t>，负责道路运输各类统计数字的收集、整理和上报，做好各项基础工作：</w:t>
      </w:r>
    </w:p>
    <w:p>
      <w:pPr>
        <w:pStyle w:val="7"/>
        <w:spacing w:after="0" w:line="560" w:lineRule="exact"/>
        <w:ind w:leftChars="0" w:firstLine="640" w:firstLineChars="200"/>
        <w:rPr>
          <w:rFonts w:hint="eastAsia" w:ascii="仿宋" w:hAnsi="仿宋" w:eastAsia="仿宋"/>
          <w:bCs/>
          <w:sz w:val="32"/>
          <w:szCs w:val="32"/>
          <w:highlight w:val="none"/>
          <w:lang w:val="en-US" w:eastAsia="zh-CN"/>
        </w:rPr>
      </w:pPr>
      <w:r>
        <w:rPr>
          <w:rFonts w:hint="eastAsia" w:ascii="仿宋" w:hAnsi="仿宋" w:eastAsia="仿宋"/>
          <w:bCs/>
          <w:sz w:val="32"/>
          <w:szCs w:val="32"/>
          <w:highlight w:val="none"/>
          <w:lang w:val="en-US" w:eastAsia="zh-CN"/>
        </w:rPr>
        <w:t>（8）组织指导兴办停车场地、站点、食宿等服务设施，为旅客、货主、运输经营者及驾、乘、修人员提供服务条件。</w:t>
      </w:r>
      <w:bookmarkEnd w:id="20"/>
      <w:bookmarkEnd w:id="21"/>
    </w:p>
    <w:p>
      <w:pPr>
        <w:pStyle w:val="4"/>
        <w:rPr>
          <w:rStyle w:val="29"/>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29"/>
          <w:rFonts w:hint="eastAsia" w:ascii="黑体" w:hAnsi="黑体" w:eastAsia="黑体"/>
          <w:b w:val="0"/>
          <w:bCs w:val="0"/>
          <w:color w:val="auto"/>
          <w:highlight w:val="none"/>
        </w:rPr>
        <w:t>构设置</w:t>
      </w:r>
      <w:bookmarkEnd w:id="22"/>
      <w:bookmarkEnd w:id="23"/>
    </w:p>
    <w:p>
      <w:pPr>
        <w:pStyle w:val="2"/>
        <w:adjustRightInd w:val="0"/>
        <w:snapToGrid w:val="0"/>
        <w:spacing w:before="95" w:line="540" w:lineRule="exact"/>
        <w:ind w:firstLine="640" w:firstLineChars="200"/>
        <w:rPr>
          <w:rStyle w:val="29"/>
          <w:rFonts w:ascii="黑体" w:hAnsi="黑体" w:eastAsia="黑体"/>
          <w:b w:val="0"/>
          <w:bCs w:val="0"/>
          <w:highlight w:val="none"/>
        </w:rPr>
      </w:pPr>
      <w:r>
        <w:rPr>
          <w:rFonts w:hint="eastAsia"/>
          <w:color w:val="000000"/>
          <w:sz w:val="32"/>
          <w:szCs w:val="32"/>
          <w:highlight w:val="none"/>
        </w:rPr>
        <w:t>区运管所无下属二级单位。</w:t>
      </w:r>
    </w:p>
    <w:p>
      <w:pPr>
        <w:pStyle w:val="2"/>
        <w:adjustRightInd w:val="0"/>
        <w:snapToGrid w:val="0"/>
        <w:spacing w:before="95" w:line="54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纳入区运管所202</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rPr>
        <w:t>年度部门决算编制范围的二级预算单位无。</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8"/>
          <w:rFonts w:ascii="黑体" w:hAnsi="黑体" w:eastAsia="黑体"/>
          <w:b w:val="0"/>
          <w:bCs/>
          <w:color w:val="auto"/>
          <w:highlight w:val="none"/>
        </w:rPr>
      </w:pPr>
      <w:bookmarkStart w:id="24" w:name="_Toc15396602"/>
      <w:bookmarkStart w:id="25"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8"/>
          <w:rFonts w:hint="eastAsia" w:ascii="黑体" w:hAnsi="黑体" w:eastAsia="黑体"/>
          <w:b w:val="0"/>
          <w:bCs/>
          <w:color w:val="auto"/>
          <w:highlight w:val="none"/>
        </w:rPr>
        <w:t>部门决算情况说明</w:t>
      </w:r>
      <w:bookmarkEnd w:id="24"/>
      <w:bookmarkEnd w:id="25"/>
    </w:p>
    <w:p>
      <w:pPr>
        <w:rPr>
          <w:color w:val="auto"/>
          <w:highlight w:val="none"/>
        </w:rPr>
      </w:pP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26" w:name="_Toc15396603"/>
      <w:bookmarkStart w:id="27" w:name="_Toc15377205"/>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6"/>
      <w:bookmarkEnd w:id="27"/>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年度收入</w:t>
      </w:r>
      <w:r>
        <w:rPr>
          <w:rFonts w:hint="eastAsia" w:ascii="仿宋" w:hAnsi="仿宋" w:eastAsia="仿宋"/>
          <w:sz w:val="32"/>
          <w:szCs w:val="32"/>
          <w:lang w:eastAsia="zh-CN"/>
        </w:rPr>
        <w:t>、</w:t>
      </w:r>
      <w:r>
        <w:rPr>
          <w:rFonts w:hint="eastAsia" w:ascii="仿宋" w:hAnsi="仿宋" w:eastAsia="仿宋"/>
          <w:sz w:val="32"/>
          <w:szCs w:val="32"/>
          <w:lang w:val="en-US"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781.10</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年相比，收入</w:t>
      </w:r>
      <w:r>
        <w:rPr>
          <w:rFonts w:hint="eastAsia" w:ascii="仿宋" w:hAnsi="仿宋" w:eastAsia="仿宋"/>
          <w:sz w:val="32"/>
          <w:szCs w:val="32"/>
          <w:lang w:eastAsia="zh-CN"/>
        </w:rPr>
        <w:t>、</w:t>
      </w:r>
      <w:r>
        <w:rPr>
          <w:rFonts w:hint="eastAsia" w:ascii="仿宋" w:hAnsi="仿宋" w:eastAsia="仿宋"/>
          <w:sz w:val="32"/>
          <w:szCs w:val="32"/>
          <w:lang w:val="en-US"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62.21</w:t>
      </w:r>
      <w:r>
        <w:rPr>
          <w:rFonts w:hint="eastAsia" w:ascii="仿宋" w:hAnsi="仿宋" w:eastAsia="仿宋"/>
          <w:sz w:val="32"/>
          <w:szCs w:val="32"/>
        </w:rPr>
        <w:t>万元，增长</w:t>
      </w:r>
      <w:r>
        <w:rPr>
          <w:rFonts w:hint="eastAsia" w:ascii="仿宋" w:hAnsi="仿宋" w:eastAsia="仿宋"/>
          <w:sz w:val="32"/>
          <w:szCs w:val="32"/>
          <w:lang w:val="en-US" w:eastAsia="zh-CN"/>
        </w:rPr>
        <w:t>8.65</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人员有所变动，人员经费增加</w:t>
      </w:r>
      <w:r>
        <w:rPr>
          <w:rFonts w:hint="eastAsia" w:ascii="仿宋" w:hAnsi="仿宋" w:eastAsia="仿宋"/>
          <w:color w:val="auto"/>
          <w:sz w:val="32"/>
          <w:szCs w:val="32"/>
          <w:highlight w:val="none"/>
          <w:lang w:eastAsia="zh-CN"/>
        </w:rPr>
        <w:t>。</w:t>
      </w:r>
    </w:p>
    <w:p>
      <w:pPr>
        <w:pStyle w:val="2"/>
        <w:rPr>
          <w:rFonts w:hint="eastAsia" w:ascii="仿宋" w:hAnsi="仿宋" w:eastAsia="仿宋"/>
          <w:color w:val="auto"/>
          <w:sz w:val="32"/>
          <w:szCs w:val="32"/>
          <w:highlight w:val="none"/>
        </w:rPr>
      </w:pPr>
      <w:r>
        <w:drawing>
          <wp:inline distT="0" distB="0" distL="0" distR="0">
            <wp:extent cx="4836795" cy="2324735"/>
            <wp:effectExtent l="4445" t="5080" r="16510"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28" w:name="_Toc15377206"/>
      <w:bookmarkStart w:id="29" w:name="_Toc15396604"/>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8"/>
      <w:bookmarkEnd w:id="29"/>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781.10</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781.10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r>
        <w:drawing>
          <wp:anchor distT="0" distB="0" distL="0" distR="0" simplePos="0" relativeHeight="251659264" behindDoc="0" locked="0" layoutInCell="1" allowOverlap="1">
            <wp:simplePos x="0" y="0"/>
            <wp:positionH relativeFrom="column">
              <wp:posOffset>271780</wp:posOffset>
            </wp:positionH>
            <wp:positionV relativeFrom="paragraph">
              <wp:posOffset>-2776855</wp:posOffset>
            </wp:positionV>
            <wp:extent cx="5274310" cy="3076575"/>
            <wp:effectExtent l="5080" t="4445" r="16510" b="508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30" w:name="_Toc15396605"/>
      <w:bookmarkStart w:id="31" w:name="_Toc15377207"/>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30"/>
      <w:bookmarkEnd w:id="31"/>
    </w:p>
    <w:p>
      <w:pPr>
        <w:spacing w:line="600" w:lineRule="exact"/>
        <w:ind w:firstLine="640" w:firstLineChars="200"/>
        <w:outlineLvl w:val="1"/>
        <w:rPr>
          <w:rFonts w:hint="eastAsia" w:ascii="仿宋" w:hAnsi="仿宋" w:eastAsia="仿宋"/>
          <w:color w:val="auto"/>
          <w:sz w:val="32"/>
          <w:szCs w:val="32"/>
          <w:highlight w:val="none"/>
          <w:shd w:val="pct10" w:color="auto" w:fill="FFFFFF"/>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781.10</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371.93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47.62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409.17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52.38</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ascii="仿宋" w:hAnsi="仿宋" w:eastAsia="仿宋"/>
          <w:color w:val="auto"/>
          <w:sz w:val="32"/>
          <w:szCs w:val="32"/>
          <w:highlight w:val="none"/>
          <w:shd w:val="pct10" w:color="auto" w:fill="FFFFFF"/>
          <w:lang w:eastAsia="zh-CN"/>
        </w:rPr>
      </w:pPr>
      <w:r>
        <w:drawing>
          <wp:inline distT="0" distB="0" distL="0" distR="0">
            <wp:extent cx="5274310" cy="3076575"/>
            <wp:effectExtent l="5080" t="4445" r="1651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9"/>
          <w:rFonts w:ascii="黑体" w:hAnsi="黑体" w:eastAsia="黑体"/>
          <w:b w:val="0"/>
          <w:color w:val="auto"/>
          <w:highlight w:val="none"/>
        </w:rPr>
      </w:pPr>
      <w:bookmarkStart w:id="32" w:name="_Toc15396606"/>
      <w:bookmarkStart w:id="33" w:name="_Toc15377208"/>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2"/>
      <w:bookmarkEnd w:id="33"/>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年度收入</w:t>
      </w:r>
      <w:r>
        <w:rPr>
          <w:rFonts w:hint="eastAsia" w:ascii="仿宋" w:hAnsi="仿宋" w:eastAsia="仿宋"/>
          <w:sz w:val="32"/>
          <w:szCs w:val="32"/>
          <w:lang w:eastAsia="zh-CN"/>
        </w:rPr>
        <w:t>、</w:t>
      </w:r>
      <w:r>
        <w:rPr>
          <w:rFonts w:hint="eastAsia" w:ascii="仿宋" w:hAnsi="仿宋" w:eastAsia="仿宋"/>
          <w:sz w:val="32"/>
          <w:szCs w:val="32"/>
          <w:lang w:val="en-US"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781.10</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年相比，收入</w:t>
      </w:r>
      <w:r>
        <w:rPr>
          <w:rFonts w:hint="eastAsia" w:ascii="仿宋" w:hAnsi="仿宋" w:eastAsia="仿宋"/>
          <w:sz w:val="32"/>
          <w:szCs w:val="32"/>
          <w:lang w:eastAsia="zh-CN"/>
        </w:rPr>
        <w:t>、</w:t>
      </w:r>
      <w:r>
        <w:rPr>
          <w:rFonts w:hint="eastAsia" w:ascii="仿宋" w:hAnsi="仿宋" w:eastAsia="仿宋"/>
          <w:sz w:val="32"/>
          <w:szCs w:val="32"/>
          <w:lang w:val="en-US"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62.21</w:t>
      </w:r>
      <w:r>
        <w:rPr>
          <w:rFonts w:hint="eastAsia" w:ascii="仿宋" w:hAnsi="仿宋" w:eastAsia="仿宋"/>
          <w:sz w:val="32"/>
          <w:szCs w:val="32"/>
        </w:rPr>
        <w:t>万元，增长</w:t>
      </w:r>
      <w:r>
        <w:rPr>
          <w:rFonts w:hint="eastAsia" w:ascii="仿宋" w:hAnsi="仿宋" w:eastAsia="仿宋"/>
          <w:sz w:val="32"/>
          <w:szCs w:val="32"/>
          <w:lang w:val="en-US" w:eastAsia="zh-CN"/>
        </w:rPr>
        <w:t>8.65</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人员增加，人员经费及日常公用经费增加</w:t>
      </w:r>
      <w:r>
        <w:rPr>
          <w:rFonts w:hint="eastAsia" w:ascii="仿宋" w:hAnsi="仿宋" w:eastAsia="仿宋"/>
          <w:color w:val="auto"/>
          <w:sz w:val="32"/>
          <w:szCs w:val="32"/>
          <w:highlight w:val="none"/>
          <w:lang w:eastAsia="zh-CN"/>
        </w:rPr>
        <w:t>。</w:t>
      </w:r>
    </w:p>
    <w:p>
      <w:pPr>
        <w:pStyle w:val="2"/>
        <w:rPr>
          <w:rFonts w:ascii="仿宋" w:hAnsi="仿宋" w:eastAsia="仿宋"/>
          <w:color w:val="auto"/>
          <w:sz w:val="32"/>
          <w:szCs w:val="32"/>
          <w:highlight w:val="none"/>
        </w:rPr>
      </w:pPr>
      <w:r>
        <w:drawing>
          <wp:inline distT="0" distB="0" distL="0" distR="0">
            <wp:extent cx="4836795" cy="2324735"/>
            <wp:effectExtent l="4445" t="5080" r="16510"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9"/>
          <w:rFonts w:ascii="黑体" w:hAnsi="黑体" w:eastAsia="黑体"/>
          <w:b w:val="0"/>
          <w:color w:val="auto"/>
          <w:highlight w:val="none"/>
        </w:rPr>
      </w:pPr>
      <w:bookmarkStart w:id="34" w:name="_Toc15377209"/>
      <w:bookmarkStart w:id="35"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4"/>
      <w:bookmarkEnd w:id="35"/>
    </w:p>
    <w:p>
      <w:pPr>
        <w:spacing w:line="600" w:lineRule="exact"/>
        <w:ind w:firstLine="643" w:firstLineChars="200"/>
        <w:outlineLvl w:val="2"/>
        <w:rPr>
          <w:rFonts w:ascii="仿宋" w:hAnsi="仿宋" w:eastAsia="仿宋"/>
          <w:b/>
          <w:color w:val="auto"/>
          <w:sz w:val="32"/>
          <w:szCs w:val="32"/>
          <w:highlight w:val="none"/>
        </w:rPr>
      </w:pPr>
      <w:bookmarkStart w:id="36" w:name="_Toc15377210"/>
      <w:r>
        <w:rPr>
          <w:rFonts w:hint="eastAsia" w:ascii="仿宋" w:hAnsi="仿宋" w:eastAsia="仿宋"/>
          <w:b/>
          <w:color w:val="auto"/>
          <w:sz w:val="32"/>
          <w:szCs w:val="32"/>
          <w:highlight w:val="none"/>
        </w:rPr>
        <w:t>（一）一般公共预算财政拨款支出决算总体情况</w:t>
      </w:r>
      <w:bookmarkEnd w:id="36"/>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781.10</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277.21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55.01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项目支出减少了政府性基金支出。</w:t>
      </w:r>
    </w:p>
    <w:p>
      <w:pPr>
        <w:pStyle w:val="2"/>
        <w:rPr>
          <w:rFonts w:ascii="仿宋" w:hAnsi="仿宋" w:eastAsia="仿宋"/>
          <w:color w:val="auto"/>
          <w:sz w:val="32"/>
          <w:szCs w:val="32"/>
          <w:highlight w:val="none"/>
        </w:rPr>
      </w:pPr>
      <w:r>
        <w:drawing>
          <wp:inline distT="0" distB="0" distL="0" distR="0">
            <wp:extent cx="4397375" cy="1810385"/>
            <wp:effectExtent l="4445" t="4445" r="17780" b="1397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37" w:name="_Toc15377211"/>
      <w:r>
        <w:rPr>
          <w:rFonts w:hint="eastAsia" w:ascii="仿宋" w:hAnsi="仿宋" w:eastAsia="仿宋"/>
          <w:b/>
          <w:color w:val="auto"/>
          <w:sz w:val="32"/>
          <w:szCs w:val="32"/>
          <w:highlight w:val="none"/>
        </w:rPr>
        <w:t>（二）一般公共预算财政拨款支出决算结构情况</w:t>
      </w:r>
      <w:bookmarkEnd w:id="37"/>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781.10</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24.41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15.22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val="en-US" w:eastAsia="zh-CN"/>
        </w:rPr>
        <w:t>交通运输支出</w:t>
      </w:r>
      <w:r>
        <w:rPr>
          <w:rFonts w:hint="eastAsia" w:ascii="仿宋" w:hAnsi="仿宋" w:eastAsia="仿宋"/>
          <w:color w:val="auto"/>
          <w:sz w:val="32"/>
          <w:szCs w:val="32"/>
          <w:highlight w:val="none"/>
          <w:lang w:val="en-US" w:eastAsia="zh-CN"/>
        </w:rPr>
        <w:t>714.81万元，占91.51%；</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26.66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ascii="仿宋" w:hAnsi="仿宋" w:eastAsia="仿宋"/>
          <w:sz w:val="32"/>
          <w:szCs w:val="32"/>
        </w:rPr>
        <w:drawing>
          <wp:inline distT="0" distB="0" distL="0" distR="0">
            <wp:extent cx="5045075" cy="2085975"/>
            <wp:effectExtent l="4445" t="4445" r="17780" b="5080"/>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8" w:name="_Toc15377212"/>
      <w:r>
        <w:rPr>
          <w:rFonts w:hint="eastAsia" w:ascii="仿宋" w:hAnsi="仿宋" w:eastAsia="仿宋"/>
          <w:b/>
          <w:color w:val="auto"/>
          <w:sz w:val="32"/>
          <w:szCs w:val="32"/>
          <w:highlight w:val="none"/>
        </w:rPr>
        <w:t>（三）一般公共预算财政拨款支出决算具体情况</w:t>
      </w:r>
      <w:bookmarkEnd w:id="38"/>
    </w:p>
    <w:p>
      <w:pPr>
        <w:spacing w:line="600" w:lineRule="exact"/>
        <w:ind w:firstLine="643" w:firstLineChars="200"/>
        <w:outlineLvl w:val="2"/>
        <w:rPr>
          <w:rFonts w:ascii="仿宋" w:hAnsi="仿宋" w:eastAsia="仿宋"/>
          <w:color w:val="auto"/>
          <w:sz w:val="32"/>
          <w:szCs w:val="32"/>
          <w:highlight w:val="none"/>
        </w:rPr>
      </w:pPr>
      <w:bookmarkStart w:id="39" w:name="_Toc15377444"/>
      <w:bookmarkStart w:id="40" w:name="_Toc15378460"/>
      <w:bookmarkStart w:id="41"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781.10</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9"/>
      <w:bookmarkEnd w:id="40"/>
      <w:bookmarkEnd w:id="41"/>
    </w:p>
    <w:p>
      <w:pPr>
        <w:numPr>
          <w:ilvl w:val="0"/>
          <w:numId w:val="0"/>
        </w:numPr>
        <w:spacing w:line="540" w:lineRule="exact"/>
        <w:ind w:firstLine="640" w:firstLineChars="200"/>
        <w:rPr>
          <w:rStyle w:val="17"/>
          <w:rFonts w:ascii="仿宋" w:hAnsi="仿宋" w:eastAsia="仿宋"/>
          <w:b w:val="0"/>
          <w:bCs/>
          <w:color w:val="000000"/>
          <w:sz w:val="32"/>
          <w:szCs w:val="32"/>
          <w:highlight w:val="none"/>
        </w:rPr>
      </w:pPr>
      <w:r>
        <w:rPr>
          <w:rStyle w:val="17"/>
          <w:rFonts w:hint="eastAsia" w:ascii="仿宋" w:hAnsi="仿宋" w:eastAsia="仿宋" w:cstheme="minorBidi"/>
          <w:b w:val="0"/>
          <w:bCs/>
          <w:color w:val="000000"/>
          <w:kern w:val="2"/>
          <w:sz w:val="32"/>
          <w:szCs w:val="32"/>
          <w:highlight w:val="none"/>
          <w:lang w:val="en-US" w:eastAsia="zh-CN" w:bidi="ar-SA"/>
        </w:rPr>
        <w:t>1、</w:t>
      </w:r>
      <w:r>
        <w:rPr>
          <w:rStyle w:val="17"/>
          <w:rFonts w:eastAsia="仿宋_GB2312"/>
          <w:bCs/>
          <w:color w:val="000000"/>
          <w:sz w:val="32"/>
          <w:szCs w:val="32"/>
          <w:highlight w:val="none"/>
        </w:rPr>
        <w:t>社会保障和就业208（类）行政事业单位离退休05（款）机关事业单位基本养老保险缴费支出05（项）:</w:t>
      </w:r>
      <w:r>
        <w:rPr>
          <w:rStyle w:val="17"/>
          <w:rFonts w:ascii="仿宋" w:hAnsi="仿宋" w:eastAsia="仿宋"/>
          <w:b w:val="0"/>
          <w:bCs/>
          <w:color w:val="000000"/>
          <w:sz w:val="32"/>
          <w:szCs w:val="32"/>
          <w:highlight w:val="none"/>
        </w:rPr>
        <w:t xml:space="preserve"> </w:t>
      </w:r>
      <w:r>
        <w:rPr>
          <w:rStyle w:val="17"/>
          <w:rFonts w:hint="eastAsia" w:ascii="仿宋" w:hAnsi="仿宋" w:eastAsia="仿宋"/>
          <w:b w:val="0"/>
          <w:bCs/>
          <w:color w:val="000000"/>
          <w:sz w:val="32"/>
          <w:szCs w:val="32"/>
          <w:highlight w:val="none"/>
        </w:rPr>
        <w:t>支出决算为</w:t>
      </w:r>
      <w:r>
        <w:rPr>
          <w:rStyle w:val="17"/>
          <w:rFonts w:hint="eastAsia" w:ascii="仿宋" w:hAnsi="仿宋" w:eastAsia="仿宋"/>
          <w:b w:val="0"/>
          <w:bCs/>
          <w:color w:val="000000"/>
          <w:sz w:val="32"/>
          <w:szCs w:val="32"/>
          <w:highlight w:val="none"/>
          <w:lang w:val="en-US" w:eastAsia="zh-CN"/>
        </w:rPr>
        <w:t>23.22</w:t>
      </w:r>
      <w:r>
        <w:rPr>
          <w:rStyle w:val="17"/>
          <w:rFonts w:hint="eastAsia" w:ascii="仿宋" w:hAnsi="仿宋" w:eastAsia="仿宋"/>
          <w:b w:val="0"/>
          <w:bCs/>
          <w:color w:val="000000"/>
          <w:sz w:val="32"/>
          <w:szCs w:val="32"/>
          <w:highlight w:val="none"/>
        </w:rPr>
        <w:t>万元，完成预算100%，决算数等于预算数。</w:t>
      </w:r>
    </w:p>
    <w:p>
      <w:pPr>
        <w:numPr>
          <w:ilvl w:val="0"/>
          <w:numId w:val="0"/>
        </w:numPr>
        <w:spacing w:line="240" w:lineRule="auto"/>
        <w:ind w:firstLine="640" w:firstLineChars="200"/>
        <w:rPr>
          <w:rStyle w:val="17"/>
          <w:rFonts w:ascii="Times New Roman" w:hAnsi="Times New Roman" w:eastAsia="仿宋_GB2312" w:cs="Times New Roman"/>
          <w:b/>
          <w:color w:val="000000"/>
          <w:highlight w:val="none"/>
        </w:rPr>
      </w:pPr>
      <w:r>
        <w:rPr>
          <w:rStyle w:val="17"/>
          <w:rFonts w:hint="eastAsia" w:ascii="仿宋" w:hAnsi="仿宋" w:eastAsia="仿宋" w:cstheme="minorBidi"/>
          <w:b w:val="0"/>
          <w:bCs/>
          <w:color w:val="000000"/>
          <w:kern w:val="2"/>
          <w:sz w:val="32"/>
          <w:szCs w:val="32"/>
          <w:highlight w:val="none"/>
          <w:lang w:val="en-US" w:eastAsia="zh-CN" w:bidi="ar-SA"/>
        </w:rPr>
        <w:t>2、</w:t>
      </w:r>
      <w:r>
        <w:rPr>
          <w:rStyle w:val="17"/>
          <w:rFonts w:eastAsia="仿宋_GB2312"/>
          <w:bCs/>
          <w:color w:val="000000"/>
          <w:sz w:val="32"/>
          <w:szCs w:val="32"/>
          <w:highlight w:val="none"/>
        </w:rPr>
        <w:t>社会保障和就业208（类）</w:t>
      </w:r>
      <w:r>
        <w:rPr>
          <w:rStyle w:val="17"/>
          <w:rFonts w:hint="eastAsia" w:eastAsia="仿宋_GB2312"/>
          <w:bCs/>
          <w:color w:val="000000"/>
          <w:sz w:val="32"/>
          <w:szCs w:val="32"/>
          <w:highlight w:val="none"/>
        </w:rPr>
        <w:t>其他社会保障和就业</w:t>
      </w:r>
      <w:r>
        <w:rPr>
          <w:rStyle w:val="17"/>
          <w:rFonts w:hint="eastAsia" w:eastAsia="仿宋_GB2312"/>
          <w:bCs/>
          <w:color w:val="000000"/>
          <w:sz w:val="32"/>
          <w:szCs w:val="32"/>
          <w:highlight w:val="none"/>
          <w:lang w:val="en-US" w:eastAsia="zh-CN"/>
        </w:rPr>
        <w:t>99</w:t>
      </w:r>
      <w:r>
        <w:rPr>
          <w:rStyle w:val="17"/>
          <w:rFonts w:eastAsia="仿宋_GB2312"/>
          <w:bCs/>
          <w:color w:val="000000"/>
          <w:sz w:val="32"/>
          <w:szCs w:val="32"/>
          <w:highlight w:val="none"/>
        </w:rPr>
        <w:t>（款）</w:t>
      </w:r>
      <w:r>
        <w:rPr>
          <w:rStyle w:val="17"/>
          <w:rFonts w:hint="eastAsia" w:eastAsia="仿宋_GB2312"/>
          <w:bCs/>
          <w:color w:val="000000"/>
          <w:sz w:val="32"/>
          <w:szCs w:val="32"/>
          <w:highlight w:val="none"/>
        </w:rPr>
        <w:t>其他社会保障和就业支出99</w:t>
      </w:r>
      <w:r>
        <w:rPr>
          <w:rStyle w:val="17"/>
          <w:rFonts w:eastAsia="仿宋_GB2312"/>
          <w:bCs/>
          <w:color w:val="000000"/>
          <w:sz w:val="32"/>
          <w:szCs w:val="32"/>
          <w:highlight w:val="none"/>
        </w:rPr>
        <w:t>（项）:</w:t>
      </w:r>
      <w:r>
        <w:rPr>
          <w:rStyle w:val="17"/>
          <w:rFonts w:eastAsia="仿宋_GB2312"/>
          <w:b w:val="0"/>
          <w:bCs/>
          <w:color w:val="000000"/>
          <w:sz w:val="32"/>
          <w:szCs w:val="32"/>
          <w:highlight w:val="none"/>
        </w:rPr>
        <w:t xml:space="preserve"> </w:t>
      </w:r>
      <w:r>
        <w:rPr>
          <w:rStyle w:val="17"/>
          <w:rFonts w:hint="eastAsia" w:ascii="仿宋" w:hAnsi="仿宋" w:eastAsia="仿宋"/>
          <w:b w:val="0"/>
          <w:bCs/>
          <w:color w:val="000000"/>
          <w:sz w:val="32"/>
          <w:szCs w:val="32"/>
          <w:highlight w:val="none"/>
        </w:rPr>
        <w:t>支出决算为</w:t>
      </w:r>
      <w:r>
        <w:rPr>
          <w:rStyle w:val="17"/>
          <w:rFonts w:hint="eastAsia" w:ascii="仿宋" w:hAnsi="仿宋" w:eastAsia="仿宋"/>
          <w:b w:val="0"/>
          <w:bCs/>
          <w:color w:val="000000"/>
          <w:sz w:val="32"/>
          <w:szCs w:val="32"/>
          <w:highlight w:val="none"/>
          <w:lang w:val="en-US" w:eastAsia="zh-CN"/>
        </w:rPr>
        <w:t>1.19</w:t>
      </w:r>
      <w:r>
        <w:rPr>
          <w:rStyle w:val="17"/>
          <w:rFonts w:hint="eastAsia" w:ascii="仿宋" w:hAnsi="仿宋" w:eastAsia="仿宋"/>
          <w:b w:val="0"/>
          <w:bCs/>
          <w:color w:val="000000"/>
          <w:sz w:val="32"/>
          <w:szCs w:val="32"/>
          <w:highlight w:val="none"/>
        </w:rPr>
        <w:t>万元，完成预算100%，决算数等于预算数。</w:t>
      </w:r>
    </w:p>
    <w:p>
      <w:pPr>
        <w:pStyle w:val="4"/>
        <w:spacing w:before="0" w:after="0" w:line="240" w:lineRule="auto"/>
        <w:ind w:firstLine="640" w:firstLineChars="200"/>
        <w:rPr>
          <w:rStyle w:val="17"/>
          <w:rFonts w:ascii="仿宋" w:hAnsi="仿宋" w:eastAsia="仿宋"/>
          <w:b w:val="0"/>
          <w:color w:val="000000"/>
          <w:highlight w:val="none"/>
        </w:rPr>
      </w:pPr>
      <w:bookmarkStart w:id="42" w:name="_Toc16540"/>
      <w:bookmarkStart w:id="43" w:name="_Toc9044"/>
      <w:r>
        <w:rPr>
          <w:rStyle w:val="17"/>
          <w:rFonts w:hint="eastAsia" w:ascii="仿宋" w:hAnsi="仿宋" w:eastAsia="仿宋" w:cstheme="minorBidi"/>
          <w:b w:val="0"/>
          <w:bCs/>
          <w:color w:val="000000"/>
          <w:kern w:val="2"/>
          <w:sz w:val="32"/>
          <w:szCs w:val="32"/>
          <w:highlight w:val="none"/>
          <w:lang w:val="en-US" w:eastAsia="zh-CN" w:bidi="ar-SA"/>
        </w:rPr>
        <w:t>3、</w:t>
      </w:r>
      <w:r>
        <w:rPr>
          <w:rStyle w:val="17"/>
          <w:rFonts w:ascii="Times New Roman" w:hAnsi="Times New Roman" w:eastAsia="仿宋_GB2312" w:cs="Times New Roman"/>
          <w:b/>
          <w:color w:val="000000"/>
          <w:highlight w:val="none"/>
        </w:rPr>
        <w:t>医疗卫生与计划生育210（类）行政事业单位医疗11（款）行政单位医疗01（项）:</w:t>
      </w:r>
      <w:r>
        <w:rPr>
          <w:rStyle w:val="17"/>
          <w:rFonts w:hint="eastAsia" w:ascii="仿宋" w:hAnsi="仿宋" w:eastAsia="仿宋"/>
          <w:b w:val="0"/>
          <w:color w:val="000000"/>
          <w:highlight w:val="none"/>
        </w:rPr>
        <w:t>支出决算为</w:t>
      </w:r>
      <w:r>
        <w:rPr>
          <w:rStyle w:val="17"/>
          <w:rFonts w:hint="eastAsia" w:ascii="仿宋" w:hAnsi="仿宋" w:eastAsia="仿宋"/>
          <w:b w:val="0"/>
          <w:color w:val="000000"/>
          <w:highlight w:val="none"/>
          <w:lang w:val="en-US" w:eastAsia="zh-CN"/>
        </w:rPr>
        <w:t>1.14</w:t>
      </w:r>
      <w:r>
        <w:rPr>
          <w:rStyle w:val="17"/>
          <w:rFonts w:hint="eastAsia" w:ascii="仿宋" w:hAnsi="仿宋" w:eastAsia="仿宋"/>
          <w:b w:val="0"/>
          <w:color w:val="000000"/>
          <w:highlight w:val="none"/>
        </w:rPr>
        <w:t>万元，完成预算100%，</w:t>
      </w:r>
      <w:r>
        <w:rPr>
          <w:rStyle w:val="17"/>
          <w:rFonts w:hint="eastAsia" w:ascii="Times New Roman" w:hAnsi="Times New Roman" w:eastAsia="仿宋_GB2312" w:cs="Times New Roman"/>
          <w:b w:val="0"/>
          <w:bCs w:val="0"/>
          <w:color w:val="000000"/>
          <w:highlight w:val="none"/>
        </w:rPr>
        <w:t>决算数等于预算数。</w:t>
      </w:r>
      <w:bookmarkEnd w:id="42"/>
      <w:bookmarkEnd w:id="43"/>
    </w:p>
    <w:p>
      <w:pPr>
        <w:spacing w:line="540" w:lineRule="exact"/>
        <w:ind w:firstLine="640" w:firstLineChars="200"/>
        <w:rPr>
          <w:rStyle w:val="17"/>
          <w:rFonts w:hint="default" w:ascii="仿宋" w:hAnsi="仿宋" w:eastAsia="仿宋"/>
          <w:b w:val="0"/>
          <w:bCs/>
          <w:color w:val="000000"/>
          <w:sz w:val="32"/>
          <w:szCs w:val="32"/>
          <w:highlight w:val="none"/>
          <w:lang w:val="en-US" w:eastAsia="zh-CN"/>
        </w:rPr>
      </w:pPr>
      <w:r>
        <w:rPr>
          <w:rStyle w:val="17"/>
          <w:rFonts w:hint="eastAsia" w:ascii="仿宋" w:hAnsi="仿宋" w:eastAsia="仿宋"/>
          <w:b w:val="0"/>
          <w:bCs/>
          <w:color w:val="000000"/>
          <w:sz w:val="32"/>
          <w:szCs w:val="32"/>
          <w:highlight w:val="none"/>
          <w:lang w:val="en-US" w:eastAsia="zh-CN"/>
        </w:rPr>
        <w:t>4、</w:t>
      </w:r>
      <w:r>
        <w:rPr>
          <w:rStyle w:val="17"/>
          <w:rFonts w:eastAsia="仿宋_GB2312"/>
          <w:bCs/>
          <w:color w:val="000000"/>
          <w:sz w:val="32"/>
          <w:szCs w:val="32"/>
          <w:highlight w:val="none"/>
        </w:rPr>
        <w:t>医疗卫生与计划生育210（类）行政事业单位医疗11（款）</w:t>
      </w:r>
      <w:r>
        <w:rPr>
          <w:rStyle w:val="17"/>
          <w:rFonts w:hint="eastAsia" w:eastAsia="仿宋_GB2312"/>
          <w:bCs/>
          <w:color w:val="000000"/>
          <w:sz w:val="32"/>
          <w:szCs w:val="32"/>
          <w:highlight w:val="none"/>
          <w:lang w:eastAsia="zh-CN"/>
        </w:rPr>
        <w:t>事业单位医疗</w:t>
      </w:r>
      <w:r>
        <w:rPr>
          <w:rStyle w:val="17"/>
          <w:rFonts w:hint="eastAsia" w:eastAsia="仿宋_GB2312"/>
          <w:bCs/>
          <w:color w:val="000000"/>
          <w:sz w:val="32"/>
          <w:szCs w:val="32"/>
          <w:highlight w:val="none"/>
        </w:rPr>
        <w:t>0</w:t>
      </w:r>
      <w:r>
        <w:rPr>
          <w:rStyle w:val="17"/>
          <w:rFonts w:hint="eastAsia" w:eastAsia="仿宋_GB2312"/>
          <w:bCs/>
          <w:color w:val="000000"/>
          <w:sz w:val="32"/>
          <w:szCs w:val="32"/>
          <w:highlight w:val="none"/>
          <w:lang w:val="en-US" w:eastAsia="zh-CN"/>
        </w:rPr>
        <w:t>2</w:t>
      </w:r>
      <w:r>
        <w:rPr>
          <w:rStyle w:val="17"/>
          <w:rFonts w:eastAsia="仿宋_GB2312"/>
          <w:bCs/>
          <w:color w:val="000000"/>
          <w:sz w:val="32"/>
          <w:szCs w:val="32"/>
          <w:highlight w:val="none"/>
        </w:rPr>
        <w:t>（项）</w:t>
      </w:r>
      <w:r>
        <w:rPr>
          <w:rStyle w:val="17"/>
          <w:rFonts w:hint="eastAsia" w:ascii="仿宋" w:hAnsi="仿宋" w:eastAsia="仿宋"/>
          <w:b w:val="0"/>
          <w:bCs/>
          <w:color w:val="000000"/>
          <w:sz w:val="32"/>
          <w:szCs w:val="32"/>
          <w:highlight w:val="none"/>
        </w:rPr>
        <w:t>：支出决算为</w:t>
      </w:r>
      <w:r>
        <w:rPr>
          <w:rStyle w:val="17"/>
          <w:rFonts w:hint="eastAsia" w:ascii="仿宋" w:hAnsi="仿宋" w:eastAsia="仿宋"/>
          <w:b w:val="0"/>
          <w:bCs/>
          <w:color w:val="000000"/>
          <w:sz w:val="32"/>
          <w:szCs w:val="32"/>
          <w:highlight w:val="none"/>
          <w:lang w:val="en-US" w:eastAsia="zh-CN"/>
        </w:rPr>
        <w:t>10.84</w:t>
      </w:r>
      <w:r>
        <w:rPr>
          <w:rStyle w:val="17"/>
          <w:rFonts w:hint="eastAsia" w:ascii="仿宋" w:hAnsi="仿宋" w:eastAsia="仿宋"/>
          <w:b w:val="0"/>
          <w:bCs/>
          <w:color w:val="000000"/>
          <w:sz w:val="32"/>
          <w:szCs w:val="32"/>
          <w:highlight w:val="none"/>
        </w:rPr>
        <w:t>万元，完成预算100%，决算数等于预算数。</w:t>
      </w:r>
    </w:p>
    <w:p>
      <w:pPr>
        <w:spacing w:line="540" w:lineRule="exact"/>
        <w:ind w:firstLine="640" w:firstLineChars="200"/>
        <w:rPr>
          <w:rStyle w:val="17"/>
          <w:rFonts w:ascii="仿宋" w:hAnsi="仿宋" w:eastAsia="仿宋_GB2312"/>
          <w:b w:val="0"/>
          <w:bCs/>
          <w:color w:val="000000"/>
          <w:sz w:val="32"/>
          <w:szCs w:val="32"/>
          <w:highlight w:val="none"/>
        </w:rPr>
      </w:pPr>
      <w:r>
        <w:rPr>
          <w:rStyle w:val="17"/>
          <w:rFonts w:hint="eastAsia" w:ascii="仿宋" w:hAnsi="仿宋" w:eastAsia="仿宋"/>
          <w:b w:val="0"/>
          <w:bCs/>
          <w:color w:val="000000"/>
          <w:sz w:val="32"/>
          <w:szCs w:val="32"/>
          <w:highlight w:val="none"/>
          <w:lang w:val="en-US" w:eastAsia="zh-CN"/>
        </w:rPr>
        <w:t>5</w:t>
      </w:r>
      <w:r>
        <w:rPr>
          <w:rStyle w:val="17"/>
          <w:rFonts w:hint="eastAsia" w:ascii="仿宋" w:hAnsi="仿宋" w:eastAsia="仿宋"/>
          <w:b w:val="0"/>
          <w:bCs/>
          <w:color w:val="000000"/>
          <w:sz w:val="32"/>
          <w:szCs w:val="32"/>
          <w:highlight w:val="none"/>
          <w:lang w:eastAsia="zh-CN"/>
        </w:rPr>
        <w:t>、</w:t>
      </w:r>
      <w:r>
        <w:rPr>
          <w:rStyle w:val="17"/>
          <w:rFonts w:eastAsia="仿宋_GB2312"/>
          <w:bCs/>
          <w:color w:val="000000"/>
          <w:sz w:val="32"/>
          <w:szCs w:val="32"/>
          <w:highlight w:val="none"/>
        </w:rPr>
        <w:t>医疗卫生与计划生育210（类）行政事业单位医疗11（款）</w:t>
      </w:r>
      <w:r>
        <w:rPr>
          <w:rStyle w:val="17"/>
          <w:rFonts w:hint="eastAsia" w:eastAsia="仿宋_GB2312"/>
          <w:bCs/>
          <w:color w:val="000000"/>
          <w:sz w:val="32"/>
          <w:szCs w:val="32"/>
          <w:highlight w:val="none"/>
        </w:rPr>
        <w:t>公务员医疗补助03</w:t>
      </w:r>
      <w:r>
        <w:rPr>
          <w:rStyle w:val="17"/>
          <w:rFonts w:eastAsia="仿宋_GB2312"/>
          <w:bCs/>
          <w:color w:val="000000"/>
          <w:sz w:val="32"/>
          <w:szCs w:val="32"/>
          <w:highlight w:val="none"/>
        </w:rPr>
        <w:t>（项）</w:t>
      </w:r>
      <w:r>
        <w:rPr>
          <w:rStyle w:val="17"/>
          <w:rFonts w:hint="eastAsia" w:ascii="仿宋" w:hAnsi="仿宋" w:eastAsia="仿宋"/>
          <w:b w:val="0"/>
          <w:bCs/>
          <w:color w:val="000000"/>
          <w:sz w:val="32"/>
          <w:szCs w:val="32"/>
          <w:highlight w:val="none"/>
        </w:rPr>
        <w:t>：支出决算为</w:t>
      </w:r>
      <w:r>
        <w:rPr>
          <w:rStyle w:val="17"/>
          <w:rFonts w:hint="eastAsia" w:ascii="仿宋" w:hAnsi="仿宋" w:eastAsia="仿宋"/>
          <w:b w:val="0"/>
          <w:bCs/>
          <w:color w:val="000000"/>
          <w:sz w:val="32"/>
          <w:szCs w:val="32"/>
          <w:highlight w:val="none"/>
          <w:lang w:val="en-US" w:eastAsia="zh-CN"/>
        </w:rPr>
        <w:t>3.24</w:t>
      </w:r>
      <w:r>
        <w:rPr>
          <w:rStyle w:val="17"/>
          <w:rFonts w:hint="eastAsia" w:ascii="仿宋" w:hAnsi="仿宋" w:eastAsia="仿宋"/>
          <w:b w:val="0"/>
          <w:bCs/>
          <w:color w:val="000000"/>
          <w:sz w:val="32"/>
          <w:szCs w:val="32"/>
          <w:highlight w:val="none"/>
        </w:rPr>
        <w:t>万元，完成预算100%，决算数等于预算数。</w:t>
      </w:r>
    </w:p>
    <w:p>
      <w:pPr>
        <w:spacing w:line="540" w:lineRule="exact"/>
        <w:ind w:firstLine="640" w:firstLineChars="200"/>
        <w:rPr>
          <w:rStyle w:val="17"/>
          <w:rFonts w:ascii="仿宋" w:hAnsi="仿宋" w:eastAsia="仿宋"/>
          <w:b w:val="0"/>
          <w:bCs/>
          <w:color w:val="000000"/>
          <w:sz w:val="32"/>
          <w:szCs w:val="32"/>
          <w:highlight w:val="none"/>
        </w:rPr>
      </w:pPr>
      <w:r>
        <w:rPr>
          <w:rStyle w:val="17"/>
          <w:rFonts w:hint="eastAsia" w:ascii="仿宋" w:hAnsi="仿宋" w:eastAsia="仿宋" w:cstheme="minorBidi"/>
          <w:b w:val="0"/>
          <w:bCs/>
          <w:color w:val="000000"/>
          <w:sz w:val="32"/>
          <w:szCs w:val="32"/>
          <w:highlight w:val="none"/>
          <w:lang w:val="en-US" w:eastAsia="zh-CN"/>
        </w:rPr>
        <w:t>6、</w:t>
      </w:r>
      <w:r>
        <w:rPr>
          <w:rStyle w:val="17"/>
          <w:rFonts w:hint="eastAsia" w:ascii="仿宋" w:hAnsi="仿宋" w:eastAsia="仿宋"/>
          <w:color w:val="000000"/>
          <w:sz w:val="32"/>
          <w:szCs w:val="32"/>
          <w:highlight w:val="none"/>
        </w:rPr>
        <w:t>交通运输支出214（类）公路水路运输01（款）行政运行01（项）：</w:t>
      </w:r>
      <w:r>
        <w:rPr>
          <w:rStyle w:val="17"/>
          <w:rFonts w:hint="eastAsia" w:ascii="仿宋" w:hAnsi="仿宋" w:eastAsia="仿宋"/>
          <w:b w:val="0"/>
          <w:bCs/>
          <w:color w:val="000000"/>
          <w:sz w:val="32"/>
          <w:szCs w:val="32"/>
          <w:highlight w:val="none"/>
        </w:rPr>
        <w:t>支出决算为</w:t>
      </w:r>
      <w:r>
        <w:rPr>
          <w:rStyle w:val="17"/>
          <w:rFonts w:hint="eastAsia" w:ascii="仿宋" w:hAnsi="仿宋" w:eastAsia="仿宋"/>
          <w:b w:val="0"/>
          <w:bCs/>
          <w:color w:val="000000"/>
          <w:sz w:val="32"/>
          <w:szCs w:val="32"/>
          <w:highlight w:val="none"/>
          <w:lang w:val="en-US" w:eastAsia="zh-CN"/>
        </w:rPr>
        <w:t>164.40</w:t>
      </w:r>
      <w:r>
        <w:rPr>
          <w:rStyle w:val="17"/>
          <w:rFonts w:hint="eastAsia" w:ascii="仿宋" w:hAnsi="仿宋" w:eastAsia="仿宋"/>
          <w:b w:val="0"/>
          <w:bCs/>
          <w:color w:val="000000"/>
          <w:sz w:val="32"/>
          <w:szCs w:val="32"/>
          <w:highlight w:val="none"/>
        </w:rPr>
        <w:t>万元，完成预算100%，决算数等于预算数。</w:t>
      </w:r>
    </w:p>
    <w:p>
      <w:pPr>
        <w:spacing w:line="540" w:lineRule="exact"/>
        <w:ind w:firstLine="640" w:firstLineChars="200"/>
        <w:rPr>
          <w:rStyle w:val="17"/>
          <w:rFonts w:hint="eastAsia" w:ascii="仿宋" w:hAnsi="仿宋" w:eastAsia="仿宋"/>
          <w:b w:val="0"/>
          <w:bCs/>
          <w:color w:val="000000"/>
          <w:sz w:val="32"/>
          <w:szCs w:val="32"/>
          <w:highlight w:val="none"/>
        </w:rPr>
      </w:pPr>
      <w:r>
        <w:rPr>
          <w:rStyle w:val="17"/>
          <w:rFonts w:hint="eastAsia" w:ascii="仿宋" w:hAnsi="仿宋" w:eastAsia="仿宋" w:cstheme="minorBidi"/>
          <w:b w:val="0"/>
          <w:bCs/>
          <w:color w:val="000000"/>
          <w:sz w:val="32"/>
          <w:szCs w:val="32"/>
          <w:highlight w:val="none"/>
          <w:lang w:val="en-US" w:eastAsia="zh-CN"/>
        </w:rPr>
        <w:t>7、</w:t>
      </w:r>
      <w:r>
        <w:rPr>
          <w:rStyle w:val="17"/>
          <w:rFonts w:hint="eastAsia" w:ascii="仿宋" w:hAnsi="仿宋" w:eastAsia="仿宋"/>
          <w:color w:val="000000"/>
          <w:sz w:val="32"/>
          <w:szCs w:val="32"/>
          <w:highlight w:val="none"/>
        </w:rPr>
        <w:t>交通运输支出214（类）公路水路运输01（款）其他公路水路运输支出99（项）：</w:t>
      </w:r>
      <w:r>
        <w:rPr>
          <w:rStyle w:val="17"/>
          <w:rFonts w:hint="eastAsia" w:ascii="仿宋" w:hAnsi="仿宋" w:eastAsia="仿宋"/>
          <w:b w:val="0"/>
          <w:bCs/>
          <w:color w:val="000000"/>
          <w:sz w:val="32"/>
          <w:szCs w:val="32"/>
          <w:highlight w:val="none"/>
        </w:rPr>
        <w:t>支出决算为</w:t>
      </w:r>
      <w:r>
        <w:rPr>
          <w:rStyle w:val="17"/>
          <w:rFonts w:hint="eastAsia" w:ascii="仿宋" w:hAnsi="仿宋" w:eastAsia="仿宋"/>
          <w:b w:val="0"/>
          <w:bCs/>
          <w:color w:val="000000"/>
          <w:sz w:val="32"/>
          <w:szCs w:val="32"/>
          <w:highlight w:val="none"/>
          <w:lang w:val="en-US" w:eastAsia="zh-CN"/>
        </w:rPr>
        <w:t>550.41</w:t>
      </w:r>
      <w:r>
        <w:rPr>
          <w:rStyle w:val="17"/>
          <w:rFonts w:hint="eastAsia" w:ascii="仿宋" w:hAnsi="仿宋" w:eastAsia="仿宋"/>
          <w:b w:val="0"/>
          <w:bCs/>
          <w:color w:val="000000"/>
          <w:sz w:val="32"/>
          <w:szCs w:val="32"/>
          <w:highlight w:val="none"/>
        </w:rPr>
        <w:t>万元，完成预算100%，决算数等于预算数。</w:t>
      </w:r>
    </w:p>
    <w:p>
      <w:pPr>
        <w:spacing w:line="240" w:lineRule="auto"/>
        <w:ind w:firstLine="640" w:firstLineChars="200"/>
        <w:rPr>
          <w:rFonts w:ascii="仿宋" w:hAnsi="仿宋" w:eastAsia="仿宋"/>
          <w:b/>
          <w:color w:val="auto"/>
          <w:sz w:val="32"/>
          <w:szCs w:val="32"/>
          <w:highlight w:val="none"/>
        </w:rPr>
      </w:pPr>
      <w:r>
        <w:rPr>
          <w:rStyle w:val="17"/>
          <w:rFonts w:hint="eastAsia" w:ascii="仿宋" w:hAnsi="仿宋" w:eastAsia="仿宋" w:cstheme="minorBidi"/>
          <w:b w:val="0"/>
          <w:bCs/>
          <w:color w:val="000000"/>
          <w:sz w:val="32"/>
          <w:szCs w:val="32"/>
          <w:highlight w:val="none"/>
          <w:lang w:val="en-US" w:eastAsia="zh-CN"/>
        </w:rPr>
        <w:t>8、</w:t>
      </w:r>
      <w:r>
        <w:rPr>
          <w:rFonts w:eastAsia="仿宋_GB2312"/>
          <w:b/>
          <w:color w:val="000000"/>
          <w:sz w:val="32"/>
          <w:szCs w:val="32"/>
          <w:highlight w:val="none"/>
        </w:rPr>
        <w:t>住</w:t>
      </w:r>
      <w:r>
        <w:rPr>
          <w:rFonts w:eastAsia="仿宋_GB2312"/>
          <w:b/>
          <w:bCs/>
          <w:color w:val="000000"/>
          <w:sz w:val="32"/>
          <w:szCs w:val="32"/>
          <w:highlight w:val="none"/>
        </w:rPr>
        <w:t>房保障221（类）住房改革支出02（款）住房公积金01（项）：</w:t>
      </w:r>
      <w:r>
        <w:rPr>
          <w:rFonts w:eastAsia="仿宋_GB2312"/>
          <w:color w:val="000000"/>
          <w:sz w:val="32"/>
          <w:szCs w:val="32"/>
          <w:highlight w:val="none"/>
        </w:rPr>
        <w:t>支出决算为</w:t>
      </w:r>
      <w:r>
        <w:rPr>
          <w:rFonts w:hint="eastAsia" w:eastAsia="仿宋_GB2312"/>
          <w:kern w:val="0"/>
          <w:sz w:val="32"/>
          <w:szCs w:val="32"/>
          <w:highlight w:val="none"/>
          <w:lang w:val="en-US" w:eastAsia="zh-CN"/>
        </w:rPr>
        <w:t>26.66</w:t>
      </w:r>
      <w:r>
        <w:rPr>
          <w:rFonts w:eastAsia="仿宋_GB2312"/>
          <w:color w:val="000000"/>
          <w:sz w:val="32"/>
          <w:szCs w:val="32"/>
          <w:highlight w:val="none"/>
        </w:rPr>
        <w:t>万元，</w:t>
      </w:r>
      <w:r>
        <w:rPr>
          <w:rStyle w:val="17"/>
          <w:rFonts w:hint="eastAsia" w:ascii="仿宋" w:hAnsi="仿宋" w:eastAsia="仿宋"/>
          <w:b w:val="0"/>
          <w:bCs/>
          <w:color w:val="000000"/>
          <w:sz w:val="32"/>
          <w:szCs w:val="32"/>
          <w:highlight w:val="none"/>
        </w:rPr>
        <w:t>完成预算100%，决算数等于预算数。</w:t>
      </w:r>
    </w:p>
    <w:p>
      <w:pPr>
        <w:tabs>
          <w:tab w:val="right" w:pos="8306"/>
        </w:tabs>
        <w:spacing w:line="600" w:lineRule="exact"/>
        <w:ind w:firstLine="640"/>
        <w:outlineLvl w:val="1"/>
        <w:rPr>
          <w:rStyle w:val="29"/>
          <w:color w:val="auto"/>
          <w:highlight w:val="none"/>
        </w:rPr>
      </w:pPr>
      <w:bookmarkStart w:id="44" w:name="_Toc15396608"/>
      <w:bookmarkStart w:id="4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4"/>
      <w:bookmarkEnd w:id="45"/>
      <w:r>
        <w:rPr>
          <w:rStyle w:val="2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371.93</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326.25</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45.68</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color w:val="auto"/>
          <w:highlight w:val="none"/>
        </w:rPr>
      </w:pPr>
      <w:bookmarkStart w:id="46" w:name="_Toc15377215"/>
      <w:bookmarkStart w:id="47" w:name="_Toc15396609"/>
      <w:r>
        <w:rPr>
          <w:rFonts w:hint="eastAsia" w:ascii="黑体" w:eastAsia="黑体"/>
          <w:color w:val="auto"/>
          <w:sz w:val="32"/>
          <w:szCs w:val="32"/>
          <w:highlight w:val="none"/>
        </w:rPr>
        <w:t>七、</w:t>
      </w:r>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bookmarkEnd w:id="46"/>
      <w:bookmarkEnd w:id="47"/>
    </w:p>
    <w:p>
      <w:pPr>
        <w:spacing w:line="600" w:lineRule="exact"/>
        <w:ind w:firstLine="640"/>
        <w:outlineLvl w:val="2"/>
        <w:rPr>
          <w:rFonts w:ascii="仿宋" w:hAnsi="仿宋" w:eastAsia="仿宋"/>
          <w:b/>
          <w:color w:val="auto"/>
          <w:sz w:val="32"/>
          <w:szCs w:val="32"/>
          <w:highlight w:val="none"/>
        </w:rPr>
      </w:pPr>
      <w:bookmarkStart w:id="48" w:name="_Toc15377216"/>
      <w:r>
        <w:rPr>
          <w:rFonts w:hint="eastAsia" w:ascii="仿宋" w:hAnsi="仿宋" w:eastAsia="仿宋"/>
          <w:b/>
          <w:color w:val="auto"/>
          <w:sz w:val="32"/>
          <w:szCs w:val="32"/>
          <w:highlight w:val="none"/>
        </w:rPr>
        <w:t>（一）“三公”经费财政拨款支出决算总体情况说明</w:t>
      </w:r>
      <w:bookmarkEnd w:id="4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spacing w:line="600" w:lineRule="exact"/>
        <w:ind w:firstLine="640"/>
        <w:outlineLvl w:val="2"/>
        <w:rPr>
          <w:rFonts w:ascii="仿宋" w:hAnsi="仿宋" w:eastAsia="仿宋"/>
          <w:b/>
          <w:color w:val="auto"/>
          <w:sz w:val="32"/>
          <w:szCs w:val="32"/>
          <w:highlight w:val="none"/>
        </w:rPr>
      </w:pPr>
      <w:bookmarkStart w:id="49" w:name="_Toc15377217"/>
      <w:r>
        <w:rPr>
          <w:rFonts w:hint="eastAsia" w:ascii="仿宋" w:hAnsi="仿宋" w:eastAsia="仿宋"/>
          <w:b/>
          <w:color w:val="auto"/>
          <w:sz w:val="32"/>
          <w:szCs w:val="32"/>
          <w:highlight w:val="none"/>
        </w:rPr>
        <w:t>（二）“三公”经费财政拨款支出决算具体情况说明</w:t>
      </w:r>
      <w:bookmarkEnd w:id="4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red"/>
        </w:rPr>
      </w:pPr>
      <w:r>
        <w:rPr>
          <w:rFonts w:ascii="仿宋" w:hAnsi="仿宋" w:eastAsia="仿宋"/>
          <w:sz w:val="32"/>
          <w:szCs w:val="32"/>
        </w:rPr>
        <w:drawing>
          <wp:anchor distT="0" distB="0" distL="0" distR="0" simplePos="0" relativeHeight="251660288" behindDoc="0" locked="0" layoutInCell="1" allowOverlap="1">
            <wp:simplePos x="0" y="0"/>
            <wp:positionH relativeFrom="column">
              <wp:posOffset>278130</wp:posOffset>
            </wp:positionH>
            <wp:positionV relativeFrom="paragraph">
              <wp:posOffset>356870</wp:posOffset>
            </wp:positionV>
            <wp:extent cx="5274310" cy="3076575"/>
            <wp:effectExtent l="5080" t="4445" r="16510" b="508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outlineLvl w:val="1"/>
        <w:rPr>
          <w:rStyle w:val="29"/>
          <w:rFonts w:ascii="黑体" w:hAnsi="黑体" w:eastAsia="黑体"/>
          <w:color w:val="auto"/>
          <w:highlight w:val="none"/>
        </w:rPr>
      </w:pPr>
      <w:bookmarkStart w:id="50" w:name="_Toc15377218"/>
      <w:bookmarkStart w:id="51" w:name="_Toc15396610"/>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50"/>
      <w:bookmarkEnd w:id="5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9"/>
          <w:rFonts w:ascii="黑体" w:hAnsi="黑体" w:eastAsia="黑体"/>
          <w:b w:val="0"/>
          <w:color w:val="auto"/>
          <w:highlight w:val="none"/>
        </w:rPr>
      </w:pPr>
      <w:bookmarkStart w:id="52" w:name="_Toc15377219"/>
      <w:bookmarkStart w:id="53" w:name="_Toc15396611"/>
      <w:r>
        <w:rPr>
          <w:rStyle w:val="29"/>
          <w:rFonts w:hint="eastAsia" w:ascii="黑体" w:hAnsi="黑体" w:eastAsia="黑体"/>
          <w:b w:val="0"/>
          <w:color w:val="auto"/>
          <w:highlight w:val="none"/>
        </w:rPr>
        <w:t>国有资本经营预算支出决算情况说明</w:t>
      </w:r>
      <w:bookmarkEnd w:id="52"/>
      <w:bookmarkEnd w:id="5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9"/>
          <w:rFonts w:hint="eastAsia" w:ascii="黑体" w:hAnsi="黑体" w:eastAsia="黑体"/>
          <w:b w:val="0"/>
          <w:color w:val="auto"/>
          <w:highlight w:val="none"/>
        </w:rPr>
      </w:pPr>
      <w:bookmarkStart w:id="54" w:name="_Toc15396612"/>
      <w:bookmarkStart w:id="55" w:name="_Toc15377221"/>
      <w:r>
        <w:rPr>
          <w:rStyle w:val="29"/>
          <w:rFonts w:hint="eastAsia" w:ascii="黑体" w:hAnsi="黑体" w:eastAsia="黑体"/>
          <w:b w:val="0"/>
          <w:color w:val="auto"/>
          <w:highlight w:val="none"/>
        </w:rPr>
        <w:t>其他重要事项的情况说明</w:t>
      </w:r>
      <w:bookmarkEnd w:id="54"/>
      <w:bookmarkEnd w:id="55"/>
    </w:p>
    <w:p>
      <w:pPr>
        <w:spacing w:line="600" w:lineRule="exact"/>
        <w:ind w:firstLine="643" w:firstLineChars="200"/>
        <w:outlineLvl w:val="2"/>
        <w:rPr>
          <w:rFonts w:ascii="仿宋" w:hAnsi="仿宋" w:eastAsia="仿宋"/>
          <w:color w:val="auto"/>
          <w:sz w:val="32"/>
          <w:szCs w:val="32"/>
          <w:highlight w:val="none"/>
        </w:rPr>
      </w:pPr>
      <w:bookmarkStart w:id="56" w:name="_Toc15377222"/>
      <w:r>
        <w:rPr>
          <w:rFonts w:hint="eastAsia" w:ascii="仿宋" w:hAnsi="仿宋" w:eastAsia="仿宋"/>
          <w:b/>
          <w:color w:val="auto"/>
          <w:sz w:val="32"/>
          <w:szCs w:val="32"/>
          <w:highlight w:val="none"/>
        </w:rPr>
        <w:t>（一）机关运行经费支出情况</w:t>
      </w:r>
      <w:bookmarkEnd w:id="5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区运管所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45.68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21.87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32.38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厉行节俭，日常公用经费减少</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7" w:name="_Toc15377223"/>
      <w:r>
        <w:rPr>
          <w:rFonts w:hint="eastAsia" w:ascii="仿宋" w:hAnsi="仿宋" w:eastAsia="仿宋"/>
          <w:b/>
          <w:color w:val="auto"/>
          <w:sz w:val="32"/>
          <w:szCs w:val="32"/>
          <w:highlight w:val="none"/>
        </w:rPr>
        <w:t>（二）政府采购支出情况</w:t>
      </w:r>
      <w:bookmarkEnd w:id="5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区运管</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8" w:name="_Toc15377224"/>
      <w:r>
        <w:rPr>
          <w:rFonts w:hint="eastAsia" w:ascii="仿宋" w:hAnsi="仿宋" w:eastAsia="仿宋"/>
          <w:b/>
          <w:color w:val="auto"/>
          <w:sz w:val="32"/>
          <w:szCs w:val="32"/>
          <w:highlight w:val="none"/>
        </w:rPr>
        <w:t>（三）国有资产占有使用情况</w:t>
      </w:r>
      <w:bookmarkEnd w:id="58"/>
    </w:p>
    <w:p>
      <w:pPr>
        <w:spacing w:line="540" w:lineRule="exact"/>
        <w:ind w:firstLine="640" w:firstLineChars="200"/>
        <w:rPr>
          <w:highlight w:val="none"/>
        </w:rPr>
      </w:pPr>
      <w:r>
        <w:rPr>
          <w:rFonts w:hint="eastAsia" w:ascii="仿宋_GB2312" w:eastAsia="仿宋_GB2312"/>
          <w:color w:val="000000"/>
          <w:sz w:val="32"/>
          <w:szCs w:val="32"/>
          <w:highlight w:val="none"/>
        </w:rPr>
        <w:t>截至</w:t>
      </w:r>
      <w:r>
        <w:rPr>
          <w:rFonts w:ascii="仿宋_GB2312" w:eastAsia="仿宋_GB2312"/>
          <w:color w:val="000000"/>
          <w:sz w:val="32"/>
          <w:szCs w:val="32"/>
          <w:highlight w:val="none"/>
        </w:rPr>
        <w:t>20</w:t>
      </w: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w:t>
      </w:r>
      <w:r>
        <w:rPr>
          <w:rFonts w:ascii="仿宋_GB2312" w:eastAsia="仿宋_GB2312"/>
          <w:color w:val="000000"/>
          <w:sz w:val="32"/>
          <w:szCs w:val="32"/>
          <w:highlight w:val="none"/>
        </w:rPr>
        <w:t>31</w:t>
      </w:r>
      <w:r>
        <w:rPr>
          <w:rFonts w:hint="eastAsia" w:ascii="仿宋_GB2312" w:eastAsia="仿宋_GB2312"/>
          <w:color w:val="000000"/>
          <w:sz w:val="32"/>
          <w:szCs w:val="32"/>
          <w:highlight w:val="none"/>
        </w:rPr>
        <w:t>日，安居区运管所共有车辆0辆，其中：轿车0辆、越野车0辆、其他车辆0辆。主要是用于道路巡查、道路安全维护等相关公路维护业务开展。</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市公交公司经营性补贴、一次性追加运输领域助企解难专项资金、2020年度农村客运出租车成品油价格补助资金</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等3</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个项目开展绩效监控，组织对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个项目开展绩效自评，绩效自评表详见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8"/>
          <w:rFonts w:ascii="黑体" w:hAnsi="黑体" w:eastAsia="黑体"/>
          <w:b w:val="0"/>
          <w:color w:val="auto"/>
          <w:highlight w:val="none"/>
        </w:rPr>
      </w:pPr>
      <w:bookmarkStart w:id="59" w:name="_Toc15377225"/>
      <w:bookmarkStart w:id="60" w:name="_Toc15396613"/>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59"/>
      <w:bookmarkEnd w:id="60"/>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sz w:val="32"/>
          <w:szCs w:val="32"/>
          <w:highlight w:val="none"/>
        </w:rPr>
      </w:pPr>
      <w:bookmarkStart w:id="61" w:name="_Toc15377226"/>
      <w:r>
        <w:rPr>
          <w:rFonts w:ascii="仿宋_GB2312" w:eastAsia="仿宋_GB2312"/>
          <w:sz w:val="32"/>
          <w:szCs w:val="32"/>
          <w:highlight w:val="none"/>
        </w:rPr>
        <w:t>1.</w:t>
      </w:r>
      <w:r>
        <w:rPr>
          <w:rFonts w:hint="eastAsia" w:ascii="仿宋_GB2312" w:eastAsia="仿宋_GB2312"/>
          <w:sz w:val="32"/>
          <w:szCs w:val="32"/>
          <w:highlight w:val="none"/>
        </w:rPr>
        <w:t>财政拨款收入：指单位从同级财政部门取得的财政预算资金。</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事业收入：指事业单位开展专业业务活动及辅助活动取得的收入。</w:t>
      </w:r>
    </w:p>
    <w:p>
      <w:pPr>
        <w:pStyle w:val="26"/>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经营收入：指事业单位在专业业务活动及其辅助活动之外开展非独立核算经营活动取得的收入。</w:t>
      </w:r>
    </w:p>
    <w:p>
      <w:pPr>
        <w:pStyle w:val="26"/>
        <w:spacing w:line="560" w:lineRule="exact"/>
        <w:ind w:firstLine="640" w:firstLineChars="200"/>
        <w:rPr>
          <w:rFonts w:hint="eastAsia" w:ascii="仿宋_GB2312" w:eastAsia="仿宋_GB2312" w:cs="黑体"/>
          <w:sz w:val="32"/>
          <w:szCs w:val="32"/>
          <w:highlight w:val="none"/>
        </w:rPr>
      </w:pPr>
      <w:r>
        <w:rPr>
          <w:rFonts w:hint="eastAsia" w:ascii="仿宋_GB2312" w:eastAsia="仿宋_GB2312" w:cs="黑体"/>
          <w:sz w:val="32"/>
          <w:szCs w:val="32"/>
          <w:highlight w:val="none"/>
          <w:lang w:val="en-US" w:eastAsia="zh-CN"/>
        </w:rPr>
        <w:t>4</w:t>
      </w:r>
      <w:r>
        <w:rPr>
          <w:rFonts w:hint="eastAsia" w:ascii="仿宋_GB2312" w:eastAsia="仿宋_GB2312" w:cs="黑体"/>
          <w:sz w:val="32"/>
          <w:szCs w:val="32"/>
          <w:highlight w:val="none"/>
        </w:rPr>
        <w:t>.其他收入：指除上述“财政拨款收入”、“事业收入”、“经营收入”等以外的收入。</w:t>
      </w:r>
    </w:p>
    <w:p>
      <w:pPr>
        <w:pStyle w:val="26"/>
        <w:spacing w:line="560" w:lineRule="exact"/>
        <w:ind w:firstLine="640" w:firstLineChars="200"/>
        <w:rPr>
          <w:rFonts w:hint="eastAsia" w:ascii="仿宋_GB2312" w:eastAsia="仿宋_GB2312" w:cs="黑体"/>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highlight w:val="none"/>
        </w:rPr>
        <w:t xml:space="preserve"> </w:t>
      </w:r>
      <w:r>
        <w:rPr>
          <w:rFonts w:hint="eastAsia" w:ascii="仿宋_GB2312" w:eastAsia="仿宋_GB2312" w:cs="黑体"/>
          <w:sz w:val="32"/>
          <w:szCs w:val="32"/>
          <w:highlight w:val="none"/>
        </w:rPr>
        <w:t xml:space="preserve"> </w:t>
      </w:r>
    </w:p>
    <w:p>
      <w:pPr>
        <w:pStyle w:val="26"/>
        <w:spacing w:line="560" w:lineRule="exact"/>
        <w:ind w:firstLine="640" w:firstLineChars="200"/>
        <w:rPr>
          <w:rFonts w:hint="eastAsia" w:ascii="仿宋_GB2312" w:eastAsia="仿宋_GB2312" w:cs="黑体"/>
          <w:sz w:val="32"/>
          <w:szCs w:val="32"/>
          <w:highlight w:val="none"/>
        </w:rPr>
      </w:pPr>
      <w:r>
        <w:rPr>
          <w:rFonts w:hint="eastAsia" w:ascii="仿宋_GB2312" w:eastAsia="仿宋_GB2312" w:cs="黑体"/>
          <w:sz w:val="32"/>
          <w:szCs w:val="32"/>
          <w:highlight w:val="none"/>
          <w:lang w:val="en-US" w:eastAsia="zh-CN"/>
        </w:rPr>
        <w:t>6</w:t>
      </w:r>
      <w:r>
        <w:rPr>
          <w:rFonts w:hint="eastAsia" w:ascii="仿宋_GB2312" w:eastAsia="仿宋_GB2312" w:cs="黑体"/>
          <w:sz w:val="32"/>
          <w:szCs w:val="32"/>
          <w:highlight w:val="none"/>
        </w:rPr>
        <w:t xml:space="preserve">.年初结转和结余：指以前年度尚未完成、结转到本年按有关规定继续使用的资金。 </w:t>
      </w:r>
    </w:p>
    <w:p>
      <w:pPr>
        <w:pStyle w:val="2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7.</w:t>
      </w:r>
      <w:r>
        <w:rPr>
          <w:rFonts w:hint="eastAsia" w:ascii="仿宋_GB2312" w:eastAsia="仿宋_GB2312"/>
          <w:sz w:val="32"/>
          <w:szCs w:val="32"/>
          <w:highlight w:val="none"/>
        </w:rPr>
        <w:t>结余分配：指事业单位按照事业单位会计制度的规定从非财政补助结余中分配的事业基金和职工福利基金等。</w:t>
      </w:r>
    </w:p>
    <w:p>
      <w:pPr>
        <w:pStyle w:val="26"/>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8</w:t>
      </w:r>
      <w:r>
        <w:rPr>
          <w:rFonts w:hint="eastAsia" w:ascii="仿宋_GB2312" w:eastAsia="仿宋_GB2312"/>
          <w:sz w:val="32"/>
          <w:szCs w:val="32"/>
          <w:highlight w:val="none"/>
        </w:rPr>
        <w:t>、年末结转和结余：指单位按有关规定结转到下年或以后年度继续使用的资金。</w:t>
      </w:r>
    </w:p>
    <w:p>
      <w:pPr>
        <w:pStyle w:val="26"/>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9.其他一般公共服务支出（类）201（款）99（项）99：反映除国家赔偿方面的支出以外的其他一般公共服务支出。</w:t>
      </w:r>
    </w:p>
    <w:p>
      <w:pPr>
        <w:pStyle w:val="26"/>
        <w:spacing w:line="560" w:lineRule="exact"/>
        <w:ind w:firstLine="640" w:firstLineChars="200"/>
        <w:rPr>
          <w:rFonts w:hint="eastAsia" w:ascii="仿宋_GB2312" w:eastAsia="仿宋_GB2312" w:cs="黑体"/>
          <w:sz w:val="32"/>
          <w:szCs w:val="32"/>
          <w:highlight w:val="none"/>
        </w:rPr>
      </w:pPr>
      <w:r>
        <w:rPr>
          <w:rFonts w:hint="eastAsia" w:ascii="仿宋_GB2312" w:eastAsia="仿宋_GB2312" w:cs="黑体"/>
          <w:sz w:val="32"/>
          <w:szCs w:val="32"/>
          <w:highlight w:val="none"/>
          <w:lang w:val="en-US" w:eastAsia="zh-CN"/>
        </w:rPr>
        <w:t>10</w:t>
      </w:r>
      <w:r>
        <w:rPr>
          <w:rFonts w:hint="eastAsia" w:ascii="仿宋_GB2312" w:eastAsia="仿宋_GB2312" w:cs="黑体"/>
          <w:sz w:val="32"/>
          <w:szCs w:val="32"/>
          <w:highlight w:val="none"/>
        </w:rPr>
        <w:t>.交通运输支出：反映交通运输和邮政业方面的支出。2140101-行政运行，反映行政单位（包括实行公务员管理的事业单位）的基本支出。214010</w:t>
      </w:r>
      <w:r>
        <w:rPr>
          <w:rFonts w:hint="eastAsia" w:ascii="仿宋_GB2312" w:eastAsia="仿宋_GB2312" w:cs="黑体"/>
          <w:sz w:val="32"/>
          <w:szCs w:val="32"/>
          <w:highlight w:val="none"/>
          <w:lang w:val="en-US" w:eastAsia="zh-CN"/>
        </w:rPr>
        <w:t>4</w:t>
      </w:r>
      <w:r>
        <w:rPr>
          <w:rFonts w:hint="eastAsia" w:ascii="仿宋_GB2312" w:eastAsia="仿宋_GB2312" w:cs="黑体"/>
          <w:sz w:val="32"/>
          <w:szCs w:val="32"/>
          <w:highlight w:val="none"/>
        </w:rPr>
        <w:t>-公路</w:t>
      </w:r>
      <w:r>
        <w:rPr>
          <w:rFonts w:hint="eastAsia" w:ascii="仿宋_GB2312" w:eastAsia="仿宋_GB2312" w:cs="黑体"/>
          <w:sz w:val="32"/>
          <w:szCs w:val="32"/>
          <w:highlight w:val="none"/>
          <w:lang w:val="en-US" w:eastAsia="zh-CN"/>
        </w:rPr>
        <w:t>建设</w:t>
      </w:r>
      <w:r>
        <w:rPr>
          <w:rFonts w:hint="eastAsia" w:ascii="仿宋_GB2312" w:eastAsia="仿宋_GB2312" w:cs="黑体"/>
          <w:sz w:val="32"/>
          <w:szCs w:val="32"/>
          <w:highlight w:val="none"/>
        </w:rPr>
        <w:t>，反映</w:t>
      </w:r>
      <w:r>
        <w:rPr>
          <w:rFonts w:hint="eastAsia" w:ascii="仿宋_GB2312" w:eastAsia="仿宋_GB2312" w:cs="黑体"/>
          <w:sz w:val="32"/>
          <w:szCs w:val="32"/>
          <w:highlight w:val="none"/>
          <w:lang w:val="en-US" w:eastAsia="zh-CN"/>
        </w:rPr>
        <w:t>新建公路支出，公路改建支出，特大型桥梁建设支出，公路客货运站（场）建设支出</w:t>
      </w:r>
      <w:r>
        <w:rPr>
          <w:rFonts w:hint="eastAsia" w:ascii="仿宋_GB2312" w:eastAsia="仿宋_GB2312" w:cs="黑体"/>
          <w:sz w:val="32"/>
          <w:szCs w:val="32"/>
          <w:highlight w:val="none"/>
        </w:rPr>
        <w:t>。2140112-公路运输管理，反映公路运输管理支出和公路路政管理支出。2140131-海事管理，反映海事管理方面的支出。21401099-其他公路水路运输支出，反映除上述项目以外其他用于公路水路运输方面的支出。</w:t>
      </w:r>
    </w:p>
    <w:p>
      <w:pPr>
        <w:pStyle w:val="26"/>
        <w:spacing w:line="560" w:lineRule="exact"/>
        <w:ind w:firstLine="640" w:firstLineChars="200"/>
        <w:rPr>
          <w:rFonts w:hint="eastAsia" w:ascii="仿宋_GB2312" w:eastAsia="仿宋_GB2312" w:cs="黑体"/>
          <w:sz w:val="32"/>
          <w:szCs w:val="32"/>
          <w:highlight w:val="none"/>
        </w:rPr>
      </w:pPr>
      <w:r>
        <w:rPr>
          <w:rFonts w:hint="eastAsia" w:ascii="仿宋_GB2312" w:eastAsia="仿宋_GB2312" w:cs="黑体"/>
          <w:sz w:val="32"/>
          <w:szCs w:val="32"/>
          <w:highlight w:val="none"/>
        </w:rPr>
        <w:t xml:space="preserve"> </w:t>
      </w:r>
      <w:r>
        <w:rPr>
          <w:rFonts w:hint="eastAsia" w:ascii="仿宋_GB2312" w:eastAsia="仿宋_GB2312" w:cs="黑体"/>
          <w:sz w:val="32"/>
          <w:szCs w:val="32"/>
          <w:highlight w:val="none"/>
          <w:lang w:val="en-US" w:eastAsia="zh-CN"/>
        </w:rPr>
        <w:t>11</w:t>
      </w:r>
      <w:r>
        <w:rPr>
          <w:rFonts w:hint="eastAsia" w:ascii="仿宋_GB2312" w:eastAsia="仿宋_GB2312" w:cs="黑体"/>
          <w:sz w:val="32"/>
          <w:szCs w:val="32"/>
          <w:highlight w:val="none"/>
        </w:rPr>
        <w:t>.社会保障和就业：2080505-机关事业单位基本养老保险缴费支出，2080</w:t>
      </w:r>
      <w:r>
        <w:rPr>
          <w:rFonts w:hint="eastAsia" w:ascii="仿宋_GB2312" w:eastAsia="仿宋_GB2312" w:cs="黑体"/>
          <w:sz w:val="32"/>
          <w:szCs w:val="32"/>
          <w:highlight w:val="none"/>
          <w:lang w:val="en-US" w:eastAsia="zh-CN"/>
        </w:rPr>
        <w:t>8</w:t>
      </w:r>
      <w:r>
        <w:rPr>
          <w:rFonts w:hint="eastAsia" w:ascii="仿宋_GB2312" w:eastAsia="仿宋_GB2312" w:cs="黑体"/>
          <w:sz w:val="32"/>
          <w:szCs w:val="32"/>
          <w:highlight w:val="none"/>
        </w:rPr>
        <w:t>01-死亡抚恤，反映按规定用于烈士和牺牲、病故人员家属的一次性和定期抚恤以及丧葬补助费；2089901-其他社会保障和就业支出，反映上述项目以外其他用于社会保障和就业方面的支出。</w:t>
      </w:r>
    </w:p>
    <w:p>
      <w:pPr>
        <w:pStyle w:val="26"/>
        <w:spacing w:line="560" w:lineRule="exact"/>
        <w:ind w:firstLine="640" w:firstLineChars="200"/>
        <w:rPr>
          <w:rFonts w:hint="eastAsia" w:ascii="仿宋_GB2312" w:eastAsia="仿宋_GB2312" w:cs="黑体"/>
          <w:sz w:val="32"/>
          <w:szCs w:val="32"/>
          <w:highlight w:val="none"/>
        </w:rPr>
      </w:pPr>
      <w:r>
        <w:rPr>
          <w:rFonts w:hint="eastAsia" w:ascii="仿宋_GB2312" w:eastAsia="仿宋_GB2312" w:cs="黑体"/>
          <w:sz w:val="32"/>
          <w:szCs w:val="32"/>
          <w:highlight w:val="none"/>
          <w:lang w:val="en-US" w:eastAsia="zh-CN"/>
        </w:rPr>
        <w:t>12</w:t>
      </w:r>
      <w:r>
        <w:rPr>
          <w:rFonts w:hint="eastAsia" w:ascii="仿宋_GB2312" w:eastAsia="仿宋_GB2312" w:cs="黑体"/>
          <w:sz w:val="32"/>
          <w:szCs w:val="32"/>
          <w:highlight w:val="none"/>
        </w:rPr>
        <w:t>.住房保障支出：2210201-住房公积金支出，指反映行政事业单位按人力资源和社会保障部、财政部规定的基本工资和津贴补贴以及规定比例为职工缴纳的住房公积金。</w:t>
      </w:r>
    </w:p>
    <w:p>
      <w:pPr>
        <w:pStyle w:val="26"/>
        <w:spacing w:line="560" w:lineRule="exact"/>
        <w:ind w:firstLine="640" w:firstLineChars="200"/>
        <w:rPr>
          <w:rFonts w:hint="eastAsia" w:ascii="仿宋_GB2312" w:eastAsia="仿宋_GB2312" w:cs="黑体"/>
          <w:sz w:val="32"/>
          <w:szCs w:val="32"/>
          <w:highlight w:val="none"/>
          <w:lang w:val="en-US" w:eastAsia="zh-CN"/>
        </w:rPr>
      </w:pPr>
      <w:r>
        <w:rPr>
          <w:rFonts w:hint="eastAsia" w:ascii="仿宋_GB2312" w:eastAsia="仿宋_GB2312" w:cs="黑体"/>
          <w:sz w:val="32"/>
          <w:szCs w:val="32"/>
          <w:highlight w:val="none"/>
          <w:lang w:val="en-US" w:eastAsia="zh-CN"/>
        </w:rPr>
        <w:t>13</w:t>
      </w:r>
      <w:r>
        <w:rPr>
          <w:rFonts w:hint="eastAsia" w:ascii="仿宋_GB2312" w:eastAsia="仿宋_GB2312" w:cs="黑体"/>
          <w:sz w:val="32"/>
          <w:szCs w:val="32"/>
          <w:highlight w:val="none"/>
        </w:rPr>
        <w:t>.医疗卫生与计划生育：2101101-行政单位医疗，指反映财政部门集中安排的行政单位基本医疗保险缴费经费。2101102-事业单位医疗，反映财政部门集中安排事业单位的基本医疗保险经费。2101103-公务员医疗补助，反映财政部门集中安排的公务员医疗补助经费。</w:t>
      </w:r>
      <w:r>
        <w:rPr>
          <w:rFonts w:hint="eastAsia" w:ascii="仿宋_GB2312" w:eastAsia="仿宋_GB2312" w:cs="黑体"/>
          <w:sz w:val="32"/>
          <w:szCs w:val="32"/>
          <w:highlight w:val="none"/>
          <w:lang w:val="en-US" w:eastAsia="zh-CN"/>
        </w:rPr>
        <w:t>2101199-其他行政事业单位医疗支出，反映出上述项目以外的其他用于行政事业单位医疗方面的支出。</w:t>
      </w:r>
    </w:p>
    <w:p>
      <w:pPr>
        <w:pStyle w:val="26"/>
        <w:spacing w:line="560" w:lineRule="exact"/>
        <w:ind w:firstLine="640" w:firstLineChars="200"/>
        <w:rPr>
          <w:rFonts w:hint="eastAsia" w:ascii="仿宋_GB2312" w:eastAsia="仿宋_GB2312" w:cs="黑体"/>
          <w:sz w:val="32"/>
          <w:szCs w:val="32"/>
          <w:highlight w:val="none"/>
          <w:lang w:val="en-US" w:eastAsia="zh-CN"/>
        </w:rPr>
      </w:pPr>
      <w:r>
        <w:rPr>
          <w:rFonts w:hint="eastAsia" w:ascii="仿宋_GB2312" w:eastAsia="仿宋_GB2312" w:cs="黑体"/>
          <w:sz w:val="32"/>
          <w:szCs w:val="32"/>
          <w:highlight w:val="none"/>
          <w:lang w:val="en-US" w:eastAsia="zh-CN"/>
        </w:rPr>
        <w:t>14.城乡社区支出：反映政府城乡社区事务支出。2120399-其他城乡社区公共设施支出，反映了除小城镇基础设施建设支出以外其他用于城乡社区公共设施方面的支出。2120801-征地拆迁补偿支出，反映新疆生产建设兵团和地方政府在征地和收购土地过程中支付的土地补偿费、安置补助费、地上附着和青苗补偿费、拆迁补偿费支出。</w:t>
      </w:r>
    </w:p>
    <w:p>
      <w:pPr>
        <w:pStyle w:val="26"/>
        <w:spacing w:line="560" w:lineRule="exact"/>
        <w:ind w:firstLine="640" w:firstLineChars="200"/>
        <w:rPr>
          <w:rFonts w:hint="eastAsia" w:ascii="仿宋_GB2312" w:eastAsia="仿宋_GB2312" w:cs="黑体"/>
          <w:sz w:val="32"/>
          <w:szCs w:val="32"/>
          <w:highlight w:val="none"/>
          <w:lang w:val="en-US" w:eastAsia="zh-CN"/>
        </w:rPr>
      </w:pPr>
      <w:r>
        <w:rPr>
          <w:rFonts w:hint="eastAsia" w:ascii="仿宋_GB2312" w:eastAsia="仿宋_GB2312" w:cs="黑体"/>
          <w:sz w:val="32"/>
          <w:szCs w:val="32"/>
          <w:highlight w:val="none"/>
          <w:lang w:val="en-US" w:eastAsia="zh-CN"/>
        </w:rPr>
        <w:t>15.农林水支出：反映政府农林水事务支出。2130142-农村道路建设，反映用于农村公路、乡村道路建设方面的支出。</w:t>
      </w:r>
    </w:p>
    <w:p>
      <w:pPr>
        <w:pStyle w:val="26"/>
        <w:spacing w:line="560" w:lineRule="exact"/>
        <w:ind w:firstLine="640" w:firstLineChars="200"/>
        <w:rPr>
          <w:rFonts w:hint="eastAsia" w:ascii="仿宋_GB2312" w:eastAsia="仿宋_GB2312" w:cs="黑体"/>
          <w:sz w:val="32"/>
          <w:szCs w:val="32"/>
          <w:highlight w:val="none"/>
          <w:lang w:val="en-US" w:eastAsia="zh-CN"/>
        </w:rPr>
      </w:pPr>
      <w:r>
        <w:rPr>
          <w:rFonts w:hint="eastAsia" w:ascii="仿宋_GB2312" w:eastAsia="仿宋_GB2312" w:cs="黑体"/>
          <w:sz w:val="32"/>
          <w:szCs w:val="32"/>
          <w:highlight w:val="none"/>
          <w:lang w:val="en-US" w:eastAsia="zh-CN"/>
        </w:rPr>
        <w:t>16.成品油价格改革对交通运输的补贴：反映成品油价格改革财政对城市公交、农村道路客运和出租车的补贴。2140402-对农村道路客运的补贴，反映成品油价格改革财政对农村道路客运的补贴。2140499-成品油价格改革补贴其他支出，反映成品油价格改革财政对其他方面的支出。</w:t>
      </w:r>
    </w:p>
    <w:p>
      <w:pPr>
        <w:pStyle w:val="26"/>
        <w:spacing w:line="560" w:lineRule="exact"/>
        <w:ind w:firstLine="640" w:firstLineChars="200"/>
        <w:rPr>
          <w:rFonts w:hint="eastAsia" w:ascii="仿宋_GB2312" w:eastAsia="仿宋_GB2312" w:cs="黑体"/>
          <w:sz w:val="32"/>
          <w:szCs w:val="32"/>
          <w:highlight w:val="none"/>
          <w:lang w:val="en-US" w:eastAsia="zh-CN"/>
        </w:rPr>
      </w:pPr>
      <w:r>
        <w:rPr>
          <w:rFonts w:hint="eastAsia" w:ascii="仿宋_GB2312" w:eastAsia="仿宋_GB2312" w:cs="黑体"/>
          <w:sz w:val="32"/>
          <w:szCs w:val="32"/>
          <w:highlight w:val="none"/>
          <w:lang w:val="en-US" w:eastAsia="zh-CN"/>
        </w:rPr>
        <w:t>17.车辆购置税支出： 反映车辆购置税收入安排的支出。2140699-车辆购置税其他支出，反映除车辆购置税收入安排用于公路等基础设施建设、农村公路建设、老旧汽车报废更新补贴以外的其他支出。</w:t>
      </w:r>
    </w:p>
    <w:p>
      <w:pPr>
        <w:pStyle w:val="26"/>
        <w:spacing w:line="560" w:lineRule="exact"/>
        <w:ind w:firstLine="640" w:firstLineChars="200"/>
        <w:rPr>
          <w:rFonts w:hint="eastAsia" w:ascii="仿宋_GB2312" w:eastAsia="仿宋_GB2312" w:cs="黑体"/>
          <w:sz w:val="32"/>
          <w:szCs w:val="32"/>
          <w:highlight w:val="none"/>
        </w:rPr>
      </w:pPr>
      <w:r>
        <w:rPr>
          <w:rFonts w:hint="eastAsia" w:ascii="仿宋_GB2312" w:eastAsia="仿宋_GB2312" w:cs="黑体"/>
          <w:sz w:val="32"/>
          <w:szCs w:val="32"/>
          <w:highlight w:val="none"/>
          <w:lang w:val="en-US" w:eastAsia="zh-CN"/>
        </w:rPr>
        <w:t>18</w:t>
      </w:r>
      <w:r>
        <w:rPr>
          <w:rFonts w:hint="eastAsia" w:ascii="仿宋_GB2312" w:eastAsia="仿宋_GB2312" w:cs="黑体"/>
          <w:sz w:val="32"/>
          <w:szCs w:val="32"/>
          <w:highlight w:val="none"/>
        </w:rPr>
        <w:t>.基本支出：指为保障机构正常运转、完成日常工作任务而发生的人员支出和公用支出。</w:t>
      </w:r>
    </w:p>
    <w:p>
      <w:pPr>
        <w:pStyle w:val="26"/>
        <w:spacing w:line="560" w:lineRule="exact"/>
        <w:ind w:firstLine="640" w:firstLineChars="200"/>
        <w:rPr>
          <w:rFonts w:hint="eastAsia" w:ascii="仿宋_GB2312" w:eastAsia="仿宋_GB2312" w:cs="黑体"/>
          <w:sz w:val="32"/>
          <w:szCs w:val="32"/>
          <w:highlight w:val="none"/>
        </w:rPr>
      </w:pPr>
      <w:r>
        <w:rPr>
          <w:rFonts w:hint="eastAsia" w:ascii="仿宋_GB2312" w:eastAsia="仿宋_GB2312" w:cs="黑体"/>
          <w:sz w:val="32"/>
          <w:szCs w:val="32"/>
          <w:highlight w:val="none"/>
        </w:rPr>
        <w:t>1</w:t>
      </w:r>
      <w:r>
        <w:rPr>
          <w:rFonts w:hint="eastAsia" w:ascii="仿宋_GB2312" w:eastAsia="仿宋_GB2312" w:cs="黑体"/>
          <w:sz w:val="32"/>
          <w:szCs w:val="32"/>
          <w:highlight w:val="none"/>
          <w:lang w:val="en-US" w:eastAsia="zh-CN"/>
        </w:rPr>
        <w:t>9</w:t>
      </w:r>
      <w:r>
        <w:rPr>
          <w:rFonts w:hint="eastAsia" w:ascii="仿宋_GB2312" w:eastAsia="仿宋_GB2312" w:cs="黑体"/>
          <w:sz w:val="32"/>
          <w:szCs w:val="32"/>
          <w:highlight w:val="none"/>
        </w:rPr>
        <w:t xml:space="preserve">.项目支出：指在基本支出之外为完成特定行政任务和事业发展目标所发生的支出。 </w:t>
      </w:r>
    </w:p>
    <w:p>
      <w:pPr>
        <w:ind w:firstLine="640" w:firstLineChars="200"/>
        <w:rPr>
          <w:rFonts w:hint="eastAsia" w:ascii="仿宋_GB2312" w:eastAsia="仿宋_GB2312" w:cs="黑体"/>
          <w:sz w:val="32"/>
          <w:szCs w:val="32"/>
          <w:highlight w:val="none"/>
        </w:rPr>
      </w:pPr>
      <w:r>
        <w:rPr>
          <w:rFonts w:hint="eastAsia" w:ascii="仿宋_GB2312" w:eastAsia="仿宋_GB2312"/>
          <w:color w:val="000000"/>
          <w:sz w:val="32"/>
          <w:szCs w:val="32"/>
          <w:highlight w:val="none"/>
          <w:lang w:val="en-US" w:eastAsia="zh-CN"/>
        </w:rPr>
        <w:t>20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经营支出：指事业单位在专业业务活动及其辅助活动之外开展非独立核算经营活动发生的支出。</w:t>
      </w:r>
    </w:p>
    <w:p>
      <w:pPr>
        <w:pStyle w:val="26"/>
        <w:spacing w:line="560" w:lineRule="exact"/>
        <w:ind w:firstLine="640" w:firstLineChars="200"/>
        <w:rPr>
          <w:rFonts w:hint="eastAsia" w:ascii="仿宋_GB2312" w:eastAsia="仿宋_GB2312" w:cs="黑体"/>
          <w:sz w:val="32"/>
          <w:szCs w:val="32"/>
          <w:highlight w:val="none"/>
        </w:rPr>
      </w:pPr>
      <w:r>
        <w:rPr>
          <w:rFonts w:hint="eastAsia" w:ascii="仿宋_GB2312" w:eastAsia="仿宋_GB2312" w:cs="黑体"/>
          <w:sz w:val="32"/>
          <w:szCs w:val="32"/>
          <w:highlight w:val="none"/>
          <w:lang w:val="en-US" w:eastAsia="zh-CN"/>
        </w:rPr>
        <w:t>21</w:t>
      </w:r>
      <w:r>
        <w:rPr>
          <w:rFonts w:hint="eastAsia" w:ascii="仿宋_GB2312" w:eastAsia="仿宋_GB2312" w:cs="黑体"/>
          <w:sz w:val="32"/>
          <w:szCs w:val="32"/>
          <w:highlight w:val="none"/>
        </w:rPr>
        <w:t>.“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6"/>
        <w:spacing w:line="560" w:lineRule="exact"/>
        <w:ind w:firstLine="640" w:firstLineChars="200"/>
        <w:rPr>
          <w:rFonts w:hint="eastAsia" w:ascii="仿宋_GB2312" w:eastAsia="仿宋_GB2312" w:cs="黑体"/>
          <w:sz w:val="32"/>
          <w:szCs w:val="32"/>
          <w:highlight w:val="none"/>
        </w:rPr>
      </w:pPr>
      <w:r>
        <w:rPr>
          <w:rFonts w:hint="eastAsia" w:ascii="仿宋_GB2312" w:eastAsia="仿宋_GB2312" w:cs="黑体"/>
          <w:sz w:val="32"/>
          <w:szCs w:val="32"/>
          <w:highlight w:val="none"/>
          <w:lang w:val="en-US" w:eastAsia="zh-CN"/>
        </w:rPr>
        <w:t>22</w:t>
      </w:r>
      <w:r>
        <w:rPr>
          <w:rFonts w:hint="eastAsia" w:ascii="仿宋_GB2312" w:eastAsia="仿宋_GB2312" w:cs="黑体"/>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hAnsi="Times New Roman" w:cs="Times New Roman"/>
          <w:color w:val="auto"/>
          <w:sz w:val="32"/>
          <w:szCs w:val="32"/>
          <w:highlight w:val="none"/>
          <w:lang w:val="zh-CN" w:eastAsia="zh-CN"/>
        </w:rPr>
      </w:pPr>
      <w:r>
        <w:rPr>
          <w:rFonts w:ascii="宋体"/>
          <w:b/>
          <w:color w:val="auto"/>
          <w:sz w:val="44"/>
          <w:szCs w:val="44"/>
          <w:highlight w:val="none"/>
        </w:rPr>
        <w:br w:type="page"/>
      </w:r>
      <w:bookmarkStart w:id="62" w:name="_Toc1539661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62"/>
    </w:p>
    <w:p>
      <w:pPr>
        <w:kinsoku w:val="0"/>
        <w:overflowPunct w:val="0"/>
        <w:spacing w:line="660" w:lineRule="exact"/>
        <w:jc w:val="both"/>
        <w:rPr>
          <w:rFonts w:hint="default" w:ascii="宋体" w:hAnsi="宋体" w:eastAsia="宋体" w:cs="宋体"/>
          <w:b w:val="0"/>
          <w:bCs w:val="0"/>
          <w:spacing w:val="1"/>
          <w:sz w:val="36"/>
          <w:szCs w:val="36"/>
          <w:highlight w:val="none"/>
          <w:lang w:val="en-US" w:eastAsia="zh-CN"/>
        </w:rPr>
      </w:pPr>
      <w:r>
        <w:rPr>
          <w:rFonts w:hint="eastAsia" w:ascii="宋体" w:hAnsi="宋体" w:eastAsia="宋体" w:cs="宋体"/>
          <w:b w:val="0"/>
          <w:bCs w:val="0"/>
          <w:spacing w:val="1"/>
          <w:sz w:val="36"/>
          <w:szCs w:val="36"/>
          <w:highlight w:val="none"/>
          <w:lang w:val="en-US" w:eastAsia="zh-CN"/>
        </w:rPr>
        <w:t>附件</w:t>
      </w:r>
      <w:r>
        <w:rPr>
          <w:rFonts w:hint="eastAsia" w:ascii="宋体" w:hAnsi="宋体" w:cs="宋体"/>
          <w:b w:val="0"/>
          <w:bCs w:val="0"/>
          <w:spacing w:val="1"/>
          <w:sz w:val="36"/>
          <w:szCs w:val="36"/>
          <w:highlight w:val="none"/>
          <w:lang w:val="en-US" w:eastAsia="zh-CN"/>
        </w:rPr>
        <w:t>2</w:t>
      </w:r>
    </w:p>
    <w:p>
      <w:pPr>
        <w:kinsoku w:val="0"/>
        <w:overflowPunct w:val="0"/>
        <w:spacing w:line="660" w:lineRule="exact"/>
        <w:jc w:val="center"/>
        <w:rPr>
          <w:rFonts w:eastAsia="方正小标宋简体"/>
          <w:spacing w:val="1"/>
          <w:sz w:val="40"/>
          <w:szCs w:val="40"/>
          <w:highlight w:val="none"/>
        </w:rPr>
      </w:pPr>
      <w:r>
        <w:rPr>
          <w:rFonts w:hint="eastAsia" w:eastAsia="方正小标宋简体"/>
          <w:spacing w:val="1"/>
          <w:sz w:val="40"/>
          <w:szCs w:val="40"/>
          <w:highlight w:val="none"/>
        </w:rPr>
        <w:t>市公交公司经营性补贴项目</w:t>
      </w:r>
      <w:r>
        <w:rPr>
          <w:rFonts w:eastAsia="方正小标宋简体"/>
          <w:spacing w:val="1"/>
          <w:sz w:val="40"/>
          <w:szCs w:val="40"/>
          <w:highlight w:val="none"/>
        </w:rPr>
        <w:t>支出</w:t>
      </w:r>
    </w:p>
    <w:p>
      <w:pPr>
        <w:kinsoku w:val="0"/>
        <w:overflowPunct w:val="0"/>
        <w:spacing w:line="660" w:lineRule="exact"/>
        <w:jc w:val="center"/>
        <w:rPr>
          <w:rFonts w:hint="eastAsia" w:ascii="方正小标宋简体" w:hAnsi="方正小标宋简体" w:eastAsia="方正小标宋简体" w:cs="方正小标宋简体"/>
          <w:color w:val="auto"/>
          <w:kern w:val="2"/>
          <w:sz w:val="40"/>
          <w:szCs w:val="40"/>
          <w:highlight w:val="none"/>
          <w:lang w:val="zh-CN" w:eastAsia="zh-CN" w:bidi="ar-SA"/>
        </w:rPr>
      </w:pPr>
      <w:r>
        <w:rPr>
          <w:rFonts w:eastAsia="方正小标宋简体"/>
          <w:spacing w:val="1"/>
          <w:sz w:val="44"/>
          <w:szCs w:val="44"/>
          <w:highlight w:val="none"/>
        </w:rPr>
        <w:t>绩效自评报告</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宋体" w:hAnsi="宋体" w:eastAsia="宋体"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（主管部门自评）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 w:hAnsi="仿宋" w:eastAsia="仿宋"/>
          <w:sz w:val="32"/>
          <w:szCs w:val="32"/>
          <w:highlight w:val="none"/>
        </w:rPr>
        <w:t>为保障区内道路及场所的安全，符合国家防控要求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2．项目立项、资金申报的依据。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color w:val="auto"/>
          <w:sz w:val="32"/>
          <w:szCs w:val="32"/>
          <w:highlight w:val="none"/>
          <w:lang w:val="en-US" w:eastAsia="zh-CN"/>
        </w:rPr>
        <w:t>根据四川省遂宁市安居区财政局关于下达《2022年部门预算的通知》（</w:t>
      </w:r>
      <w:r>
        <w:rPr>
          <w:rFonts w:hint="eastAsia" w:ascii="仿宋" w:hAnsi="仿宋" w:eastAsia="仿宋"/>
          <w:b w:val="0"/>
          <w:bCs w:val="0"/>
          <w:sz w:val="32"/>
          <w:szCs w:val="32"/>
          <w:highlight w:val="none"/>
          <w:lang w:val="en-US" w:eastAsia="zh-CN"/>
        </w:rPr>
        <w:t>（遂安财预〔2022〕1号附43号）），</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4．资金分配的原则及考虑因素。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zh-CN"/>
        </w:rPr>
        <w:t>市公交公司经营补贴</w:t>
      </w:r>
      <w:r>
        <w:rPr>
          <w:rFonts w:hint="eastAsia" w:ascii="仿宋_GB2312" w:hAnsi="宋体" w:eastAsia="仿宋_GB2312" w:cs="Times New Roman"/>
          <w:color w:val="auto"/>
          <w:sz w:val="32"/>
          <w:szCs w:val="32"/>
          <w:highlight w:val="none"/>
          <w:lang w:val="en-US" w:eastAsia="zh-CN"/>
        </w:rPr>
        <w:t>主要为了提高了人民的生活质量，方便了全区人民的日常出行，人民出行办事高效便捷，共开通16辆601;为了方便职工上下班，对公司的亏损进行补贴。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spacing w:line="560" w:lineRule="exact"/>
        <w:ind w:firstLine="960" w:firstLineChars="300"/>
        <w:rPr>
          <w:rFonts w:ascii="仿宋" w:hAnsi="仿宋" w:eastAsia="仿宋"/>
          <w:sz w:val="32"/>
          <w:szCs w:val="32"/>
          <w:highlight w:val="none"/>
        </w:rPr>
      </w:pPr>
      <w:r>
        <w:rPr>
          <w:rFonts w:hint="eastAsia" w:ascii="仿宋" w:hAnsi="仿宋" w:eastAsia="仿宋"/>
          <w:sz w:val="32"/>
          <w:szCs w:val="32"/>
          <w:highlight w:val="none"/>
        </w:rPr>
        <w:t>该项目资金主要用于补贴市公交公司“遂宁—安居”公交路线，方便区内人民群众出行。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spacing w:line="560" w:lineRule="exact"/>
        <w:ind w:firstLine="960" w:firstLineChars="3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年度总体完成目标：群众出行更便利更快捷。</w:t>
      </w:r>
    </w:p>
    <w:p>
      <w:pPr>
        <w:keepNext w:val="0"/>
        <w:keepLines w:val="0"/>
        <w:pageBreakBefore w:val="0"/>
        <w:kinsoku/>
        <w:wordWrap/>
        <w:overflowPunct/>
        <w:topLinePunct w:val="0"/>
        <w:autoSpaceDE/>
        <w:autoSpaceDN/>
        <w:bidi w:val="0"/>
        <w:adjustRightInd w:val="0"/>
        <w:snapToGrid w:val="0"/>
        <w:spacing w:line="600" w:lineRule="exact"/>
        <w:ind w:firstLine="960" w:firstLineChars="3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数量指标：对16台公交进行补贴。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成本指标：完成了计划投资。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社会效益指标：群众出行更便利更快捷。</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满</w:t>
      </w:r>
      <w:r>
        <w:rPr>
          <w:rFonts w:hint="eastAsia" w:ascii="仿宋" w:hAnsi="仿宋" w:eastAsia="仿宋"/>
          <w:sz w:val="32"/>
          <w:szCs w:val="32"/>
          <w:highlight w:val="none"/>
          <w:lang w:val="en-US" w:eastAsia="zh-CN"/>
        </w:rPr>
        <w:t>意度指标：群众满意度为100%</w:t>
      </w:r>
    </w:p>
    <w:p>
      <w:pPr>
        <w:rPr>
          <w:rFonts w:hint="default"/>
          <w:highlight w:val="none"/>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ind w:firstLine="960" w:firstLineChars="300"/>
        <w:rPr>
          <w:rFonts w:ascii="仿宋" w:hAnsi="仿宋" w:eastAsia="仿宋"/>
          <w:sz w:val="32"/>
          <w:szCs w:val="32"/>
          <w:highlight w:val="none"/>
        </w:rPr>
      </w:pPr>
      <w:r>
        <w:rPr>
          <w:rFonts w:hint="eastAsia" w:ascii="仿宋" w:hAnsi="仿宋" w:eastAsia="仿宋"/>
          <w:sz w:val="32"/>
          <w:szCs w:val="32"/>
          <w:highlight w:val="none"/>
        </w:rPr>
        <w:t>项目申报内容与具体实施内容相符、申报目标合理可行。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 w:cs="Times New Roman"/>
          <w:color w:val="auto"/>
          <w:sz w:val="32"/>
          <w:szCs w:val="32"/>
          <w:highlight w:val="none"/>
          <w:lang w:val="en-US" w:eastAsia="zh-CN"/>
        </w:rPr>
      </w:pPr>
      <w:r>
        <w:rPr>
          <w:rFonts w:hint="eastAsia" w:ascii="楷体_GB2312" w:hAnsi="宋体" w:eastAsia="楷体_GB2312" w:cs="Times New Roman"/>
          <w:color w:val="auto"/>
          <w:sz w:val="32"/>
          <w:szCs w:val="32"/>
          <w:highlight w:val="none"/>
          <w:lang w:val="zh-CN"/>
        </w:rPr>
        <w:t>1．资金计划。</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年安居区财政局安排一般公共财政预算</w:t>
      </w:r>
      <w:r>
        <w:rPr>
          <w:rFonts w:hint="eastAsia" w:ascii="仿宋" w:hAnsi="仿宋" w:eastAsia="仿宋"/>
          <w:sz w:val="32"/>
          <w:szCs w:val="32"/>
          <w:highlight w:val="none"/>
          <w:lang w:val="en-US" w:eastAsia="zh-CN"/>
        </w:rPr>
        <w:t>270.00</w:t>
      </w:r>
      <w:r>
        <w:rPr>
          <w:rFonts w:hint="eastAsia" w:ascii="仿宋" w:hAnsi="仿宋" w:eastAsia="仿宋"/>
          <w:sz w:val="32"/>
          <w:szCs w:val="32"/>
          <w:highlight w:val="none"/>
        </w:rPr>
        <w:t>万</w:t>
      </w:r>
      <w:r>
        <w:rPr>
          <w:rFonts w:hint="eastAsia" w:ascii="仿宋" w:hAnsi="仿宋" w:eastAsia="仿宋"/>
          <w:sz w:val="32"/>
          <w:szCs w:val="32"/>
          <w:highlight w:val="none"/>
          <w:lang w:eastAsia="zh-CN"/>
        </w:rPr>
        <w:t>元</w:t>
      </w:r>
      <w:r>
        <w:rPr>
          <w:rFonts w:hint="eastAsia" w:ascii="仿宋" w:hAnsi="仿宋" w:eastAsia="仿宋"/>
          <w:sz w:val="32"/>
          <w:szCs w:val="32"/>
          <w:highlight w:val="none"/>
        </w:rPr>
        <w:t>用于补贴市公交公司经营性亏损。</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2．资金到位。</w:t>
      </w:r>
      <w:r>
        <w:rPr>
          <w:rFonts w:hint="eastAsia" w:ascii="仿宋" w:hAnsi="仿宋" w:eastAsia="仿宋"/>
          <w:sz w:val="32"/>
          <w:szCs w:val="32"/>
          <w:highlight w:val="none"/>
        </w:rPr>
        <w:t>截止到目前，地方财政预算资金</w:t>
      </w:r>
      <w:r>
        <w:rPr>
          <w:rFonts w:hint="eastAsia" w:ascii="仿宋" w:hAnsi="仿宋" w:eastAsia="仿宋"/>
          <w:sz w:val="32"/>
          <w:szCs w:val="32"/>
          <w:highlight w:val="none"/>
          <w:lang w:val="en-US" w:eastAsia="zh-CN"/>
        </w:rPr>
        <w:t>270.00</w:t>
      </w:r>
      <w:r>
        <w:rPr>
          <w:rFonts w:hint="eastAsia" w:ascii="仿宋" w:hAnsi="仿宋" w:eastAsia="仿宋"/>
          <w:sz w:val="32"/>
          <w:szCs w:val="32"/>
          <w:highlight w:val="none"/>
        </w:rPr>
        <w:t>万元已全部到位。</w:t>
      </w:r>
    </w:p>
    <w:p>
      <w:pPr>
        <w:ind w:firstLine="640" w:firstLineChars="200"/>
        <w:rPr>
          <w:rFonts w:ascii="仿宋" w:hAnsi="仿宋" w:eastAsia="仿宋"/>
          <w:sz w:val="32"/>
          <w:szCs w:val="32"/>
          <w:highlight w:val="none"/>
        </w:rPr>
      </w:pPr>
      <w:r>
        <w:rPr>
          <w:rFonts w:hint="eastAsia" w:ascii="楷体_GB2312" w:hAnsi="宋体" w:eastAsia="楷体_GB2312" w:cs="Times New Roman"/>
          <w:color w:val="auto"/>
          <w:sz w:val="32"/>
          <w:szCs w:val="32"/>
          <w:highlight w:val="none"/>
          <w:lang w:val="zh-CN"/>
        </w:rPr>
        <w:t>3．资金使用。</w:t>
      </w:r>
      <w:r>
        <w:rPr>
          <w:rFonts w:hint="eastAsia" w:ascii="仿宋" w:hAnsi="仿宋" w:eastAsia="仿宋"/>
          <w:sz w:val="32"/>
          <w:szCs w:val="32"/>
          <w:highlight w:val="none"/>
        </w:rPr>
        <w:t>目前，202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年度道路运输疫情防控工作已全部完成，我所已将预算的</w:t>
      </w:r>
      <w:r>
        <w:rPr>
          <w:rFonts w:hint="eastAsia" w:ascii="仿宋" w:hAnsi="仿宋" w:eastAsia="仿宋"/>
          <w:sz w:val="32"/>
          <w:szCs w:val="32"/>
          <w:highlight w:val="none"/>
          <w:lang w:val="en-US" w:eastAsia="zh-CN"/>
        </w:rPr>
        <w:t>270.00</w:t>
      </w:r>
      <w:r>
        <w:rPr>
          <w:rFonts w:hint="eastAsia" w:ascii="仿宋" w:hAnsi="仿宋" w:eastAsia="仿宋"/>
          <w:sz w:val="32"/>
          <w:szCs w:val="32"/>
          <w:highlight w:val="none"/>
        </w:rPr>
        <w:t>万元补贴市公交公司经营性亏损用于补贴市公交公司经营性亏损等相关费用。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spacing w:line="560" w:lineRule="exact"/>
        <w:ind w:firstLine="643" w:firstLineChars="200"/>
        <w:rPr>
          <w:rFonts w:ascii="仿宋_GB2312" w:hAnsi="宋体" w:eastAsia="仿宋_GB2312" w:cs="Times New Roman"/>
          <w:color w:val="auto"/>
          <w:sz w:val="32"/>
          <w:szCs w:val="32"/>
          <w:highlight w:val="none"/>
          <w:lang w:val="zh-CN"/>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补贴市公交公司经营性亏损项目实行专款专用。项目支出均有相关的授权审批，资金拨付严格按照审批程序，资金使用规范，会计核算结果真实、准确。项目单位建立健全项目实施预算方案、财务管理制度和会计核算制度，此次绩效评价过程中未发现有截留、挤占或挪用项目资金的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补贴市公交公司经营性亏损项目属于经常性项目，实施过程都是按照本单位制定的管理制度来执行。项目目标设定依据充分、明确、合理，项目资金符合省委、省政府及相关行业的规定。</w:t>
      </w:r>
    </w:p>
    <w:p>
      <w:pPr>
        <w:keepNext w:val="0"/>
        <w:keepLines w:val="0"/>
        <w:pageBreakBefore w:val="0"/>
        <w:numPr>
          <w:ilvl w:val="0"/>
          <w:numId w:val="4"/>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项目组织架构及实施流程。</w:t>
      </w:r>
    </w:p>
    <w:p>
      <w:pPr>
        <w:pStyle w:val="4"/>
        <w:numPr>
          <w:ilvl w:val="0"/>
          <w:numId w:val="0"/>
        </w:numPr>
        <w:ind w:firstLine="640" w:firstLineChars="200"/>
        <w:rPr>
          <w:rFonts w:hint="default" w:ascii="仿宋" w:hAnsi="仿宋" w:eastAsia="仿宋" w:cs="Times New Roman"/>
          <w:b w:val="0"/>
          <w:bCs w:val="0"/>
          <w:kern w:val="2"/>
          <w:sz w:val="32"/>
          <w:szCs w:val="32"/>
          <w:highlight w:val="none"/>
          <w:lang w:val="en-US" w:eastAsia="zh-CN" w:bidi="ar-SA"/>
        </w:rPr>
      </w:pPr>
      <w:bookmarkStart w:id="63" w:name="_Toc30859"/>
      <w:bookmarkStart w:id="64" w:name="_Toc3305"/>
      <w:r>
        <w:rPr>
          <w:rFonts w:hint="eastAsia" w:ascii="仿宋" w:hAnsi="仿宋" w:eastAsia="仿宋" w:cs="Times New Roman"/>
          <w:b w:val="0"/>
          <w:bCs w:val="0"/>
          <w:kern w:val="2"/>
          <w:sz w:val="32"/>
          <w:szCs w:val="32"/>
          <w:highlight w:val="none"/>
          <w:lang w:val="en-US" w:eastAsia="zh-CN" w:bidi="ar-SA"/>
        </w:rPr>
        <w:t>坚持便民利民的原则，开通了16台601号路线，对职工上下班的车辆运行进行补贴。按照“全市统筹、区县负责、兼顾各方、有所侧重”进行分配，市处负责将省级补助资金分配到各区县所，各区县所负责具体发放。</w:t>
      </w:r>
      <w:bookmarkEnd w:id="63"/>
      <w:bookmarkEnd w:id="64"/>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楷体_GB2312" w:cs="Times New Roman"/>
          <w:color w:val="auto"/>
          <w:sz w:val="32"/>
          <w:szCs w:val="32"/>
          <w:highlight w:val="none"/>
          <w:lang w:val="en-US" w:eastAsia="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sz w:val="32"/>
          <w:szCs w:val="32"/>
          <w:highlight w:val="none"/>
          <w:lang w:val="en-US" w:eastAsia="zh-CN"/>
        </w:rPr>
        <w:t>市公交车辆亏损补贴由我所王副所长负责管理。为了提高了人民的生活质量，方便了全区人民的日常出行，人民出行办事高效便捷，共开通16辆601;为了方便职工上下班，对公司的亏损进行补贴。在收到群众投诉时，及时回复并整改，</w:t>
      </w:r>
      <w:r>
        <w:rPr>
          <w:rFonts w:hint="eastAsia" w:ascii="仿宋" w:hAnsi="仿宋" w:eastAsia="仿宋"/>
          <w:sz w:val="32"/>
          <w:szCs w:val="32"/>
          <w:highlight w:val="none"/>
          <w:lang w:val="en-US" w:eastAsia="zh-CN"/>
        </w:rPr>
        <w:t>群众满意度为100%。</w:t>
      </w:r>
    </w:p>
    <w:p>
      <w:pPr>
        <w:numPr>
          <w:ilvl w:val="0"/>
          <w:numId w:val="0"/>
        </w:numPr>
        <w:ind w:firstLine="643" w:firstLineChars="200"/>
        <w:jc w:val="left"/>
        <w:rPr>
          <w:rFonts w:hint="default"/>
          <w:highlight w:val="none"/>
          <w:lang w:val="en-US" w:eastAsia="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仿宋_GB2312" w:eastAsia="仿宋_GB2312" w:cs="仿宋_GB2312"/>
          <w:sz w:val="32"/>
          <w:szCs w:val="32"/>
          <w:highlight w:val="none"/>
          <w:lang w:val="en-US" w:eastAsia="zh-CN"/>
        </w:rPr>
        <w:t>加强监督检查。市处对资金使用、发放进度等进行督导检查，确保资金及时发放。</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spacing w:line="560" w:lineRule="exact"/>
        <w:ind w:firstLine="640" w:firstLineChars="200"/>
        <w:rPr>
          <w:rFonts w:ascii="仿宋" w:hAnsi="仿宋" w:eastAsia="仿宋"/>
          <w:b/>
          <w:bCs/>
          <w:sz w:val="32"/>
          <w:szCs w:val="32"/>
          <w:highlight w:val="none"/>
        </w:rPr>
      </w:pPr>
      <w:r>
        <w:rPr>
          <w:rFonts w:hint="eastAsia" w:ascii="仿宋" w:hAnsi="仿宋" w:eastAsia="仿宋"/>
          <w:sz w:val="32"/>
          <w:szCs w:val="32"/>
          <w:highlight w:val="none"/>
        </w:rPr>
        <w:t>截止到目前，202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年度补贴市公交公司经营性亏损项目工作全部完成。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spacing w:line="560" w:lineRule="exact"/>
        <w:ind w:firstLine="640" w:firstLineChars="200"/>
        <w:rPr>
          <w:highlight w:val="none"/>
        </w:rPr>
      </w:pPr>
      <w:r>
        <w:rPr>
          <w:rFonts w:hint="eastAsia" w:ascii="仿宋" w:hAnsi="仿宋" w:eastAsia="仿宋"/>
          <w:sz w:val="32"/>
          <w:szCs w:val="32"/>
          <w:highlight w:val="none"/>
        </w:rPr>
        <w:t>1.产出指标完成情况。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计划投入</w:t>
      </w:r>
      <w:r>
        <w:rPr>
          <w:rFonts w:hint="eastAsia" w:ascii="仿宋" w:hAnsi="仿宋" w:eastAsia="仿宋"/>
          <w:sz w:val="32"/>
          <w:szCs w:val="32"/>
          <w:highlight w:val="none"/>
          <w:lang w:val="en-US" w:eastAsia="zh-CN"/>
        </w:rPr>
        <w:t>270.00</w:t>
      </w:r>
      <w:r>
        <w:rPr>
          <w:rFonts w:hint="eastAsia" w:ascii="仿宋" w:hAnsi="仿宋" w:eastAsia="仿宋"/>
          <w:sz w:val="32"/>
          <w:szCs w:val="32"/>
          <w:highlight w:val="none"/>
        </w:rPr>
        <w:t>万元用于补贴市公交公司经营性亏损项目所需经费，目前已全部使用完成。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2.效益指标完成情况分析。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补贴市公交公司“遂宁—安居”公交路线，方便区内人民群众出行。</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3.满意度指标完成情况。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sz w:val="32"/>
          <w:szCs w:val="32"/>
          <w:highlight w:val="none"/>
        </w:rPr>
      </w:pPr>
      <w:r>
        <w:rPr>
          <w:rFonts w:hint="eastAsia" w:ascii="仿宋" w:hAnsi="仿宋" w:eastAsia="仿宋"/>
          <w:sz w:val="32"/>
          <w:szCs w:val="32"/>
          <w:highlight w:val="none"/>
        </w:rPr>
        <w:t>被服务对象很满意。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真正的做到便民利民，保证人们日常的正常出行，对群众的投诉，要及时的回应和整改。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spacing w:line="560" w:lineRule="exact"/>
        <w:rPr>
          <w:rFonts w:ascii="仿宋_GB2312" w:hAnsi="宋体" w:eastAsia="仿宋_GB2312" w:cs="Times New Roman"/>
          <w:color w:val="auto"/>
          <w:sz w:val="32"/>
          <w:szCs w:val="32"/>
          <w:highlight w:val="none"/>
          <w:lang w:val="zh-CN"/>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 xml:space="preserve">   公交车相距时间较长，公交车辆老化。</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ind w:firstLine="960" w:firstLineChars="300"/>
        <w:rPr>
          <w:highlight w:val="none"/>
        </w:rPr>
      </w:pPr>
      <w:r>
        <w:rPr>
          <w:rFonts w:hint="eastAsia" w:ascii="仿宋" w:hAnsi="仿宋" w:eastAsia="仿宋"/>
          <w:sz w:val="32"/>
          <w:szCs w:val="32"/>
          <w:highlight w:val="none"/>
        </w:rPr>
        <w:t>加大资金投入，完善公交路线。</w:t>
      </w: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shd w:val="clear" w:fill="FFFFFF" w:themeFill="background1"/>
        <w:kinsoku w:val="0"/>
        <w:overflowPunct w:val="0"/>
        <w:spacing w:line="660" w:lineRule="exact"/>
        <w:jc w:val="center"/>
        <w:rPr>
          <w:rFonts w:eastAsia="方正小标宋简体"/>
          <w:color w:val="auto"/>
          <w:spacing w:val="1"/>
          <w:sz w:val="44"/>
          <w:szCs w:val="44"/>
          <w:highlight w:val="none"/>
        </w:rPr>
      </w:pPr>
      <w:r>
        <w:rPr>
          <w:rFonts w:hint="eastAsia" w:eastAsia="方正小标宋简体"/>
          <w:color w:val="auto"/>
          <w:spacing w:val="1"/>
          <w:sz w:val="44"/>
          <w:szCs w:val="44"/>
          <w:highlight w:val="none"/>
        </w:rPr>
        <w:t>农村</w:t>
      </w:r>
      <w:r>
        <w:rPr>
          <w:rFonts w:hint="eastAsia" w:eastAsia="方正小标宋简体"/>
          <w:color w:val="auto"/>
          <w:spacing w:val="1"/>
          <w:sz w:val="44"/>
          <w:szCs w:val="44"/>
          <w:highlight w:val="none"/>
          <w:lang w:eastAsia="zh-CN"/>
        </w:rPr>
        <w:t>道路</w:t>
      </w:r>
      <w:r>
        <w:rPr>
          <w:rFonts w:hint="eastAsia" w:eastAsia="方正小标宋简体"/>
          <w:color w:val="auto"/>
          <w:spacing w:val="1"/>
          <w:sz w:val="44"/>
          <w:szCs w:val="44"/>
          <w:highlight w:val="none"/>
        </w:rPr>
        <w:t>客运补助项目</w:t>
      </w:r>
      <w:r>
        <w:rPr>
          <w:rFonts w:eastAsia="方正小标宋简体"/>
          <w:color w:val="auto"/>
          <w:spacing w:val="1"/>
          <w:sz w:val="44"/>
          <w:szCs w:val="44"/>
          <w:highlight w:val="none"/>
        </w:rPr>
        <w:t>支出</w:t>
      </w:r>
    </w:p>
    <w:p>
      <w:pPr>
        <w:keepNext w:val="0"/>
        <w:keepLines w:val="0"/>
        <w:pageBreakBefore w:val="0"/>
        <w:widowControl w:val="0"/>
        <w:shd w:val="clear" w:fill="FFFFFF" w:themeFill="background1"/>
        <w:kinsoku/>
        <w:wordWrap/>
        <w:overflowPunct/>
        <w:topLinePunct w:val="0"/>
        <w:autoSpaceDE/>
        <w:autoSpaceDN/>
        <w:bidi w:val="0"/>
        <w:spacing w:line="600" w:lineRule="exact"/>
        <w:ind w:firstLine="883"/>
        <w:jc w:val="center"/>
        <w:textAlignment w:val="auto"/>
        <w:rPr>
          <w:rFonts w:eastAsia="方正小标宋简体"/>
          <w:color w:val="auto"/>
          <w:spacing w:val="1"/>
          <w:sz w:val="44"/>
          <w:szCs w:val="44"/>
          <w:highlight w:val="none"/>
        </w:rPr>
      </w:pPr>
      <w:r>
        <w:rPr>
          <w:rFonts w:eastAsia="方正小标宋简体"/>
          <w:color w:val="auto"/>
          <w:spacing w:val="1"/>
          <w:sz w:val="44"/>
          <w:szCs w:val="44"/>
          <w:highlight w:val="none"/>
        </w:rPr>
        <w:t>绩效自评报告</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（主管部门自评）</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 w:hAnsi="仿宋" w:eastAsia="仿宋"/>
          <w:sz w:val="32"/>
          <w:szCs w:val="32"/>
          <w:highlight w:val="none"/>
        </w:rPr>
        <w:t>为保障区内道路及场所的安全，符合国家防控要求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2．项目立项、资金申报的依据。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color w:val="auto"/>
          <w:sz w:val="32"/>
          <w:szCs w:val="32"/>
          <w:highlight w:val="none"/>
          <w:lang w:val="en-US" w:eastAsia="zh-CN"/>
        </w:rPr>
        <w:t>根据四川省遂宁市安居区财政局关于下达《2022年部门预算的通知》（</w:t>
      </w:r>
      <w:r>
        <w:rPr>
          <w:rFonts w:hint="eastAsia" w:ascii="仿宋" w:hAnsi="仿宋" w:eastAsia="仿宋"/>
          <w:b w:val="0"/>
          <w:bCs w:val="0"/>
          <w:sz w:val="32"/>
          <w:szCs w:val="32"/>
          <w:highlight w:val="none"/>
          <w:lang w:val="en-US" w:eastAsia="zh-CN"/>
        </w:rPr>
        <w:t>（遂安财预〔2022〕1号附43号）），</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3．资金管理办法制定情况，资金支持具体项目的条件、范围与支持方式概况。</w:t>
      </w:r>
    </w:p>
    <w:p>
      <w:pPr>
        <w:spacing w:line="560" w:lineRule="exact"/>
        <w:ind w:firstLine="960" w:firstLineChars="300"/>
        <w:rPr>
          <w:rFonts w:hint="eastAsia" w:ascii="仿宋_GB2312" w:hAnsi="宋体" w:eastAsia="仿宋_GB2312" w:cs="Times New Roman"/>
          <w:color w:val="auto"/>
          <w:sz w:val="32"/>
          <w:szCs w:val="32"/>
          <w:highlight w:val="none"/>
          <w:lang w:val="zh-CN"/>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年度农村客运补助项目</w:t>
      </w:r>
      <w:r>
        <w:rPr>
          <w:rFonts w:hint="eastAsia" w:ascii="仿宋" w:hAnsi="仿宋" w:eastAsia="仿宋"/>
          <w:color w:val="auto"/>
          <w:sz w:val="32"/>
          <w:szCs w:val="32"/>
          <w:highlight w:val="none"/>
        </w:rPr>
        <w:t>上年结转资金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320" w:firstLineChars="1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pStyle w:val="4"/>
        <w:numPr>
          <w:ilvl w:val="0"/>
          <w:numId w:val="0"/>
        </w:numPr>
        <w:rPr>
          <w:highlight w:val="none"/>
          <w:lang w:val="zh-CN"/>
        </w:rPr>
      </w:pPr>
      <w:bookmarkStart w:id="65" w:name="_Toc23868"/>
      <w:bookmarkStart w:id="66" w:name="_Toc30153"/>
      <w:r>
        <w:rPr>
          <w:rFonts w:hint="default" w:ascii="Times New Roman" w:hAnsi="Times New Roman" w:eastAsia="仿宋_GB2312" w:cs="Times New Roman"/>
          <w:b w:val="0"/>
          <w:bCs w:val="0"/>
          <w:sz w:val="32"/>
          <w:szCs w:val="32"/>
          <w:highlight w:val="none"/>
          <w:lang w:val="en-US" w:eastAsia="zh-CN"/>
        </w:rPr>
        <w:t>市</w:t>
      </w:r>
      <w:r>
        <w:rPr>
          <w:rFonts w:hint="eastAsia" w:ascii="Times New Roman" w:hAnsi="Times New Roman" w:eastAsia="仿宋_GB2312" w:cs="Times New Roman"/>
          <w:b w:val="0"/>
          <w:bCs w:val="0"/>
          <w:sz w:val="32"/>
          <w:szCs w:val="32"/>
          <w:highlight w:val="none"/>
          <w:lang w:val="en-US" w:eastAsia="zh-CN"/>
        </w:rPr>
        <w:t>运管处</w:t>
      </w:r>
      <w:r>
        <w:rPr>
          <w:rFonts w:hint="default" w:ascii="Times New Roman" w:hAnsi="Times New Roman" w:eastAsia="仿宋_GB2312" w:cs="Times New Roman"/>
          <w:b w:val="0"/>
          <w:bCs w:val="0"/>
          <w:sz w:val="32"/>
          <w:szCs w:val="32"/>
          <w:highlight w:val="none"/>
          <w:lang w:val="en-US" w:eastAsia="zh-CN"/>
        </w:rPr>
        <w:t>依据各区县农村客运每月</w:t>
      </w:r>
      <w:r>
        <w:rPr>
          <w:rFonts w:hint="default" w:ascii="Times New Roman" w:hAnsi="Times New Roman" w:eastAsia="仿宋_GB2312" w:cs="Times New Roman"/>
          <w:sz w:val="32"/>
          <w:szCs w:val="32"/>
          <w:highlight w:val="none"/>
        </w:rPr>
        <w:t>在营运的农村客运</w:t>
      </w:r>
      <w:r>
        <w:rPr>
          <w:rFonts w:hint="default" w:ascii="Times New Roman" w:hAnsi="Times New Roman" w:eastAsia="仿宋_GB2312" w:cs="Times New Roman"/>
          <w:sz w:val="32"/>
          <w:szCs w:val="32"/>
          <w:highlight w:val="none"/>
          <w:lang w:eastAsia="zh-CN"/>
        </w:rPr>
        <w:t>车台数，按照</w:t>
      </w:r>
      <w:r>
        <w:rPr>
          <w:rFonts w:hint="default" w:ascii="Times New Roman" w:hAnsi="Times New Roman" w:eastAsia="仿宋_GB2312" w:cs="Times New Roman"/>
          <w:b w:val="0"/>
          <w:bCs w:val="0"/>
          <w:sz w:val="32"/>
          <w:szCs w:val="32"/>
          <w:highlight w:val="none"/>
          <w:lang w:val="en-US" w:eastAsia="zh-CN"/>
        </w:rPr>
        <w:t>车辆车型大型（1.2）、中型（1）、小型（0.8）补助系数的标准</w:t>
      </w:r>
      <w:r>
        <w:rPr>
          <w:rFonts w:hint="eastAsia"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b w:val="0"/>
          <w:bCs w:val="0"/>
          <w:sz w:val="32"/>
          <w:szCs w:val="32"/>
          <w:highlight w:val="none"/>
          <w:lang w:eastAsia="zh-CN"/>
        </w:rPr>
        <w:t>对省级补助资金做到专款专用，未出现截留、挤占、挪用省级补助资金等情况。</w:t>
      </w:r>
      <w:r>
        <w:rPr>
          <w:rFonts w:hint="eastAsia" w:ascii="Times New Roman" w:hAnsi="Times New Roman" w:eastAsia="仿宋_GB2312" w:cs="Times New Roman"/>
          <w:b w:val="0"/>
          <w:bCs w:val="0"/>
          <w:sz w:val="32"/>
          <w:szCs w:val="32"/>
          <w:highlight w:val="none"/>
          <w:lang w:val="en-US" w:eastAsia="zh-CN"/>
        </w:rPr>
        <w:t>省级补助资金提升了我区农村地区公共服务水平，挟制农村地区非法客运猖狂事态，有效的保障了农村地区群众的出行安全</w:t>
      </w:r>
      <w:bookmarkEnd w:id="65"/>
      <w:bookmarkEnd w:id="66"/>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sz w:val="32"/>
          <w:szCs w:val="32"/>
          <w:highlight w:val="none"/>
        </w:rPr>
      </w:pPr>
      <w:r>
        <w:rPr>
          <w:rFonts w:hint="eastAsia" w:ascii="仿宋" w:hAnsi="仿宋" w:eastAsia="仿宋"/>
          <w:sz w:val="32"/>
          <w:szCs w:val="32"/>
          <w:highlight w:val="none"/>
        </w:rPr>
        <w:t>该项目资金主要用于对农村道路客运的补贴，方便区内人民群众出行。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13" w:leftChars="0" w:firstLine="643"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数量指标：</w:t>
      </w:r>
      <w:r>
        <w:rPr>
          <w:rFonts w:hint="eastAsia" w:ascii="Times New Roman" w:hAnsi="Times New Roman" w:eastAsia="仿宋_GB2312" w:cs="Times New Roman"/>
          <w:b w:val="0"/>
          <w:bCs w:val="0"/>
          <w:sz w:val="32"/>
          <w:szCs w:val="32"/>
          <w:highlight w:val="none"/>
          <w:lang w:val="en-US" w:eastAsia="zh-CN"/>
        </w:rPr>
        <w:t>我区具备条件的乡镇及建制村通客车比例已达到100%。</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13" w:leftChars="0" w:firstLine="643"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质量指标：</w:t>
      </w:r>
      <w:r>
        <w:rPr>
          <w:rFonts w:hint="eastAsia" w:ascii="Times New Roman" w:hAnsi="Times New Roman" w:eastAsia="仿宋_GB2312" w:cs="Times New Roman"/>
          <w:b w:val="0"/>
          <w:bCs w:val="0"/>
          <w:sz w:val="32"/>
          <w:szCs w:val="32"/>
          <w:highlight w:val="none"/>
          <w:lang w:val="en-US" w:eastAsia="zh-CN"/>
        </w:rPr>
        <w:t>一是在补助资金管理办法制定中，区交运局、区财政局联合印发</w:t>
      </w:r>
      <w:r>
        <w:rPr>
          <w:rFonts w:hint="eastAsia" w:ascii="Times New Roman" w:hAnsi="Times New Roman" w:eastAsia="仿宋_GB2312"/>
          <w:b w:val="0"/>
          <w:bCs w:val="0"/>
          <w:sz w:val="32"/>
          <w:szCs w:val="32"/>
          <w:highlight w:val="none"/>
          <w:lang w:eastAsia="zh-CN"/>
        </w:rPr>
        <w:t>《关于印发安居区建制村客车“村村通”财政补贴实施办法的通知》（遂安财建</w:t>
      </w:r>
      <w:r>
        <w:rPr>
          <w:rFonts w:ascii="Times New Roman" w:hAnsi="Times New Roman" w:eastAsia="仿宋_GB2312"/>
          <w:b w:val="0"/>
          <w:bCs w:val="0"/>
          <w:sz w:val="32"/>
          <w:szCs w:val="32"/>
          <w:highlight w:val="none"/>
        </w:rPr>
        <w:t>〔20</w:t>
      </w:r>
      <w:r>
        <w:rPr>
          <w:rFonts w:hint="eastAsia" w:ascii="Times New Roman" w:hAnsi="Times New Roman" w:eastAsia="仿宋_GB2312"/>
          <w:b w:val="0"/>
          <w:bCs w:val="0"/>
          <w:sz w:val="32"/>
          <w:szCs w:val="32"/>
          <w:highlight w:val="none"/>
          <w:lang w:val="en-US" w:eastAsia="zh-CN"/>
        </w:rPr>
        <w:t>20</w:t>
      </w:r>
      <w:r>
        <w:rPr>
          <w:rFonts w:ascii="Times New Roman" w:hAnsi="Times New Roman" w:eastAsia="仿宋_GB2312"/>
          <w:b w:val="0"/>
          <w:bCs w:val="0"/>
          <w:sz w:val="32"/>
          <w:szCs w:val="32"/>
          <w:highlight w:val="none"/>
        </w:rPr>
        <w:t>〕</w:t>
      </w:r>
      <w:r>
        <w:rPr>
          <w:rFonts w:hint="eastAsia" w:ascii="Times New Roman" w:hAnsi="Times New Roman" w:eastAsia="仿宋_GB2312"/>
          <w:b w:val="0"/>
          <w:bCs w:val="0"/>
          <w:sz w:val="32"/>
          <w:szCs w:val="32"/>
          <w:highlight w:val="none"/>
          <w:lang w:val="en-US" w:eastAsia="zh-CN"/>
        </w:rPr>
        <w:t>16号</w:t>
      </w:r>
      <w:r>
        <w:rPr>
          <w:rFonts w:hint="eastAsia" w:ascii="Times New Roman" w:hAnsi="Times New Roman" w:eastAsia="仿宋_GB2312"/>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通客车“五有”要求合格率达到100%。</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13" w:leftChars="0" w:firstLine="643" w:firstLineChars="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可持续影响指标：因省级补助资金，对我区农村客运经营者的营运亏损进行补助。我所才得以通过对原有农村客运线路进行延伸、新开行片区化经营模式+预约响应式服务，让辖区所有建制村通车进行全覆盖，满足并适应未来一段时期人民群众的出行需求。</w:t>
      </w:r>
    </w:p>
    <w:p>
      <w:pPr>
        <w:pStyle w:val="4"/>
        <w:rPr>
          <w:rFonts w:hint="eastAsia"/>
          <w:highlight w:val="none"/>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ind w:firstLine="960" w:firstLineChars="300"/>
        <w:rPr>
          <w:rFonts w:ascii="仿宋" w:hAnsi="仿宋" w:eastAsia="仿宋"/>
          <w:sz w:val="32"/>
          <w:szCs w:val="32"/>
          <w:highlight w:val="none"/>
        </w:rPr>
      </w:pPr>
      <w:r>
        <w:rPr>
          <w:rFonts w:hint="eastAsia" w:ascii="仿宋" w:hAnsi="仿宋" w:eastAsia="仿宋"/>
          <w:sz w:val="32"/>
          <w:szCs w:val="32"/>
          <w:highlight w:val="none"/>
        </w:rPr>
        <w:t>项目申报内容与具体实施内容相符、申报目标合理可行。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 w:cs="Times New Roman"/>
          <w:color w:val="auto"/>
          <w:sz w:val="32"/>
          <w:szCs w:val="32"/>
          <w:highlight w:val="none"/>
          <w:lang w:val="en-US" w:eastAsia="zh-CN"/>
        </w:rPr>
      </w:pPr>
      <w:r>
        <w:rPr>
          <w:rFonts w:hint="eastAsia" w:ascii="楷体_GB2312" w:hAnsi="宋体" w:eastAsia="楷体_GB2312" w:cs="Times New Roman"/>
          <w:color w:val="auto"/>
          <w:sz w:val="32"/>
          <w:szCs w:val="32"/>
          <w:highlight w:val="none"/>
          <w:lang w:val="zh-CN"/>
        </w:rPr>
        <w:t>1．资金计划。</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年安居区财政局安排一般公共财政预算0万用于农村</w:t>
      </w:r>
      <w:r>
        <w:rPr>
          <w:rFonts w:hint="eastAsia" w:ascii="仿宋" w:hAnsi="仿宋" w:eastAsia="仿宋"/>
          <w:sz w:val="32"/>
          <w:szCs w:val="32"/>
          <w:highlight w:val="none"/>
          <w:lang w:eastAsia="zh-CN"/>
        </w:rPr>
        <w:t>道路</w:t>
      </w:r>
      <w:r>
        <w:rPr>
          <w:rFonts w:hint="eastAsia" w:ascii="仿宋" w:hAnsi="仿宋" w:eastAsia="仿宋"/>
          <w:sz w:val="32"/>
          <w:szCs w:val="32"/>
          <w:highlight w:val="none"/>
        </w:rPr>
        <w:t>客运补助。</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2．资金到位。</w:t>
      </w:r>
      <w:r>
        <w:rPr>
          <w:rFonts w:hint="eastAsia" w:ascii="仿宋" w:hAnsi="仿宋" w:eastAsia="仿宋"/>
          <w:sz w:val="32"/>
          <w:szCs w:val="32"/>
          <w:highlight w:val="none"/>
        </w:rPr>
        <w:t>截止到目前，地方财政预算资金</w:t>
      </w:r>
      <w:r>
        <w:rPr>
          <w:rFonts w:hint="eastAsia" w:ascii="仿宋" w:hAnsi="仿宋" w:eastAsia="仿宋"/>
          <w:sz w:val="32"/>
          <w:szCs w:val="32"/>
          <w:highlight w:val="none"/>
          <w:lang w:val="en-US" w:eastAsia="zh-CN"/>
        </w:rPr>
        <w:t>69.94</w:t>
      </w:r>
      <w:r>
        <w:rPr>
          <w:rFonts w:hint="eastAsia" w:ascii="仿宋" w:hAnsi="仿宋" w:eastAsia="仿宋"/>
          <w:sz w:val="32"/>
          <w:szCs w:val="32"/>
          <w:highlight w:val="none"/>
        </w:rPr>
        <w:t>万元（上年结转）已全部到位。</w:t>
      </w:r>
    </w:p>
    <w:p>
      <w:pPr>
        <w:ind w:firstLine="640" w:firstLineChars="200"/>
        <w:rPr>
          <w:rFonts w:ascii="仿宋" w:hAnsi="仿宋" w:eastAsia="仿宋"/>
          <w:sz w:val="32"/>
          <w:szCs w:val="32"/>
          <w:highlight w:val="none"/>
        </w:rPr>
      </w:pPr>
      <w:r>
        <w:rPr>
          <w:rFonts w:hint="eastAsia" w:ascii="楷体_GB2312" w:hAnsi="宋体" w:eastAsia="楷体_GB2312" w:cs="Times New Roman"/>
          <w:color w:val="auto"/>
          <w:sz w:val="32"/>
          <w:szCs w:val="32"/>
          <w:highlight w:val="none"/>
          <w:lang w:val="zh-CN"/>
        </w:rPr>
        <w:t>3．资金使用。</w:t>
      </w:r>
      <w:r>
        <w:rPr>
          <w:rFonts w:hint="eastAsia" w:ascii="仿宋" w:hAnsi="仿宋" w:eastAsia="仿宋"/>
          <w:sz w:val="32"/>
          <w:szCs w:val="32"/>
          <w:highlight w:val="none"/>
        </w:rPr>
        <w:t>目前，202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年度农村</w:t>
      </w:r>
      <w:r>
        <w:rPr>
          <w:rFonts w:hint="eastAsia" w:ascii="仿宋" w:hAnsi="仿宋" w:eastAsia="仿宋"/>
          <w:sz w:val="32"/>
          <w:szCs w:val="32"/>
          <w:highlight w:val="none"/>
          <w:lang w:eastAsia="zh-CN"/>
        </w:rPr>
        <w:t>道路</w:t>
      </w:r>
      <w:r>
        <w:rPr>
          <w:rFonts w:hint="eastAsia" w:ascii="仿宋" w:hAnsi="仿宋" w:eastAsia="仿宋"/>
          <w:sz w:val="32"/>
          <w:szCs w:val="32"/>
          <w:highlight w:val="none"/>
        </w:rPr>
        <w:t>客运补助工作已全部完成，我所已将预算的</w:t>
      </w:r>
      <w:r>
        <w:rPr>
          <w:rFonts w:hint="eastAsia" w:ascii="仿宋" w:hAnsi="仿宋" w:eastAsia="仿宋"/>
          <w:sz w:val="32"/>
          <w:szCs w:val="32"/>
          <w:highlight w:val="none"/>
          <w:lang w:val="en-US" w:eastAsia="zh-CN"/>
        </w:rPr>
        <w:t>69.94</w:t>
      </w:r>
      <w:r>
        <w:rPr>
          <w:rFonts w:hint="eastAsia" w:ascii="仿宋" w:hAnsi="仿宋" w:eastAsia="仿宋"/>
          <w:sz w:val="32"/>
          <w:szCs w:val="32"/>
          <w:highlight w:val="none"/>
        </w:rPr>
        <w:t>万元（上年结转）农村客运补助用于农村客运等相关费用。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spacing w:line="560" w:lineRule="exact"/>
        <w:ind w:firstLine="643" w:firstLineChars="200"/>
        <w:rPr>
          <w:rFonts w:ascii="仿宋_GB2312" w:hAnsi="宋体" w:eastAsia="仿宋_GB2312" w:cs="Times New Roman"/>
          <w:color w:val="auto"/>
          <w:sz w:val="32"/>
          <w:szCs w:val="32"/>
          <w:highlight w:val="none"/>
          <w:lang w:val="zh-CN"/>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2020年农村</w:t>
      </w:r>
      <w:r>
        <w:rPr>
          <w:rFonts w:hint="eastAsia" w:ascii="仿宋" w:hAnsi="仿宋" w:eastAsia="仿宋"/>
          <w:sz w:val="32"/>
          <w:szCs w:val="32"/>
          <w:highlight w:val="none"/>
          <w:lang w:eastAsia="zh-CN"/>
        </w:rPr>
        <w:t>道路</w:t>
      </w:r>
      <w:r>
        <w:rPr>
          <w:rFonts w:hint="eastAsia" w:ascii="仿宋" w:hAnsi="仿宋" w:eastAsia="仿宋"/>
          <w:sz w:val="32"/>
          <w:szCs w:val="32"/>
          <w:highlight w:val="none"/>
        </w:rPr>
        <w:t>客运项目实行专款专用。项目支出均有相关的授权审批，资金拨付严格按照审批程序，资金使用规范，会计核算结果真实、准确。项目单位建立健全项目实施预算方案、财务管理制度和会计核算制度，此次绩效评价过程中未发现有截留、挤占或挪用项目资金的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农村</w:t>
      </w:r>
      <w:r>
        <w:rPr>
          <w:rFonts w:hint="eastAsia" w:ascii="仿宋" w:hAnsi="仿宋" w:eastAsia="仿宋"/>
          <w:sz w:val="32"/>
          <w:szCs w:val="32"/>
          <w:highlight w:val="none"/>
          <w:lang w:eastAsia="zh-CN"/>
        </w:rPr>
        <w:t>道路</w:t>
      </w:r>
      <w:r>
        <w:rPr>
          <w:rFonts w:hint="eastAsia" w:ascii="仿宋" w:hAnsi="仿宋" w:eastAsia="仿宋"/>
          <w:sz w:val="32"/>
          <w:szCs w:val="32"/>
          <w:highlight w:val="none"/>
        </w:rPr>
        <w:t>客运项目属于经常性项目，实施过程都是按照本单位制定的管理制度来执行。项目目标设定依据充分、明确、合理，项目资金符合省委、省政府及相关行业的规定。</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项目组织架构及实施流程。</w:t>
      </w:r>
    </w:p>
    <w:p>
      <w:pPr>
        <w:ind w:firstLine="480"/>
        <w:rPr>
          <w:highlight w:val="none"/>
          <w:lang w:val="zh-CN"/>
        </w:rPr>
      </w:pPr>
      <w:r>
        <w:rPr>
          <w:rFonts w:ascii="Times New Roman" w:hAnsi="Times New Roman" w:eastAsia="仿宋_GB2312" w:cs="Times New Roman"/>
          <w:color w:val="000000" w:themeColor="text1"/>
          <w:sz w:val="32"/>
          <w:szCs w:val="32"/>
          <w:highlight w:val="none"/>
          <w14:textFill>
            <w14:solidFill>
              <w14:schemeClr w14:val="tx1"/>
            </w14:solidFill>
          </w14:textFill>
        </w:rPr>
        <w:t>坚持</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目标导向、激励约束、以补促发</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的原则，</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根据各</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县农村客运车辆数量以及通客车任务实际</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sz w:val="32"/>
          <w:szCs w:val="32"/>
          <w:highlight w:val="none"/>
        </w:rPr>
        <w:t>明确补助资金使用用途</w:t>
      </w:r>
      <w:r>
        <w:rPr>
          <w:rFonts w:hint="eastAsia" w:ascii="Times New Roman" w:hAnsi="Times New Roman" w:eastAsia="仿宋_GB2312" w:cs="Times New Roman"/>
          <w:sz w:val="32"/>
          <w:szCs w:val="32"/>
          <w:highlight w:val="none"/>
        </w:rPr>
        <w:t>以</w:t>
      </w:r>
      <w:r>
        <w:rPr>
          <w:rFonts w:ascii="Times New Roman" w:hAnsi="Times New Roman" w:eastAsia="仿宋_GB2312" w:cs="Times New Roman"/>
          <w:sz w:val="32"/>
          <w:szCs w:val="32"/>
          <w:highlight w:val="none"/>
        </w:rPr>
        <w:t>及</w:t>
      </w:r>
      <w:r>
        <w:rPr>
          <w:rFonts w:hint="eastAsia" w:ascii="Times New Roman" w:hAnsi="Times New Roman" w:eastAsia="仿宋_GB2312" w:cs="Times New Roman"/>
          <w:sz w:val="32"/>
          <w:szCs w:val="32"/>
          <w:highlight w:val="none"/>
        </w:rPr>
        <w:t>对</w:t>
      </w:r>
      <w:r>
        <w:rPr>
          <w:rFonts w:ascii="Times New Roman" w:hAnsi="Times New Roman" w:eastAsia="仿宋_GB2312" w:cs="Times New Roman"/>
          <w:sz w:val="32"/>
          <w:szCs w:val="32"/>
          <w:highlight w:val="none"/>
        </w:rPr>
        <w:t>应的补助对象</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补助标准等</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统筹分配到辖区各区县，专项用于支持地农村客运发展本。</w:t>
      </w:r>
      <w:r>
        <w:rPr>
          <w:rFonts w:hint="eastAsia" w:ascii="仿宋_GB2312" w:hAnsi="仿宋_GB2312" w:eastAsia="仿宋_GB2312" w:cs="仿宋_GB2312"/>
          <w:sz w:val="32"/>
          <w:szCs w:val="32"/>
          <w:highlight w:val="none"/>
          <w:lang w:val="en-US" w:eastAsia="zh-CN"/>
        </w:rPr>
        <w:t>按照“全市统筹、区县负责、兼顾各方、有所侧重”进行分配，市处负责将省级补助资金分配到各区县所，各区县所负责具体发放。</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w:t>
      </w:r>
    </w:p>
    <w:p>
      <w:pPr>
        <w:numPr>
          <w:ilvl w:val="0"/>
          <w:numId w:val="0"/>
        </w:numPr>
        <w:ind w:firstLine="643" w:firstLineChars="200"/>
        <w:jc w:val="left"/>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p>
    <w:p>
      <w:pPr>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落实企业主任责任。</w:t>
      </w:r>
      <w:r>
        <w:rPr>
          <w:rFonts w:hint="eastAsia" w:ascii="仿宋_GB2312" w:hAnsi="仿宋_GB2312" w:eastAsia="仿宋_GB2312" w:cs="仿宋_GB2312"/>
          <w:sz w:val="32"/>
          <w:szCs w:val="32"/>
          <w:highlight w:val="none"/>
          <w:lang w:val="en-US" w:eastAsia="zh-CN"/>
        </w:rPr>
        <w:t>各运输企业对农村客运车辆底数进行彻查，切实掌握车辆情况，不得多报漏报谎报。</w:t>
      </w:r>
    </w:p>
    <w:p>
      <w:pPr>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各区县所负责对企业上报的车辆情况进行核查，切实杜绝企业出现多报漏报谎报等问题；对下达的补助资金要严格遵照《四川省财政厅 四川省交通运输厅&lt;关于印发四川省省级财政交通专项资金管理办法&gt;的通知》（川财建﹝2017﹞2号）、《四川省交通运输厅&lt;关于印发四川省交通建设计划管理办法&gt;的通知》（川交发﹝2016﹞21号）》等文件规定，抓紧组织项目实施，及时与财政部门衔接到位省级补助资金，加快资金拨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p>
    <w:p>
      <w:pPr>
        <w:numPr>
          <w:ilvl w:val="0"/>
          <w:numId w:val="0"/>
        </w:numPr>
        <w:ind w:firstLine="643" w:firstLineChars="200"/>
        <w:jc w:val="left"/>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p>
    <w:p>
      <w:pPr>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加强监督检查。</w:t>
      </w:r>
      <w:r>
        <w:rPr>
          <w:rFonts w:hint="eastAsia" w:ascii="仿宋_GB2312" w:hAnsi="仿宋_GB2312" w:eastAsia="仿宋_GB2312" w:cs="仿宋_GB2312"/>
          <w:sz w:val="32"/>
          <w:szCs w:val="32"/>
          <w:highlight w:val="none"/>
          <w:lang w:val="en-US" w:eastAsia="zh-CN"/>
        </w:rPr>
        <w:t>市处对资金使用、发放进度等进行督导检查，确保资金及时发放。</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做好风险管控。</w:t>
      </w:r>
      <w:r>
        <w:rPr>
          <w:rFonts w:hint="eastAsia" w:ascii="仿宋_GB2312" w:hAnsi="仿宋_GB2312" w:eastAsia="仿宋_GB2312" w:cs="仿宋_GB2312"/>
          <w:sz w:val="32"/>
          <w:szCs w:val="32"/>
          <w:highlight w:val="none"/>
          <w:lang w:val="en-US" w:eastAsia="zh-CN"/>
        </w:rPr>
        <w:t>各运输企业确实掌握经营者动态，防止出现资金发放中出现的不稳定因素，各区县所要做好应急处置准备，切实化解矛盾，确保省级补助资金顺利发放</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spacing w:line="560" w:lineRule="exact"/>
        <w:ind w:firstLine="640" w:firstLineChars="200"/>
        <w:rPr>
          <w:rFonts w:ascii="仿宋" w:hAnsi="仿宋" w:eastAsia="仿宋"/>
          <w:b/>
          <w:bCs/>
          <w:sz w:val="32"/>
          <w:szCs w:val="32"/>
          <w:highlight w:val="none"/>
        </w:rPr>
      </w:pPr>
      <w:r>
        <w:rPr>
          <w:rFonts w:hint="eastAsia" w:ascii="仿宋" w:hAnsi="仿宋" w:eastAsia="仿宋"/>
          <w:sz w:val="32"/>
          <w:szCs w:val="32"/>
          <w:highlight w:val="none"/>
        </w:rPr>
        <w:t>截止到目前，202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年度农村</w:t>
      </w:r>
      <w:r>
        <w:rPr>
          <w:rFonts w:hint="eastAsia" w:ascii="仿宋" w:hAnsi="仿宋" w:eastAsia="仿宋"/>
          <w:sz w:val="32"/>
          <w:szCs w:val="32"/>
          <w:highlight w:val="none"/>
          <w:lang w:eastAsia="zh-CN"/>
        </w:rPr>
        <w:t>道路</w:t>
      </w:r>
      <w:r>
        <w:rPr>
          <w:rFonts w:hint="eastAsia" w:ascii="仿宋" w:hAnsi="仿宋" w:eastAsia="仿宋"/>
          <w:sz w:val="32"/>
          <w:szCs w:val="32"/>
          <w:highlight w:val="none"/>
        </w:rPr>
        <w:t>客运项目工作全部完成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spacing w:line="560" w:lineRule="exact"/>
        <w:ind w:firstLine="640" w:firstLineChars="200"/>
        <w:rPr>
          <w:highlight w:val="none"/>
        </w:rPr>
      </w:pPr>
      <w:r>
        <w:rPr>
          <w:rFonts w:hint="eastAsia" w:ascii="仿宋" w:hAnsi="仿宋" w:eastAsia="仿宋"/>
          <w:sz w:val="32"/>
          <w:szCs w:val="32"/>
          <w:highlight w:val="none"/>
        </w:rPr>
        <w:t>1.产出指标完成情况。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投入</w:t>
      </w:r>
      <w:r>
        <w:rPr>
          <w:rFonts w:hint="eastAsia" w:ascii="仿宋" w:hAnsi="仿宋" w:eastAsia="仿宋"/>
          <w:sz w:val="32"/>
          <w:szCs w:val="32"/>
          <w:highlight w:val="none"/>
          <w:lang w:val="en-US" w:eastAsia="zh-CN"/>
        </w:rPr>
        <w:t>69.94</w:t>
      </w:r>
      <w:r>
        <w:rPr>
          <w:rFonts w:hint="eastAsia" w:ascii="仿宋" w:hAnsi="仿宋" w:eastAsia="仿宋"/>
          <w:sz w:val="32"/>
          <w:szCs w:val="32"/>
          <w:highlight w:val="none"/>
        </w:rPr>
        <w:t>万元用于对农村道路客运的补贴项目所需经费，目前已全部使用完成。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2.效益指标完成情况分析。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该项目资金主要用于补贴安居区农村</w:t>
      </w:r>
      <w:r>
        <w:rPr>
          <w:rFonts w:hint="eastAsia" w:ascii="仿宋" w:hAnsi="仿宋" w:eastAsia="仿宋"/>
          <w:sz w:val="32"/>
          <w:szCs w:val="32"/>
          <w:highlight w:val="none"/>
          <w:lang w:eastAsia="zh-CN"/>
        </w:rPr>
        <w:t>道路</w:t>
      </w:r>
      <w:r>
        <w:rPr>
          <w:rFonts w:hint="eastAsia" w:ascii="仿宋" w:hAnsi="仿宋" w:eastAsia="仿宋"/>
          <w:sz w:val="32"/>
          <w:szCs w:val="32"/>
          <w:highlight w:val="none"/>
        </w:rPr>
        <w:t>客运线路运营亏损补助等，方便区内人民群众出行。</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3.满意度指标完成情况。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sz w:val="32"/>
          <w:szCs w:val="32"/>
          <w:highlight w:val="none"/>
        </w:rPr>
      </w:pPr>
      <w:r>
        <w:rPr>
          <w:rFonts w:hint="eastAsia" w:ascii="仿宋" w:hAnsi="仿宋" w:eastAsia="仿宋"/>
          <w:sz w:val="32"/>
          <w:szCs w:val="32"/>
          <w:highlight w:val="none"/>
        </w:rPr>
        <w:t>被服务对象很满意。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我所才得以通过对原有农村客运线路进行延伸、新开行片区化经营模式+预约响应式服务，让辖区所有建制村通车进行全覆盖，满足并适应未来一段时期人民群众的出行需求。</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spacing w:line="56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1.政府主导不够，未发挥公益性服务主导作用，缺乏政策补贴支撑。</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sz w:val="32"/>
          <w:szCs w:val="32"/>
          <w:highlight w:val="none"/>
        </w:rPr>
        <w:t>2.农村地区群众出行方式发生了改变，传统运输模式不能满足乘客出行需求，</w:t>
      </w:r>
      <w:r>
        <w:rPr>
          <w:rFonts w:hint="eastAsia" w:ascii="仿宋" w:hAnsi="仿宋" w:eastAsia="仿宋" w:cs="仿宋"/>
          <w:sz w:val="32"/>
          <w:szCs w:val="32"/>
          <w:highlight w:val="none"/>
        </w:rPr>
        <w:t>客流分散极为严重，客运班线班车实载率下降严重，客运经营者投资积极性不高。</w:t>
      </w:r>
    </w:p>
    <w:p>
      <w:pPr>
        <w:spacing w:line="560" w:lineRule="exact"/>
        <w:ind w:firstLine="640" w:firstLineChars="200"/>
        <w:rPr>
          <w:rFonts w:ascii="仿宋_GB2312" w:hAnsi="宋体" w:eastAsia="仿宋_GB2312" w:cs="Times New Roman"/>
          <w:color w:val="auto"/>
          <w:sz w:val="32"/>
          <w:szCs w:val="32"/>
          <w:highlight w:val="none"/>
          <w:lang w:val="zh-CN"/>
        </w:rPr>
      </w:pPr>
      <w:r>
        <w:rPr>
          <w:rFonts w:hint="eastAsia" w:ascii="仿宋" w:hAnsi="仿宋" w:eastAsia="仿宋" w:cs="仿宋"/>
          <w:sz w:val="32"/>
          <w:szCs w:val="32"/>
          <w:highlight w:val="none"/>
        </w:rPr>
        <w:t>3.</w:t>
      </w:r>
      <w:r>
        <w:rPr>
          <w:rFonts w:hint="eastAsia" w:ascii="仿宋" w:hAnsi="仿宋" w:eastAsia="仿宋"/>
          <w:sz w:val="32"/>
          <w:szCs w:val="32"/>
          <w:highlight w:val="none"/>
        </w:rPr>
        <w:t>农村道路建设标准等级较低，部分道路因路面宽度、安防设施、标识标牌等原因，达不到开行农村客运线路条件。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pStyle w:val="4"/>
        <w:spacing w:before="0" w:after="0" w:line="240" w:lineRule="auto"/>
        <w:rPr>
          <w:highlight w:val="none"/>
        </w:rPr>
      </w:pPr>
      <w:r>
        <w:rPr>
          <w:rFonts w:hint="eastAsia" w:ascii="仿宋" w:hAnsi="仿宋" w:eastAsia="仿宋" w:cs="Times New Roman"/>
          <w:b w:val="0"/>
          <w:bCs w:val="0"/>
          <w:highlight w:val="none"/>
        </w:rPr>
        <w:t xml:space="preserve"> </w:t>
      </w:r>
      <w:bookmarkStart w:id="67" w:name="_Toc1479"/>
      <w:bookmarkStart w:id="68" w:name="_Toc6589"/>
      <w:r>
        <w:rPr>
          <w:rFonts w:hint="eastAsia" w:ascii="仿宋" w:hAnsi="仿宋" w:eastAsia="仿宋" w:cs="Times New Roman"/>
          <w:b w:val="0"/>
          <w:bCs w:val="0"/>
          <w:highlight w:val="none"/>
        </w:rPr>
        <w:t>加大资金投入，对新发展的通村客车加大补助力度。</w:t>
      </w:r>
      <w:bookmarkEnd w:id="67"/>
      <w:bookmarkEnd w:id="68"/>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kinsoku w:val="0"/>
        <w:overflowPunct w:val="0"/>
        <w:spacing w:line="540" w:lineRule="exact"/>
        <w:jc w:val="center"/>
        <w:rPr>
          <w:rFonts w:eastAsia="方正小标宋简体"/>
          <w:spacing w:val="1"/>
          <w:sz w:val="44"/>
          <w:szCs w:val="44"/>
          <w:highlight w:val="none"/>
        </w:rPr>
      </w:pPr>
      <w:r>
        <w:rPr>
          <w:rFonts w:hint="eastAsia" w:eastAsia="方正小标宋简体"/>
          <w:spacing w:val="1"/>
          <w:sz w:val="44"/>
          <w:szCs w:val="44"/>
          <w:highlight w:val="none"/>
        </w:rPr>
        <w:t>农村客运出租车成品油价格补助资金</w:t>
      </w:r>
      <w:r>
        <w:rPr>
          <w:rFonts w:eastAsia="方正小标宋简体"/>
          <w:spacing w:val="1"/>
          <w:sz w:val="44"/>
          <w:szCs w:val="44"/>
          <w:highlight w:val="none"/>
        </w:rPr>
        <w:t>支出</w:t>
      </w:r>
    </w:p>
    <w:p>
      <w:pPr>
        <w:kinsoku w:val="0"/>
        <w:overflowPunct w:val="0"/>
        <w:spacing w:line="540" w:lineRule="exact"/>
        <w:jc w:val="center"/>
        <w:rPr>
          <w:rFonts w:ascii="仿宋" w:hAnsi="仿宋" w:eastAsia="仿宋"/>
          <w:b/>
          <w:bCs/>
          <w:sz w:val="32"/>
          <w:szCs w:val="32"/>
          <w:highlight w:val="none"/>
        </w:rPr>
      </w:pPr>
      <w:r>
        <w:rPr>
          <w:rFonts w:eastAsia="方正小标宋简体"/>
          <w:spacing w:val="1"/>
          <w:sz w:val="44"/>
          <w:szCs w:val="44"/>
          <w:highlight w:val="none"/>
        </w:rPr>
        <w:t>绩效自评报告</w:t>
      </w:r>
    </w:p>
    <w:p>
      <w:pPr>
        <w:keepNext w:val="0"/>
        <w:keepLines w:val="0"/>
        <w:pageBreakBefore w:val="0"/>
        <w:widowControl w:val="0"/>
        <w:kinsoku/>
        <w:wordWrap/>
        <w:overflowPunct/>
        <w:topLinePunct w:val="0"/>
        <w:autoSpaceDE/>
        <w:autoSpaceDN/>
        <w:bidi w:val="0"/>
        <w:spacing w:line="600" w:lineRule="exact"/>
        <w:ind w:firstLine="2937" w:firstLineChars="918"/>
        <w:jc w:val="both"/>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（主管部门自评）</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 w:hAnsi="仿宋" w:eastAsia="仿宋"/>
          <w:sz w:val="32"/>
          <w:szCs w:val="32"/>
          <w:highlight w:val="none"/>
        </w:rPr>
        <w:t>为保障区内道路及场所的安全，符合国家防控要求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2．项目立项、资金申报的依据。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color w:val="auto"/>
          <w:sz w:val="32"/>
          <w:szCs w:val="32"/>
          <w:highlight w:val="none"/>
          <w:lang w:val="en-US" w:eastAsia="zh-CN"/>
        </w:rPr>
        <w:t>根据四川省遂宁市安居区财政局关于下达《2022年部门预算的通知》（</w:t>
      </w:r>
      <w:r>
        <w:rPr>
          <w:rFonts w:hint="eastAsia" w:ascii="仿宋" w:hAnsi="仿宋" w:eastAsia="仿宋"/>
          <w:b w:val="0"/>
          <w:bCs w:val="0"/>
          <w:sz w:val="32"/>
          <w:szCs w:val="32"/>
          <w:highlight w:val="none"/>
          <w:lang w:val="en-US" w:eastAsia="zh-CN"/>
        </w:rPr>
        <w:t>（遂安财预〔2022〕1号附43号）），</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3．资金管理办法制定情况，资金支持具体项目的条件、范围与支持方式概况。</w:t>
      </w:r>
    </w:p>
    <w:p>
      <w:pPr>
        <w:spacing w:line="560" w:lineRule="exact"/>
        <w:ind w:firstLine="960" w:firstLineChars="300"/>
        <w:rPr>
          <w:rFonts w:hint="eastAsia" w:ascii="仿宋_GB2312" w:hAnsi="宋体" w:eastAsia="仿宋_GB2312" w:cs="Times New Roman"/>
          <w:color w:val="auto"/>
          <w:sz w:val="32"/>
          <w:szCs w:val="32"/>
          <w:highlight w:val="none"/>
          <w:lang w:val="zh-CN"/>
        </w:rPr>
      </w:pPr>
      <w:r>
        <w:rPr>
          <w:rFonts w:hint="eastAsia" w:ascii="仿宋" w:hAnsi="仿宋" w:eastAsia="仿宋"/>
          <w:sz w:val="32"/>
          <w:szCs w:val="32"/>
          <w:highlight w:val="none"/>
          <w:lang w:eastAsia="zh-CN"/>
        </w:rPr>
        <w:t>成品油价格</w:t>
      </w:r>
      <w:r>
        <w:rPr>
          <w:rFonts w:hint="eastAsia" w:ascii="仿宋" w:hAnsi="仿宋" w:eastAsia="仿宋"/>
          <w:sz w:val="32"/>
          <w:szCs w:val="32"/>
          <w:highlight w:val="none"/>
        </w:rPr>
        <w:t>项目资金</w:t>
      </w:r>
      <w:r>
        <w:rPr>
          <w:rFonts w:hint="eastAsia" w:ascii="仿宋" w:hAnsi="仿宋" w:eastAsia="仿宋"/>
          <w:sz w:val="32"/>
          <w:szCs w:val="32"/>
          <w:highlight w:val="none"/>
          <w:lang w:val="en-US" w:eastAsia="zh-CN"/>
        </w:rPr>
        <w:t>128.17</w:t>
      </w:r>
      <w:r>
        <w:rPr>
          <w:rFonts w:hint="eastAsia" w:ascii="仿宋" w:hAnsi="仿宋" w:eastAsia="仿宋"/>
          <w:sz w:val="32"/>
          <w:szCs w:val="32"/>
          <w:highlight w:val="none"/>
        </w:rPr>
        <w:t>万元。</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 w:hAnsi="仿宋" w:eastAsia="仿宋" w:cs="Times New Roman"/>
          <w:b w:val="0"/>
          <w:bCs w:val="0"/>
          <w:kern w:val="2"/>
          <w:sz w:val="32"/>
          <w:szCs w:val="32"/>
          <w:highlight w:val="none"/>
          <w:lang w:val="en-US" w:eastAsia="zh-CN" w:bidi="ar-SA"/>
        </w:rPr>
      </w:pPr>
      <w:r>
        <w:rPr>
          <w:rFonts w:hint="eastAsia" w:ascii="仿宋_GB2312" w:hAnsi="宋体" w:eastAsia="仿宋_GB2312" w:cs="Times New Roman"/>
          <w:color w:val="auto"/>
          <w:sz w:val="32"/>
          <w:szCs w:val="32"/>
          <w:highlight w:val="none"/>
          <w:lang w:val="zh-CN"/>
        </w:rPr>
        <w:t>资金分配的原则及考虑因素。</w:t>
      </w:r>
      <w:bookmarkStart w:id="69" w:name="_Toc26170"/>
      <w:bookmarkStart w:id="70" w:name="_Toc13778"/>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640" w:firstLineChars="200"/>
        <w:textAlignment w:val="auto"/>
        <w:rPr>
          <w:rFonts w:hint="default" w:ascii="仿宋" w:hAnsi="仿宋" w:eastAsia="仿宋" w:cs="Times New Roman"/>
          <w:b w:val="0"/>
          <w:bCs w:val="0"/>
          <w:kern w:val="2"/>
          <w:sz w:val="32"/>
          <w:szCs w:val="32"/>
          <w:highlight w:val="none"/>
          <w:lang w:val="en-US" w:eastAsia="zh-CN" w:bidi="ar-SA"/>
        </w:rPr>
      </w:pPr>
      <w:r>
        <w:rPr>
          <w:rFonts w:hint="eastAsia" w:ascii="仿宋" w:hAnsi="仿宋" w:eastAsia="仿宋" w:cs="Times New Roman"/>
          <w:b w:val="0"/>
          <w:bCs w:val="0"/>
          <w:kern w:val="2"/>
          <w:sz w:val="32"/>
          <w:szCs w:val="32"/>
          <w:highlight w:val="none"/>
          <w:lang w:val="en-US" w:eastAsia="zh-CN" w:bidi="ar-SA"/>
        </w:rPr>
        <w:t>燃油补贴发放标准：14坐及以下系数0.85，572.17元/月，15以上-30及以下系数1，673.16元/月，30坐以上系数1.3，875.1元/月。</w:t>
      </w:r>
      <w:r>
        <w:rPr>
          <w:rFonts w:hint="eastAsia" w:ascii="Times New Roman" w:hAnsi="Times New Roman" w:eastAsia="仿宋_GB2312" w:cs="Times New Roman"/>
          <w:b w:val="0"/>
          <w:bCs w:val="0"/>
          <w:sz w:val="32"/>
          <w:szCs w:val="32"/>
          <w:highlight w:val="none"/>
          <w:lang w:val="en-US" w:eastAsia="zh-CN"/>
        </w:rPr>
        <w:t>省级补助资金有效的保障了农村地区群众的出行安全</w:t>
      </w:r>
      <w:bookmarkEnd w:id="69"/>
      <w:bookmarkEnd w:id="7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spacing w:line="540" w:lineRule="exact"/>
        <w:ind w:firstLine="960" w:firstLineChars="300"/>
        <w:rPr>
          <w:rFonts w:ascii="仿宋" w:hAnsi="仿宋" w:eastAsia="仿宋"/>
          <w:sz w:val="32"/>
          <w:szCs w:val="32"/>
          <w:highlight w:val="none"/>
        </w:rPr>
      </w:pPr>
      <w:r>
        <w:rPr>
          <w:rFonts w:hint="eastAsia" w:ascii="仿宋" w:hAnsi="仿宋" w:eastAsia="仿宋"/>
          <w:sz w:val="32"/>
          <w:szCs w:val="32"/>
          <w:highlight w:val="none"/>
        </w:rPr>
        <w:t>该项目资金主要用于对农村道路客运的补贴，方便区内人民群众出行。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spacing w:line="540" w:lineRule="exact"/>
        <w:ind w:firstLine="960" w:firstLineChars="3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我所对遂宁富临运业有限公司所属4辆农村客运车辆、遂宁富临运业有限公司安居分公司所属62辆车辆，德阳市运通运业有限公司安居分公司所属15辆车辆的补助资金进行检查，符合专项资金发放对象</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ind w:firstLine="960" w:firstLineChars="300"/>
        <w:rPr>
          <w:rFonts w:ascii="仿宋" w:hAnsi="仿宋" w:eastAsia="仿宋"/>
          <w:sz w:val="32"/>
          <w:szCs w:val="32"/>
          <w:highlight w:val="none"/>
        </w:rPr>
      </w:pPr>
      <w:r>
        <w:rPr>
          <w:rFonts w:hint="eastAsia" w:ascii="仿宋" w:hAnsi="仿宋" w:eastAsia="仿宋"/>
          <w:sz w:val="32"/>
          <w:szCs w:val="32"/>
          <w:highlight w:val="none"/>
        </w:rPr>
        <w:t>项目申报内容与具体实施内容相符、申报目标合理可行。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spacing w:line="540" w:lineRule="exact"/>
        <w:ind w:firstLine="960" w:firstLineChars="300"/>
        <w:rPr>
          <w:rFonts w:hint="default" w:ascii="仿宋_GB2312" w:hAnsi="宋体" w:eastAsia="仿宋" w:cs="Times New Roman"/>
          <w:color w:val="auto"/>
          <w:sz w:val="32"/>
          <w:szCs w:val="32"/>
          <w:highlight w:val="none"/>
          <w:lang w:val="en-US" w:eastAsia="zh-CN"/>
        </w:rPr>
      </w:pPr>
      <w:r>
        <w:rPr>
          <w:rFonts w:hint="eastAsia" w:ascii="楷体_GB2312" w:hAnsi="宋体" w:eastAsia="楷体_GB2312" w:cs="Times New Roman"/>
          <w:color w:val="auto"/>
          <w:sz w:val="32"/>
          <w:szCs w:val="32"/>
          <w:highlight w:val="none"/>
          <w:lang w:val="zh-CN"/>
        </w:rPr>
        <w:t>1．资金计划。</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年安居区财政局安排一般公共财政预算0万用于对成品油价格补贴。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2．资金到位。</w:t>
      </w:r>
      <w:r>
        <w:rPr>
          <w:rFonts w:hint="eastAsia" w:ascii="仿宋" w:hAnsi="仿宋" w:eastAsia="仿宋"/>
          <w:sz w:val="32"/>
          <w:szCs w:val="32"/>
          <w:highlight w:val="none"/>
        </w:rPr>
        <w:t>截止到目前，地方财政预算资金</w:t>
      </w:r>
      <w:r>
        <w:rPr>
          <w:rFonts w:hint="eastAsia" w:ascii="仿宋" w:hAnsi="仿宋" w:eastAsia="仿宋"/>
          <w:sz w:val="32"/>
          <w:szCs w:val="32"/>
          <w:highlight w:val="none"/>
          <w:lang w:val="en-US" w:eastAsia="zh-CN"/>
        </w:rPr>
        <w:t>128.17</w:t>
      </w:r>
      <w:r>
        <w:rPr>
          <w:rFonts w:hint="eastAsia" w:ascii="仿宋" w:hAnsi="仿宋" w:eastAsia="仿宋"/>
          <w:sz w:val="32"/>
          <w:szCs w:val="32"/>
          <w:highlight w:val="none"/>
        </w:rPr>
        <w:t>万元已全部到位。</w:t>
      </w:r>
    </w:p>
    <w:p>
      <w:pPr>
        <w:ind w:firstLine="640" w:firstLineChars="200"/>
        <w:rPr>
          <w:rFonts w:ascii="仿宋" w:hAnsi="仿宋" w:eastAsia="仿宋"/>
          <w:sz w:val="32"/>
          <w:szCs w:val="32"/>
          <w:highlight w:val="none"/>
        </w:rPr>
      </w:pPr>
      <w:r>
        <w:rPr>
          <w:rFonts w:hint="eastAsia" w:ascii="楷体_GB2312" w:hAnsi="宋体" w:eastAsia="楷体_GB2312" w:cs="Times New Roman"/>
          <w:color w:val="auto"/>
          <w:sz w:val="32"/>
          <w:szCs w:val="32"/>
          <w:highlight w:val="none"/>
          <w:lang w:val="zh-CN"/>
        </w:rPr>
        <w:t>3．资金使用。</w:t>
      </w:r>
      <w:r>
        <w:rPr>
          <w:rFonts w:hint="eastAsia" w:ascii="仿宋" w:hAnsi="仿宋" w:eastAsia="仿宋"/>
          <w:sz w:val="32"/>
          <w:szCs w:val="32"/>
          <w:highlight w:val="none"/>
        </w:rPr>
        <w:t>目前，202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年度对成品油价格补贴已部分完成，我所已将预算的</w:t>
      </w:r>
      <w:r>
        <w:rPr>
          <w:rFonts w:hint="eastAsia" w:ascii="仿宋" w:hAnsi="仿宋" w:eastAsia="仿宋"/>
          <w:sz w:val="32"/>
          <w:szCs w:val="32"/>
          <w:highlight w:val="none"/>
          <w:lang w:val="en-US" w:eastAsia="zh-CN"/>
        </w:rPr>
        <w:t>128.17</w:t>
      </w:r>
      <w:r>
        <w:rPr>
          <w:rFonts w:hint="eastAsia" w:ascii="仿宋" w:hAnsi="仿宋" w:eastAsia="仿宋"/>
          <w:sz w:val="32"/>
          <w:szCs w:val="32"/>
          <w:highlight w:val="none"/>
        </w:rPr>
        <w:t>万元成品油价格用于对农村道路客运的补贴等相关费用。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spacing w:line="540" w:lineRule="exact"/>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对成品油价格补贴项目实行专款专用。项目支出均有相关的授权审批，资金拨付严格按照审批程序，资金使用规范，会计核算结果真实、准确。项目单位建立健全项目实施预算方案、财务管理制度和会计核算制度，此次绩效评价过程中未发现有截留、挤占或挪用项目资金的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对成品油价格补贴项目属于经常性项目，实施过程都是按照本单位制定的管理制度来执行。项目目标设定依据充分、明确、合理，项目资金符合省委、省政府及相关行业的规定。</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项目组织架构及实施流程。</w:t>
      </w:r>
    </w:p>
    <w:p>
      <w:pPr>
        <w:ind w:firstLine="480"/>
        <w:rPr>
          <w:highlight w:val="none"/>
          <w:lang w:val="zh-CN"/>
        </w:rPr>
      </w:pPr>
      <w:r>
        <w:rPr>
          <w:rFonts w:hint="eastAsia" w:ascii="仿宋_GB2312" w:hAnsi="仿宋_GB2312" w:eastAsia="仿宋_GB2312" w:cs="仿宋_GB2312"/>
          <w:sz w:val="32"/>
          <w:szCs w:val="32"/>
          <w:highlight w:val="none"/>
          <w:lang w:val="en-US" w:eastAsia="zh-CN"/>
        </w:rPr>
        <w:t>按照“全市统筹、区县负责、兼顾各方、有所侧重”进行分配，市处负责将省级补助资金分配到各区县所，各区县所负责具体发放。</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sz w:val="32"/>
          <w:szCs w:val="32"/>
          <w:highlight w:val="none"/>
          <w:lang w:val="en-US" w:eastAsia="zh-CN"/>
        </w:rPr>
        <w:t>补助资金专项用于支持我市农村客运发展，全力保障我市乡镇和建制村通客车兜底目标</w:t>
      </w:r>
      <w:r>
        <w:rPr>
          <w:rFonts w:hint="eastAsia" w:ascii="仿宋_GB2312" w:hAnsi="仿宋_GB2312" w:eastAsia="仿宋_GB2312" w:cs="仿宋_GB2312"/>
          <w:sz w:val="32"/>
          <w:szCs w:val="32"/>
          <w:highlight w:val="none"/>
          <w:lang w:val="zh-CN" w:eastAsia="zh-CN"/>
        </w:rPr>
        <w:t>。</w:t>
      </w:r>
    </w:p>
    <w:p>
      <w:pPr>
        <w:numPr>
          <w:ilvl w:val="0"/>
          <w:numId w:val="0"/>
        </w:numPr>
        <w:ind w:firstLine="643" w:firstLineChars="200"/>
        <w:jc w:val="left"/>
        <w:rPr>
          <w:rFonts w:hint="eastAsia" w:ascii="楷体_GB2312" w:hAnsi="楷体_GB2312" w:eastAsia="楷体_GB2312" w:cs="楷体_GB2312"/>
          <w:sz w:val="32"/>
          <w:szCs w:val="32"/>
          <w:highlight w:val="none"/>
          <w:lang w:val="en-US" w:eastAsia="zh-CN"/>
        </w:rPr>
      </w:pPr>
      <w:r>
        <w:rPr>
          <w:rFonts w:hint="eastAsia" w:ascii="楷体_GB2312" w:hAnsi="宋体" w:eastAsia="楷体_GB2312" w:cs="Times New Roman"/>
          <w:b/>
          <w:color w:val="auto"/>
          <w:sz w:val="32"/>
          <w:szCs w:val="32"/>
          <w:highlight w:val="none"/>
          <w:lang w:val="zh-CN"/>
        </w:rPr>
        <w:t>（三）项目监管情况。</w:t>
      </w:r>
    </w:p>
    <w:p>
      <w:pPr>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对资金使用、发放进度等进行督导检查，确保资金及时发放。</w:t>
      </w:r>
    </w:p>
    <w:p>
      <w:pPr>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各运输企业确实掌握经营者动态，防止出现资金发放中出现的不稳定因素，各区县所要做好应急处置准备，切实化解矛盾，确保省级补助资金顺利发放。</w:t>
      </w:r>
    </w:p>
    <w:p>
      <w:pPr>
        <w:numPr>
          <w:ilvl w:val="0"/>
          <w:numId w:val="0"/>
        </w:numPr>
        <w:ind w:firstLine="640" w:firstLineChars="200"/>
        <w:jc w:val="left"/>
        <w:rPr>
          <w:rFonts w:hint="eastAsia"/>
          <w:highlight w:val="none"/>
          <w:lang w:val="en-US" w:eastAsia="zh-CN"/>
        </w:rPr>
      </w:pPr>
      <w:r>
        <w:rPr>
          <w:rFonts w:hint="eastAsia" w:ascii="仿宋_GB2312" w:hAnsi="仿宋_GB2312" w:eastAsia="仿宋_GB2312" w:cs="仿宋_GB2312"/>
          <w:sz w:val="32"/>
          <w:szCs w:val="32"/>
          <w:highlight w:val="none"/>
          <w:lang w:val="en-US" w:eastAsia="zh-CN"/>
        </w:rPr>
        <w:t>抓紧组织项目实施，及时与财政部门衔接到位省级补助资金，加快资金拨付。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spacing w:line="560" w:lineRule="exact"/>
        <w:ind w:firstLine="640" w:firstLineChars="200"/>
        <w:rPr>
          <w:rFonts w:ascii="仿宋" w:hAnsi="仿宋" w:eastAsia="仿宋"/>
          <w:b/>
          <w:bCs/>
          <w:sz w:val="32"/>
          <w:szCs w:val="32"/>
          <w:highlight w:val="none"/>
        </w:rPr>
      </w:pPr>
      <w:r>
        <w:rPr>
          <w:rFonts w:hint="eastAsia" w:ascii="仿宋" w:hAnsi="仿宋" w:eastAsia="仿宋"/>
          <w:sz w:val="32"/>
          <w:szCs w:val="32"/>
          <w:highlight w:val="none"/>
        </w:rPr>
        <w:t>截止到目前，202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年度成品油价格补贴项目工作已完成。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spacing w:line="560" w:lineRule="exact"/>
        <w:ind w:firstLine="640" w:firstLineChars="200"/>
        <w:rPr>
          <w:highlight w:val="none"/>
        </w:rPr>
      </w:pPr>
      <w:r>
        <w:rPr>
          <w:rFonts w:hint="eastAsia" w:ascii="仿宋" w:hAnsi="仿宋" w:eastAsia="仿宋"/>
          <w:sz w:val="32"/>
          <w:szCs w:val="32"/>
          <w:highlight w:val="none"/>
        </w:rPr>
        <w:t>1.产出指标完成情况。</w:t>
      </w:r>
    </w:p>
    <w:p>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投入</w:t>
      </w:r>
      <w:r>
        <w:rPr>
          <w:rFonts w:hint="eastAsia" w:ascii="仿宋" w:hAnsi="仿宋" w:eastAsia="仿宋"/>
          <w:sz w:val="32"/>
          <w:szCs w:val="32"/>
          <w:highlight w:val="none"/>
          <w:lang w:val="en-US" w:eastAsia="zh-CN"/>
        </w:rPr>
        <w:t>128.17</w:t>
      </w:r>
      <w:r>
        <w:rPr>
          <w:rFonts w:hint="eastAsia" w:ascii="仿宋" w:hAnsi="仿宋" w:eastAsia="仿宋"/>
          <w:sz w:val="32"/>
          <w:szCs w:val="32"/>
          <w:highlight w:val="none"/>
        </w:rPr>
        <w:t>万元用于对成品油价格补贴项目所需经费，目前已全部使用完成。</w:t>
      </w:r>
    </w:p>
    <w:p>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2.效益指标完成情况分析。</w:t>
      </w:r>
    </w:p>
    <w:p>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增强了对公交车驾驶员的安全防护。</w:t>
      </w:r>
    </w:p>
    <w:p>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3.满意度指标完成情况。</w:t>
      </w:r>
    </w:p>
    <w:p>
      <w:pPr>
        <w:spacing w:line="540" w:lineRule="exact"/>
        <w:ind w:firstLine="960" w:firstLineChars="300"/>
        <w:rPr>
          <w:rFonts w:ascii="仿宋" w:hAnsi="仿宋" w:eastAsia="仿宋"/>
          <w:sz w:val="32"/>
          <w:szCs w:val="32"/>
          <w:highlight w:val="none"/>
        </w:rPr>
      </w:pPr>
      <w:r>
        <w:rPr>
          <w:rFonts w:hint="eastAsia" w:ascii="仿宋" w:hAnsi="仿宋" w:eastAsia="仿宋"/>
          <w:sz w:val="32"/>
          <w:szCs w:val="32"/>
          <w:highlight w:val="none"/>
        </w:rPr>
        <w:t>被服务对象很满意。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pStyle w:val="26"/>
        <w:ind w:firstLine="640" w:firstLineChars="200"/>
        <w:rPr>
          <w:rFonts w:hint="default" w:eastAsia="仿宋_GB2312"/>
          <w:highlight w:val="none"/>
          <w:lang w:val="en-US" w:eastAsia="zh-CN"/>
        </w:rPr>
      </w:pPr>
      <w:r>
        <w:rPr>
          <w:rFonts w:hint="eastAsia" w:ascii="仿宋_GB2312" w:hAnsi="仿宋" w:eastAsia="仿宋_GB2312" w:cs="仿宋"/>
          <w:b w:val="0"/>
          <w:bCs/>
          <w:color w:val="000000"/>
          <w:sz w:val="32"/>
          <w:szCs w:val="32"/>
          <w:highlight w:val="none"/>
          <w:lang w:val="en-US" w:eastAsia="zh-CN"/>
        </w:rPr>
        <w:t>项目整体执行情况良好，符合党中央、国务院和省委、省政府决策部署，资金分配及使用均合规合法，取得较好的社会效益。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spacing w:line="56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1.政府主导不够，未发挥公益性服务主导作用，缺乏政策补贴支撑。</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sz w:val="32"/>
          <w:szCs w:val="32"/>
          <w:highlight w:val="none"/>
        </w:rPr>
        <w:t>2.农村地区群众出行方式发生了改变，传统运输模式不能满足乘客出行需求，</w:t>
      </w:r>
      <w:r>
        <w:rPr>
          <w:rFonts w:hint="eastAsia" w:ascii="仿宋" w:hAnsi="仿宋" w:eastAsia="仿宋" w:cs="仿宋"/>
          <w:sz w:val="32"/>
          <w:szCs w:val="32"/>
          <w:highlight w:val="none"/>
        </w:rPr>
        <w:t>客流分散极为严重，客运班线班车实载率下降严重，客运经营者投资积极性不高。</w:t>
      </w:r>
    </w:p>
    <w:p>
      <w:pPr>
        <w:spacing w:line="560" w:lineRule="exact"/>
        <w:ind w:firstLine="640" w:firstLineChars="200"/>
        <w:rPr>
          <w:rFonts w:ascii="仿宋_GB2312" w:hAnsi="宋体" w:eastAsia="仿宋_GB2312" w:cs="Times New Roman"/>
          <w:color w:val="auto"/>
          <w:sz w:val="32"/>
          <w:szCs w:val="32"/>
          <w:highlight w:val="none"/>
          <w:lang w:val="zh-CN"/>
        </w:rPr>
      </w:pPr>
      <w:r>
        <w:rPr>
          <w:rFonts w:hint="eastAsia" w:ascii="仿宋" w:hAnsi="仿宋" w:eastAsia="仿宋" w:cs="仿宋"/>
          <w:sz w:val="32"/>
          <w:szCs w:val="32"/>
          <w:highlight w:val="none"/>
        </w:rPr>
        <w:t>3.</w:t>
      </w:r>
      <w:r>
        <w:rPr>
          <w:rFonts w:hint="eastAsia" w:ascii="仿宋" w:hAnsi="仿宋" w:eastAsia="仿宋"/>
          <w:sz w:val="32"/>
          <w:szCs w:val="32"/>
          <w:highlight w:val="none"/>
        </w:rPr>
        <w:t>农村道路建设标准等级较低，部分道路因路面宽度、安防设施、标识标牌等原因，达不到开行农村客运线路条件。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pStyle w:val="2"/>
        <w:rPr>
          <w:rFonts w:hint="eastAsia" w:hAnsi="宋体" w:cs="宋体"/>
          <w:color w:val="auto"/>
          <w:kern w:val="0"/>
          <w:sz w:val="32"/>
          <w:szCs w:val="32"/>
          <w:highlight w:val="none"/>
          <w:shd w:val="clear" w:color="auto" w:fill="FFFFFF"/>
          <w:lang w:val="zh-CN"/>
        </w:rPr>
      </w:pPr>
      <w:bookmarkStart w:id="71" w:name="_Toc7858"/>
      <w:bookmarkStart w:id="72" w:name="_Toc23766"/>
      <w:r>
        <w:rPr>
          <w:rFonts w:hint="eastAsia" w:ascii="仿宋" w:hAnsi="仿宋" w:eastAsia="仿宋" w:cs="Times New Roman"/>
          <w:b w:val="0"/>
          <w:bCs w:val="0"/>
          <w:highlight w:val="none"/>
        </w:rPr>
        <w:t>加大资金投入，解决农村客运营运性亏损补助力度。</w:t>
      </w:r>
      <w:bookmarkEnd w:id="71"/>
      <w:bookmarkEnd w:id="72"/>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spacing w:line="580" w:lineRule="exact"/>
        <w:rPr>
          <w:rStyle w:val="28"/>
          <w:rFonts w:ascii="黑体" w:hAnsi="黑体" w:eastAsia="黑体"/>
          <w:b w:val="0"/>
          <w:color w:val="auto"/>
          <w:highlight w:val="none"/>
        </w:rPr>
      </w:pPr>
    </w:p>
    <w:p>
      <w:pPr>
        <w:widowControl/>
        <w:jc w:val="left"/>
        <w:rPr>
          <w:rStyle w:val="28"/>
          <w:rFonts w:ascii="黑体" w:hAnsi="黑体" w:eastAsia="黑体"/>
          <w:b w:val="0"/>
          <w:color w:val="auto"/>
          <w:highlight w:val="none"/>
        </w:rPr>
      </w:pPr>
      <w:r>
        <w:rPr>
          <w:rStyle w:val="28"/>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73" w:name="_Toc15396618"/>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61"/>
      <w:bookmarkEnd w:id="73"/>
      <w:bookmarkStart w:id="7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74"/>
    </w:p>
    <w:p>
      <w:pPr>
        <w:pStyle w:val="4"/>
        <w:rPr>
          <w:rFonts w:ascii="仿宋" w:hAnsi="仿宋" w:eastAsia="仿宋"/>
          <w:color w:val="auto"/>
          <w:highlight w:val="none"/>
        </w:rPr>
      </w:pPr>
      <w:bookmarkStart w:id="75"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75"/>
    </w:p>
    <w:p>
      <w:pPr>
        <w:pStyle w:val="4"/>
        <w:rPr>
          <w:rFonts w:ascii="仿宋" w:hAnsi="仿宋" w:eastAsia="仿宋"/>
          <w:color w:val="auto"/>
          <w:highlight w:val="none"/>
        </w:rPr>
      </w:pPr>
      <w:bookmarkStart w:id="76"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76"/>
    </w:p>
    <w:p>
      <w:pPr>
        <w:pStyle w:val="4"/>
        <w:rPr>
          <w:rFonts w:ascii="仿宋" w:hAnsi="仿宋" w:eastAsia="仿宋"/>
          <w:b w:val="0"/>
          <w:color w:val="auto"/>
          <w:highlight w:val="none"/>
        </w:rPr>
      </w:pPr>
      <w:bookmarkStart w:id="77"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77"/>
    </w:p>
    <w:p>
      <w:pPr>
        <w:pStyle w:val="4"/>
        <w:rPr>
          <w:rStyle w:val="29"/>
          <w:rFonts w:ascii="仿宋" w:hAnsi="仿宋" w:eastAsia="仿宋"/>
          <w:b w:val="0"/>
          <w:bCs w:val="0"/>
          <w:color w:val="auto"/>
          <w:highlight w:val="none"/>
        </w:rPr>
      </w:pPr>
      <w:bookmarkStart w:id="78"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78"/>
      <w:bookmarkStart w:id="79" w:name="_Toc15396624"/>
    </w:p>
    <w:p>
      <w:pPr>
        <w:pStyle w:val="4"/>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79"/>
    </w:p>
    <w:p>
      <w:pPr>
        <w:pStyle w:val="4"/>
        <w:rPr>
          <w:rFonts w:ascii="仿宋" w:hAnsi="仿宋" w:eastAsia="仿宋"/>
          <w:color w:val="auto"/>
          <w:highlight w:val="none"/>
        </w:rPr>
      </w:pPr>
      <w:bookmarkStart w:id="80"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80"/>
    </w:p>
    <w:p>
      <w:pPr>
        <w:pStyle w:val="4"/>
        <w:rPr>
          <w:rFonts w:ascii="仿宋" w:hAnsi="仿宋" w:eastAsia="仿宋"/>
          <w:color w:val="auto"/>
          <w:highlight w:val="none"/>
        </w:rPr>
      </w:pPr>
      <w:bookmarkStart w:id="81"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81"/>
    </w:p>
    <w:p>
      <w:pPr>
        <w:pStyle w:val="4"/>
        <w:rPr>
          <w:rFonts w:ascii="仿宋" w:hAnsi="仿宋" w:eastAsia="仿宋"/>
          <w:color w:val="auto"/>
          <w:highlight w:val="none"/>
        </w:rPr>
      </w:pPr>
      <w:bookmarkStart w:id="82"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82"/>
    </w:p>
    <w:p>
      <w:pPr>
        <w:pStyle w:val="4"/>
        <w:rPr>
          <w:rFonts w:ascii="仿宋" w:hAnsi="仿宋" w:eastAsia="仿宋"/>
          <w:color w:val="auto"/>
          <w:highlight w:val="none"/>
        </w:rPr>
      </w:pPr>
      <w:bookmarkStart w:id="83" w:name="_Toc15396628"/>
      <w:r>
        <w:rPr>
          <w:rStyle w:val="29"/>
          <w:rFonts w:hint="eastAsia" w:ascii="仿宋" w:hAnsi="仿宋" w:eastAsia="仿宋"/>
          <w:b w:val="0"/>
          <w:bCs w:val="0"/>
          <w:color w:val="auto"/>
          <w:highlight w:val="none"/>
        </w:rPr>
        <w:t>十、</w:t>
      </w:r>
      <w:bookmarkEnd w:id="83"/>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84" w:name="_Toc15396629"/>
      <w:r>
        <w:rPr>
          <w:rStyle w:val="29"/>
          <w:rFonts w:hint="eastAsia" w:ascii="仿宋" w:hAnsi="仿宋" w:eastAsia="仿宋"/>
          <w:b w:val="0"/>
          <w:bCs w:val="0"/>
          <w:color w:val="auto"/>
          <w:highlight w:val="none"/>
        </w:rPr>
        <w:t>十一、</w:t>
      </w:r>
      <w:bookmarkEnd w:id="84"/>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85" w:name="_Toc15396630"/>
      <w:r>
        <w:rPr>
          <w:rStyle w:val="29"/>
          <w:rFonts w:hint="eastAsia" w:ascii="仿宋" w:hAnsi="仿宋" w:eastAsia="仿宋"/>
          <w:b w:val="0"/>
          <w:bCs w:val="0"/>
          <w:color w:val="auto"/>
          <w:highlight w:val="none"/>
        </w:rPr>
        <w:t>十二、</w:t>
      </w:r>
      <w:bookmarkEnd w:id="85"/>
      <w:r>
        <w:rPr>
          <w:rStyle w:val="29"/>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86" w:name="_Toc15396631"/>
      <w:r>
        <w:rPr>
          <w:rStyle w:val="29"/>
          <w:rFonts w:hint="eastAsia" w:ascii="仿宋" w:hAnsi="仿宋" w:eastAsia="仿宋"/>
          <w:b w:val="0"/>
          <w:bCs w:val="0"/>
          <w:color w:val="auto"/>
          <w:highlight w:val="none"/>
        </w:rPr>
        <w:t>十三、</w:t>
      </w:r>
      <w:bookmarkEnd w:id="86"/>
      <w:r>
        <w:rPr>
          <w:rStyle w:val="29"/>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50379A-32EC-4D1F-A367-2A7CD88C73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embedRegular r:id="rId2" w:fontKey="{64883A4A-F2B8-4DC4-9519-B7014F6D34B4}"/>
  </w:font>
  <w:font w:name="仿宋_GB2312">
    <w:panose1 w:val="02010609030101010101"/>
    <w:charset w:val="86"/>
    <w:family w:val="modern"/>
    <w:pitch w:val="default"/>
    <w:sig w:usb0="00000001" w:usb1="080E0000" w:usb2="00000000" w:usb3="00000000" w:csb0="00040000" w:csb1="00000000"/>
    <w:embedRegular r:id="rId3" w:fontKey="{BCD126CC-D3D4-446C-8F37-7B179EA71542}"/>
  </w:font>
  <w:font w:name="仿宋">
    <w:panose1 w:val="02010609060101010101"/>
    <w:charset w:val="86"/>
    <w:family w:val="modern"/>
    <w:pitch w:val="default"/>
    <w:sig w:usb0="800002BF" w:usb1="38CF7CFA" w:usb2="00000016" w:usb3="00000000" w:csb0="00040001" w:csb1="00000000"/>
    <w:embedRegular r:id="rId4" w:fontKey="{502051AD-3373-4E1C-BCB7-C48DD2D1850E}"/>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5" w:fontKey="{FFF2C758-270F-408D-8B31-39DC4230DFC9}"/>
  </w:font>
  <w:font w:name="楷体_GB2312">
    <w:panose1 w:val="02010609030101010101"/>
    <w:charset w:val="86"/>
    <w:family w:val="auto"/>
    <w:pitch w:val="default"/>
    <w:sig w:usb0="00000001" w:usb1="080E0000" w:usb2="00000000" w:usb3="00000000" w:csb0="00040000" w:csb1="00000000"/>
    <w:embedRegular r:id="rId6" w:fontKey="{CB0FCC96-0B72-490C-AB32-8ADF56B91737}"/>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E43883D"/>
    <w:multiLevelType w:val="singleLevel"/>
    <w:tmpl w:val="FE43883D"/>
    <w:lvl w:ilvl="0" w:tentative="0">
      <w:start w:val="1"/>
      <w:numFmt w:val="decimal"/>
      <w:lvlText w:val="%1."/>
      <w:lvlJc w:val="left"/>
      <w:pPr>
        <w:tabs>
          <w:tab w:val="left" w:pos="312"/>
        </w:tabs>
      </w:pPr>
    </w:lvl>
  </w:abstractNum>
  <w:abstractNum w:abstractNumId="3">
    <w:nsid w:val="08F2B4E3"/>
    <w:multiLevelType w:val="singleLevel"/>
    <w:tmpl w:val="08F2B4E3"/>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15F58CC"/>
    <w:multiLevelType w:val="singleLevel"/>
    <w:tmpl w:val="315F58CC"/>
    <w:lvl w:ilvl="0" w:tentative="0">
      <w:start w:val="1"/>
      <w:numFmt w:val="decimal"/>
      <w:suff w:val="nothing"/>
      <w:lvlText w:val="（%1）"/>
      <w:lvlJc w:val="left"/>
      <w:pPr>
        <w:ind w:left="-13"/>
      </w:pPr>
      <w:rPr>
        <w:rFonts w:hint="default"/>
        <w:b w:val="0"/>
        <w:bCs w:val="0"/>
      </w:rPr>
    </w:lvl>
  </w:abstractNum>
  <w:abstractNum w:abstractNumId="6">
    <w:nsid w:val="367E5829"/>
    <w:multiLevelType w:val="singleLevel"/>
    <w:tmpl w:val="367E5829"/>
    <w:lvl w:ilvl="0" w:tentative="0">
      <w:start w:val="1"/>
      <w:numFmt w:val="chineseCounting"/>
      <w:suff w:val="nothing"/>
      <w:lvlText w:val="（%1）"/>
      <w:lvlJc w:val="left"/>
      <w:rPr>
        <w:rFonts w:hint="eastAsia"/>
      </w:rPr>
    </w:lvl>
  </w:abstractNum>
  <w:abstractNum w:abstractNumId="7">
    <w:nsid w:val="6325C7A7"/>
    <w:multiLevelType w:val="singleLevel"/>
    <w:tmpl w:val="6325C7A7"/>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TE5MDBmZWNjYWE5OThiMmY2Mjc2NTI1MDk3Z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4384392"/>
    <w:rsid w:val="066E0107"/>
    <w:rsid w:val="07996F6E"/>
    <w:rsid w:val="0A2032A3"/>
    <w:rsid w:val="0B953218"/>
    <w:rsid w:val="0F98263C"/>
    <w:rsid w:val="101860EC"/>
    <w:rsid w:val="10C055FF"/>
    <w:rsid w:val="118107EC"/>
    <w:rsid w:val="1265349E"/>
    <w:rsid w:val="13D50BC4"/>
    <w:rsid w:val="16BB723D"/>
    <w:rsid w:val="1BE8440E"/>
    <w:rsid w:val="1D155CEE"/>
    <w:rsid w:val="1EBB4A4D"/>
    <w:rsid w:val="1FF35744"/>
    <w:rsid w:val="218007A6"/>
    <w:rsid w:val="23860B96"/>
    <w:rsid w:val="240371BF"/>
    <w:rsid w:val="29FD04D3"/>
    <w:rsid w:val="2C8A61B5"/>
    <w:rsid w:val="2DF04E50"/>
    <w:rsid w:val="2F040D46"/>
    <w:rsid w:val="319F7F4E"/>
    <w:rsid w:val="3304709D"/>
    <w:rsid w:val="36AA5135"/>
    <w:rsid w:val="376D39B2"/>
    <w:rsid w:val="37E16F03"/>
    <w:rsid w:val="38D469F0"/>
    <w:rsid w:val="3D98207C"/>
    <w:rsid w:val="3E78745D"/>
    <w:rsid w:val="3F793C2B"/>
    <w:rsid w:val="44E268DA"/>
    <w:rsid w:val="4A627F82"/>
    <w:rsid w:val="4B0E749A"/>
    <w:rsid w:val="4B4F25DA"/>
    <w:rsid w:val="4BE068DB"/>
    <w:rsid w:val="4D577224"/>
    <w:rsid w:val="4EAB630A"/>
    <w:rsid w:val="4ECE2238"/>
    <w:rsid w:val="537E6D0A"/>
    <w:rsid w:val="55CA2B07"/>
    <w:rsid w:val="56D26EC1"/>
    <w:rsid w:val="5AF92295"/>
    <w:rsid w:val="5CBD21B3"/>
    <w:rsid w:val="5CD71FC4"/>
    <w:rsid w:val="61646714"/>
    <w:rsid w:val="6309250B"/>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Salutation"/>
    <w:basedOn w:val="1"/>
    <w:next w:val="1"/>
    <w:unhideWhenUsed/>
    <w:qFormat/>
    <w:uiPriority w:val="99"/>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781.1</c:v>
                </c:pt>
                <c:pt idx="1">
                  <c:v>781.1</c:v>
                </c:pt>
              </c:numCache>
            </c:numRef>
          </c:val>
        </c:ser>
        <c:ser>
          <c:idx val="1"/>
          <c:order val="1"/>
          <c:tx>
            <c:strRef>
              <c:f>Sheet1!$C$1</c:f>
              <c:strCache>
                <c:ptCount val="1"/>
                <c:pt idx="0">
                  <c:v>2021年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718.89</c:v>
                </c:pt>
                <c:pt idx="1">
                  <c:v>718.89</c:v>
                </c:pt>
              </c:numCache>
            </c:numRef>
          </c:val>
        </c:ser>
        <c:dLbls>
          <c:showLegendKey val="0"/>
          <c:showVal val="0"/>
          <c:showCatName val="0"/>
          <c:showSerName val="0"/>
          <c:showPercent val="0"/>
          <c:showBubbleSize val="0"/>
        </c:dLbls>
        <c:gapWidth val="150"/>
        <c:axId val="171817984"/>
        <c:axId val="171819776"/>
      </c:barChart>
      <c:catAx>
        <c:axId val="1718179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9776"/>
        <c:crosses val="autoZero"/>
        <c:auto val="1"/>
        <c:lblAlgn val="ctr"/>
        <c:lblOffset val="100"/>
        <c:noMultiLvlLbl val="0"/>
      </c:catAx>
      <c:valAx>
        <c:axId val="1718197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79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elete val="1"/>
          </c:dLbls>
          <c:cat>
            <c:strRef>
              <c:f>Sheet1!$A$2:$A$10</c:f>
              <c:strCache>
                <c:ptCount val="9"/>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Sheet1!$B$2:$B$10</c:f>
              <c:numCache>
                <c:formatCode>General</c:formatCode>
                <c:ptCount val="9"/>
                <c:pt idx="0">
                  <c:v>100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支出占比（%）</c:v>
                </c:pt>
              </c:strCache>
            </c:strRef>
          </c:tx>
          <c:explosion val="0"/>
          <c:dPt>
            <c:idx val="0"/>
            <c:bubble3D val="0"/>
          </c:dPt>
          <c:dPt>
            <c:idx val="1"/>
            <c:bubble3D val="0"/>
          </c:dPt>
          <c:dPt>
            <c:idx val="2"/>
            <c:bubble3D val="0"/>
          </c:dPt>
          <c:dPt>
            <c:idx val="3"/>
            <c:bubble3D val="0"/>
          </c:dPt>
          <c:dLbls>
            <c:delete val="1"/>
          </c:dLbls>
          <c:cat>
            <c:strRef>
              <c:f>Sheet1!$A$2:$A$5</c:f>
              <c:strCache>
                <c:ptCount val="4"/>
                <c:pt idx="0">
                  <c:v>基本支出</c:v>
                </c:pt>
                <c:pt idx="1">
                  <c:v>项目支出</c:v>
                </c:pt>
                <c:pt idx="2">
                  <c:v>上缴上级支出</c:v>
                </c:pt>
                <c:pt idx="3">
                  <c:v>对附属单位补助支出</c:v>
                </c:pt>
              </c:strCache>
            </c:strRef>
          </c:cat>
          <c:val>
            <c:numRef>
              <c:f>Sheet1!$B$2:$B$5</c:f>
              <c:numCache>
                <c:formatCode>General</c:formatCode>
                <c:ptCount val="4"/>
                <c:pt idx="0">
                  <c:v>47.62</c:v>
                </c:pt>
                <c:pt idx="1">
                  <c:v>52.38</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781.1</c:v>
                </c:pt>
                <c:pt idx="1">
                  <c:v>781.1</c:v>
                </c:pt>
              </c:numCache>
            </c:numRef>
          </c:val>
        </c:ser>
        <c:ser>
          <c:idx val="1"/>
          <c:order val="1"/>
          <c:tx>
            <c:strRef>
              <c:f>Sheet1!$C$1</c:f>
              <c:strCache>
                <c:ptCount val="1"/>
                <c:pt idx="0">
                  <c:v>2021年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718.89</c:v>
                </c:pt>
                <c:pt idx="1">
                  <c:v>718.89</c:v>
                </c:pt>
              </c:numCache>
            </c:numRef>
          </c:val>
        </c:ser>
        <c:dLbls>
          <c:showLegendKey val="0"/>
          <c:showVal val="0"/>
          <c:showCatName val="0"/>
          <c:showSerName val="0"/>
          <c:showPercent val="0"/>
          <c:showBubbleSize val="0"/>
        </c:dLbls>
        <c:gapWidth val="150"/>
        <c:axId val="171817984"/>
        <c:axId val="171819776"/>
      </c:barChart>
      <c:catAx>
        <c:axId val="1718179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9776"/>
        <c:crosses val="autoZero"/>
        <c:auto val="1"/>
        <c:lblAlgn val="ctr"/>
        <c:lblOffset val="100"/>
        <c:noMultiLvlLbl val="0"/>
      </c:catAx>
      <c:valAx>
        <c:axId val="1718197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79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delete val="1"/>
          </c:dLbls>
          <c:cat>
            <c:strRef>
              <c:f>Sheet1!$A$2</c:f>
              <c:strCache>
                <c:ptCount val="1"/>
                <c:pt idx="0">
                  <c:v>一般公共预算财政拨款支出</c:v>
                </c:pt>
              </c:strCache>
            </c:strRef>
          </c:cat>
          <c:val>
            <c:numRef>
              <c:f>Sheet1!$B$2</c:f>
              <c:numCache>
                <c:formatCode>General</c:formatCode>
                <c:ptCount val="1"/>
                <c:pt idx="0">
                  <c:v>781.1</c:v>
                </c:pt>
              </c:numCache>
            </c:numRef>
          </c:val>
        </c:ser>
        <c:ser>
          <c:idx val="1"/>
          <c:order val="1"/>
          <c:tx>
            <c:strRef>
              <c:f>Sheet1!$C$1</c:f>
              <c:strCache>
                <c:ptCount val="1"/>
                <c:pt idx="0">
                  <c:v>2021年</c:v>
                </c:pt>
              </c:strCache>
            </c:strRef>
          </c:tx>
          <c:invertIfNegative val="0"/>
          <c:dLbls>
            <c:delete val="1"/>
          </c:dLbls>
          <c:cat>
            <c:strRef>
              <c:f>Sheet1!$A$2</c:f>
              <c:strCache>
                <c:ptCount val="1"/>
                <c:pt idx="0">
                  <c:v>一般公共预算财政拨款支出</c:v>
                </c:pt>
              </c:strCache>
            </c:strRef>
          </c:cat>
          <c:val>
            <c:numRef>
              <c:f>Sheet1!$C$2</c:f>
              <c:numCache>
                <c:formatCode>General</c:formatCode>
                <c:ptCount val="1"/>
                <c:pt idx="0">
                  <c:v>503.89</c:v>
                </c:pt>
              </c:numCache>
            </c:numRef>
          </c:val>
        </c:ser>
        <c:dLbls>
          <c:showLegendKey val="0"/>
          <c:showVal val="0"/>
          <c:showCatName val="0"/>
          <c:showSerName val="0"/>
          <c:showPercent val="0"/>
          <c:showBubbleSize val="0"/>
        </c:dLbls>
        <c:gapWidth val="150"/>
        <c:axId val="176254336"/>
        <c:axId val="176264320"/>
      </c:barChart>
      <c:catAx>
        <c:axId val="1762543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264320"/>
        <c:crosses val="autoZero"/>
        <c:auto val="1"/>
        <c:lblAlgn val="ctr"/>
        <c:lblOffset val="100"/>
        <c:noMultiLvlLbl val="0"/>
      </c:catAx>
      <c:valAx>
        <c:axId val="1762643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2543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一般公共预算财政拨款支出占比（%）</c:v>
                </c:pt>
              </c:strCache>
            </c:strRef>
          </c:tx>
          <c:explosion val="0"/>
          <c:dPt>
            <c:idx val="0"/>
            <c:bubble3D val="0"/>
          </c:dPt>
          <c:dPt>
            <c:idx val="1"/>
            <c:bubble3D val="0"/>
          </c:dPt>
          <c:dPt>
            <c:idx val="2"/>
            <c:bubble3D val="0"/>
          </c:dPt>
          <c:dPt>
            <c:idx val="3"/>
            <c:bubble3D val="0"/>
          </c:dPt>
          <c:dLbls>
            <c:delete val="1"/>
          </c:dLbls>
          <c:cat>
            <c:strRef>
              <c:f>Sheet1!$A$2:$A$5</c:f>
              <c:strCache>
                <c:ptCount val="4"/>
                <c:pt idx="0">
                  <c:v>交通运输支出（类）</c:v>
                </c:pt>
                <c:pt idx="1">
                  <c:v>社会保障和就业（类）</c:v>
                </c:pt>
                <c:pt idx="2">
                  <c:v>卫生健康支出（类）</c:v>
                </c:pt>
                <c:pt idx="3">
                  <c:v>住房保障支出（类）</c:v>
                </c:pt>
              </c:strCache>
            </c:strRef>
          </c:cat>
          <c:val>
            <c:numRef>
              <c:f>Sheet1!$B$2:$B$5</c:f>
              <c:numCache>
                <c:formatCode>General</c:formatCode>
                <c:ptCount val="4"/>
                <c:pt idx="0">
                  <c:v>91.51</c:v>
                </c:pt>
                <c:pt idx="1">
                  <c:v>24.41</c:v>
                </c:pt>
                <c:pt idx="2">
                  <c:v>1.95</c:v>
                </c:pt>
                <c:pt idx="3">
                  <c:v>3.41</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“三公”经费财政拨款支出占比（%）</c:v>
                </c:pt>
              </c:strCache>
            </c:strRef>
          </c:tx>
          <c:explosion val="25"/>
          <c:dPt>
            <c:idx val="0"/>
            <c:bubble3D val="0"/>
          </c:dPt>
          <c:dPt>
            <c:idx val="1"/>
            <c:bubble3D val="0"/>
          </c:dPt>
          <c:dPt>
            <c:idx val="2"/>
            <c:bubble3D val="0"/>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14602</Words>
  <Characters>15596</Characters>
  <Lines>61</Lines>
  <Paragraphs>17</Paragraphs>
  <TotalTime>0</TotalTime>
  <ScaleCrop>false</ScaleCrop>
  <LinksUpToDate>false</LinksUpToDate>
  <CharactersWithSpaces>15716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2023-08-25T03:30:29Z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2294F538BE0E48B8A61E0E25AC1835B1_13</vt:lpwstr>
  </property>
</Properties>
</file>