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auto"/>
          <w:sz w:val="72"/>
          <w:szCs w:val="72"/>
          <w:highlight w:val="none"/>
        </w:rPr>
      </w:pPr>
      <w:bookmarkStart w:id="0" w:name="_Toc15378441"/>
      <w:bookmarkStart w:id="1" w:name="_Toc15396597"/>
      <w:bookmarkStart w:id="2" w:name="_Toc15377193"/>
      <w:bookmarkStart w:id="3" w:name="_Toc15396475"/>
      <w:bookmarkStart w:id="4" w:name="_Toc15377425"/>
      <w:bookmarkStart w:id="5"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bookmarkEnd w:id="5"/>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21720"/>
      <w:bookmarkStart w:id="7" w:name="_Toc15466"/>
      <w:bookmarkStart w:id="8" w:name="_Toc15396476"/>
      <w:bookmarkStart w:id="9" w:name="_Toc15378442"/>
      <w:bookmarkStart w:id="10" w:name="_Toc15306268"/>
      <w:bookmarkStart w:id="11" w:name="_Toc15377426"/>
      <w:bookmarkStart w:id="12" w:name="_Toc15377194"/>
      <w:bookmarkStart w:id="13" w:name="_Toc15396598"/>
      <w:r>
        <w:rPr>
          <w:rFonts w:hint="eastAsia" w:ascii="方正小标宋简体" w:hAnsi="方正小标宋简体" w:eastAsia="方正小标宋简体" w:cs="方正小标宋简体"/>
          <w:color w:val="auto"/>
          <w:sz w:val="72"/>
          <w:szCs w:val="72"/>
          <w:highlight w:val="none"/>
        </w:rPr>
        <w:t>四川省遂宁市安居区</w:t>
      </w:r>
      <w:bookmarkEnd w:id="6"/>
      <w:bookmarkEnd w:id="7"/>
      <w:r>
        <w:rPr>
          <w:rFonts w:hint="eastAsia" w:ascii="方正小标宋简体" w:hAnsi="方正小标宋简体" w:eastAsia="方正小标宋简体" w:cs="方正小标宋简体"/>
          <w:color w:val="auto"/>
          <w:sz w:val="72"/>
          <w:szCs w:val="72"/>
          <w:highlight w:val="none"/>
          <w:lang w:eastAsia="zh-CN"/>
        </w:rPr>
        <w:t>委</w:t>
      </w:r>
      <w:bookmarkStart w:id="14" w:name="_Toc3949"/>
      <w:bookmarkStart w:id="15" w:name="_Toc3634"/>
      <w:r>
        <w:rPr>
          <w:rFonts w:hint="eastAsia" w:ascii="方正小标宋简体" w:hAnsi="方正小标宋简体" w:eastAsia="方正小标宋简体" w:cs="方正小标宋简体"/>
          <w:color w:val="auto"/>
          <w:sz w:val="72"/>
          <w:szCs w:val="72"/>
          <w:highlight w:val="none"/>
        </w:rPr>
        <w:t>机构编制委员会</w:t>
      </w:r>
      <w:bookmarkEnd w:id="14"/>
      <w:bookmarkEnd w:id="15"/>
      <w:r>
        <w:rPr>
          <w:rFonts w:hint="eastAsia" w:ascii="方正小标宋简体" w:hAnsi="方正小标宋简体" w:eastAsia="方正小标宋简体" w:cs="方正小标宋简体"/>
          <w:color w:val="auto"/>
          <w:sz w:val="72"/>
          <w:szCs w:val="72"/>
          <w:highlight w:val="none"/>
        </w:rPr>
        <w:t>办公室决算</w:t>
      </w:r>
      <w:bookmarkEnd w:id="8"/>
      <w:bookmarkEnd w:id="9"/>
      <w:bookmarkEnd w:id="10"/>
      <w:bookmarkEnd w:id="11"/>
      <w:bookmarkEnd w:id="12"/>
      <w:bookmarkEnd w:id="13"/>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1"/>
        <w:tabs>
          <w:tab w:val="clear" w:pos="8843"/>
        </w:tabs>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p>
      <w:pPr>
        <w:rPr>
          <w:color w:val="auto"/>
          <w:highlight w:val="none"/>
        </w:rPr>
      </w:pPr>
    </w:p>
    <w:p>
      <w:pPr>
        <w:pStyle w:val="11"/>
        <w:tabs>
          <w:tab w:val="clear" w:pos="8843"/>
        </w:tabs>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rPr>
        <w:t>部门概况</w:t>
      </w:r>
      <w:r>
        <w:rPr>
          <w:rFonts w:hint="eastAsia"/>
          <w:color w:val="auto"/>
          <w:sz w:val="24"/>
          <w:highlight w:val="none"/>
          <w:lang w:val="en-US" w:eastAsia="zh-CN"/>
        </w:rPr>
        <w:tab/>
      </w:r>
      <w:r>
        <w:rPr>
          <w:rFonts w:hint="eastAsia" w:ascii="Times New Roman" w:hAnsi="Times New Roman" w:eastAsia="宋体" w:cs="Times New Roman"/>
          <w:color w:val="auto"/>
          <w:kern w:val="2"/>
          <w:sz w:val="24"/>
          <w:szCs w:val="24"/>
          <w:highlight w:val="none"/>
          <w:lang w:val="en-US" w:eastAsia="zh-CN" w:bidi="ar-SA"/>
        </w:rPr>
        <w:t>4</w:t>
      </w:r>
    </w:p>
    <w:p>
      <w:pPr>
        <w:pStyle w:val="12"/>
        <w:tabs>
          <w:tab w:val="clear" w:pos="8843"/>
        </w:tabs>
        <w:adjustRightInd w:val="0"/>
        <w:snapToGrid w:val="0"/>
        <w:spacing w:line="440" w:lineRule="exact"/>
        <w:jc w:val="left"/>
        <w:rPr>
          <w:rFonts w:hint="default" w:ascii="仿宋" w:hAnsi="仿宋" w:eastAsia="仿宋"/>
          <w:color w:val="auto"/>
          <w:sz w:val="24"/>
          <w:highlight w:val="none"/>
          <w:lang w:val="en-US"/>
        </w:rPr>
      </w:pPr>
      <w:r>
        <w:rPr>
          <w:rFonts w:hint="eastAsia"/>
          <w:color w:val="auto"/>
          <w:sz w:val="24"/>
          <w:highlight w:val="none"/>
        </w:rPr>
        <w:t>一、</w:t>
      </w:r>
      <w:r>
        <w:rPr>
          <w:rFonts w:hint="eastAsia"/>
          <w:color w:val="auto"/>
          <w:sz w:val="24"/>
          <w:highlight w:val="none"/>
          <w:lang w:eastAsia="zh-CN"/>
        </w:rPr>
        <w:t>部门职责</w:t>
      </w:r>
      <w:r>
        <w:rPr>
          <w:rFonts w:hint="eastAsia"/>
          <w:color w:val="auto"/>
          <w:sz w:val="24"/>
          <w:highlight w:val="none"/>
          <w:lang w:val="en-US" w:eastAsia="zh-CN"/>
        </w:rPr>
        <w:tab/>
      </w:r>
      <w:r>
        <w:rPr>
          <w:rFonts w:hint="eastAsia"/>
          <w:color w:val="auto"/>
          <w:sz w:val="24"/>
          <w:highlight w:val="none"/>
          <w:lang w:val="en-US" w:eastAsia="zh-CN"/>
        </w:rPr>
        <w:t>4</w:t>
      </w:r>
    </w:p>
    <w:p>
      <w:pPr>
        <w:pStyle w:val="12"/>
        <w:tabs>
          <w:tab w:val="clear" w:pos="8843"/>
        </w:tabs>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二、机构设置</w:t>
      </w:r>
      <w:r>
        <w:rPr>
          <w:rFonts w:hint="eastAsia"/>
          <w:color w:val="auto"/>
          <w:sz w:val="24"/>
          <w:highlight w:val="none"/>
          <w:lang w:val="en-US" w:eastAsia="zh-CN"/>
        </w:rPr>
        <w:tab/>
      </w:r>
      <w:r>
        <w:rPr>
          <w:rFonts w:hint="eastAsia"/>
          <w:color w:val="auto"/>
          <w:sz w:val="24"/>
          <w:highlight w:val="none"/>
          <w:lang w:val="en-US" w:eastAsia="zh-CN"/>
        </w:rPr>
        <w:t>5</w:t>
      </w:r>
    </w:p>
    <w:p>
      <w:pPr>
        <w:pStyle w:val="11"/>
        <w:tabs>
          <w:tab w:val="clear" w:pos="8843"/>
        </w:tabs>
        <w:adjustRightInd w:val="0"/>
        <w:snapToGrid w:val="0"/>
        <w:spacing w:before="0" w:line="440" w:lineRule="exact"/>
        <w:jc w:val="left"/>
        <w:rPr>
          <w:rFonts w:hint="default" w:eastAsia="仿宋"/>
          <w:color w:val="auto"/>
          <w:sz w:val="24"/>
          <w:szCs w:val="24"/>
          <w:highlight w:val="none"/>
          <w:lang w:val="en-US" w:eastAsia="zh-CN"/>
        </w:rPr>
      </w:pPr>
      <w:r>
        <w:rPr>
          <w:rFonts w:hint="eastAsia"/>
          <w:color w:val="auto"/>
          <w:sz w:val="24"/>
          <w:highlight w:val="none"/>
        </w:rPr>
        <w:t>第二部分</w:t>
      </w:r>
      <w:r>
        <w:rPr>
          <w:rFonts w:hint="eastAsia"/>
          <w:color w:val="auto"/>
          <w:sz w:val="24"/>
          <w:highlight w:val="none"/>
          <w:lang w:val="en-US" w:eastAsia="zh-CN"/>
        </w:rPr>
        <w:t xml:space="preserve"> 2022年度</w:t>
      </w:r>
      <w:r>
        <w:rPr>
          <w:rFonts w:hint="eastAsia"/>
          <w:color w:val="auto"/>
          <w:sz w:val="24"/>
          <w:highlight w:val="none"/>
        </w:rPr>
        <w:t>部门决算情况说明</w:t>
      </w:r>
      <w:r>
        <w:rPr>
          <w:rFonts w:hint="eastAsia"/>
          <w:color w:val="auto"/>
          <w:sz w:val="24"/>
          <w:highlight w:val="none"/>
          <w:lang w:val="en-US" w:eastAsia="zh-CN"/>
        </w:rPr>
        <w:tab/>
      </w:r>
      <w:r>
        <w:rPr>
          <w:rFonts w:hint="default" w:ascii="Times New Roman" w:hAnsi="Times New Roman" w:cs="Times New Roman"/>
          <w:color w:val="auto"/>
          <w:sz w:val="24"/>
          <w:highlight w:val="none"/>
          <w:lang w:val="en-US" w:eastAsia="zh-CN"/>
        </w:rPr>
        <w:t>6</w:t>
      </w:r>
    </w:p>
    <w:p>
      <w:pPr>
        <w:pStyle w:val="12"/>
        <w:tabs>
          <w:tab w:val="clear" w:pos="8843"/>
        </w:tabs>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ab/>
      </w:r>
      <w:r>
        <w:rPr>
          <w:rFonts w:hint="eastAsia"/>
          <w:color w:val="auto"/>
          <w:sz w:val="24"/>
          <w:highlight w:val="none"/>
          <w:lang w:val="en-US" w:eastAsia="zh-CN"/>
        </w:rPr>
        <w:t>6</w:t>
      </w:r>
    </w:p>
    <w:p>
      <w:pPr>
        <w:pStyle w:val="12"/>
        <w:tabs>
          <w:tab w:val="clear" w:pos="8843"/>
        </w:tabs>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val="en-US" w:eastAsia="zh-CN"/>
        </w:rPr>
        <w:tab/>
      </w:r>
      <w:r>
        <w:rPr>
          <w:rFonts w:hint="eastAsia"/>
          <w:color w:val="auto"/>
          <w:sz w:val="24"/>
          <w:highlight w:val="none"/>
          <w:lang w:val="en-US" w:eastAsia="zh-CN"/>
        </w:rPr>
        <w:t>6</w:t>
      </w:r>
    </w:p>
    <w:p>
      <w:pPr>
        <w:pStyle w:val="12"/>
        <w:tabs>
          <w:tab w:val="clear" w:pos="8843"/>
        </w:tabs>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val="en-US" w:eastAsia="zh-CN"/>
        </w:rPr>
        <w:tab/>
      </w:r>
      <w:r>
        <w:rPr>
          <w:rFonts w:hint="eastAsia"/>
          <w:color w:val="auto"/>
          <w:sz w:val="24"/>
          <w:highlight w:val="none"/>
          <w:lang w:val="en-US" w:eastAsia="zh-CN"/>
        </w:rPr>
        <w:t>7</w:t>
      </w:r>
    </w:p>
    <w:p>
      <w:pPr>
        <w:pStyle w:val="12"/>
        <w:tabs>
          <w:tab w:val="clear" w:pos="8843"/>
        </w:tabs>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val="en-US" w:eastAsia="zh-CN"/>
        </w:rPr>
        <w:tab/>
      </w:r>
      <w:r>
        <w:rPr>
          <w:rFonts w:hint="eastAsia"/>
          <w:color w:val="auto"/>
          <w:sz w:val="24"/>
          <w:highlight w:val="none"/>
          <w:lang w:val="en-US" w:eastAsia="zh-CN"/>
        </w:rPr>
        <w:t>8</w:t>
      </w:r>
    </w:p>
    <w:p>
      <w:pPr>
        <w:pStyle w:val="12"/>
        <w:tabs>
          <w:tab w:val="clear" w:pos="8843"/>
        </w:tabs>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val="en-US" w:eastAsia="zh-CN"/>
        </w:rPr>
        <w:tab/>
      </w:r>
      <w:r>
        <w:rPr>
          <w:rFonts w:hint="eastAsia"/>
          <w:color w:val="auto"/>
          <w:sz w:val="24"/>
          <w:highlight w:val="none"/>
          <w:lang w:val="en-US" w:eastAsia="zh-CN"/>
        </w:rPr>
        <w:t>8</w:t>
      </w:r>
    </w:p>
    <w:p>
      <w:pPr>
        <w:pStyle w:val="12"/>
        <w:tabs>
          <w:tab w:val="clear" w:pos="8843"/>
        </w:tabs>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val="en-US" w:eastAsia="zh-CN"/>
        </w:rPr>
        <w:tab/>
      </w:r>
      <w:r>
        <w:rPr>
          <w:rFonts w:hint="eastAsia"/>
          <w:color w:val="auto"/>
          <w:sz w:val="24"/>
          <w:highlight w:val="none"/>
          <w:lang w:val="en-US" w:eastAsia="zh-CN"/>
        </w:rPr>
        <w:t>11</w:t>
      </w:r>
    </w:p>
    <w:p>
      <w:pPr>
        <w:pStyle w:val="12"/>
        <w:tabs>
          <w:tab w:val="clear" w:pos="8843"/>
        </w:tabs>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olor w:val="auto"/>
          <w:sz w:val="24"/>
          <w:highlight w:val="none"/>
          <w:lang w:val="en-US" w:eastAsia="zh-CN"/>
        </w:rPr>
        <w:tab/>
      </w:r>
      <w:r>
        <w:rPr>
          <w:rFonts w:hint="eastAsia"/>
          <w:color w:val="auto"/>
          <w:sz w:val="24"/>
          <w:highlight w:val="none"/>
          <w:lang w:val="en-US" w:eastAsia="zh-CN"/>
        </w:rPr>
        <w:t>12</w:t>
      </w:r>
    </w:p>
    <w:p>
      <w:pPr>
        <w:pStyle w:val="12"/>
        <w:tabs>
          <w:tab w:val="clear" w:pos="8843"/>
        </w:tabs>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val="en-US" w:eastAsia="zh-CN"/>
        </w:rPr>
        <w:tab/>
      </w:r>
      <w:r>
        <w:rPr>
          <w:rFonts w:hint="eastAsia"/>
          <w:color w:val="auto"/>
          <w:sz w:val="24"/>
          <w:highlight w:val="none"/>
          <w:lang w:val="en-US" w:eastAsia="zh-CN"/>
        </w:rPr>
        <w:t>14</w:t>
      </w:r>
    </w:p>
    <w:p>
      <w:pPr>
        <w:pStyle w:val="12"/>
        <w:tabs>
          <w:tab w:val="clear" w:pos="8843"/>
        </w:tabs>
        <w:adjustRightInd w:val="0"/>
        <w:snapToGrid w:val="0"/>
        <w:spacing w:line="440" w:lineRule="exact"/>
        <w:jc w:val="left"/>
        <w:rPr>
          <w:rFonts w:hint="default" w:ascii="Times New Roman" w:hAnsi="Times New Roman" w:eastAsia="宋体"/>
          <w:color w:val="auto"/>
          <w:sz w:val="24"/>
          <w:highlight w:val="none"/>
          <w:lang w:val="en-US" w:eastAsia="zh-CN"/>
        </w:rPr>
      </w:pPr>
      <w:r>
        <w:rPr>
          <w:rFonts w:hint="eastAsia" w:ascii="Times New Roman" w:hAnsi="Times New Roman" w:eastAsia="宋体"/>
          <w:color w:val="auto"/>
          <w:sz w:val="24"/>
          <w:highlight w:val="none"/>
        </w:rPr>
        <w:t>九、</w:t>
      </w:r>
      <w:r>
        <w:rPr>
          <w:rFonts w:hint="eastAsia" w:ascii="Times New Roman" w:hAnsi="Times New Roman" w:eastAsia="宋体"/>
          <w:color w:val="auto"/>
          <w:sz w:val="24"/>
          <w:highlight w:val="none"/>
          <w:lang w:eastAsia="zh-CN"/>
        </w:rPr>
        <w:t>国</w:t>
      </w:r>
      <w:r>
        <w:rPr>
          <w:rFonts w:hint="eastAsia" w:ascii="Times New Roman" w:hAnsi="Times New Roman" w:eastAsia="宋体"/>
          <w:color w:val="auto"/>
          <w:sz w:val="24"/>
          <w:highlight w:val="none"/>
        </w:rPr>
        <w:t>有资本经营预算支出决算情况说明</w:t>
      </w:r>
      <w:r>
        <w:rPr>
          <w:rFonts w:hint="eastAsia" w:ascii="Times New Roman" w:hAnsi="Times New Roman" w:eastAsia="宋体"/>
          <w:color w:val="auto"/>
          <w:sz w:val="24"/>
          <w:highlight w:val="none"/>
          <w:lang w:val="en-US" w:eastAsia="zh-CN"/>
        </w:rPr>
        <w:tab/>
      </w:r>
      <w:r>
        <w:rPr>
          <w:rFonts w:hint="eastAsia" w:ascii="Times New Roman" w:hAnsi="Times New Roman" w:eastAsia="宋体"/>
          <w:color w:val="auto"/>
          <w:sz w:val="24"/>
          <w:highlight w:val="none"/>
          <w:lang w:val="en-US" w:eastAsia="zh-CN"/>
        </w:rPr>
        <w:t>14</w:t>
      </w:r>
    </w:p>
    <w:p>
      <w:pPr>
        <w:pStyle w:val="12"/>
        <w:tabs>
          <w:tab w:val="clear" w:pos="8843"/>
        </w:tabs>
        <w:adjustRightInd w:val="0"/>
        <w:snapToGrid w:val="0"/>
        <w:spacing w:line="440" w:lineRule="exact"/>
        <w:jc w:val="left"/>
        <w:rPr>
          <w:rFonts w:hint="default" w:ascii="Times New Roman" w:hAnsi="Times New Roman" w:eastAsia="宋体"/>
          <w:color w:val="auto"/>
          <w:sz w:val="24"/>
          <w:highlight w:val="none"/>
          <w:lang w:val="en-US" w:eastAsia="zh-CN"/>
        </w:rPr>
      </w:pPr>
      <w:r>
        <w:rPr>
          <w:rFonts w:hint="eastAsia" w:ascii="Times New Roman" w:hAnsi="Times New Roman" w:eastAsia="宋体"/>
          <w:color w:val="auto"/>
          <w:sz w:val="24"/>
          <w:highlight w:val="none"/>
          <w:lang w:eastAsia="zh-CN"/>
        </w:rPr>
        <w:t>十</w:t>
      </w:r>
      <w:r>
        <w:rPr>
          <w:rFonts w:hint="eastAsia" w:ascii="Times New Roman" w:hAnsi="Times New Roman" w:eastAsia="宋体"/>
          <w:color w:val="auto"/>
          <w:sz w:val="24"/>
          <w:highlight w:val="none"/>
        </w:rPr>
        <w:t>、其他重要事项的情况说明</w:t>
      </w:r>
      <w:r>
        <w:rPr>
          <w:rFonts w:hint="eastAsia" w:ascii="Times New Roman" w:hAnsi="Times New Roman" w:eastAsia="宋体"/>
          <w:color w:val="auto"/>
          <w:sz w:val="24"/>
          <w:highlight w:val="none"/>
        </w:rPr>
        <w:tab/>
      </w:r>
      <w:r>
        <w:rPr>
          <w:rFonts w:hint="eastAsia" w:ascii="Times New Roman" w:hAnsi="Times New Roman" w:eastAsia="宋体"/>
          <w:color w:val="auto"/>
          <w:sz w:val="24"/>
          <w:highlight w:val="none"/>
          <w:lang w:val="en-US" w:eastAsia="zh-CN"/>
        </w:rPr>
        <w:t>14</w:t>
      </w:r>
    </w:p>
    <w:p>
      <w:pPr>
        <w:pStyle w:val="11"/>
        <w:tabs>
          <w:tab w:val="clear" w:pos="8843"/>
        </w:tabs>
        <w:adjustRightInd w:val="0"/>
        <w:snapToGrid w:val="0"/>
        <w:spacing w:before="0" w:line="440" w:lineRule="exact"/>
        <w:jc w:val="left"/>
        <w:rPr>
          <w:rFonts w:hint="default"/>
          <w:color w:val="auto"/>
          <w:sz w:val="24"/>
          <w:highlight w:val="none"/>
          <w:lang w:val="en-US" w:eastAsia="zh-CN"/>
        </w:rPr>
      </w:pPr>
      <w:r>
        <w:rPr>
          <w:rFonts w:hint="eastAsia"/>
          <w:color w:val="auto"/>
          <w:sz w:val="24"/>
          <w:highlight w:val="none"/>
        </w:rPr>
        <w:t>第三部分 名词解释</w:t>
      </w:r>
      <w:r>
        <w:rPr>
          <w:rFonts w:hint="eastAsia"/>
          <w:color w:val="auto"/>
          <w:sz w:val="24"/>
          <w:highlight w:val="none"/>
          <w:lang w:val="en-US" w:eastAsia="zh-CN"/>
        </w:rPr>
        <w:tab/>
      </w:r>
      <w:r>
        <w:rPr>
          <w:rFonts w:hint="eastAsia" w:ascii="Times New Roman" w:hAnsi="Times New Roman" w:eastAsia="宋体" w:cs="Times New Roman"/>
          <w:color w:val="auto"/>
          <w:kern w:val="2"/>
          <w:sz w:val="24"/>
          <w:szCs w:val="24"/>
          <w:highlight w:val="none"/>
          <w:lang w:val="en-US" w:eastAsia="zh-CN" w:bidi="ar-SA"/>
        </w:rPr>
        <w:t>16</w:t>
      </w:r>
    </w:p>
    <w:p>
      <w:pPr>
        <w:pStyle w:val="11"/>
        <w:tabs>
          <w:tab w:val="clear" w:pos="8843"/>
        </w:tabs>
        <w:adjustRightInd w:val="0"/>
        <w:snapToGrid w:val="0"/>
        <w:spacing w:before="0" w:line="440" w:lineRule="exact"/>
        <w:jc w:val="left"/>
        <w:rPr>
          <w:rFonts w:hint="default"/>
          <w:color w:val="auto"/>
          <w:sz w:val="24"/>
          <w:highlight w:val="none"/>
          <w:lang w:val="en-US" w:eastAsia="zh-CN"/>
        </w:rPr>
      </w:pPr>
      <w:r>
        <w:rPr>
          <w:rFonts w:hint="eastAsia"/>
          <w:color w:val="auto"/>
          <w:sz w:val="24"/>
          <w:highlight w:val="none"/>
        </w:rPr>
        <w:t>第四部分 附件</w:t>
      </w:r>
      <w:r>
        <w:rPr>
          <w:rFonts w:hint="eastAsia"/>
          <w:color w:val="auto"/>
          <w:sz w:val="24"/>
          <w:highlight w:val="none"/>
          <w:lang w:val="en-US" w:eastAsia="zh-CN"/>
        </w:rPr>
        <w:tab/>
      </w:r>
      <w:r>
        <w:rPr>
          <w:rFonts w:hint="eastAsia" w:ascii="Times New Roman" w:hAnsi="Times New Roman" w:eastAsia="宋体" w:cs="Times New Roman"/>
          <w:color w:val="auto"/>
          <w:kern w:val="2"/>
          <w:sz w:val="24"/>
          <w:szCs w:val="24"/>
          <w:highlight w:val="none"/>
          <w:lang w:val="en-US" w:eastAsia="zh-CN" w:bidi="ar-SA"/>
        </w:rPr>
        <w:t>19</w:t>
      </w:r>
    </w:p>
    <w:p>
      <w:pPr>
        <w:pStyle w:val="11"/>
        <w:tabs>
          <w:tab w:val="clear" w:pos="8843"/>
        </w:tabs>
        <w:adjustRightInd w:val="0"/>
        <w:snapToGrid w:val="0"/>
        <w:spacing w:before="0" w:line="440" w:lineRule="exact"/>
        <w:jc w:val="left"/>
        <w:rPr>
          <w:rFonts w:hint="default" w:eastAsia="仿宋"/>
          <w:color w:val="auto"/>
          <w:sz w:val="24"/>
          <w:highlight w:val="none"/>
          <w:lang w:val="en-US" w:eastAsia="zh-CN"/>
        </w:rPr>
      </w:pPr>
      <w:r>
        <w:rPr>
          <w:rFonts w:hint="eastAsia"/>
          <w:color w:val="auto"/>
          <w:sz w:val="24"/>
          <w:highlight w:val="none"/>
        </w:rPr>
        <w:t>第五部分 附表</w:t>
      </w:r>
      <w:r>
        <w:rPr>
          <w:rFonts w:hint="eastAsia"/>
          <w:color w:val="auto"/>
          <w:sz w:val="24"/>
          <w:highlight w:val="none"/>
          <w:lang w:val="en-US" w:eastAsia="zh-CN"/>
        </w:rPr>
        <w:tab/>
      </w:r>
      <w:r>
        <w:rPr>
          <w:rFonts w:hint="eastAsia" w:ascii="Times New Roman" w:hAnsi="Times New Roman" w:eastAsia="宋体" w:cs="Times New Roman"/>
          <w:color w:val="auto"/>
          <w:kern w:val="2"/>
          <w:sz w:val="24"/>
          <w:szCs w:val="24"/>
          <w:highlight w:val="none"/>
          <w:lang w:val="en-US" w:eastAsia="zh-CN" w:bidi="ar-SA"/>
        </w:rPr>
        <w:t>36</w:t>
      </w:r>
    </w:p>
    <w:p>
      <w:pPr>
        <w:pStyle w:val="12"/>
        <w:tabs>
          <w:tab w:val="clear" w:pos="8843"/>
        </w:tabs>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pPr>
        <w:pStyle w:val="12"/>
        <w:tabs>
          <w:tab w:val="clear" w:pos="8843"/>
        </w:tabs>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pPr>
        <w:pStyle w:val="12"/>
        <w:tabs>
          <w:tab w:val="clear" w:pos="8843"/>
        </w:tabs>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pPr>
        <w:pStyle w:val="12"/>
        <w:tabs>
          <w:tab w:val="clear" w:pos="8843"/>
        </w:tabs>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pPr>
        <w:pStyle w:val="12"/>
        <w:tabs>
          <w:tab w:val="clear" w:pos="8843"/>
        </w:tabs>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pPr>
        <w:pStyle w:val="12"/>
        <w:tabs>
          <w:tab w:val="clear" w:pos="8843"/>
        </w:tabs>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pPr>
        <w:pStyle w:val="12"/>
        <w:tabs>
          <w:tab w:val="clear" w:pos="8843"/>
        </w:tabs>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pPr>
        <w:pStyle w:val="12"/>
        <w:tabs>
          <w:tab w:val="clear" w:pos="8843"/>
        </w:tabs>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pPr>
        <w:pStyle w:val="12"/>
        <w:tabs>
          <w:tab w:val="clear" w:pos="8843"/>
        </w:tabs>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pPr>
        <w:pStyle w:val="12"/>
        <w:tabs>
          <w:tab w:val="clear" w:pos="8843"/>
        </w:tabs>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pPr>
        <w:pStyle w:val="12"/>
        <w:tabs>
          <w:tab w:val="clear" w:pos="8843"/>
        </w:tabs>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pPr>
        <w:pStyle w:val="12"/>
        <w:tabs>
          <w:tab w:val="clear" w:pos="8843"/>
        </w:tabs>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pPr>
        <w:pStyle w:val="12"/>
        <w:tabs>
          <w:tab w:val="clear" w:pos="8843"/>
        </w:tabs>
        <w:adjustRightInd w:val="0"/>
        <w:snapToGrid w:val="0"/>
        <w:spacing w:line="440" w:lineRule="exact"/>
        <w:jc w:val="left"/>
        <w:rPr>
          <w:rFonts w:ascii="仿宋" w:hAnsi="仿宋" w:eastAsia="仿宋"/>
          <w:color w:val="auto"/>
          <w:sz w:val="24"/>
          <w:highlight w:val="none"/>
        </w:rPr>
      </w:pPr>
      <w:r>
        <w:rPr>
          <w:rFonts w:hint="eastAsia"/>
          <w:color w:val="auto"/>
          <w:sz w:val="24"/>
          <w:highlight w:val="none"/>
        </w:rPr>
        <w:t>十三、财政拨款“三公”经费支出决算表</w:t>
      </w:r>
    </w:p>
    <w:p>
      <w:pPr>
        <w:widowControl/>
        <w:spacing w:line="440" w:lineRule="exact"/>
        <w:jc w:val="left"/>
        <w:rPr>
          <w:rFonts w:ascii="仿宋" w:hAnsi="仿宋" w:eastAsia="仿宋"/>
          <w:bCs/>
          <w:color w:val="auto"/>
          <w:kern w:val="44"/>
          <w:sz w:val="24"/>
          <w:highlight w:val="none"/>
        </w:rPr>
      </w:pPr>
      <w:bookmarkStart w:id="16" w:name="_Toc15377196"/>
      <w:bookmarkStart w:id="17" w:name="_Toc15396599"/>
      <w:r>
        <w:rPr>
          <w:rFonts w:ascii="仿宋" w:hAnsi="仿宋" w:eastAsia="仿宋"/>
          <w:b/>
          <w:color w:val="auto"/>
          <w:sz w:val="24"/>
          <w:highlight w:val="none"/>
        </w:rPr>
        <w:br w:type="page"/>
      </w:r>
    </w:p>
    <w:p>
      <w:pPr>
        <w:pStyle w:val="2"/>
        <w:numPr>
          <w:ilvl w:val="0"/>
          <w:numId w:val="1"/>
        </w:numPr>
        <w:jc w:val="center"/>
        <w:rPr>
          <w:rStyle w:val="28"/>
          <w:rFonts w:hint="eastAsia" w:ascii="黑体" w:hAnsi="黑体" w:eastAsia="黑体"/>
          <w:b w:val="0"/>
          <w:bCs w:val="0"/>
          <w:color w:val="auto"/>
          <w:highlight w:val="none"/>
        </w:rPr>
      </w:pPr>
      <w:r>
        <w:rPr>
          <w:rStyle w:val="28"/>
          <w:rFonts w:hint="eastAsia" w:ascii="黑体" w:hAnsi="黑体" w:eastAsia="黑体"/>
          <w:b w:val="0"/>
          <w:bCs w:val="0"/>
          <w:color w:val="auto"/>
          <w:highlight w:val="none"/>
        </w:rPr>
        <w:t>部门概况</w:t>
      </w:r>
      <w:bookmarkEnd w:id="16"/>
      <w:bookmarkEnd w:id="17"/>
    </w:p>
    <w:p>
      <w:pPr>
        <w:numPr>
          <w:ilvl w:val="0"/>
          <w:numId w:val="0"/>
        </w:num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一、部门职责</w:t>
      </w:r>
    </w:p>
    <w:p>
      <w:pPr>
        <w:pStyle w:val="5"/>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1.贯彻执行党中央、国务院和省市有关行政管理体制和机构改革、事业单位改革及机构编制管理的方针政策、法律法规和规章，拟定机构编制管理的政策、措施，研究制定全区机构编制工作规划，并监督实施。</w:t>
      </w:r>
    </w:p>
    <w:p>
      <w:pPr>
        <w:pStyle w:val="5"/>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2.研究拟定全区行政管理体制和机构改革的总体方案，审核区直各部门“三定”规定，指导乡镇行政管理体制和机构改革工作，评估改革效果。参与行政审批制度改革和行政区划调整的有关工作。</w:t>
      </w:r>
    </w:p>
    <w:p>
      <w:pPr>
        <w:pStyle w:val="5"/>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根据省市下达的全区各级行政编制、政法专项编制、行政执法类事业编制，负责拟定分配与分类方案，做好编制总量控制和机关事业单位机构编制实名制管理工作。核批全区机关、各级各类事业单位使用空缺编制补充人员计划，参与组织实施机关事业单位补充工作人员工作。</w:t>
      </w:r>
    </w:p>
    <w:p>
      <w:pPr>
        <w:pStyle w:val="5"/>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协调区委各部委、区政府各部门的职能配置及调整，协调区委各部委之间、区政府各部门之间，区委各部委和区政府各部门之间及各部门与乡镇的职责分工，区政府各部门与其下属事业单位的职责分工；加强对区级各部门行政审批事项的清理、调整，进一步减少具体审批事项。</w:t>
      </w:r>
    </w:p>
    <w:p>
      <w:pPr>
        <w:pStyle w:val="5"/>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5.审核区委、区政府各部门、区人大机关、区政协机关、法院、检察院和民主党派、人民团体机关、驻外办事机关的机构设置、人员编制和领导职数。</w:t>
      </w:r>
    </w:p>
    <w:p>
      <w:pPr>
        <w:pStyle w:val="5"/>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研究拟订全区事业单位管理体制和机构改革方案及配套的有关政策、办法；审核区委、区政府直属事业单位的机构编制方案，审核并办理区级各部门所属事业单位机构的审批手续；督促检查审批后机构编制运行落实情况，对不适应社会主义市场经济需要的机构、职能进行调整；负责区属事业单位机构编制的日常管理工作；指导、协调区级、乡镇事业单位管理体制改革和机构编制的管理工作。</w:t>
      </w:r>
    </w:p>
    <w:p>
      <w:pPr>
        <w:pStyle w:val="5"/>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监督检查全区行政管理体制改革、机构改革方案、事业单位改革和机构编制管理政策法规的执行情况，建立机构编制工作考核评估制度，负责研究拟定机构编制与财政预算、核拨经费配套管理制度，参与机关事业单位财政工资与人员编制及实有人数的审核工作。会同纪检监察部门查处机构编制违法违纪行为。</w:t>
      </w:r>
    </w:p>
    <w:p>
      <w:pPr>
        <w:pStyle w:val="5"/>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8.贯彻执行国家事业单位登记管理有关政策、法规，负责全区事业单位登记管理工作。</w:t>
      </w:r>
    </w:p>
    <w:p>
      <w:pPr>
        <w:pStyle w:val="5"/>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9.承办区委和区委编委交办的其他工作。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bookmarkStart w:id="18" w:name="_Toc15396601"/>
      <w:bookmarkStart w:id="19" w:name="_Toc15377200"/>
      <w:r>
        <w:rPr>
          <w:rFonts w:hint="eastAsia" w:ascii="黑体" w:hAnsi="黑体" w:eastAsia="黑体" w:cs="黑体"/>
          <w:sz w:val="32"/>
          <w:szCs w:val="32"/>
        </w:rPr>
        <w:t>二、机构设置</w:t>
      </w:r>
      <w:bookmarkEnd w:id="18"/>
      <w:bookmarkEnd w:id="19"/>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区委编办下属二级预算单位1个，其中事业单位1个，是区机构编制电子政务（信息）中心。</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2"/>
        <w:ind w:right="440"/>
        <w:jc w:val="center"/>
        <w:rPr>
          <w:rStyle w:val="28"/>
          <w:rFonts w:ascii="黑体" w:hAnsi="黑体" w:eastAsia="黑体"/>
          <w:b w:val="0"/>
          <w:bCs/>
          <w:color w:val="auto"/>
          <w:highlight w:val="none"/>
        </w:rPr>
      </w:pPr>
      <w:bookmarkStart w:id="20" w:name="_Toc15396602"/>
      <w:bookmarkStart w:id="21"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8"/>
          <w:rFonts w:hint="eastAsia" w:ascii="黑体" w:hAnsi="黑体" w:eastAsia="黑体"/>
          <w:b w:val="0"/>
          <w:bCs/>
          <w:color w:val="auto"/>
          <w:highlight w:val="none"/>
        </w:rPr>
        <w:t>部门决算情况说明</w:t>
      </w:r>
      <w:bookmarkEnd w:id="20"/>
      <w:bookmarkEnd w:id="21"/>
    </w:p>
    <w:p>
      <w:pPr>
        <w:rPr>
          <w:color w:val="auto"/>
          <w:highlight w:val="none"/>
        </w:rPr>
      </w:pPr>
    </w:p>
    <w:p>
      <w:pPr>
        <w:pStyle w:val="27"/>
        <w:numPr>
          <w:ilvl w:val="0"/>
          <w:numId w:val="2"/>
        </w:numPr>
        <w:spacing w:line="600" w:lineRule="exact"/>
        <w:ind w:firstLineChars="0"/>
        <w:outlineLvl w:val="1"/>
        <w:rPr>
          <w:rStyle w:val="29"/>
          <w:rFonts w:ascii="黑体" w:hAnsi="黑体" w:eastAsia="黑体"/>
          <w:b w:val="0"/>
          <w:color w:val="auto"/>
          <w:highlight w:val="none"/>
        </w:rPr>
      </w:pPr>
      <w:bookmarkStart w:id="22" w:name="_Toc15377205"/>
      <w:bookmarkStart w:id="23" w:name="_Toc15396603"/>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入支出决算总体情况说明</w:t>
      </w:r>
      <w:bookmarkEnd w:id="22"/>
      <w:bookmarkEnd w:id="23"/>
    </w:p>
    <w:p>
      <w:pPr>
        <w:spacing w:line="600" w:lineRule="exact"/>
        <w:ind w:firstLine="640" w:firstLineChars="200"/>
        <w:rPr>
          <w:rFonts w:hint="eastAsia" w:ascii="仿宋" w:hAnsi="仿宋" w:eastAsia="仿宋"/>
          <w:color w:val="auto"/>
          <w:sz w:val="32"/>
          <w:szCs w:val="32"/>
          <w:highlight w:val="yellow"/>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年度收、支总计191.07万元。与20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13.41</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6.56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单位厉行节约，严控开支</w:t>
      </w:r>
      <w:r>
        <w:rPr>
          <w:rFonts w:hint="eastAsia" w:ascii="仿宋" w:hAnsi="仿宋" w:eastAsia="仿宋"/>
          <w:color w:val="auto"/>
          <w:sz w:val="32"/>
          <w:szCs w:val="32"/>
          <w:highlight w:val="none"/>
          <w:lang w:eastAsia="zh-CN"/>
        </w:rPr>
        <w:t>。</w:t>
      </w:r>
    </w:p>
    <w:p>
      <w:pPr>
        <w:pStyle w:val="5"/>
        <w:jc w:val="center"/>
        <w:rPr>
          <w:rFonts w:hint="eastAsia"/>
          <w:lang w:eastAsia="zh-CN"/>
        </w:rPr>
      </w:pPr>
      <w:r>
        <w:rPr>
          <w:sz w:val="30"/>
        </w:rPr>
        <mc:AlternateContent>
          <mc:Choice Requires="wps">
            <w:drawing>
              <wp:anchor distT="0" distB="0" distL="114300" distR="114300" simplePos="0" relativeHeight="251661312" behindDoc="0" locked="0" layoutInCell="1" allowOverlap="1">
                <wp:simplePos x="0" y="0"/>
                <wp:positionH relativeFrom="column">
                  <wp:posOffset>3169920</wp:posOffset>
                </wp:positionH>
                <wp:positionV relativeFrom="paragraph">
                  <wp:posOffset>2485390</wp:posOffset>
                </wp:positionV>
                <wp:extent cx="871855" cy="294005"/>
                <wp:effectExtent l="0" t="0" r="12065" b="10795"/>
                <wp:wrapNone/>
                <wp:docPr id="2" name="文本框 2"/>
                <wp:cNvGraphicFramePr/>
                <a:graphic xmlns:a="http://schemas.openxmlformats.org/drawingml/2006/main">
                  <a:graphicData uri="http://schemas.microsoft.com/office/word/2010/wordprocessingShape">
                    <wps:wsp>
                      <wps:cNvSpPr txBox="1"/>
                      <wps:spPr>
                        <a:xfrm>
                          <a:off x="3068955" y="5611495"/>
                          <a:ext cx="871855" cy="2940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9.6pt;margin-top:195.7pt;height:23.15pt;width:68.65pt;z-index:251661312;mso-width-relative:page;mso-height-relative:page;" fillcolor="#FFFFFF [3201]" filled="t" stroked="f" coordsize="21600,21600" o:gfxdata="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GE1&#10;qKjXAAAACwEAAA8AAAAAAAAAAQAgAAAAIgAAAGRycy9kb3ducmV2LnhtbFBLAQIUABQAAAAIAIdO&#10;4kBC/OBDXQIAAJoEAAAOAAAAAAAAAAEAIAAAACYBAABkcnMvZTJvRG9jLnhtbFBLBQYAAAAABgAG&#10;AFkBAAD1BQAAAAA=&#10;">
                <v:fill on="t" focussize="0,0"/>
                <v:stroke on="f" weight="0.5pt"/>
                <v:imagedata o:title=""/>
                <o:lock v:ext="edit" aspectratio="f"/>
                <v:textbox>
                  <w:txbxContent>
                    <w:p>
                      <w:pP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单位（万元）</w:t>
                      </w:r>
                    </w:p>
                  </w:txbxContent>
                </v:textbox>
              </v:shape>
            </w:pict>
          </mc:Fallback>
        </mc:AlternateContent>
      </w:r>
      <w:r>
        <w:drawing>
          <wp:inline distT="0" distB="0" distL="114300" distR="114300">
            <wp:extent cx="4572000" cy="2743200"/>
            <wp:effectExtent l="4445" t="4445" r="10795" b="10795"/>
            <wp:docPr id="103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spacing w:line="600" w:lineRule="exact"/>
        <w:ind w:firstLine="640" w:firstLineChars="200"/>
        <w:jc w:val="left"/>
        <w:rPr>
          <w:rFonts w:ascii="仿宋_GB2312" w:eastAsia="仿宋_GB2312"/>
          <w:color w:val="auto"/>
          <w:sz w:val="32"/>
          <w:szCs w:val="32"/>
          <w:highlight w:val="none"/>
        </w:rPr>
      </w:pPr>
    </w:p>
    <w:p>
      <w:pPr>
        <w:pStyle w:val="27"/>
        <w:numPr>
          <w:ilvl w:val="0"/>
          <w:numId w:val="2"/>
        </w:numPr>
        <w:spacing w:line="600" w:lineRule="exact"/>
        <w:ind w:firstLineChars="0"/>
        <w:outlineLvl w:val="1"/>
        <w:rPr>
          <w:rStyle w:val="29"/>
          <w:rFonts w:ascii="黑体" w:hAnsi="黑体" w:eastAsia="黑体"/>
          <w:b w:val="0"/>
          <w:color w:val="auto"/>
          <w:highlight w:val="none"/>
        </w:rPr>
      </w:pPr>
      <w:bookmarkStart w:id="24" w:name="_Toc15396604"/>
      <w:bookmarkStart w:id="25" w:name="_Toc15377206"/>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入决算情况说明</w:t>
      </w:r>
      <w:bookmarkEnd w:id="24"/>
      <w:bookmarkEnd w:id="25"/>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年本年收入合计191.07万元，其中：一般公共预算财政拨款收入191.07万元，占</w:t>
      </w:r>
      <w:r>
        <w:rPr>
          <w:rFonts w:hint="eastAsia" w:ascii="仿宋" w:hAnsi="仿宋" w:eastAsia="仿宋"/>
          <w:color w:val="auto"/>
          <w:sz w:val="32"/>
          <w:szCs w:val="32"/>
          <w:highlight w:val="none"/>
          <w:lang w:val="en-US" w:eastAsia="zh-CN"/>
        </w:rPr>
        <w:t>100.00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left="0" w:leftChars="0" w:firstLine="0" w:firstLineChars="0"/>
        <w:outlineLvl w:val="1"/>
        <w:rPr>
          <w:rFonts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420" w:firstLineChars="200"/>
        <w:rPr>
          <w:rFonts w:hint="eastAsia" w:ascii="仿宋" w:hAnsi="仿宋" w:eastAsia="仿宋"/>
          <w:color w:val="auto"/>
          <w:sz w:val="32"/>
          <w:szCs w:val="32"/>
          <w:highlight w:val="none"/>
        </w:rPr>
      </w:pPr>
      <w:r>
        <w:drawing>
          <wp:anchor distT="0" distB="0" distL="114300" distR="114300" simplePos="0" relativeHeight="251660288" behindDoc="0" locked="0" layoutInCell="1" allowOverlap="1">
            <wp:simplePos x="0" y="0"/>
            <wp:positionH relativeFrom="column">
              <wp:posOffset>361950</wp:posOffset>
            </wp:positionH>
            <wp:positionV relativeFrom="paragraph">
              <wp:posOffset>114300</wp:posOffset>
            </wp:positionV>
            <wp:extent cx="4368165" cy="2544445"/>
            <wp:effectExtent l="4445" t="4445" r="16510" b="1143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rPr>
          <w:rFonts w:hint="eastAsia" w:ascii="仿宋" w:hAnsi="仿宋" w:eastAsia="仿宋"/>
          <w:color w:val="auto"/>
          <w:sz w:val="32"/>
          <w:szCs w:val="32"/>
          <w:highlight w:val="none"/>
        </w:rPr>
      </w:pPr>
    </w:p>
    <w:p>
      <w:pPr>
        <w:pStyle w:val="5"/>
        <w:rPr>
          <w:rFonts w:hint="eastAsia" w:ascii="仿宋" w:hAnsi="仿宋" w:eastAsia="仿宋"/>
          <w:color w:val="auto"/>
          <w:sz w:val="32"/>
          <w:szCs w:val="32"/>
          <w:highlight w:val="none"/>
        </w:rPr>
      </w:pPr>
    </w:p>
    <w:p>
      <w:pPr>
        <w:pStyle w:val="5"/>
        <w:rPr>
          <w:rFonts w:hint="eastAsia" w:ascii="仿宋" w:hAnsi="仿宋" w:eastAsia="仿宋"/>
          <w:color w:val="auto"/>
          <w:sz w:val="32"/>
          <w:szCs w:val="32"/>
          <w:highlight w:val="none"/>
        </w:rPr>
      </w:pPr>
    </w:p>
    <w:p>
      <w:pPr>
        <w:pStyle w:val="5"/>
        <w:rPr>
          <w:rFonts w:hint="eastAsia" w:ascii="仿宋" w:hAnsi="仿宋" w:eastAsia="仿宋"/>
          <w:color w:val="auto"/>
          <w:sz w:val="32"/>
          <w:szCs w:val="32"/>
          <w:highlight w:val="none"/>
        </w:rPr>
      </w:pPr>
    </w:p>
    <w:p>
      <w:pPr>
        <w:pStyle w:val="5"/>
        <w:rPr>
          <w:rFonts w:hint="eastAsia" w:ascii="仿宋" w:hAnsi="仿宋" w:eastAsia="仿宋"/>
          <w:color w:val="auto"/>
          <w:sz w:val="32"/>
          <w:szCs w:val="32"/>
          <w:highlight w:val="none"/>
        </w:rPr>
      </w:pP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spacing w:line="600" w:lineRule="exact"/>
        <w:ind w:firstLine="640" w:firstLineChars="200"/>
        <w:rPr>
          <w:rFonts w:ascii="仿宋_GB2312" w:eastAsia="仿宋_GB2312"/>
          <w:color w:val="auto"/>
          <w:sz w:val="32"/>
          <w:szCs w:val="32"/>
          <w:highlight w:val="none"/>
        </w:rPr>
      </w:pPr>
    </w:p>
    <w:p>
      <w:pPr>
        <w:pStyle w:val="27"/>
        <w:numPr>
          <w:ilvl w:val="0"/>
          <w:numId w:val="2"/>
        </w:numPr>
        <w:spacing w:line="600" w:lineRule="exact"/>
        <w:ind w:firstLineChars="0"/>
        <w:outlineLvl w:val="1"/>
        <w:rPr>
          <w:rStyle w:val="29"/>
          <w:rFonts w:ascii="黑体" w:hAnsi="黑体" w:eastAsia="黑体"/>
          <w:b w:val="0"/>
          <w:color w:val="auto"/>
          <w:highlight w:val="none"/>
        </w:rPr>
      </w:pPr>
      <w:bookmarkStart w:id="26" w:name="_Toc15377207"/>
      <w:bookmarkStart w:id="27" w:name="_Toc15396605"/>
      <w:r>
        <w:rPr>
          <w:rFonts w:hint="eastAsia" w:ascii="黑体" w:hAnsi="黑体" w:eastAsia="黑体"/>
          <w:color w:val="auto"/>
          <w:sz w:val="32"/>
          <w:szCs w:val="32"/>
          <w:highlight w:val="none"/>
        </w:rPr>
        <w:t>支</w:t>
      </w:r>
      <w:r>
        <w:rPr>
          <w:rStyle w:val="29"/>
          <w:rFonts w:hint="eastAsia" w:ascii="黑体" w:hAnsi="黑体" w:eastAsia="黑体"/>
          <w:b w:val="0"/>
          <w:color w:val="auto"/>
          <w:highlight w:val="none"/>
        </w:rPr>
        <w:t>出决算情况说明</w:t>
      </w:r>
      <w:bookmarkEnd w:id="26"/>
      <w:bookmarkEnd w:id="27"/>
    </w:p>
    <w:p>
      <w:pP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年本年支出合计191.07万元，其中：基本支出170.43万元，占</w:t>
      </w:r>
      <w:r>
        <w:rPr>
          <w:rFonts w:hint="eastAsia" w:ascii="仿宋" w:hAnsi="仿宋" w:eastAsia="仿宋"/>
          <w:color w:val="auto"/>
          <w:sz w:val="32"/>
          <w:szCs w:val="32"/>
          <w:highlight w:val="none"/>
          <w:lang w:val="en-US" w:eastAsia="zh-CN"/>
        </w:rPr>
        <w:t>89.20</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；项目支出20.64万元，占</w:t>
      </w:r>
      <w:r>
        <w:rPr>
          <w:rFonts w:hint="eastAsia" w:ascii="仿宋" w:hAnsi="仿宋" w:eastAsia="仿宋"/>
          <w:color w:val="auto"/>
          <w:sz w:val="32"/>
          <w:szCs w:val="32"/>
          <w:highlight w:val="none"/>
          <w:lang w:val="en-US" w:eastAsia="zh-CN"/>
        </w:rPr>
        <w:t>10.80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5"/>
        <w:rPr>
          <w:rFonts w:hint="eastAsia"/>
          <w:sz w:val="21"/>
          <w:szCs w:val="21"/>
        </w:rPr>
      </w:pPr>
    </w:p>
    <w:p>
      <w:pPr>
        <w:pStyle w:val="5"/>
        <w:jc w:val="center"/>
      </w:pPr>
      <w:r>
        <w:drawing>
          <wp:inline distT="0" distB="0" distL="114300" distR="114300">
            <wp:extent cx="4412615" cy="2919095"/>
            <wp:effectExtent l="4445" t="4445" r="17780" b="17780"/>
            <wp:docPr id="308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29"/>
          <w:rFonts w:ascii="黑体" w:hAnsi="黑体" w:eastAsia="黑体"/>
          <w:b w:val="0"/>
          <w:color w:val="auto"/>
          <w:highlight w:val="none"/>
        </w:rPr>
      </w:pPr>
      <w:bookmarkStart w:id="28" w:name="_Toc15377208"/>
      <w:bookmarkStart w:id="29" w:name="_Toc15396606"/>
      <w:r>
        <w:rPr>
          <w:rFonts w:hint="eastAsia" w:ascii="黑体" w:hAnsi="黑体" w:eastAsia="黑体"/>
          <w:color w:val="auto"/>
          <w:sz w:val="32"/>
          <w:szCs w:val="32"/>
          <w:highlight w:val="none"/>
        </w:rPr>
        <w:t>四、财</w:t>
      </w:r>
      <w:r>
        <w:rPr>
          <w:rStyle w:val="29"/>
          <w:rFonts w:hint="eastAsia" w:ascii="黑体" w:hAnsi="黑体" w:eastAsia="黑体"/>
          <w:b w:val="0"/>
          <w:color w:val="auto"/>
          <w:highlight w:val="none"/>
        </w:rPr>
        <w:t>政拨款收入支出决算总体情况说明</w:t>
      </w:r>
      <w:bookmarkEnd w:id="28"/>
      <w:bookmarkEnd w:id="29"/>
    </w:p>
    <w:p>
      <w:pPr>
        <w:spacing w:line="600" w:lineRule="exact"/>
        <w:ind w:firstLine="640" w:firstLineChars="200"/>
        <w:rPr>
          <w:rFonts w:hint="eastAsia" w:ascii="仿宋" w:hAnsi="仿宋" w:eastAsia="仿宋"/>
          <w:color w:val="auto"/>
          <w:sz w:val="32"/>
          <w:szCs w:val="32"/>
          <w:highlight w:val="yellow"/>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年财政拨款收、支总计191.07万元。与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年相比，财政拨款收、支总计各减少</w:t>
      </w:r>
      <w:r>
        <w:rPr>
          <w:rFonts w:hint="eastAsia" w:ascii="仿宋" w:hAnsi="仿宋" w:eastAsia="仿宋"/>
          <w:color w:val="auto"/>
          <w:sz w:val="32"/>
          <w:szCs w:val="32"/>
          <w:highlight w:val="none"/>
          <w:lang w:val="en-US" w:eastAsia="zh-CN"/>
        </w:rPr>
        <w:t>13.41</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6.56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单位厉行节约，严控开支</w:t>
      </w:r>
      <w:r>
        <w:rPr>
          <w:rFonts w:hint="eastAsia" w:ascii="仿宋" w:hAnsi="仿宋" w:eastAsia="仿宋"/>
          <w:color w:val="auto"/>
          <w:sz w:val="32"/>
          <w:szCs w:val="32"/>
          <w:highlight w:val="none"/>
          <w:lang w:eastAsia="zh-CN"/>
        </w:rPr>
        <w:t>。</w:t>
      </w:r>
    </w:p>
    <w:p>
      <w:pPr>
        <w:spacing w:line="600" w:lineRule="exact"/>
        <w:ind w:firstLine="640"/>
        <w:rPr>
          <w:rFonts w:ascii="仿宋" w:hAnsi="仿宋" w:eastAsia="仿宋"/>
          <w:color w:val="auto"/>
          <w:sz w:val="21"/>
          <w:szCs w:val="21"/>
          <w:highlight w:val="none"/>
        </w:rPr>
      </w:pPr>
    </w:p>
    <w:p>
      <w:pPr>
        <w:pStyle w:val="5"/>
        <w:jc w:val="center"/>
        <w:rPr>
          <w:rFonts w:ascii="仿宋" w:hAnsi="仿宋" w:eastAsia="仿宋"/>
          <w:color w:val="auto"/>
          <w:sz w:val="21"/>
          <w:szCs w:val="21"/>
          <w:highlight w:val="none"/>
        </w:rPr>
      </w:pPr>
      <w:r>
        <w:rPr>
          <w:sz w:val="30"/>
        </w:rPr>
        <mc:AlternateContent>
          <mc:Choice Requires="wps">
            <w:drawing>
              <wp:anchor distT="0" distB="0" distL="114300" distR="114300" simplePos="0" relativeHeight="251662336" behindDoc="0" locked="0" layoutInCell="1" allowOverlap="1">
                <wp:simplePos x="0" y="0"/>
                <wp:positionH relativeFrom="column">
                  <wp:posOffset>3195955</wp:posOffset>
                </wp:positionH>
                <wp:positionV relativeFrom="paragraph">
                  <wp:posOffset>2524125</wp:posOffset>
                </wp:positionV>
                <wp:extent cx="753745" cy="259715"/>
                <wp:effectExtent l="0" t="0" r="8255" b="14605"/>
                <wp:wrapNone/>
                <wp:docPr id="5" name="文本框 5"/>
                <wp:cNvGraphicFramePr/>
                <a:graphic xmlns:a="http://schemas.openxmlformats.org/drawingml/2006/main">
                  <a:graphicData uri="http://schemas.microsoft.com/office/word/2010/wordprocessingShape">
                    <wps:wsp>
                      <wps:cNvSpPr txBox="1"/>
                      <wps:spPr>
                        <a:xfrm>
                          <a:off x="4279900" y="5335270"/>
                          <a:ext cx="753745" cy="2597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单位（万元）</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1.65pt;margin-top:198.75pt;height:20.45pt;width:59.35pt;z-index:251662336;mso-width-relative:page;mso-height-relative:page;" fillcolor="#FFFFFF [3201]" filled="t" stroked="f" coordsize="21600,21600" o:gfxdata="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FSUr&#10;1NcAAAALAQAADwAAAAAAAAABACAAAAAiAAAAZHJzL2Rvd25yZXYueG1sUEsBAhQAFAAAAAgAh07i&#10;QJO0HdFcAgAAmgQAAA4AAAAAAAAAAQAgAAAAJgEAAGRycy9lMm9Eb2MueG1sUEsFBgAAAAAGAAYA&#10;WQEAAPQFAAAAAA==&#10;">
                <v:fill on="t" focussize="0,0"/>
                <v:stroke on="f" weight="0.5pt"/>
                <v:imagedata o:title=""/>
                <o:lock v:ext="edit" aspectratio="f"/>
                <v:textbox>
                  <w:txbxContent>
                    <w:p>
                      <w:pP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单位（万元）</w:t>
                      </w:r>
                    </w:p>
                    <w:p/>
                  </w:txbxContent>
                </v:textbox>
              </v:shape>
            </w:pict>
          </mc:Fallback>
        </mc:AlternateContent>
      </w:r>
      <w:r>
        <w:drawing>
          <wp:inline distT="0" distB="0" distL="114300" distR="114300">
            <wp:extent cx="4572000" cy="2743200"/>
            <wp:effectExtent l="4445" t="4445" r="10795" b="107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9"/>
          <w:rFonts w:ascii="黑体" w:hAnsi="黑体" w:eastAsia="黑体"/>
          <w:b w:val="0"/>
          <w:color w:val="auto"/>
          <w:highlight w:val="none"/>
        </w:rPr>
      </w:pPr>
      <w:bookmarkStart w:id="30" w:name="_Toc15396607"/>
      <w:bookmarkStart w:id="31"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般公共预算财政拨款支出决算情况说明</w:t>
      </w:r>
      <w:bookmarkEnd w:id="30"/>
      <w:bookmarkEnd w:id="31"/>
    </w:p>
    <w:p>
      <w:pPr>
        <w:spacing w:line="600" w:lineRule="exact"/>
        <w:ind w:firstLine="643" w:firstLineChars="200"/>
        <w:outlineLvl w:val="2"/>
        <w:rPr>
          <w:rFonts w:ascii="仿宋" w:hAnsi="仿宋" w:eastAsia="仿宋"/>
          <w:b/>
          <w:color w:val="auto"/>
          <w:sz w:val="32"/>
          <w:szCs w:val="32"/>
          <w:highlight w:val="none"/>
        </w:rPr>
      </w:pPr>
      <w:bookmarkStart w:id="32" w:name="_Toc15377210"/>
      <w:r>
        <w:rPr>
          <w:rFonts w:hint="eastAsia" w:ascii="仿宋" w:hAnsi="仿宋" w:eastAsia="仿宋"/>
          <w:b/>
          <w:color w:val="auto"/>
          <w:sz w:val="32"/>
          <w:szCs w:val="32"/>
          <w:highlight w:val="none"/>
        </w:rPr>
        <w:t>（一）一般公共预算财政拨款支出决算总体情况</w:t>
      </w:r>
      <w:bookmarkEnd w:id="32"/>
    </w:p>
    <w:p>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年一般公共预算财政拨款支出191.07万元，占本年支出合计的</w:t>
      </w:r>
      <w:r>
        <w:rPr>
          <w:rFonts w:hint="eastAsia" w:ascii="仿宋" w:hAnsi="仿宋" w:eastAsia="仿宋"/>
          <w:color w:val="auto"/>
          <w:sz w:val="32"/>
          <w:szCs w:val="32"/>
          <w:highlight w:val="none"/>
          <w:lang w:val="en-US" w:eastAsia="zh-CN"/>
        </w:rPr>
        <w:t>100.00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13.41</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6.56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单位厉行节约，严控开支</w:t>
      </w:r>
      <w:r>
        <w:rPr>
          <w:rFonts w:hint="eastAsia" w:ascii="仿宋" w:hAnsi="仿宋" w:eastAsia="仿宋"/>
          <w:color w:val="auto"/>
          <w:sz w:val="32"/>
          <w:szCs w:val="32"/>
          <w:highlight w:val="none"/>
          <w:lang w:eastAsia="zh-CN"/>
        </w:rPr>
        <w:t>。</w:t>
      </w:r>
    </w:p>
    <w:p>
      <w:pPr>
        <w:spacing w:line="600" w:lineRule="exact"/>
        <w:ind w:firstLine="640" w:firstLineChars="200"/>
        <w:rPr>
          <w:rFonts w:ascii="仿宋" w:hAnsi="仿宋" w:eastAsia="仿宋"/>
          <w:color w:val="auto"/>
          <w:sz w:val="32"/>
          <w:szCs w:val="32"/>
          <w:highlight w:val="none"/>
        </w:rPr>
      </w:pPr>
    </w:p>
    <w:p>
      <w:pPr>
        <w:pStyle w:val="5"/>
        <w:jc w:val="center"/>
        <w:rPr>
          <w:rFonts w:ascii="仿宋" w:hAnsi="仿宋" w:eastAsia="仿宋"/>
          <w:color w:val="auto"/>
          <w:sz w:val="32"/>
          <w:szCs w:val="32"/>
          <w:highlight w:val="none"/>
        </w:rPr>
      </w:pPr>
      <w:r>
        <w:rPr>
          <w:sz w:val="30"/>
        </w:rPr>
        <mc:AlternateContent>
          <mc:Choice Requires="wps">
            <w:drawing>
              <wp:anchor distT="0" distB="0" distL="114300" distR="114300" simplePos="0" relativeHeight="251663360" behindDoc="0" locked="0" layoutInCell="1" allowOverlap="1">
                <wp:simplePos x="0" y="0"/>
                <wp:positionH relativeFrom="column">
                  <wp:posOffset>2433955</wp:posOffset>
                </wp:positionH>
                <wp:positionV relativeFrom="paragraph">
                  <wp:posOffset>2454910</wp:posOffset>
                </wp:positionV>
                <wp:extent cx="864235" cy="254000"/>
                <wp:effectExtent l="0" t="0" r="4445" b="5080"/>
                <wp:wrapNone/>
                <wp:docPr id="6" name="文本框 6"/>
                <wp:cNvGraphicFramePr/>
                <a:graphic xmlns:a="http://schemas.openxmlformats.org/drawingml/2006/main">
                  <a:graphicData uri="http://schemas.microsoft.com/office/word/2010/wordprocessingShape">
                    <wps:wsp>
                      <wps:cNvSpPr txBox="1"/>
                      <wps:spPr>
                        <a:xfrm>
                          <a:off x="3221355" y="3394710"/>
                          <a:ext cx="864235" cy="254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单位（万元）</w:t>
                            </w:r>
                          </w:p>
                          <w:p>
                            <w:pPr>
                              <w:rPr>
                                <w:rFonts w:hint="eastAsia"/>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1.65pt;margin-top:193.3pt;height:20pt;width:68.05pt;z-index:251663360;mso-width-relative:page;mso-height-relative:page;" fillcolor="#FFFFFF [3201]" filled="t" stroked="f" coordsize="21600,21600" o:gfxdata="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6ptG&#10;1gAAAAsBAAAPAAAAAAAAAAEAIAAAACIAAABkcnMvZG93bnJldi54bWxQSwECFAAUAAAACACHTuJA&#10;+/KP9FwCAACaBAAADgAAAAAAAAABACAAAAAlAQAAZHJzL2Uyb0RvYy54bWxQSwUGAAAAAAYABgBZ&#10;AQAA8wUAAAAA&#10;">
                <v:fill on="t" focussize="0,0"/>
                <v:stroke on="f" weight="0.5pt"/>
                <v:imagedata o:title=""/>
                <o:lock v:ext="edit" aspectratio="f"/>
                <v:textbox>
                  <w:txbxContent>
                    <w:p>
                      <w:pP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单位（万元）</w:t>
                      </w:r>
                    </w:p>
                    <w:p>
                      <w:pPr>
                        <w:rPr>
                          <w:rFonts w:hint="eastAsia"/>
                          <w:lang w:eastAsia="zh-CN"/>
                        </w:rPr>
                      </w:pPr>
                    </w:p>
                  </w:txbxContent>
                </v:textbox>
              </v:shape>
            </w:pict>
          </mc:Fallback>
        </mc:AlternateContent>
      </w:r>
      <w:r>
        <w:drawing>
          <wp:inline distT="0" distB="0" distL="114300" distR="114300">
            <wp:extent cx="4877435" cy="2743200"/>
            <wp:effectExtent l="4445" t="4445" r="10160" b="10795"/>
            <wp:docPr id="410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33" w:name="_Toc15377211"/>
      <w:r>
        <w:rPr>
          <w:rFonts w:hint="eastAsia" w:ascii="仿宋" w:hAnsi="仿宋" w:eastAsia="仿宋"/>
          <w:b/>
          <w:color w:val="auto"/>
          <w:sz w:val="32"/>
          <w:szCs w:val="32"/>
          <w:highlight w:val="none"/>
        </w:rPr>
        <w:t>（二）一般公共预算财政拨款支出决算结构情况</w:t>
      </w:r>
      <w:bookmarkEnd w:id="33"/>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年一般公共预算财政拨款支出191.07万元，主要用于以下方面</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b w:val="0"/>
          <w:bCs w:val="0"/>
          <w:color w:val="auto"/>
          <w:sz w:val="32"/>
          <w:szCs w:val="32"/>
          <w:highlight w:val="none"/>
        </w:rPr>
        <w:t>159.31万元，占</w:t>
      </w:r>
      <w:r>
        <w:rPr>
          <w:rFonts w:hint="eastAsia" w:ascii="仿宋" w:hAnsi="仿宋" w:eastAsia="仿宋"/>
          <w:b w:val="0"/>
          <w:bCs w:val="0"/>
          <w:color w:val="auto"/>
          <w:sz w:val="32"/>
          <w:szCs w:val="32"/>
          <w:highlight w:val="none"/>
          <w:lang w:val="en-US" w:eastAsia="zh-CN"/>
        </w:rPr>
        <w:t>83.38</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b w:val="0"/>
          <w:bCs w:val="0"/>
          <w:color w:val="auto"/>
          <w:sz w:val="32"/>
          <w:szCs w:val="32"/>
          <w:highlight w:val="none"/>
        </w:rPr>
        <w:t>11.11万元，占</w:t>
      </w:r>
      <w:r>
        <w:rPr>
          <w:rFonts w:hint="eastAsia" w:ascii="仿宋" w:hAnsi="仿宋" w:eastAsia="仿宋"/>
          <w:b w:val="0"/>
          <w:bCs w:val="0"/>
          <w:color w:val="auto"/>
          <w:sz w:val="32"/>
          <w:szCs w:val="32"/>
          <w:highlight w:val="none"/>
          <w:lang w:val="en-US" w:eastAsia="zh-CN"/>
        </w:rPr>
        <w:t>5.81</w:t>
      </w:r>
      <w:r>
        <w:rPr>
          <w:rFonts w:ascii="仿宋" w:hAnsi="仿宋" w:eastAsia="仿宋"/>
          <w:b w:val="0"/>
          <w:bCs w:val="0"/>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b w:val="0"/>
          <w:bCs w:val="0"/>
          <w:color w:val="auto"/>
          <w:sz w:val="32"/>
          <w:szCs w:val="32"/>
          <w:highlight w:val="none"/>
        </w:rPr>
        <w:t>7.11万元，占</w:t>
      </w:r>
      <w:r>
        <w:rPr>
          <w:rFonts w:hint="eastAsia" w:ascii="仿宋" w:hAnsi="仿宋" w:eastAsia="仿宋"/>
          <w:b w:val="0"/>
          <w:bCs w:val="0"/>
          <w:color w:val="auto"/>
          <w:sz w:val="32"/>
          <w:szCs w:val="32"/>
          <w:highlight w:val="none"/>
          <w:lang w:val="en-US" w:eastAsia="zh-CN"/>
        </w:rPr>
        <w:t>3.72</w:t>
      </w:r>
      <w:r>
        <w:rPr>
          <w:rFonts w:ascii="仿宋" w:hAnsi="仿宋" w:eastAsia="仿宋"/>
          <w:b w:val="0"/>
          <w:bCs w:val="0"/>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b w:val="0"/>
          <w:bCs w:val="0"/>
          <w:color w:val="auto"/>
          <w:sz w:val="32"/>
          <w:szCs w:val="32"/>
          <w:highlight w:val="none"/>
        </w:rPr>
        <w:t>13.54万元，占</w:t>
      </w:r>
      <w:r>
        <w:rPr>
          <w:rFonts w:hint="eastAsia" w:ascii="仿宋" w:hAnsi="仿宋" w:eastAsia="仿宋"/>
          <w:b w:val="0"/>
          <w:bCs w:val="0"/>
          <w:color w:val="auto"/>
          <w:sz w:val="32"/>
          <w:szCs w:val="32"/>
          <w:highlight w:val="none"/>
          <w:lang w:val="en-US" w:eastAsia="zh-CN"/>
        </w:rPr>
        <w:t>7.09</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w:t>
      </w:r>
    </w:p>
    <w:p>
      <w:pPr>
        <w:pStyle w:val="5"/>
        <w:rPr>
          <w:rFonts w:hint="eastAsia"/>
          <w:sz w:val="21"/>
          <w:szCs w:val="21"/>
        </w:rPr>
      </w:pPr>
    </w:p>
    <w:p>
      <w:pPr>
        <w:pStyle w:val="5"/>
        <w:jc w:val="center"/>
        <w:rPr>
          <w:rFonts w:ascii="仿宋" w:hAnsi="仿宋" w:eastAsia="仿宋"/>
          <w:color w:val="auto"/>
          <w:sz w:val="32"/>
          <w:szCs w:val="32"/>
          <w:highlight w:val="none"/>
        </w:rPr>
      </w:pPr>
      <w:r>
        <w:drawing>
          <wp:inline distT="0" distB="0" distL="114300" distR="114300">
            <wp:extent cx="4605655" cy="2406650"/>
            <wp:effectExtent l="5080" t="4445" r="6985" b="12065"/>
            <wp:docPr id="512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34" w:name="_Toc15377212"/>
      <w:r>
        <w:rPr>
          <w:rFonts w:hint="eastAsia" w:ascii="仿宋" w:hAnsi="仿宋" w:eastAsia="仿宋"/>
          <w:b/>
          <w:color w:val="auto"/>
          <w:sz w:val="32"/>
          <w:szCs w:val="32"/>
          <w:highlight w:val="none"/>
        </w:rPr>
        <w:t>（三）一般公共预算财政拨款支出决算具体情况</w:t>
      </w:r>
      <w:bookmarkEnd w:id="34"/>
    </w:p>
    <w:p>
      <w:pPr>
        <w:spacing w:line="600" w:lineRule="exact"/>
        <w:ind w:firstLine="643" w:firstLineChars="200"/>
        <w:outlineLvl w:val="2"/>
        <w:rPr>
          <w:rFonts w:ascii="仿宋" w:hAnsi="仿宋" w:eastAsia="仿宋"/>
          <w:color w:val="auto"/>
          <w:sz w:val="32"/>
          <w:szCs w:val="32"/>
          <w:highlight w:val="none"/>
        </w:rPr>
      </w:pPr>
      <w:bookmarkStart w:id="35" w:name="_Toc15378460"/>
      <w:bookmarkStart w:id="36" w:name="_Toc15377213"/>
      <w:bookmarkStart w:id="37"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w:t>
      </w:r>
      <w:r>
        <w:rPr>
          <w:rFonts w:hint="eastAsia" w:ascii="仿宋" w:hAnsi="仿宋" w:eastAsia="仿宋"/>
          <w:b/>
          <w:bCs w:val="0"/>
          <w:color w:val="auto"/>
          <w:sz w:val="32"/>
          <w:szCs w:val="32"/>
          <w:highlight w:val="none"/>
        </w:rPr>
        <w:t>决算数为191.07</w:t>
      </w:r>
      <w:r>
        <w:rPr>
          <w:rFonts w:hint="eastAsia" w:ascii="仿宋" w:hAnsi="仿宋" w:eastAsia="仿宋"/>
          <w:b/>
          <w:bCs w:val="0"/>
          <w:color w:val="auto"/>
          <w:sz w:val="32"/>
          <w:szCs w:val="32"/>
          <w:highlight w:val="none"/>
          <w:lang w:val="en-US" w:eastAsia="zh-CN"/>
        </w:rPr>
        <w:t>万元</w:t>
      </w:r>
      <w:r>
        <w:rPr>
          <w:rFonts w:hint="eastAsia" w:ascii="仿宋" w:hAnsi="仿宋" w:eastAsia="仿宋"/>
          <w:b/>
          <w:bCs w:val="0"/>
          <w:color w:val="auto"/>
          <w:sz w:val="32"/>
          <w:szCs w:val="32"/>
          <w:highlight w:val="none"/>
        </w:rPr>
        <w:t>，</w:t>
      </w:r>
      <w:r>
        <w:rPr>
          <w:rStyle w:val="16"/>
          <w:rFonts w:hint="eastAsia" w:ascii="仿宋" w:hAnsi="仿宋" w:eastAsia="仿宋"/>
          <w:b/>
          <w:bCs w:val="0"/>
          <w:color w:val="auto"/>
          <w:sz w:val="32"/>
          <w:szCs w:val="32"/>
          <w:highlight w:val="none"/>
        </w:rPr>
        <w:t>完成</w:t>
      </w:r>
      <w:r>
        <w:rPr>
          <w:rStyle w:val="16"/>
          <w:rFonts w:hint="eastAsia" w:ascii="仿宋" w:hAnsi="仿宋" w:eastAsia="仿宋"/>
          <w:bCs/>
          <w:color w:val="auto"/>
          <w:sz w:val="32"/>
          <w:szCs w:val="32"/>
          <w:highlight w:val="none"/>
        </w:rPr>
        <w:t>预算</w:t>
      </w:r>
      <w:r>
        <w:rPr>
          <w:rStyle w:val="16"/>
          <w:rFonts w:hint="eastAsia" w:ascii="仿宋" w:hAnsi="仿宋" w:eastAsia="仿宋"/>
          <w:bCs/>
          <w:color w:val="auto"/>
          <w:sz w:val="32"/>
          <w:szCs w:val="32"/>
          <w:highlight w:val="none"/>
          <w:lang w:val="en-US" w:eastAsia="zh-CN"/>
        </w:rPr>
        <w:t>100.00</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。其中：</w:t>
      </w:r>
      <w:bookmarkEnd w:id="35"/>
      <w:bookmarkEnd w:id="36"/>
      <w:bookmarkEnd w:id="37"/>
    </w:p>
    <w:p>
      <w:pPr>
        <w:spacing w:line="600" w:lineRule="exact"/>
        <w:ind w:firstLine="643" w:firstLineChars="200"/>
        <w:rPr>
          <w:rFonts w:ascii="仿宋" w:hAnsi="仿宋" w:eastAsia="仿宋"/>
          <w:b/>
          <w:sz w:val="32"/>
          <w:szCs w:val="32"/>
        </w:rPr>
      </w:pPr>
      <w:r>
        <w:rPr>
          <w:rStyle w:val="16"/>
          <w:rFonts w:ascii="仿宋" w:hAnsi="仿宋" w:eastAsia="仿宋"/>
          <w:bCs/>
          <w:sz w:val="32"/>
          <w:szCs w:val="32"/>
        </w:rPr>
        <w:t>1.</w:t>
      </w:r>
      <w:r>
        <w:rPr>
          <w:rStyle w:val="16"/>
          <w:rFonts w:hint="eastAsia" w:ascii="仿宋" w:hAnsi="仿宋" w:eastAsia="仿宋"/>
          <w:bCs/>
          <w:sz w:val="32"/>
          <w:szCs w:val="32"/>
        </w:rPr>
        <w:t>一般公共服务201（类）党委办公厅（室）及相关机构事务31（款）行政运行01（项）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100.40</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，决算数</w:t>
      </w:r>
      <w:r>
        <w:rPr>
          <w:rStyle w:val="16"/>
          <w:rFonts w:hint="eastAsia" w:ascii="仿宋" w:hAnsi="仿宋" w:eastAsia="仿宋"/>
          <w:b w:val="0"/>
          <w:bCs/>
          <w:sz w:val="32"/>
          <w:szCs w:val="32"/>
          <w:lang w:eastAsia="zh-CN"/>
        </w:rPr>
        <w:t>等</w:t>
      </w:r>
      <w:r>
        <w:rPr>
          <w:rStyle w:val="16"/>
          <w:rFonts w:hint="eastAsia" w:ascii="仿宋" w:hAnsi="仿宋" w:eastAsia="仿宋"/>
          <w:b w:val="0"/>
          <w:bCs/>
          <w:sz w:val="32"/>
          <w:szCs w:val="32"/>
        </w:rPr>
        <w:t>于预算数；</w:t>
      </w:r>
      <w:r>
        <w:rPr>
          <w:rStyle w:val="16"/>
          <w:rFonts w:hint="eastAsia" w:ascii="仿宋" w:hAnsi="仿宋" w:eastAsia="仿宋"/>
          <w:bCs/>
          <w:sz w:val="32"/>
          <w:szCs w:val="32"/>
        </w:rPr>
        <w:t>一般公共服务201（类）党委办公厅（室）及相关机构事务31（款）一般行政管理事务02（项）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10.72</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，决算数</w:t>
      </w:r>
      <w:r>
        <w:rPr>
          <w:rStyle w:val="16"/>
          <w:rFonts w:hint="eastAsia" w:ascii="仿宋" w:hAnsi="仿宋" w:eastAsia="仿宋"/>
          <w:b w:val="0"/>
          <w:bCs/>
          <w:sz w:val="32"/>
          <w:szCs w:val="32"/>
          <w:lang w:eastAsia="zh-CN"/>
        </w:rPr>
        <w:t>等</w:t>
      </w:r>
      <w:r>
        <w:rPr>
          <w:rStyle w:val="16"/>
          <w:rFonts w:hint="eastAsia" w:ascii="仿宋" w:hAnsi="仿宋" w:eastAsia="仿宋"/>
          <w:b w:val="0"/>
          <w:bCs/>
          <w:sz w:val="32"/>
          <w:szCs w:val="32"/>
        </w:rPr>
        <w:t>于预算数；</w:t>
      </w:r>
      <w:r>
        <w:rPr>
          <w:rStyle w:val="16"/>
          <w:rFonts w:hint="eastAsia" w:ascii="仿宋" w:hAnsi="仿宋" w:eastAsia="仿宋"/>
          <w:bCs/>
          <w:sz w:val="32"/>
          <w:szCs w:val="32"/>
        </w:rPr>
        <w:t>一般公共服务201（类）党委办公厅（室）及相关机构事务31（款）事业运行</w:t>
      </w:r>
      <w:r>
        <w:rPr>
          <w:rStyle w:val="16"/>
          <w:rFonts w:hint="eastAsia" w:ascii="仿宋" w:hAnsi="仿宋" w:eastAsia="仿宋"/>
          <w:bCs/>
          <w:sz w:val="32"/>
          <w:szCs w:val="32"/>
          <w:lang w:val="en-US" w:eastAsia="zh-CN"/>
        </w:rPr>
        <w:t>50</w:t>
      </w:r>
      <w:r>
        <w:rPr>
          <w:rStyle w:val="16"/>
          <w:rFonts w:hint="eastAsia" w:ascii="仿宋" w:hAnsi="仿宋" w:eastAsia="仿宋"/>
          <w:bCs/>
          <w:sz w:val="32"/>
          <w:szCs w:val="32"/>
        </w:rPr>
        <w:t>（项）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38.27</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，决算数</w:t>
      </w:r>
      <w:r>
        <w:rPr>
          <w:rStyle w:val="16"/>
          <w:rFonts w:hint="eastAsia" w:ascii="仿宋" w:hAnsi="仿宋" w:eastAsia="仿宋"/>
          <w:b w:val="0"/>
          <w:bCs/>
          <w:sz w:val="32"/>
          <w:szCs w:val="32"/>
          <w:lang w:eastAsia="zh-CN"/>
        </w:rPr>
        <w:t>等</w:t>
      </w:r>
      <w:r>
        <w:rPr>
          <w:rStyle w:val="16"/>
          <w:rFonts w:hint="eastAsia" w:ascii="仿宋" w:hAnsi="仿宋" w:eastAsia="仿宋"/>
          <w:b w:val="0"/>
          <w:bCs/>
          <w:sz w:val="32"/>
          <w:szCs w:val="32"/>
        </w:rPr>
        <w:t>于预算数；</w:t>
      </w:r>
      <w:r>
        <w:rPr>
          <w:rStyle w:val="16"/>
          <w:rFonts w:hint="eastAsia" w:ascii="仿宋" w:hAnsi="仿宋" w:eastAsia="仿宋"/>
          <w:bCs/>
          <w:sz w:val="32"/>
          <w:szCs w:val="32"/>
        </w:rPr>
        <w:t>一般公共服务201（类）党委办公厅（室）及相关机构事务31（款）其他党委办公厅（室）及相关机构事务支出99（项）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9.92</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，决算数</w:t>
      </w:r>
      <w:r>
        <w:rPr>
          <w:rStyle w:val="16"/>
          <w:rFonts w:hint="eastAsia" w:ascii="仿宋" w:hAnsi="仿宋" w:eastAsia="仿宋"/>
          <w:b w:val="0"/>
          <w:bCs/>
          <w:sz w:val="32"/>
          <w:szCs w:val="32"/>
          <w:lang w:eastAsia="zh-CN"/>
        </w:rPr>
        <w:t>等</w:t>
      </w:r>
      <w:r>
        <w:rPr>
          <w:rStyle w:val="16"/>
          <w:rFonts w:hint="eastAsia" w:ascii="仿宋" w:hAnsi="仿宋" w:eastAsia="仿宋"/>
          <w:b w:val="0"/>
          <w:bCs/>
          <w:sz w:val="32"/>
          <w:szCs w:val="32"/>
        </w:rPr>
        <w:t>于预算数</w:t>
      </w:r>
      <w:r>
        <w:rPr>
          <w:rFonts w:hint="eastAsia" w:ascii="仿宋" w:hAnsi="仿宋" w:eastAsia="仿宋"/>
          <w:sz w:val="32"/>
          <w:szCs w:val="32"/>
        </w:rPr>
        <w:t>。</w:t>
      </w:r>
    </w:p>
    <w:p>
      <w:pPr>
        <w:spacing w:line="600" w:lineRule="exact"/>
        <w:ind w:firstLine="643" w:firstLineChars="200"/>
        <w:rPr>
          <w:rStyle w:val="16"/>
          <w:rFonts w:ascii="仿宋" w:hAnsi="仿宋" w:eastAsia="仿宋"/>
          <w:b w:val="0"/>
          <w:bCs/>
          <w:sz w:val="32"/>
          <w:szCs w:val="32"/>
        </w:rPr>
      </w:pPr>
      <w:r>
        <w:rPr>
          <w:rStyle w:val="16"/>
          <w:rFonts w:hint="eastAsia" w:ascii="仿宋" w:hAnsi="仿宋" w:eastAsia="仿宋"/>
          <w:bCs/>
          <w:sz w:val="32"/>
          <w:szCs w:val="32"/>
        </w:rPr>
        <w:t>2</w:t>
      </w:r>
      <w:r>
        <w:rPr>
          <w:rStyle w:val="16"/>
          <w:rFonts w:ascii="仿宋" w:hAnsi="仿宋" w:eastAsia="仿宋"/>
          <w:bCs/>
          <w:sz w:val="32"/>
          <w:szCs w:val="32"/>
        </w:rPr>
        <w:t>.</w:t>
      </w:r>
      <w:r>
        <w:rPr>
          <w:rStyle w:val="16"/>
          <w:rFonts w:hint="eastAsia" w:ascii="仿宋" w:hAnsi="仿宋" w:eastAsia="仿宋"/>
          <w:bCs/>
          <w:sz w:val="32"/>
          <w:szCs w:val="32"/>
        </w:rPr>
        <w:t>社会保障和就业208（类）行政事业单位离退休05（款）机关事业单位基本养老保险缴费支出05（项）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10.78</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rPr>
        <w:t>3.社会保障和就业208（类）其他社会保障和就业支出99（款）其他社会保障和就业支出</w:t>
      </w:r>
      <w:r>
        <w:rPr>
          <w:rStyle w:val="16"/>
          <w:rFonts w:hint="eastAsia" w:ascii="仿宋" w:hAnsi="仿宋" w:eastAsia="仿宋"/>
          <w:bCs/>
          <w:sz w:val="32"/>
          <w:szCs w:val="32"/>
          <w:lang w:val="en-US" w:eastAsia="zh-CN"/>
        </w:rPr>
        <w:t>99</w:t>
      </w:r>
      <w:r>
        <w:rPr>
          <w:rStyle w:val="16"/>
          <w:rFonts w:hint="eastAsia" w:ascii="仿宋" w:hAnsi="仿宋" w:eastAsia="仿宋"/>
          <w:bCs/>
          <w:sz w:val="32"/>
          <w:szCs w:val="32"/>
        </w:rPr>
        <w:t>（项）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0.33</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，决算数等于预算数的。</w:t>
      </w:r>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rPr>
        <w:t>4</w:t>
      </w:r>
      <w:r>
        <w:rPr>
          <w:rStyle w:val="16"/>
          <w:rFonts w:ascii="仿宋" w:hAnsi="仿宋" w:eastAsia="仿宋"/>
          <w:bCs/>
          <w:sz w:val="32"/>
          <w:szCs w:val="32"/>
        </w:rPr>
        <w:t>.</w:t>
      </w:r>
      <w:r>
        <w:rPr>
          <w:rStyle w:val="16"/>
          <w:rFonts w:hint="eastAsia" w:ascii="仿宋" w:hAnsi="仿宋" w:eastAsia="仿宋"/>
          <w:bCs/>
          <w:sz w:val="32"/>
          <w:szCs w:val="32"/>
        </w:rPr>
        <w:t>卫生健康支出210（类）行政事业单位医疗11（款）行政单位医疗01（项）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支出决算为2.6</w:t>
      </w:r>
      <w:r>
        <w:rPr>
          <w:rStyle w:val="16"/>
          <w:rFonts w:hint="eastAsia" w:ascii="仿宋" w:hAnsi="仿宋" w:eastAsia="仿宋"/>
          <w:b w:val="0"/>
          <w:bCs/>
          <w:sz w:val="32"/>
          <w:szCs w:val="32"/>
          <w:lang w:val="en-US" w:eastAsia="zh-CN"/>
        </w:rPr>
        <w:t>0</w:t>
      </w:r>
      <w:r>
        <w:rPr>
          <w:rStyle w:val="16"/>
          <w:rFonts w:hint="eastAsia" w:ascii="仿宋" w:hAnsi="仿宋" w:eastAsia="仿宋"/>
          <w:b w:val="0"/>
          <w:bCs/>
          <w:sz w:val="32"/>
          <w:szCs w:val="32"/>
        </w:rPr>
        <w:t>万元，完成预算1</w:t>
      </w:r>
      <w:r>
        <w:rPr>
          <w:rStyle w:val="16"/>
          <w:rFonts w:hint="eastAsia" w:ascii="仿宋" w:hAnsi="仿宋" w:eastAsia="仿宋"/>
          <w:b w:val="0"/>
          <w:bCs/>
          <w:sz w:val="32"/>
          <w:szCs w:val="32"/>
          <w:lang w:val="en-US" w:eastAsia="zh-CN"/>
        </w:rPr>
        <w:t>00</w:t>
      </w:r>
      <w:r>
        <w:rPr>
          <w:rStyle w:val="16"/>
          <w:rFonts w:ascii="仿宋" w:hAnsi="仿宋" w:eastAsia="仿宋"/>
          <w:b w:val="0"/>
          <w:bCs/>
          <w:sz w:val="32"/>
          <w:szCs w:val="32"/>
        </w:rPr>
        <w:t>%</w:t>
      </w:r>
      <w:r>
        <w:rPr>
          <w:rStyle w:val="16"/>
          <w:rFonts w:hint="eastAsia" w:ascii="仿宋" w:hAnsi="仿宋" w:eastAsia="仿宋"/>
          <w:b w:val="0"/>
          <w:bCs/>
          <w:sz w:val="32"/>
          <w:szCs w:val="32"/>
        </w:rPr>
        <w:t>，决算数</w:t>
      </w:r>
      <w:r>
        <w:rPr>
          <w:rStyle w:val="16"/>
          <w:rFonts w:hint="eastAsia" w:ascii="仿宋" w:hAnsi="仿宋" w:eastAsia="仿宋"/>
          <w:b w:val="0"/>
          <w:bCs/>
          <w:sz w:val="32"/>
          <w:szCs w:val="32"/>
          <w:lang w:eastAsia="zh-CN"/>
        </w:rPr>
        <w:t>等</w:t>
      </w:r>
      <w:r>
        <w:rPr>
          <w:rStyle w:val="16"/>
          <w:rFonts w:hint="eastAsia" w:ascii="仿宋" w:hAnsi="仿宋" w:eastAsia="仿宋"/>
          <w:b w:val="0"/>
          <w:bCs/>
          <w:sz w:val="32"/>
          <w:szCs w:val="32"/>
        </w:rPr>
        <w:t>于预算数；</w:t>
      </w:r>
      <w:r>
        <w:rPr>
          <w:rStyle w:val="16"/>
          <w:rFonts w:hint="eastAsia" w:ascii="仿宋" w:hAnsi="仿宋" w:eastAsia="仿宋"/>
          <w:bCs/>
          <w:sz w:val="32"/>
          <w:szCs w:val="32"/>
        </w:rPr>
        <w:t>卫生健康支出210（类）行政事业单位医疗11（款）事业单位医疗</w:t>
      </w:r>
      <w:r>
        <w:rPr>
          <w:rStyle w:val="16"/>
          <w:rFonts w:hint="eastAsia" w:ascii="仿宋" w:hAnsi="仿宋" w:eastAsia="仿宋"/>
          <w:bCs/>
          <w:sz w:val="32"/>
          <w:szCs w:val="32"/>
          <w:lang w:val="en-US" w:eastAsia="zh-CN"/>
        </w:rPr>
        <w:t>02</w:t>
      </w:r>
      <w:r>
        <w:rPr>
          <w:rStyle w:val="16"/>
          <w:rFonts w:hint="eastAsia" w:ascii="仿宋" w:hAnsi="仿宋" w:eastAsia="仿宋"/>
          <w:bCs/>
          <w:sz w:val="32"/>
          <w:szCs w:val="32"/>
        </w:rPr>
        <w:t>（项）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支出决算为3.06万元，完成预算1</w:t>
      </w:r>
      <w:r>
        <w:rPr>
          <w:rStyle w:val="16"/>
          <w:rFonts w:hint="eastAsia" w:ascii="仿宋" w:hAnsi="仿宋" w:eastAsia="仿宋"/>
          <w:b w:val="0"/>
          <w:bCs/>
          <w:sz w:val="32"/>
          <w:szCs w:val="32"/>
          <w:lang w:val="en-US" w:eastAsia="zh-CN"/>
        </w:rPr>
        <w:t>00</w:t>
      </w:r>
      <w:r>
        <w:rPr>
          <w:rStyle w:val="16"/>
          <w:rFonts w:ascii="仿宋" w:hAnsi="仿宋" w:eastAsia="仿宋"/>
          <w:b w:val="0"/>
          <w:bCs/>
          <w:sz w:val="32"/>
          <w:szCs w:val="32"/>
        </w:rPr>
        <w:t>%</w:t>
      </w:r>
      <w:r>
        <w:rPr>
          <w:rStyle w:val="16"/>
          <w:rFonts w:hint="eastAsia" w:ascii="仿宋" w:hAnsi="仿宋" w:eastAsia="仿宋"/>
          <w:b w:val="0"/>
          <w:bCs/>
          <w:sz w:val="32"/>
          <w:szCs w:val="32"/>
        </w:rPr>
        <w:t>，决算数</w:t>
      </w:r>
      <w:r>
        <w:rPr>
          <w:rStyle w:val="16"/>
          <w:rFonts w:hint="eastAsia" w:ascii="仿宋" w:hAnsi="仿宋" w:eastAsia="仿宋"/>
          <w:b w:val="0"/>
          <w:bCs/>
          <w:sz w:val="32"/>
          <w:szCs w:val="32"/>
          <w:lang w:eastAsia="zh-CN"/>
        </w:rPr>
        <w:t>等</w:t>
      </w:r>
      <w:r>
        <w:rPr>
          <w:rStyle w:val="16"/>
          <w:rFonts w:hint="eastAsia" w:ascii="仿宋" w:hAnsi="仿宋" w:eastAsia="仿宋"/>
          <w:b w:val="0"/>
          <w:bCs/>
          <w:sz w:val="32"/>
          <w:szCs w:val="32"/>
        </w:rPr>
        <w:t>于预算数；</w:t>
      </w:r>
      <w:r>
        <w:rPr>
          <w:rStyle w:val="16"/>
          <w:rFonts w:hint="eastAsia" w:ascii="仿宋" w:hAnsi="仿宋" w:eastAsia="仿宋"/>
          <w:bCs/>
          <w:sz w:val="32"/>
          <w:szCs w:val="32"/>
        </w:rPr>
        <w:t>卫生健康支出210（类）行政事业单位医疗11（款）公务员医疗补助03（项）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支出决算为1.45万元，完成预算100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p>
    <w:p>
      <w:pPr>
        <w:spacing w:line="600" w:lineRule="exact"/>
        <w:ind w:firstLine="643" w:firstLineChars="200"/>
        <w:rPr>
          <w:rStyle w:val="16"/>
          <w:rFonts w:ascii="仿宋" w:hAnsi="仿宋" w:eastAsia="仿宋"/>
          <w:b w:val="0"/>
          <w:bCs/>
          <w:sz w:val="32"/>
          <w:szCs w:val="32"/>
        </w:rPr>
      </w:pPr>
      <w:r>
        <w:rPr>
          <w:rFonts w:hint="eastAsia" w:ascii="仿宋_GB2312" w:hAnsi="仿宋_GB2312" w:eastAsia="仿宋_GB2312" w:cs="仿宋_GB2312"/>
          <w:b/>
          <w:bCs/>
          <w:sz w:val="32"/>
          <w:szCs w:val="32"/>
        </w:rPr>
        <w:t>5.住房保障221（类）住房改革支出02（款）住房公积金01（项）：</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13.54</w:t>
      </w:r>
      <w:r>
        <w:rPr>
          <w:rStyle w:val="16"/>
          <w:rFonts w:hint="eastAsia" w:ascii="仿宋" w:hAnsi="仿宋" w:eastAsia="仿宋"/>
          <w:b w:val="0"/>
          <w:bCs/>
          <w:sz w:val="32"/>
          <w:szCs w:val="32"/>
        </w:rPr>
        <w:t>万元，完成预算100%，决算数等于预算数。</w:t>
      </w:r>
    </w:p>
    <w:p>
      <w:pPr>
        <w:spacing w:line="600" w:lineRule="exact"/>
        <w:ind w:firstLine="640"/>
        <w:rPr>
          <w:rFonts w:ascii="仿宋" w:hAnsi="仿宋" w:eastAsia="仿宋"/>
          <w:b/>
          <w:color w:val="auto"/>
          <w:sz w:val="32"/>
          <w:szCs w:val="32"/>
          <w:highlight w:val="none"/>
        </w:rPr>
      </w:pPr>
    </w:p>
    <w:p>
      <w:pPr>
        <w:tabs>
          <w:tab w:val="right" w:pos="8306"/>
        </w:tabs>
        <w:spacing w:line="600" w:lineRule="exact"/>
        <w:ind w:firstLine="640"/>
        <w:outlineLvl w:val="1"/>
        <w:rPr>
          <w:rStyle w:val="29"/>
          <w:color w:val="auto"/>
          <w:highlight w:val="none"/>
        </w:rPr>
      </w:pPr>
      <w:bookmarkStart w:id="38" w:name="_Toc15396608"/>
      <w:bookmarkStart w:id="39"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般公共预算财政拨款基本支出决算情况说明</w:t>
      </w:r>
      <w:bookmarkEnd w:id="38"/>
      <w:bookmarkEnd w:id="39"/>
      <w:r>
        <w:rPr>
          <w:rStyle w:val="29"/>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年一般公共预算财政拨款基本支出1</w:t>
      </w:r>
      <w:r>
        <w:rPr>
          <w:rFonts w:hint="eastAsia" w:ascii="仿宋" w:hAnsi="仿宋" w:eastAsia="仿宋"/>
          <w:color w:val="auto"/>
          <w:sz w:val="32"/>
          <w:szCs w:val="32"/>
          <w:highlight w:val="none"/>
          <w:lang w:val="en-US" w:eastAsia="zh-CN"/>
        </w:rPr>
        <w:t>70.43</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155.34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left="0" w:leftChars="0"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公用经费15.09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ascii="仿宋" w:hAnsi="仿宋" w:eastAsia="仿宋"/>
          <w:b/>
          <w:color w:val="auto"/>
          <w:sz w:val="32"/>
          <w:szCs w:val="32"/>
          <w:highlight w:val="none"/>
        </w:rPr>
      </w:pPr>
    </w:p>
    <w:p>
      <w:pPr>
        <w:spacing w:line="600" w:lineRule="exact"/>
        <w:ind w:firstLine="640"/>
        <w:outlineLvl w:val="1"/>
        <w:rPr>
          <w:rStyle w:val="29"/>
          <w:rFonts w:ascii="黑体" w:hAnsi="黑体" w:eastAsia="黑体"/>
          <w:b w:val="0"/>
          <w:color w:val="auto"/>
          <w:highlight w:val="none"/>
        </w:rPr>
      </w:pPr>
      <w:bookmarkStart w:id="40" w:name="_Toc15396609"/>
      <w:bookmarkStart w:id="41" w:name="_Toc15377215"/>
      <w:r>
        <w:rPr>
          <w:rFonts w:hint="eastAsia" w:ascii="黑体" w:eastAsia="黑体"/>
          <w:color w:val="auto"/>
          <w:sz w:val="32"/>
          <w:szCs w:val="32"/>
          <w:highlight w:val="none"/>
        </w:rPr>
        <w:t>七、</w:t>
      </w:r>
      <w:r>
        <w:rPr>
          <w:rStyle w:val="29"/>
          <w:rFonts w:hint="eastAsia" w:ascii="黑体" w:hAnsi="黑体" w:eastAsia="黑体"/>
          <w:b w:val="0"/>
          <w:color w:val="auto"/>
          <w:highlight w:val="none"/>
        </w:rPr>
        <w:t>财政拨款</w:t>
      </w:r>
      <w:r>
        <w:rPr>
          <w:rStyle w:val="29"/>
          <w:rFonts w:hint="eastAsia" w:ascii="黑体" w:hAnsi="黑体" w:eastAsia="黑体"/>
          <w:color w:val="auto"/>
          <w:highlight w:val="none"/>
        </w:rPr>
        <w:t>“</w:t>
      </w:r>
      <w:r>
        <w:rPr>
          <w:rStyle w:val="29"/>
          <w:rFonts w:hint="eastAsia" w:ascii="黑体" w:hAnsi="黑体" w:eastAsia="黑体"/>
          <w:b w:val="0"/>
          <w:color w:val="auto"/>
          <w:highlight w:val="none"/>
        </w:rPr>
        <w:t>三公”经费支出决算情况说明</w:t>
      </w:r>
      <w:bookmarkEnd w:id="40"/>
      <w:bookmarkEnd w:id="41"/>
    </w:p>
    <w:p>
      <w:pPr>
        <w:spacing w:line="600" w:lineRule="exact"/>
        <w:ind w:firstLine="640"/>
        <w:outlineLvl w:val="2"/>
        <w:rPr>
          <w:rFonts w:ascii="仿宋" w:hAnsi="仿宋" w:eastAsia="仿宋"/>
          <w:b/>
          <w:color w:val="auto"/>
          <w:sz w:val="32"/>
          <w:szCs w:val="32"/>
          <w:highlight w:val="none"/>
        </w:rPr>
      </w:pPr>
      <w:bookmarkStart w:id="42" w:name="_Toc15377216"/>
      <w:r>
        <w:rPr>
          <w:rFonts w:hint="eastAsia" w:ascii="仿宋" w:hAnsi="仿宋" w:eastAsia="仿宋"/>
          <w:b/>
          <w:color w:val="auto"/>
          <w:sz w:val="32"/>
          <w:szCs w:val="32"/>
          <w:highlight w:val="none"/>
        </w:rPr>
        <w:t>（一）“三公”经费财政拨款支出决算总体情况说明</w:t>
      </w:r>
      <w:bookmarkEnd w:id="42"/>
    </w:p>
    <w:p>
      <w:pPr>
        <w:spacing w:line="600" w:lineRule="exact"/>
        <w:ind w:firstLine="640"/>
        <w:rPr>
          <w:rFonts w:ascii="仿宋" w:hAnsi="仿宋" w:eastAsia="仿宋"/>
          <w:color w:val="auto"/>
          <w:sz w:val="32"/>
          <w:szCs w:val="32"/>
          <w:highlight w:val="yellow"/>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0.97</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80.83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减少0.31万元，下降24.22%。</w:t>
      </w:r>
      <w:r>
        <w:rPr>
          <w:rFonts w:hint="eastAsia" w:ascii="仿宋" w:hAnsi="仿宋" w:eastAsia="仿宋"/>
          <w:color w:val="auto"/>
          <w:sz w:val="32"/>
          <w:szCs w:val="32"/>
          <w:highlight w:val="none"/>
        </w:rPr>
        <w:t>决算数小于预算数的主要原因是</w:t>
      </w:r>
      <w:r>
        <w:rPr>
          <w:rFonts w:hint="eastAsia" w:ascii="仿宋" w:hAnsi="仿宋" w:eastAsia="仿宋"/>
          <w:color w:val="auto"/>
          <w:sz w:val="32"/>
          <w:szCs w:val="32"/>
          <w:highlight w:val="none"/>
          <w:lang w:val="en-US" w:eastAsia="zh-CN"/>
        </w:rPr>
        <w:t>单位厉行节约，严控公务接待标准，减少开支</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43" w:name="_Toc15377217"/>
      <w:r>
        <w:rPr>
          <w:rFonts w:hint="eastAsia" w:ascii="仿宋" w:hAnsi="仿宋" w:eastAsia="仿宋"/>
          <w:b/>
          <w:color w:val="auto"/>
          <w:sz w:val="32"/>
          <w:szCs w:val="32"/>
          <w:highlight w:val="none"/>
        </w:rPr>
        <w:t>（二）“三公”经费财政拨款支出决算具体情况说明</w:t>
      </w:r>
      <w:bookmarkEnd w:id="43"/>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0.97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5"/>
        <w:rPr>
          <w:rFonts w:hint="eastAsia"/>
          <w:sz w:val="21"/>
          <w:szCs w:val="21"/>
        </w:rPr>
      </w:pPr>
    </w:p>
    <w:p>
      <w:pPr>
        <w:pStyle w:val="5"/>
        <w:jc w:val="center"/>
      </w:pPr>
      <w:r>
        <w:drawing>
          <wp:inline distT="0" distB="0" distL="114300" distR="114300">
            <wp:extent cx="4572000" cy="2743835"/>
            <wp:effectExtent l="4445" t="4445" r="10795" b="10160"/>
            <wp:docPr id="614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pStyle w:val="5"/>
        <w:rPr>
          <w:sz w:val="21"/>
          <w:szCs w:val="21"/>
        </w:rPr>
      </w:pP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 w:hAnsi="仿宋" w:eastAsia="仿宋"/>
          <w:color w:val="auto"/>
          <w:sz w:val="32"/>
          <w:szCs w:val="32"/>
          <w:highlight w:val="none"/>
          <w:lang w:val="en-US" w:eastAsia="zh-CN"/>
        </w:rPr>
        <w:t>0.00</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完成预算</w:t>
      </w:r>
      <w:r>
        <w:rPr>
          <w:rFonts w:hint="eastAsia" w:ascii="仿宋" w:hAnsi="仿宋" w:eastAsia="仿宋"/>
          <w:color w:val="auto"/>
          <w:sz w:val="32"/>
          <w:szCs w:val="32"/>
          <w:highlight w:val="none"/>
          <w:lang w:val="en-US" w:eastAsia="zh-CN"/>
        </w:rPr>
        <w:t>0.00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w:t>
      </w:r>
      <w:r>
        <w:rPr>
          <w:rFonts w:hint="eastAsia" w:ascii="仿宋_GB2312" w:eastAsia="仿宋_GB2312"/>
          <w:color w:val="auto"/>
          <w:sz w:val="32"/>
          <w:szCs w:val="32"/>
          <w:highlight w:val="none"/>
          <w:lang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相比未发生变化</w:t>
      </w:r>
      <w:r>
        <w:rPr>
          <w:rFonts w:hint="eastAsia" w:ascii="仿宋_GB2312" w:eastAsia="仿宋_GB2312"/>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 w:hAnsi="仿宋" w:eastAsia="仿宋"/>
          <w:color w:val="auto"/>
          <w:sz w:val="32"/>
          <w:szCs w:val="32"/>
          <w:highlight w:val="none"/>
          <w:lang w:val="en-US" w:eastAsia="zh-CN"/>
        </w:rPr>
        <w:t>0.00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Style w:val="16"/>
          <w:rFonts w:hint="eastAsia" w:ascii="仿宋" w:hAnsi="仿宋" w:eastAsia="仿宋"/>
          <w:b w:val="0"/>
          <w:bCs/>
          <w:color w:val="auto"/>
          <w:sz w:val="32"/>
          <w:szCs w:val="32"/>
          <w:highlight w:val="none"/>
        </w:rPr>
        <w:t>完成预算</w:t>
      </w:r>
      <w:r>
        <w:rPr>
          <w:rFonts w:hint="eastAsia" w:ascii="仿宋" w:hAnsi="仿宋" w:eastAsia="仿宋"/>
          <w:color w:val="auto"/>
          <w:sz w:val="32"/>
          <w:szCs w:val="32"/>
          <w:highlight w:val="none"/>
          <w:lang w:val="en-US" w:eastAsia="zh-CN"/>
        </w:rPr>
        <w:t>0.00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相比未发生变化</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 w:hAnsi="仿宋" w:eastAsia="仿宋"/>
          <w:color w:val="auto"/>
          <w:sz w:val="32"/>
          <w:szCs w:val="32"/>
          <w:highlight w:val="none"/>
          <w:lang w:val="en-US" w:eastAsia="zh-CN"/>
        </w:rPr>
        <w:t>0.00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0.97</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80.83</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 w:hAnsi="仿宋" w:eastAsia="仿宋"/>
          <w:color w:val="auto"/>
          <w:sz w:val="32"/>
          <w:szCs w:val="32"/>
          <w:highlight w:val="none"/>
          <w:lang w:val="en-US" w:eastAsia="zh-CN"/>
        </w:rPr>
        <w:t>减少0.31万元，下降24.22%</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2022年</w:t>
      </w:r>
      <w:r>
        <w:rPr>
          <w:rFonts w:hint="eastAsia" w:ascii="仿宋_GB2312" w:eastAsia="仿宋_GB2312"/>
          <w:color w:val="auto"/>
          <w:sz w:val="32"/>
          <w:szCs w:val="32"/>
          <w:highlight w:val="none"/>
          <w:lang w:eastAsia="zh-CN"/>
        </w:rPr>
        <w:t>接待上级单位的调研、督导等活动减少</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yellow"/>
        </w:rPr>
      </w:pPr>
      <w:r>
        <w:rPr>
          <w:rFonts w:hint="eastAsia" w:ascii="仿宋" w:hAnsi="仿宋" w:eastAsia="仿宋"/>
          <w:b/>
          <w:color w:val="auto"/>
          <w:sz w:val="32"/>
          <w:szCs w:val="32"/>
          <w:highlight w:val="none"/>
        </w:rPr>
        <w:t>国内公务接待支出</w:t>
      </w:r>
      <w:r>
        <w:rPr>
          <w:rFonts w:hint="eastAsia" w:ascii="仿宋_GB2312" w:eastAsia="仿宋_GB2312"/>
          <w:color w:val="auto"/>
          <w:sz w:val="32"/>
          <w:szCs w:val="32"/>
          <w:highlight w:val="none"/>
          <w:lang w:val="en-US" w:eastAsia="zh-CN"/>
        </w:rPr>
        <w:t>0.97</w:t>
      </w:r>
      <w:r>
        <w:rPr>
          <w:rFonts w:hint="eastAsia" w:ascii="仿宋_GB2312" w:eastAsia="仿宋_GB2312"/>
          <w:color w:val="auto"/>
          <w:sz w:val="32"/>
          <w:szCs w:val="32"/>
          <w:highlight w:val="none"/>
        </w:rPr>
        <w:t>万元，主要用于执行公务、开展业务活动开支的交通费、住宿费、用餐费等。国内公务接待</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120</w:t>
      </w:r>
      <w:r>
        <w:rPr>
          <w:rFonts w:hint="eastAsia" w:ascii="仿宋_GB2312" w:eastAsia="仿宋_GB2312"/>
          <w:color w:val="auto"/>
          <w:sz w:val="32"/>
          <w:szCs w:val="32"/>
          <w:highlight w:val="none"/>
        </w:rPr>
        <w:t>人次，共计支出</w:t>
      </w:r>
      <w:r>
        <w:rPr>
          <w:rFonts w:hint="eastAsia" w:ascii="仿宋_GB2312" w:eastAsia="仿宋_GB2312"/>
          <w:color w:val="auto"/>
          <w:sz w:val="32"/>
          <w:szCs w:val="32"/>
          <w:highlight w:val="none"/>
          <w:lang w:val="en-US" w:eastAsia="zh-CN"/>
        </w:rPr>
        <w:t>0.97</w:t>
      </w:r>
      <w:r>
        <w:rPr>
          <w:rFonts w:hint="eastAsia" w:ascii="仿宋_GB2312" w:eastAsia="仿宋_GB2312"/>
          <w:color w:val="auto"/>
          <w:sz w:val="32"/>
          <w:szCs w:val="32"/>
          <w:highlight w:val="none"/>
        </w:rPr>
        <w:t>万元，具体内容包括：接待市委编办</w:t>
      </w:r>
      <w:r>
        <w:rPr>
          <w:rFonts w:hint="eastAsia" w:ascii="仿宋_GB2312" w:eastAsia="仿宋_GB2312"/>
          <w:color w:val="auto"/>
          <w:sz w:val="32"/>
          <w:szCs w:val="32"/>
          <w:highlight w:val="none"/>
          <w:lang w:eastAsia="zh-CN"/>
        </w:rPr>
        <w:t>工作</w:t>
      </w:r>
      <w:r>
        <w:rPr>
          <w:rFonts w:hint="eastAsia" w:ascii="仿宋_GB2312" w:eastAsia="仿宋_GB2312"/>
          <w:color w:val="auto"/>
          <w:sz w:val="32"/>
          <w:szCs w:val="32"/>
          <w:highlight w:val="none"/>
        </w:rPr>
        <w:t>督导</w:t>
      </w:r>
      <w:r>
        <w:rPr>
          <w:rFonts w:hint="eastAsia" w:ascii="仿宋_GB2312" w:eastAsia="仿宋_GB2312"/>
          <w:color w:val="auto"/>
          <w:sz w:val="32"/>
          <w:szCs w:val="32"/>
          <w:highlight w:val="none"/>
          <w:lang w:eastAsia="zh-CN"/>
        </w:rPr>
        <w:t>及</w:t>
      </w:r>
      <w:r>
        <w:rPr>
          <w:rFonts w:hint="eastAsia" w:ascii="仿宋_GB2312" w:eastAsia="仿宋_GB2312"/>
          <w:color w:val="auto"/>
          <w:sz w:val="32"/>
          <w:szCs w:val="32"/>
          <w:highlight w:val="none"/>
        </w:rPr>
        <w:t>调研</w:t>
      </w:r>
      <w:r>
        <w:rPr>
          <w:rFonts w:hint="eastAsia" w:ascii="仿宋_GB2312" w:eastAsia="仿宋_GB2312"/>
          <w:color w:val="auto"/>
          <w:sz w:val="32"/>
          <w:szCs w:val="32"/>
          <w:highlight w:val="none"/>
          <w:lang w:eastAsia="zh-CN"/>
        </w:rPr>
        <w:t>、接待周边相关单位考察学习等</w:t>
      </w:r>
      <w:r>
        <w:rPr>
          <w:rFonts w:hint="eastAsia" w:ascii="仿宋_GB2312" w:eastAsia="仿宋_GB2312"/>
          <w:color w:val="auto"/>
          <w:sz w:val="32"/>
          <w:szCs w:val="32"/>
          <w:highlight w:val="none"/>
        </w:rPr>
        <w:t>。</w:t>
      </w:r>
    </w:p>
    <w:p>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b/>
          <w:color w:val="auto"/>
          <w:sz w:val="32"/>
          <w:szCs w:val="32"/>
          <w:highlight w:val="none"/>
          <w:lang w:val="en-US" w:eastAsia="zh-CN"/>
        </w:rPr>
        <w:t>0.00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p>
    <w:p>
      <w:pPr>
        <w:spacing w:line="600" w:lineRule="exact"/>
        <w:ind w:firstLine="640"/>
        <w:outlineLvl w:val="1"/>
        <w:rPr>
          <w:rFonts w:ascii="黑体" w:eastAsia="黑体"/>
          <w:color w:val="auto"/>
          <w:sz w:val="32"/>
          <w:szCs w:val="32"/>
          <w:highlight w:val="none"/>
        </w:rPr>
      </w:pPr>
      <w:bookmarkStart w:id="44" w:name="_Toc15377218"/>
      <w:bookmarkStart w:id="45" w:name="_Toc15396610"/>
    </w:p>
    <w:p>
      <w:pPr>
        <w:spacing w:line="600" w:lineRule="exact"/>
        <w:ind w:firstLine="640"/>
        <w:outlineLvl w:val="1"/>
        <w:rPr>
          <w:rStyle w:val="29"/>
          <w:rFonts w:ascii="黑体" w:hAnsi="黑体" w:eastAsia="黑体"/>
          <w:color w:val="auto"/>
          <w:highlight w:val="none"/>
        </w:rPr>
      </w:pPr>
      <w:r>
        <w:rPr>
          <w:rFonts w:hint="eastAsia" w:ascii="黑体" w:eastAsia="黑体"/>
          <w:color w:val="auto"/>
          <w:sz w:val="32"/>
          <w:szCs w:val="32"/>
          <w:highlight w:val="none"/>
        </w:rPr>
        <w:t>八、</w:t>
      </w:r>
      <w:r>
        <w:rPr>
          <w:rStyle w:val="29"/>
          <w:rFonts w:hint="eastAsia" w:ascii="黑体" w:hAnsi="黑体" w:eastAsia="黑体"/>
          <w:b w:val="0"/>
          <w:color w:val="auto"/>
          <w:highlight w:val="none"/>
        </w:rPr>
        <w:t>政府性基金预算支出决算情况说明</w:t>
      </w:r>
      <w:bookmarkEnd w:id="44"/>
      <w:bookmarkEnd w:id="45"/>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p>
    <w:p>
      <w:pPr>
        <w:numPr>
          <w:ilvl w:val="0"/>
          <w:numId w:val="3"/>
        </w:numPr>
        <w:spacing w:line="600" w:lineRule="exact"/>
        <w:ind w:firstLine="640"/>
        <w:outlineLvl w:val="1"/>
        <w:rPr>
          <w:rStyle w:val="29"/>
          <w:rFonts w:ascii="黑体" w:hAnsi="黑体" w:eastAsia="黑体"/>
          <w:b w:val="0"/>
          <w:color w:val="auto"/>
          <w:highlight w:val="none"/>
        </w:rPr>
      </w:pPr>
      <w:bookmarkStart w:id="46" w:name="_Toc15377219"/>
      <w:bookmarkStart w:id="47" w:name="_Toc15396611"/>
      <w:r>
        <w:rPr>
          <w:rStyle w:val="29"/>
          <w:rFonts w:hint="eastAsia" w:ascii="黑体" w:hAnsi="黑体" w:eastAsia="黑体"/>
          <w:b w:val="0"/>
          <w:color w:val="auto"/>
          <w:highlight w:val="none"/>
        </w:rPr>
        <w:t>国有资本经营预算支出决算情况说明</w:t>
      </w:r>
      <w:bookmarkEnd w:id="46"/>
      <w:bookmarkEnd w:id="47"/>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3"/>
        </w:numPr>
        <w:spacing w:line="600" w:lineRule="exact"/>
        <w:ind w:firstLine="640"/>
        <w:outlineLvl w:val="1"/>
        <w:rPr>
          <w:rStyle w:val="29"/>
          <w:rFonts w:hint="eastAsia" w:ascii="黑体" w:hAnsi="黑体" w:eastAsia="黑体"/>
          <w:b w:val="0"/>
          <w:color w:val="auto"/>
          <w:highlight w:val="none"/>
        </w:rPr>
      </w:pPr>
      <w:bookmarkStart w:id="48" w:name="_Toc15396612"/>
      <w:bookmarkStart w:id="49" w:name="_Toc15377221"/>
      <w:r>
        <w:rPr>
          <w:rFonts w:hint="eastAsia" w:ascii="黑体" w:hAnsi="黑体" w:eastAsia="黑体" w:cs="黑体"/>
          <w:sz w:val="32"/>
          <w:szCs w:val="32"/>
        </w:rPr>
        <w:t>其他重要事项的情况说明</w:t>
      </w:r>
      <w:bookmarkEnd w:id="48"/>
      <w:bookmarkEnd w:id="49"/>
    </w:p>
    <w:p>
      <w:pPr>
        <w:spacing w:line="600" w:lineRule="exact"/>
        <w:ind w:firstLine="643" w:firstLineChars="200"/>
        <w:outlineLvl w:val="2"/>
        <w:rPr>
          <w:rFonts w:ascii="仿宋" w:hAnsi="仿宋" w:eastAsia="仿宋"/>
          <w:color w:val="auto"/>
          <w:sz w:val="32"/>
          <w:szCs w:val="32"/>
          <w:highlight w:val="none"/>
        </w:rPr>
      </w:pPr>
      <w:bookmarkStart w:id="50" w:name="_Toc15377222"/>
      <w:r>
        <w:rPr>
          <w:rFonts w:hint="eastAsia" w:ascii="仿宋" w:hAnsi="仿宋" w:eastAsia="仿宋"/>
          <w:b/>
          <w:color w:val="auto"/>
          <w:sz w:val="32"/>
          <w:szCs w:val="32"/>
          <w:highlight w:val="none"/>
        </w:rPr>
        <w:t>（一）机关运行经费支出情况</w:t>
      </w:r>
      <w:bookmarkEnd w:id="50"/>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年，安居区</w:t>
      </w:r>
      <w:r>
        <w:rPr>
          <w:rFonts w:hint="eastAsia" w:ascii="仿宋_GB2312" w:eastAsia="仿宋_GB2312"/>
          <w:color w:val="auto"/>
          <w:sz w:val="32"/>
          <w:szCs w:val="32"/>
          <w:highlight w:val="none"/>
          <w:lang w:eastAsia="zh-CN"/>
        </w:rPr>
        <w:t>委</w:t>
      </w:r>
      <w:r>
        <w:rPr>
          <w:rFonts w:hint="eastAsia" w:ascii="仿宋_GB2312" w:eastAsia="仿宋_GB2312"/>
          <w:color w:val="auto"/>
          <w:sz w:val="32"/>
          <w:szCs w:val="32"/>
          <w:highlight w:val="none"/>
        </w:rPr>
        <w:t>机构编制委员会办公室机关运行经费支出</w:t>
      </w:r>
      <w:r>
        <w:rPr>
          <w:rFonts w:hint="eastAsia" w:ascii="仿宋_GB2312" w:eastAsia="仿宋_GB2312"/>
          <w:color w:val="auto"/>
          <w:sz w:val="32"/>
          <w:szCs w:val="32"/>
          <w:highlight w:val="none"/>
          <w:lang w:val="en-US" w:eastAsia="zh-CN"/>
        </w:rPr>
        <w:t>15.09</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4.98</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24.81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单位厉行节约，严控开支。</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1" w:name="_Toc15377223"/>
      <w:r>
        <w:rPr>
          <w:rFonts w:hint="eastAsia" w:ascii="仿宋" w:hAnsi="仿宋" w:eastAsia="仿宋"/>
          <w:b/>
          <w:color w:val="auto"/>
          <w:sz w:val="32"/>
          <w:szCs w:val="32"/>
          <w:highlight w:val="none"/>
        </w:rPr>
        <w:t>（二）政府采购支出情况</w:t>
      </w:r>
      <w:bookmarkEnd w:id="51"/>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年，安居区</w:t>
      </w:r>
      <w:r>
        <w:rPr>
          <w:rFonts w:hint="eastAsia" w:ascii="仿宋_GB2312" w:eastAsia="仿宋_GB2312"/>
          <w:color w:val="auto"/>
          <w:sz w:val="32"/>
          <w:szCs w:val="32"/>
          <w:highlight w:val="none"/>
          <w:lang w:eastAsia="zh-CN"/>
        </w:rPr>
        <w:t>委</w:t>
      </w:r>
      <w:r>
        <w:rPr>
          <w:rFonts w:hint="eastAsia" w:ascii="仿宋_GB2312" w:eastAsia="仿宋_GB2312"/>
          <w:color w:val="auto"/>
          <w:sz w:val="32"/>
          <w:szCs w:val="32"/>
          <w:highlight w:val="none"/>
        </w:rPr>
        <w:t>机构编制委员会办公室政府采购支出总额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2" w:name="_Toc15377224"/>
      <w:r>
        <w:rPr>
          <w:rFonts w:hint="eastAsia" w:ascii="仿宋" w:hAnsi="仿宋" w:eastAsia="仿宋"/>
          <w:b/>
          <w:color w:val="auto"/>
          <w:sz w:val="32"/>
          <w:szCs w:val="32"/>
          <w:highlight w:val="none"/>
        </w:rPr>
        <w:t>（三）国有资产占有使用情况</w:t>
      </w:r>
      <w:bookmarkEnd w:id="52"/>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日，安居区</w:t>
      </w:r>
      <w:r>
        <w:rPr>
          <w:rFonts w:hint="eastAsia" w:ascii="仿宋_GB2312" w:eastAsia="仿宋_GB2312"/>
          <w:color w:val="auto"/>
          <w:sz w:val="32"/>
          <w:szCs w:val="32"/>
          <w:highlight w:val="none"/>
          <w:lang w:eastAsia="zh-CN"/>
        </w:rPr>
        <w:t>委</w:t>
      </w:r>
      <w:r>
        <w:rPr>
          <w:rFonts w:hint="eastAsia" w:ascii="仿宋_GB2312" w:eastAsia="仿宋_GB2312"/>
          <w:color w:val="auto"/>
          <w:sz w:val="32"/>
          <w:szCs w:val="32"/>
          <w:highlight w:val="none"/>
        </w:rPr>
        <w:t>机构编制委员会办公室共有车辆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年度预算编制阶段，组织对深化机构改革“后半篇”文章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“码上监督”运行维护、机构编制监督检查、权责清单动态调整、议事协调机构精简清理</w:t>
      </w:r>
      <w:r>
        <w:rPr>
          <w:rFonts w:hint="eastAsia" w:ascii="仿宋_GB2312" w:hAnsi="仿宋_GB2312" w:eastAsia="仿宋_GB2312" w:cs="仿宋_GB2312"/>
          <w:color w:val="auto"/>
          <w:sz w:val="32"/>
          <w:szCs w:val="32"/>
          <w:highlight w:val="none"/>
          <w:lang w:eastAsia="zh-CN"/>
        </w:rPr>
        <w:t>，基层党组织活动经费及老干部支部活动经费，信息化建设及运行维护经费、培训</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个项目开展绩效监控。</w:t>
      </w:r>
    </w:p>
    <w:p>
      <w:pPr>
        <w:widowControl/>
        <w:ind w:firstLine="640" w:firstLineChars="200"/>
        <w:jc w:val="left"/>
        <w:rPr>
          <w:rFonts w:ascii="仿宋_GB2312" w:eastAsia="仿宋_GB2312"/>
          <w:b/>
          <w:color w:val="auto"/>
          <w:sz w:val="32"/>
          <w:szCs w:val="32"/>
          <w:highlight w:val="none"/>
        </w:rPr>
      </w:pPr>
      <w:r>
        <w:rPr>
          <w:rFonts w:hint="eastAsia" w:ascii="仿宋_GB2312" w:hAnsi="仿宋_GB2312" w:eastAsia="仿宋_GB2312" w:cs="仿宋_GB2312"/>
          <w:color w:val="auto"/>
          <w:sz w:val="32"/>
          <w:szCs w:val="32"/>
          <w:highlight w:val="none"/>
        </w:rPr>
        <w:t>组织对2022年度一般公共预算、政府性基金预算、国有资本经营预算、社会保险基金预算以及资本资产、债券资金等全面开展绩效自评，形成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auto"/>
          <w:sz w:val="32"/>
          <w:szCs w:val="32"/>
          <w:highlight w:val="none"/>
          <w:lang w:eastAsia="zh-CN"/>
        </w:rPr>
        <w:t>中共遂宁市安居区委机构编制委员会办公室</w:t>
      </w:r>
      <w:r>
        <w:rPr>
          <w:rFonts w:hint="eastAsia" w:ascii="仿宋_GB2312" w:hAnsi="仿宋_GB2312" w:eastAsia="仿宋_GB2312" w:cs="仿宋_GB2312"/>
          <w:color w:val="auto"/>
          <w:sz w:val="32"/>
          <w:szCs w:val="32"/>
          <w:highlight w:val="none"/>
        </w:rPr>
        <w:t>整体（含部门预算项目）绩效自评报告，自评得分为</w:t>
      </w:r>
      <w:r>
        <w:rPr>
          <w:rFonts w:hint="eastAsia" w:ascii="仿宋_GB2312" w:hAnsi="仿宋_GB2312" w:eastAsia="仿宋_GB2312" w:cs="仿宋_GB2312"/>
          <w:color w:val="auto"/>
          <w:sz w:val="32"/>
          <w:szCs w:val="32"/>
          <w:highlight w:val="none"/>
          <w:lang w:val="en-US" w:eastAsia="zh-CN"/>
        </w:rPr>
        <w:t>97</w:t>
      </w:r>
      <w:r>
        <w:rPr>
          <w:rFonts w:hint="eastAsia" w:ascii="仿宋_GB2312" w:hAnsi="仿宋_GB2312" w:eastAsia="仿宋_GB2312" w:cs="仿宋_GB2312"/>
          <w:color w:val="auto"/>
          <w:sz w:val="32"/>
          <w:szCs w:val="32"/>
          <w:highlight w:val="none"/>
        </w:rPr>
        <w:t>分。绩效自评报告详见附件。</w:t>
      </w: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Style w:val="28"/>
          <w:rFonts w:ascii="黑体" w:hAnsi="黑体" w:eastAsia="黑体"/>
          <w:b w:val="0"/>
          <w:color w:val="auto"/>
          <w:highlight w:val="none"/>
        </w:rPr>
      </w:pPr>
      <w:bookmarkStart w:id="53" w:name="_Toc15377225"/>
      <w:bookmarkStart w:id="54" w:name="_Toc15396613"/>
      <w:r>
        <w:rPr>
          <w:rFonts w:hint="eastAsia" w:ascii="黑体" w:hAnsi="黑体" w:eastAsia="黑体"/>
          <w:color w:val="auto"/>
          <w:sz w:val="44"/>
          <w:szCs w:val="44"/>
          <w:highlight w:val="none"/>
        </w:rPr>
        <w:t>名</w:t>
      </w:r>
      <w:r>
        <w:rPr>
          <w:rStyle w:val="28"/>
          <w:rFonts w:hint="eastAsia" w:ascii="黑体" w:hAnsi="黑体" w:eastAsia="黑体"/>
          <w:b w:val="0"/>
          <w:color w:val="auto"/>
          <w:highlight w:val="none"/>
        </w:rPr>
        <w:t>词解释</w:t>
      </w:r>
      <w:bookmarkEnd w:id="53"/>
      <w:bookmarkEnd w:id="54"/>
    </w:p>
    <w:p>
      <w:pPr>
        <w:spacing w:line="600" w:lineRule="exact"/>
        <w:jc w:val="left"/>
        <w:rPr>
          <w:rFonts w:ascii="宋体"/>
          <w:b/>
          <w:color w:val="auto"/>
          <w:sz w:val="44"/>
          <w:szCs w:val="44"/>
          <w:highlight w:val="none"/>
        </w:rPr>
      </w:pPr>
    </w:p>
    <w:p>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6"/>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6"/>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6"/>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6"/>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年末结转和结余：指单位按有关规定结转到下年或以后年度继续使用的资金。</w:t>
      </w:r>
    </w:p>
    <w:p>
      <w:pPr>
        <w:pStyle w:val="26"/>
        <w:spacing w:line="560" w:lineRule="exact"/>
        <w:ind w:firstLine="640" w:firstLineChars="200"/>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6.一般公共服务201（类）党委办公厅（室）及相关机构事务31（款）行政运行01（项）：指行政单位（包括实行公务员管理的事业单位）的基本支出。</w:t>
      </w:r>
    </w:p>
    <w:p>
      <w:pPr>
        <w:pStyle w:val="26"/>
        <w:spacing w:line="560" w:lineRule="exact"/>
        <w:ind w:firstLine="640" w:firstLineChars="200"/>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7.一般公共服务201（类）党委办公厅（室）及相关机构事务31（款）一般行政管理事务02（项）：指行政单位（包括实行公务员管理的事业单位）未单独设置顶级科目的其他项目支出。</w:t>
      </w:r>
    </w:p>
    <w:p>
      <w:pPr>
        <w:pStyle w:val="26"/>
        <w:spacing w:line="560" w:lineRule="exact"/>
        <w:ind w:firstLine="640" w:firstLineChars="200"/>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8.一般公共服务201（类）党委办公厅（室）及相关机构事务31（款）事业运行50（项）：指事业单位的基本支出。</w:t>
      </w:r>
    </w:p>
    <w:p>
      <w:pPr>
        <w:pStyle w:val="26"/>
        <w:spacing w:line="560" w:lineRule="exact"/>
        <w:ind w:firstLine="640" w:firstLineChars="200"/>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9.一般公共服务201（类）党委办公厅（室）及相关机构事务31（款）其他党委办公厅（室）及相关机构事务支出99（项）：指上述项目以外其他用于行政事业单位方面的支出。</w:t>
      </w:r>
    </w:p>
    <w:p>
      <w:pPr>
        <w:pStyle w:val="26"/>
        <w:spacing w:line="560" w:lineRule="exact"/>
        <w:ind w:firstLine="640" w:firstLineChars="200"/>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10.社会保障和就业208（类）行政事业单位离退休05（款）机关事业单位基本养老保险缴费支出05（项）：指机关事业单位实施养老保险制度由单位缴纳的基本养老保险费支出。</w:t>
      </w:r>
    </w:p>
    <w:p>
      <w:pPr>
        <w:pStyle w:val="26"/>
        <w:spacing w:line="560" w:lineRule="exact"/>
        <w:ind w:firstLine="640" w:firstLineChars="200"/>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11.保障和就业208（类）其他社会保障和就业支出99（款）其他社会保障和就业支出99（项）：指上述项目以外其他用于社会保障和就业方面的支出。</w:t>
      </w:r>
    </w:p>
    <w:p>
      <w:pPr>
        <w:pStyle w:val="26"/>
        <w:spacing w:line="560" w:lineRule="exact"/>
        <w:ind w:firstLine="640" w:firstLineChars="200"/>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12.卫生健康支出210（类）行政单位医疗11（款）行政单位医疗01（项）：指财政部门安排的行政单位（包括实行公务员管理的事业单位）基本医疗保险缴费经费，未参加医疗保险的事业单位的公费医疗经费，按国家规定享受离休人员、红军老战士待遇人员的医疗经费。</w:t>
      </w:r>
    </w:p>
    <w:p>
      <w:pPr>
        <w:pStyle w:val="26"/>
        <w:spacing w:line="560" w:lineRule="exact"/>
        <w:ind w:firstLine="640" w:firstLineChars="200"/>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13.卫生健康支出210（类）行政单位医疗11（款）事业单位医疗02（项）：指财政部门安排的事业单位基本医疗保险缴费经费，未参加医疗保险的事业单位的公费医疗经费，按国家规定享受离休人员待遇的医疗经费</w:t>
      </w:r>
    </w:p>
    <w:p>
      <w:pPr>
        <w:pStyle w:val="26"/>
        <w:spacing w:line="560" w:lineRule="exact"/>
        <w:ind w:firstLine="640" w:firstLineChars="200"/>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14.卫生健康支出210（类）行政事业单位医疗11（款）公务员医疗补助03（项）：指财政部门安排的公务员医疗补助经费。</w:t>
      </w:r>
    </w:p>
    <w:p>
      <w:pPr>
        <w:pStyle w:val="26"/>
        <w:spacing w:line="560" w:lineRule="exact"/>
        <w:ind w:firstLine="640" w:firstLineChars="200"/>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15.住房保障221（类）住房改革支出02（款）住房公积金01（项）：指行政事业单位按人力资源和社会保障部、财政部规定的基本工资和津贴补贴以及规定比例为职工缴纳的住房公积金。</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17</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6"/>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19</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6"/>
        <w:spacing w:line="560" w:lineRule="exact"/>
        <w:ind w:firstLine="640" w:firstLineChars="200"/>
        <w:rPr>
          <w:rFonts w:ascii="仿宋_GB2312" w:eastAsia="仿宋_GB2312" w:cs="黑体"/>
          <w:color w:val="auto"/>
          <w:sz w:val="32"/>
          <w:szCs w:val="32"/>
          <w:highlight w:val="none"/>
        </w:rPr>
      </w:pPr>
    </w:p>
    <w:p>
      <w:pPr>
        <w:keepNext w:val="0"/>
        <w:keepLines w:val="0"/>
        <w:pageBreakBefore w:val="0"/>
        <w:kinsoku/>
        <w:wordWrap/>
        <w:overflowPunct/>
        <w:topLinePunct w:val="0"/>
        <w:bidi w:val="0"/>
        <w:spacing w:line="576" w:lineRule="exact"/>
        <w:ind w:left="0"/>
        <w:jc w:val="center"/>
        <w:textAlignment w:val="auto"/>
        <w:outlineLvl w:val="0"/>
        <w:rPr>
          <w:rStyle w:val="28"/>
          <w:rFonts w:hint="eastAsia" w:ascii="黑体" w:hAnsi="黑体" w:eastAsia="黑体"/>
          <w:b w:val="0"/>
          <w:color w:val="auto"/>
          <w:highlight w:val="none"/>
          <w:lang w:eastAsia="zh-CN"/>
        </w:rPr>
      </w:pPr>
      <w:bookmarkStart w:id="55" w:name="_Toc15377226"/>
      <w:r>
        <w:rPr>
          <w:rFonts w:ascii="宋体"/>
          <w:b/>
          <w:color w:val="auto"/>
          <w:sz w:val="44"/>
          <w:szCs w:val="44"/>
          <w:highlight w:val="none"/>
        </w:rPr>
        <w:br w:type="page"/>
      </w:r>
      <w:bookmarkStart w:id="56" w:name="_Toc15396614"/>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四部分 附件</w:t>
      </w:r>
      <w:bookmarkEnd w:id="56"/>
    </w:p>
    <w:p>
      <w:pPr>
        <w:keepNext w:val="0"/>
        <w:keepLines w:val="0"/>
        <w:pageBreakBefore w:val="0"/>
        <w:kinsoku/>
        <w:wordWrap/>
        <w:overflowPunct/>
        <w:topLinePunct w:val="0"/>
        <w:autoSpaceDE/>
        <w:autoSpaceDN/>
        <w:bidi w:val="0"/>
        <w:spacing w:line="576" w:lineRule="exact"/>
        <w:ind w:left="0"/>
        <w:jc w:val="left"/>
        <w:textAlignment w:val="auto"/>
        <w:outlineLvl w:val="0"/>
        <w:rPr>
          <w:rFonts w:hint="eastAsia" w:ascii="方正小标宋简体" w:hAnsi="方正小标宋简体" w:eastAsia="黑体" w:cs="方正小标宋简体"/>
          <w:color w:val="auto"/>
          <w:sz w:val="44"/>
          <w:szCs w:val="44"/>
          <w:highlight w:val="none"/>
          <w:lang w:val="en-US" w:eastAsia="zh-CN"/>
        </w:rPr>
      </w:pPr>
      <w:r>
        <w:rPr>
          <w:rFonts w:hint="eastAsia" w:ascii="黑体" w:hAnsi="黑体" w:eastAsia="黑体" w:cs="黑体"/>
          <w:color w:val="auto"/>
          <w:sz w:val="32"/>
          <w:szCs w:val="32"/>
          <w:highlight w:val="none"/>
        </w:rPr>
        <w:t>附件</w:t>
      </w:r>
    </w:p>
    <w:p>
      <w:pPr>
        <w:keepNext w:val="0"/>
        <w:keepLines w:val="0"/>
        <w:pageBreakBefore w:val="0"/>
        <w:widowControl/>
        <w:kinsoku/>
        <w:wordWrap/>
        <w:overflowPunct/>
        <w:topLinePunct w:val="0"/>
        <w:autoSpaceDE/>
        <w:autoSpaceDN/>
        <w:bidi w:val="0"/>
        <w:spacing w:line="576" w:lineRule="exact"/>
        <w:ind w:left="0"/>
        <w:contextualSpacing/>
        <w:jc w:val="center"/>
        <w:textAlignment w:val="auto"/>
        <w:rPr>
          <w:rFonts w:hint="eastAsia" w:ascii="方正小标宋简体" w:hAnsi="宋体" w:eastAsia="方正小标宋简体"/>
          <w:color w:val="auto"/>
          <w:kern w:val="0"/>
          <w:sz w:val="40"/>
          <w:szCs w:val="44"/>
          <w:highlight w:val="none"/>
          <w:lang w:val="en-US" w:eastAsia="zh-CN"/>
        </w:rPr>
      </w:pPr>
      <w:r>
        <w:rPr>
          <w:rFonts w:hint="eastAsia" w:ascii="方正小标宋简体" w:hAnsi="宋体" w:eastAsia="方正小标宋简体"/>
          <w:color w:val="auto"/>
          <w:kern w:val="0"/>
          <w:sz w:val="40"/>
          <w:szCs w:val="44"/>
          <w:highlight w:val="none"/>
          <w:lang w:val="en-US" w:eastAsia="zh-CN"/>
        </w:rPr>
        <w:t>中共遂宁市安居区委机构编制委员会办公室</w:t>
      </w:r>
    </w:p>
    <w:p>
      <w:pPr>
        <w:keepNext w:val="0"/>
        <w:keepLines w:val="0"/>
        <w:pageBreakBefore w:val="0"/>
        <w:widowControl/>
        <w:kinsoku/>
        <w:wordWrap/>
        <w:overflowPunct/>
        <w:topLinePunct w:val="0"/>
        <w:autoSpaceDE/>
        <w:autoSpaceDN/>
        <w:bidi w:val="0"/>
        <w:spacing w:line="576" w:lineRule="exact"/>
        <w:ind w:left="0"/>
        <w:contextualSpacing/>
        <w:jc w:val="center"/>
        <w:textAlignment w:val="auto"/>
        <w:rPr>
          <w:rFonts w:hint="eastAsia" w:ascii="方正小标宋简体" w:hAnsi="宋体" w:eastAsia="方正小标宋简体"/>
          <w:color w:val="auto"/>
          <w:kern w:val="0"/>
          <w:sz w:val="40"/>
          <w:szCs w:val="44"/>
          <w:highlight w:val="none"/>
          <w:lang w:val="en-US" w:eastAsia="zh-CN"/>
        </w:rPr>
      </w:pPr>
      <w:r>
        <w:rPr>
          <w:rFonts w:hint="eastAsia" w:ascii="方正小标宋简体" w:hAnsi="宋体" w:eastAsia="方正小标宋简体"/>
          <w:color w:val="auto"/>
          <w:kern w:val="0"/>
          <w:sz w:val="40"/>
          <w:szCs w:val="44"/>
          <w:highlight w:val="none"/>
          <w:lang w:val="en-US" w:eastAsia="zh-CN"/>
        </w:rPr>
        <w:t>2022年部门整体支出绩效评价报告</w:t>
      </w:r>
    </w:p>
    <w:p>
      <w:pPr>
        <w:keepNext w:val="0"/>
        <w:keepLines w:val="0"/>
        <w:pageBreakBefore w:val="0"/>
        <w:widowControl/>
        <w:kinsoku/>
        <w:wordWrap/>
        <w:overflowPunct/>
        <w:topLinePunct w:val="0"/>
        <w:autoSpaceDE/>
        <w:autoSpaceDN/>
        <w:bidi w:val="0"/>
        <w:spacing w:line="576" w:lineRule="exact"/>
        <w:ind w:left="0"/>
        <w:contextualSpacing/>
        <w:jc w:val="center"/>
        <w:textAlignment w:val="auto"/>
        <w:rPr>
          <w:rFonts w:ascii="仿宋_GB2312" w:hAnsi="宋体" w:eastAsia="仿宋_GB2312"/>
          <w:color w:val="auto"/>
          <w:sz w:val="32"/>
          <w:szCs w:val="32"/>
          <w:highlight w:val="none"/>
          <w:shd w:val="clear" w:color="auto" w:fill="FFFFFF"/>
        </w:rPr>
      </w:pPr>
      <w:r>
        <w:rPr>
          <w:rFonts w:hint="eastAsia" w:ascii="楷体_GB2312" w:hAnsi="楷体_GB2312" w:eastAsia="楷体_GB2312" w:cs="楷体_GB2312"/>
          <w:sz w:val="32"/>
          <w:szCs w:val="24"/>
        </w:rPr>
        <w:t>（报告范围包括机关和下属单位）</w:t>
      </w:r>
    </w:p>
    <w:p>
      <w:pPr>
        <w:keepNext w:val="0"/>
        <w:keepLines w:val="0"/>
        <w:pageBreakBefore w:val="0"/>
        <w:widowControl/>
        <w:kinsoku/>
        <w:wordWrap/>
        <w:overflowPunct/>
        <w:topLinePunct w:val="0"/>
        <w:autoSpaceDE/>
        <w:autoSpaceDN/>
        <w:bidi w:val="0"/>
        <w:adjustRightInd w:val="0"/>
        <w:snapToGrid w:val="0"/>
        <w:spacing w:line="576" w:lineRule="exact"/>
        <w:ind w:left="0" w:firstLine="640" w:firstLineChars="200"/>
        <w:contextualSpacing/>
        <w:jc w:val="left"/>
        <w:textAlignment w:val="auto"/>
        <w:rPr>
          <w:rFonts w:ascii="黑体" w:hAnsi="宋体" w:eastAsia="黑体" w:cs="宋体"/>
          <w:color w:val="auto"/>
          <w:kern w:val="0"/>
          <w:sz w:val="32"/>
          <w:szCs w:val="32"/>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一、部门（单位）概况</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（一）机构组成。</w:t>
      </w:r>
    </w:p>
    <w:p>
      <w:pPr>
        <w:keepNext w:val="0"/>
        <w:keepLines w:val="0"/>
        <w:pageBreakBefore w:val="0"/>
        <w:widowControl w:val="0"/>
        <w:suppressLineNumbers w:val="0"/>
        <w:kinsoku/>
        <w:wordWrap/>
        <w:overflowPunct/>
        <w:topLinePunct w:val="0"/>
        <w:bidi w:val="0"/>
        <w:spacing w:before="0" w:beforeAutospacing="0" w:after="0" w:afterAutospacing="0" w:line="576"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区委编办下属二级预算单位</w:t>
      </w: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个，为事业单位，是区机构编制电子政务（信息）中心。</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（二）机构职能。</w:t>
      </w:r>
    </w:p>
    <w:p>
      <w:pPr>
        <w:keepNext w:val="0"/>
        <w:keepLines w:val="0"/>
        <w:pageBreakBefore w:val="0"/>
        <w:widowControl w:val="0"/>
        <w:suppressLineNumbers w:val="0"/>
        <w:kinsoku/>
        <w:wordWrap/>
        <w:overflowPunct/>
        <w:topLinePunct w:val="0"/>
        <w:bidi w:val="0"/>
        <w:spacing w:before="0" w:beforeAutospacing="0" w:after="0" w:afterAutospacing="0" w:line="576"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贯彻执行党中央、国务院和省市有关行政管理体制和机构改革、事业单位改革及机构编制管理的方针政策、法律法规和规章，拟定机构编制管理的政策、措施，研究制定全区机构编制工作规划，并监督实施。</w:t>
      </w:r>
    </w:p>
    <w:p>
      <w:pPr>
        <w:keepNext w:val="0"/>
        <w:keepLines w:val="0"/>
        <w:pageBreakBefore w:val="0"/>
        <w:widowControl w:val="0"/>
        <w:suppressLineNumbers w:val="0"/>
        <w:kinsoku/>
        <w:wordWrap/>
        <w:overflowPunct/>
        <w:topLinePunct w:val="0"/>
        <w:bidi w:val="0"/>
        <w:spacing w:before="0" w:beforeAutospacing="0" w:after="0" w:afterAutospacing="0" w:line="576"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研究拟定全区行政管理体制和机构改革的总体方案，审核区直各部门“三定”规定，指导乡镇行政管理体制和机构改革工作，评估改革效果。参与行政审批制度改革和行政区划调整的有关工作。</w:t>
      </w:r>
    </w:p>
    <w:p>
      <w:pPr>
        <w:keepNext w:val="0"/>
        <w:keepLines w:val="0"/>
        <w:pageBreakBefore w:val="0"/>
        <w:widowControl w:val="0"/>
        <w:suppressLineNumbers w:val="0"/>
        <w:kinsoku/>
        <w:wordWrap/>
        <w:overflowPunct/>
        <w:topLinePunct w:val="0"/>
        <w:bidi w:val="0"/>
        <w:spacing w:before="0" w:beforeAutospacing="0" w:after="0" w:afterAutospacing="0" w:line="576"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eastAsia" w:ascii="仿宋_GB2312" w:hAnsi="Times New Roman" w:eastAsia="仿宋_GB2312" w:cs="仿宋_GB2312"/>
          <w:kern w:val="2"/>
          <w:sz w:val="32"/>
          <w:szCs w:val="32"/>
          <w:lang w:val="en-US" w:eastAsia="zh-CN" w:bidi="ar"/>
        </w:rPr>
        <w:t>根据省市下达的全区各级行政编制、政法专项编制、行政执法类事业编制，负责拟定分配与分类方案，做好编制总量控制和机关事业单位机构编制实名制管理工作。核批全区机关、各级各类事业单位使用空缺编制补充人员计划，参与组织实施机关事业单位补充工作人员工作。</w:t>
      </w:r>
    </w:p>
    <w:p>
      <w:pPr>
        <w:keepNext w:val="0"/>
        <w:keepLines w:val="0"/>
        <w:pageBreakBefore w:val="0"/>
        <w:widowControl w:val="0"/>
        <w:suppressLineNumbers w:val="0"/>
        <w:kinsoku/>
        <w:wordWrap/>
        <w:overflowPunct/>
        <w:topLinePunct w:val="0"/>
        <w:bidi w:val="0"/>
        <w:spacing w:before="0" w:beforeAutospacing="0" w:after="0" w:afterAutospacing="0" w:line="576"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4.</w:t>
      </w:r>
      <w:r>
        <w:rPr>
          <w:rFonts w:hint="eastAsia" w:ascii="仿宋_GB2312" w:hAnsi="Times New Roman" w:eastAsia="仿宋_GB2312" w:cs="仿宋_GB2312"/>
          <w:kern w:val="2"/>
          <w:sz w:val="32"/>
          <w:szCs w:val="32"/>
          <w:lang w:val="en-US" w:eastAsia="zh-CN" w:bidi="ar"/>
        </w:rPr>
        <w:t>协调区委各部委、区政府各部门的职能配置及调整，协调区委各部委之间、区政府各部门之间，区委各部委和区政府各部门之间及各部门与乡镇的职责分工，区政府各部门与其下属事业单位的职责分工；加强对区级各部门行政审批事项的清理、调整，进一步减少具体审批事项。</w:t>
      </w:r>
    </w:p>
    <w:p>
      <w:pPr>
        <w:keepNext w:val="0"/>
        <w:keepLines w:val="0"/>
        <w:pageBreakBefore w:val="0"/>
        <w:widowControl w:val="0"/>
        <w:suppressLineNumbers w:val="0"/>
        <w:kinsoku/>
        <w:wordWrap/>
        <w:overflowPunct/>
        <w:topLinePunct w:val="0"/>
        <w:bidi w:val="0"/>
        <w:spacing w:before="0" w:beforeAutospacing="0" w:after="0" w:afterAutospacing="0" w:line="576"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5.</w:t>
      </w:r>
      <w:r>
        <w:rPr>
          <w:rFonts w:hint="eastAsia" w:ascii="仿宋_GB2312" w:hAnsi="Times New Roman" w:eastAsia="仿宋_GB2312" w:cs="仿宋_GB2312"/>
          <w:kern w:val="2"/>
          <w:sz w:val="32"/>
          <w:szCs w:val="32"/>
          <w:lang w:val="en-US" w:eastAsia="zh-CN" w:bidi="ar"/>
        </w:rPr>
        <w:t>审核区委、区政府各部门、区人大机关、区政协机关、法院、检察院和民主党派、人民团体机关、驻外办事机关的机构设置、人员编制和领导职数。</w:t>
      </w:r>
    </w:p>
    <w:p>
      <w:pPr>
        <w:keepNext w:val="0"/>
        <w:keepLines w:val="0"/>
        <w:pageBreakBefore w:val="0"/>
        <w:widowControl w:val="0"/>
        <w:suppressLineNumbers w:val="0"/>
        <w:kinsoku/>
        <w:wordWrap/>
        <w:overflowPunct/>
        <w:topLinePunct w:val="0"/>
        <w:bidi w:val="0"/>
        <w:spacing w:before="0" w:beforeAutospacing="0" w:after="0" w:afterAutospacing="0" w:line="576"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6.</w:t>
      </w:r>
      <w:r>
        <w:rPr>
          <w:rFonts w:hint="eastAsia" w:ascii="仿宋_GB2312" w:hAnsi="Times New Roman" w:eastAsia="仿宋_GB2312" w:cs="仿宋_GB2312"/>
          <w:kern w:val="2"/>
          <w:sz w:val="32"/>
          <w:szCs w:val="32"/>
          <w:lang w:val="en-US" w:eastAsia="zh-CN" w:bidi="ar"/>
        </w:rPr>
        <w:t>研究拟订全区事业单位管理体制和机构改革方案及配套的有关政策、办法；审核区委、区政府直属事业单位的机构编制方案，审核并办理区级各部门所属事业单位机构的审批手续；督促检查审批后机构编制运行落实情况，对不适应社会主义市场经济需要的机构、职能进行调整；负责区属事业单位机构编制的日常管理工作；指导、协调区级、乡镇事业单位管理体制改革和机构编制的管理工作。</w:t>
      </w:r>
    </w:p>
    <w:p>
      <w:pPr>
        <w:keepNext w:val="0"/>
        <w:keepLines w:val="0"/>
        <w:pageBreakBefore w:val="0"/>
        <w:widowControl w:val="0"/>
        <w:suppressLineNumbers w:val="0"/>
        <w:kinsoku/>
        <w:wordWrap/>
        <w:overflowPunct/>
        <w:topLinePunct w:val="0"/>
        <w:bidi w:val="0"/>
        <w:spacing w:before="0" w:beforeAutospacing="0" w:after="0" w:afterAutospacing="0" w:line="576"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7.</w:t>
      </w:r>
      <w:r>
        <w:rPr>
          <w:rFonts w:hint="eastAsia" w:ascii="仿宋_GB2312" w:hAnsi="Times New Roman" w:eastAsia="仿宋_GB2312" w:cs="仿宋_GB2312"/>
          <w:kern w:val="2"/>
          <w:sz w:val="32"/>
          <w:szCs w:val="32"/>
          <w:lang w:val="en-US" w:eastAsia="zh-CN" w:bidi="ar"/>
        </w:rPr>
        <w:t>监督检查全区行政管理体制改革、机构改革方案、事业单位改革和机构编制管理政策法规的执行情况，建立机构编制工作考核评估制度，负责研究拟定机构编制与财政预算、核拨经费配套管理制度，参与机关事业单位财政工资与人员编制及实有人数的审核工作。会同纪检监察部门查处机构编制违法违纪行为。</w:t>
      </w:r>
    </w:p>
    <w:p>
      <w:pPr>
        <w:keepNext w:val="0"/>
        <w:keepLines w:val="0"/>
        <w:pageBreakBefore w:val="0"/>
        <w:widowControl w:val="0"/>
        <w:suppressLineNumbers w:val="0"/>
        <w:kinsoku/>
        <w:wordWrap/>
        <w:overflowPunct/>
        <w:topLinePunct w:val="0"/>
        <w:bidi w:val="0"/>
        <w:spacing w:before="0" w:beforeAutospacing="0" w:after="0" w:afterAutospacing="0" w:line="576"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8.</w:t>
      </w:r>
      <w:r>
        <w:rPr>
          <w:rFonts w:hint="eastAsia" w:ascii="仿宋_GB2312" w:hAnsi="Times New Roman" w:eastAsia="仿宋_GB2312" w:cs="仿宋_GB2312"/>
          <w:kern w:val="2"/>
          <w:sz w:val="32"/>
          <w:szCs w:val="32"/>
          <w:lang w:val="en-US" w:eastAsia="zh-CN" w:bidi="ar"/>
        </w:rPr>
        <w:t>贯彻执行国家事业单位登记管理有关政策、法规，负责全区事业单位登记管理工作。</w:t>
      </w:r>
    </w:p>
    <w:p>
      <w:pPr>
        <w:keepNext w:val="0"/>
        <w:keepLines w:val="0"/>
        <w:pageBreakBefore w:val="0"/>
        <w:widowControl w:val="0"/>
        <w:suppressLineNumbers w:val="0"/>
        <w:kinsoku/>
        <w:wordWrap/>
        <w:overflowPunct/>
        <w:topLinePunct w:val="0"/>
        <w:bidi w:val="0"/>
        <w:spacing w:before="0" w:beforeAutospacing="0" w:after="0" w:afterAutospacing="0" w:line="576"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9.</w:t>
      </w:r>
      <w:r>
        <w:rPr>
          <w:rFonts w:hint="eastAsia" w:ascii="仿宋_GB2312" w:hAnsi="Times New Roman" w:eastAsia="仿宋_GB2312" w:cs="仿宋_GB2312"/>
          <w:kern w:val="2"/>
          <w:sz w:val="32"/>
          <w:szCs w:val="32"/>
          <w:lang w:val="en-US" w:eastAsia="zh-CN" w:bidi="ar"/>
        </w:rPr>
        <w:t>承办区委和区委编委交办的其他工作。</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（三）人员概况。</w:t>
      </w:r>
    </w:p>
    <w:p>
      <w:pPr>
        <w:keepNext w:val="0"/>
        <w:keepLines w:val="0"/>
        <w:pageBreakBefore w:val="0"/>
        <w:widowControl w:val="0"/>
        <w:suppressLineNumbers w:val="0"/>
        <w:kinsoku/>
        <w:wordWrap/>
        <w:overflowPunct/>
        <w:topLinePunct w:val="0"/>
        <w:bidi w:val="0"/>
        <w:spacing w:before="0" w:beforeAutospacing="0" w:after="0" w:afterAutospacing="0" w:line="576"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行政编制实有人数</w:t>
      </w:r>
      <w:r>
        <w:rPr>
          <w:rFonts w:hint="default" w:ascii="Times New Roman" w:hAnsi="Times New Roman" w:eastAsia="仿宋_GB2312" w:cs="Times New Roman"/>
          <w:kern w:val="2"/>
          <w:sz w:val="32"/>
          <w:szCs w:val="32"/>
          <w:lang w:val="en-US" w:eastAsia="zh-CN" w:bidi="ar"/>
        </w:rPr>
        <w:t>5</w:t>
      </w:r>
      <w:r>
        <w:rPr>
          <w:rFonts w:hint="eastAsia" w:ascii="仿宋_GB2312" w:hAnsi="Times New Roman" w:eastAsia="仿宋_GB2312" w:cs="仿宋_GB2312"/>
          <w:kern w:val="2"/>
          <w:sz w:val="32"/>
          <w:szCs w:val="32"/>
          <w:lang w:val="en-US" w:eastAsia="zh-CN" w:bidi="ar"/>
        </w:rPr>
        <w:t>人，非参公事业编制实有人数</w:t>
      </w:r>
      <w:r>
        <w:rPr>
          <w:rFonts w:hint="default" w:ascii="Times New Roman" w:hAnsi="Times New Roman" w:eastAsia="仿宋_GB2312" w:cs="Times New Roman"/>
          <w:kern w:val="2"/>
          <w:sz w:val="32"/>
          <w:szCs w:val="32"/>
          <w:lang w:val="en-US" w:eastAsia="zh-CN" w:bidi="ar"/>
        </w:rPr>
        <w:t>5</w:t>
      </w:r>
      <w:r>
        <w:rPr>
          <w:rFonts w:hint="eastAsia" w:ascii="仿宋_GB2312" w:hAnsi="Times New Roman" w:eastAsia="仿宋_GB2312" w:cs="仿宋_GB2312"/>
          <w:kern w:val="2"/>
          <w:sz w:val="32"/>
          <w:szCs w:val="32"/>
          <w:lang w:val="en-US" w:eastAsia="zh-CN" w:bidi="ar"/>
        </w:rPr>
        <w:t>人。</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二、部门财政资金收支情况</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（一）部门财政资金收入情况。</w:t>
      </w:r>
    </w:p>
    <w:p>
      <w:pPr>
        <w:keepNext w:val="0"/>
        <w:keepLines w:val="0"/>
        <w:pageBreakBefore w:val="0"/>
        <w:widowControl w:val="0"/>
        <w:suppressLineNumbers w:val="0"/>
        <w:kinsoku/>
        <w:wordWrap/>
        <w:overflowPunct/>
        <w:topLinePunct w:val="0"/>
        <w:bidi w:val="0"/>
        <w:spacing w:before="0" w:beforeAutospacing="0" w:after="0" w:afterAutospacing="0" w:line="576"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2022</w:t>
      </w:r>
      <w:r>
        <w:rPr>
          <w:rFonts w:hint="eastAsia" w:ascii="仿宋_GB2312" w:hAnsi="Times New Roman" w:eastAsia="仿宋_GB2312" w:cs="仿宋_GB2312"/>
          <w:kern w:val="2"/>
          <w:sz w:val="32"/>
          <w:szCs w:val="32"/>
          <w:lang w:val="en-US" w:eastAsia="zh-CN" w:bidi="ar"/>
        </w:rPr>
        <w:t>年本年收入合计</w:t>
      </w:r>
      <w:r>
        <w:rPr>
          <w:rFonts w:hint="default" w:ascii="Times New Roman" w:hAnsi="Times New Roman" w:eastAsia="仿宋_GB2312" w:cs="Times New Roman"/>
          <w:kern w:val="2"/>
          <w:sz w:val="32"/>
          <w:szCs w:val="32"/>
          <w:lang w:val="en-US" w:eastAsia="zh-CN" w:bidi="ar"/>
        </w:rPr>
        <w:t>191.07</w:t>
      </w:r>
      <w:r>
        <w:rPr>
          <w:rFonts w:hint="eastAsia" w:ascii="仿宋_GB2312" w:hAnsi="Times New Roman" w:eastAsia="仿宋_GB2312" w:cs="仿宋_GB2312"/>
          <w:kern w:val="2"/>
          <w:sz w:val="32"/>
          <w:szCs w:val="32"/>
          <w:lang w:val="en-US" w:eastAsia="zh-CN" w:bidi="ar"/>
        </w:rPr>
        <w:t>万元，其中：一般公共预算财政拨款收入</w:t>
      </w:r>
      <w:r>
        <w:rPr>
          <w:rFonts w:hint="default" w:ascii="Times New Roman" w:hAnsi="Times New Roman" w:eastAsia="仿宋_GB2312" w:cs="Times New Roman"/>
          <w:kern w:val="2"/>
          <w:sz w:val="32"/>
          <w:szCs w:val="32"/>
          <w:lang w:val="en-US" w:eastAsia="zh-CN" w:bidi="ar"/>
        </w:rPr>
        <w:t>191.07</w:t>
      </w:r>
      <w:r>
        <w:rPr>
          <w:rFonts w:hint="eastAsia" w:ascii="仿宋_GB2312" w:hAnsi="Times New Roman" w:eastAsia="仿宋_GB2312" w:cs="仿宋_GB2312"/>
          <w:kern w:val="2"/>
          <w:sz w:val="32"/>
          <w:szCs w:val="32"/>
          <w:lang w:val="en-US" w:eastAsia="zh-CN" w:bidi="ar"/>
        </w:rPr>
        <w:t>万元，占</w:t>
      </w:r>
      <w:r>
        <w:rPr>
          <w:rFonts w:hint="default" w:ascii="Times New Roman" w:hAnsi="Times New Roman" w:eastAsia="仿宋_GB2312" w:cs="Times New Roman"/>
          <w:kern w:val="2"/>
          <w:sz w:val="32"/>
          <w:szCs w:val="32"/>
          <w:lang w:val="en-US" w:eastAsia="zh-CN" w:bidi="ar"/>
        </w:rPr>
        <w:t>100%</w:t>
      </w:r>
      <w:r>
        <w:rPr>
          <w:rFonts w:hint="eastAsia" w:ascii="仿宋_GB2312" w:hAnsi="Times New Roman" w:eastAsia="仿宋_GB2312" w:cs="仿宋_GB2312"/>
          <w:kern w:val="2"/>
          <w:sz w:val="32"/>
          <w:szCs w:val="32"/>
          <w:lang w:val="en-US" w:eastAsia="zh-CN" w:bidi="ar"/>
        </w:rPr>
        <w:t>；政府性基金预算财政拨款收入</w:t>
      </w:r>
      <w:r>
        <w:rPr>
          <w:rFonts w:hint="default" w:ascii="Times New Roman" w:hAnsi="Times New Roman" w:eastAsia="仿宋_GB2312" w:cs="Times New Roman"/>
          <w:kern w:val="2"/>
          <w:sz w:val="32"/>
          <w:szCs w:val="32"/>
          <w:lang w:val="en-US" w:eastAsia="zh-CN" w:bidi="ar"/>
        </w:rPr>
        <w:t>0</w:t>
      </w:r>
      <w:r>
        <w:rPr>
          <w:rFonts w:hint="eastAsia" w:ascii="仿宋_GB2312" w:hAnsi="Times New Roman" w:eastAsia="仿宋_GB2312" w:cs="仿宋_GB2312"/>
          <w:kern w:val="2"/>
          <w:sz w:val="32"/>
          <w:szCs w:val="32"/>
          <w:lang w:val="en-US" w:eastAsia="zh-CN" w:bidi="ar"/>
        </w:rPr>
        <w:t>万元，占</w:t>
      </w:r>
      <w:r>
        <w:rPr>
          <w:rFonts w:hint="default" w:ascii="Times New Roman" w:hAnsi="Times New Roman" w:eastAsia="仿宋_GB2312" w:cs="Times New Roman"/>
          <w:kern w:val="2"/>
          <w:sz w:val="32"/>
          <w:szCs w:val="32"/>
          <w:lang w:val="en-US" w:eastAsia="zh-CN" w:bidi="ar"/>
        </w:rPr>
        <w:t>0%</w:t>
      </w:r>
      <w:r>
        <w:rPr>
          <w:rFonts w:hint="eastAsia" w:ascii="仿宋_GB2312" w:hAnsi="Times New Roman" w:eastAsia="仿宋_GB2312" w:cs="仿宋_GB2312"/>
          <w:kern w:val="2"/>
          <w:sz w:val="32"/>
          <w:szCs w:val="32"/>
          <w:lang w:val="en-US" w:eastAsia="zh-CN" w:bidi="ar"/>
        </w:rPr>
        <w:t>；国有资本经营预算财政拨款收入</w:t>
      </w:r>
      <w:r>
        <w:rPr>
          <w:rFonts w:hint="default" w:ascii="Times New Roman" w:hAnsi="Times New Roman" w:eastAsia="仿宋_GB2312" w:cs="Times New Roman"/>
          <w:kern w:val="2"/>
          <w:sz w:val="32"/>
          <w:szCs w:val="32"/>
          <w:lang w:val="en-US" w:eastAsia="zh-CN" w:bidi="ar"/>
        </w:rPr>
        <w:t>0</w:t>
      </w:r>
      <w:r>
        <w:rPr>
          <w:rFonts w:hint="eastAsia" w:ascii="仿宋_GB2312" w:hAnsi="Times New Roman" w:eastAsia="仿宋_GB2312" w:cs="仿宋_GB2312"/>
          <w:kern w:val="2"/>
          <w:sz w:val="32"/>
          <w:szCs w:val="32"/>
          <w:lang w:val="en-US" w:eastAsia="zh-CN" w:bidi="ar"/>
        </w:rPr>
        <w:t>万元，占</w:t>
      </w:r>
      <w:r>
        <w:rPr>
          <w:rFonts w:hint="default" w:ascii="Times New Roman" w:hAnsi="Times New Roman" w:eastAsia="仿宋_GB2312" w:cs="Times New Roman"/>
          <w:kern w:val="2"/>
          <w:sz w:val="32"/>
          <w:szCs w:val="32"/>
          <w:lang w:val="en-US" w:eastAsia="zh-CN" w:bidi="ar"/>
        </w:rPr>
        <w:t>0%</w:t>
      </w:r>
      <w:r>
        <w:rPr>
          <w:rFonts w:hint="eastAsia" w:ascii="仿宋_GB2312" w:hAnsi="Times New Roman" w:eastAsia="仿宋_GB2312" w:cs="仿宋_GB2312"/>
          <w:kern w:val="2"/>
          <w:sz w:val="32"/>
          <w:szCs w:val="32"/>
          <w:lang w:val="en-US" w:eastAsia="zh-CN" w:bidi="ar"/>
        </w:rPr>
        <w:t>；事业收入</w:t>
      </w:r>
      <w:r>
        <w:rPr>
          <w:rFonts w:hint="default" w:ascii="Times New Roman" w:hAnsi="Times New Roman" w:eastAsia="仿宋_GB2312" w:cs="Times New Roman"/>
          <w:kern w:val="2"/>
          <w:sz w:val="32"/>
          <w:szCs w:val="32"/>
          <w:lang w:val="en-US" w:eastAsia="zh-CN" w:bidi="ar"/>
        </w:rPr>
        <w:t>0</w:t>
      </w:r>
      <w:r>
        <w:rPr>
          <w:rFonts w:hint="eastAsia" w:ascii="仿宋_GB2312" w:hAnsi="Times New Roman" w:eastAsia="仿宋_GB2312" w:cs="仿宋_GB2312"/>
          <w:kern w:val="2"/>
          <w:sz w:val="32"/>
          <w:szCs w:val="32"/>
          <w:lang w:val="en-US" w:eastAsia="zh-CN" w:bidi="ar"/>
        </w:rPr>
        <w:t>万元，占</w:t>
      </w:r>
      <w:r>
        <w:rPr>
          <w:rFonts w:hint="default" w:ascii="Times New Roman" w:hAnsi="Times New Roman" w:eastAsia="仿宋_GB2312" w:cs="Times New Roman"/>
          <w:kern w:val="2"/>
          <w:sz w:val="32"/>
          <w:szCs w:val="32"/>
          <w:lang w:val="en-US" w:eastAsia="zh-CN" w:bidi="ar"/>
        </w:rPr>
        <w:t>0%</w:t>
      </w:r>
      <w:r>
        <w:rPr>
          <w:rFonts w:hint="eastAsia" w:ascii="仿宋_GB2312" w:hAnsi="Times New Roman" w:eastAsia="仿宋_GB2312" w:cs="仿宋_GB2312"/>
          <w:kern w:val="2"/>
          <w:sz w:val="32"/>
          <w:szCs w:val="32"/>
          <w:lang w:val="en-US" w:eastAsia="zh-CN" w:bidi="ar"/>
        </w:rPr>
        <w:t>；经营收入</w:t>
      </w:r>
      <w:r>
        <w:rPr>
          <w:rFonts w:hint="default" w:ascii="Times New Roman" w:hAnsi="Times New Roman" w:eastAsia="仿宋_GB2312" w:cs="Times New Roman"/>
          <w:kern w:val="2"/>
          <w:sz w:val="32"/>
          <w:szCs w:val="32"/>
          <w:lang w:val="en-US" w:eastAsia="zh-CN" w:bidi="ar"/>
        </w:rPr>
        <w:t>0</w:t>
      </w:r>
      <w:r>
        <w:rPr>
          <w:rFonts w:hint="eastAsia" w:ascii="仿宋_GB2312" w:hAnsi="Times New Roman" w:eastAsia="仿宋_GB2312" w:cs="仿宋_GB2312"/>
          <w:kern w:val="2"/>
          <w:sz w:val="32"/>
          <w:szCs w:val="32"/>
          <w:lang w:val="en-US" w:eastAsia="zh-CN" w:bidi="ar"/>
        </w:rPr>
        <w:t>万元，占</w:t>
      </w:r>
      <w:r>
        <w:rPr>
          <w:rFonts w:hint="default" w:ascii="Times New Roman" w:hAnsi="Times New Roman" w:eastAsia="仿宋_GB2312" w:cs="Times New Roman"/>
          <w:kern w:val="2"/>
          <w:sz w:val="32"/>
          <w:szCs w:val="32"/>
          <w:lang w:val="en-US" w:eastAsia="zh-CN" w:bidi="ar"/>
        </w:rPr>
        <w:t>0%</w:t>
      </w:r>
      <w:r>
        <w:rPr>
          <w:rFonts w:hint="eastAsia" w:ascii="仿宋_GB2312" w:hAnsi="Times New Roman" w:eastAsia="仿宋_GB2312" w:cs="仿宋_GB2312"/>
          <w:kern w:val="2"/>
          <w:sz w:val="32"/>
          <w:szCs w:val="32"/>
          <w:lang w:val="en-US" w:eastAsia="zh-CN" w:bidi="ar"/>
        </w:rPr>
        <w:t>；附属单位上缴收入</w:t>
      </w:r>
      <w:r>
        <w:rPr>
          <w:rFonts w:hint="default" w:ascii="Times New Roman" w:hAnsi="Times New Roman" w:eastAsia="仿宋_GB2312" w:cs="Times New Roman"/>
          <w:kern w:val="2"/>
          <w:sz w:val="32"/>
          <w:szCs w:val="32"/>
          <w:lang w:val="en-US" w:eastAsia="zh-CN" w:bidi="ar"/>
        </w:rPr>
        <w:t>0</w:t>
      </w:r>
      <w:r>
        <w:rPr>
          <w:rFonts w:hint="eastAsia" w:ascii="仿宋_GB2312" w:hAnsi="Times New Roman" w:eastAsia="仿宋_GB2312" w:cs="仿宋_GB2312"/>
          <w:kern w:val="2"/>
          <w:sz w:val="32"/>
          <w:szCs w:val="32"/>
          <w:lang w:val="en-US" w:eastAsia="zh-CN" w:bidi="ar"/>
        </w:rPr>
        <w:t>万元，占</w:t>
      </w:r>
      <w:r>
        <w:rPr>
          <w:rFonts w:hint="default" w:ascii="Times New Roman" w:hAnsi="Times New Roman" w:eastAsia="仿宋_GB2312" w:cs="Times New Roman"/>
          <w:kern w:val="2"/>
          <w:sz w:val="32"/>
          <w:szCs w:val="32"/>
          <w:lang w:val="en-US" w:eastAsia="zh-CN" w:bidi="ar"/>
        </w:rPr>
        <w:t>0%</w:t>
      </w:r>
      <w:r>
        <w:rPr>
          <w:rFonts w:hint="eastAsia" w:ascii="仿宋_GB2312" w:hAnsi="Times New Roman" w:eastAsia="仿宋_GB2312" w:cs="仿宋_GB2312"/>
          <w:kern w:val="2"/>
          <w:sz w:val="32"/>
          <w:szCs w:val="32"/>
          <w:lang w:val="en-US" w:eastAsia="zh-CN" w:bidi="ar"/>
        </w:rPr>
        <w:t>；其他收入</w:t>
      </w:r>
      <w:r>
        <w:rPr>
          <w:rFonts w:hint="default" w:ascii="Times New Roman" w:hAnsi="Times New Roman" w:eastAsia="仿宋_GB2312" w:cs="Times New Roman"/>
          <w:kern w:val="2"/>
          <w:sz w:val="32"/>
          <w:szCs w:val="32"/>
          <w:lang w:val="en-US" w:eastAsia="zh-CN" w:bidi="ar"/>
        </w:rPr>
        <w:t>0</w:t>
      </w:r>
      <w:r>
        <w:rPr>
          <w:rFonts w:hint="eastAsia" w:ascii="仿宋_GB2312" w:hAnsi="Times New Roman" w:eastAsia="仿宋_GB2312" w:cs="仿宋_GB2312"/>
          <w:kern w:val="2"/>
          <w:sz w:val="32"/>
          <w:szCs w:val="32"/>
          <w:lang w:val="en-US" w:eastAsia="zh-CN" w:bidi="ar"/>
        </w:rPr>
        <w:t>万元，占</w:t>
      </w:r>
      <w:r>
        <w:rPr>
          <w:rFonts w:hint="default" w:ascii="Times New Roman" w:hAnsi="Times New Roman" w:eastAsia="仿宋_GB2312" w:cs="Times New Roman"/>
          <w:kern w:val="2"/>
          <w:sz w:val="32"/>
          <w:szCs w:val="32"/>
          <w:lang w:val="en-US" w:eastAsia="zh-CN" w:bidi="ar"/>
        </w:rPr>
        <w:t>0%</w:t>
      </w:r>
      <w:r>
        <w:rPr>
          <w:rFonts w:hint="eastAsia" w:ascii="仿宋_GB2312" w:hAnsi="Times New Roman" w:eastAsia="仿宋_GB2312" w:cs="仿宋_GB2312"/>
          <w:kern w:val="2"/>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（二）部门财政资金支出情况。</w:t>
      </w:r>
    </w:p>
    <w:p>
      <w:pPr>
        <w:keepNext w:val="0"/>
        <w:keepLines w:val="0"/>
        <w:pageBreakBefore w:val="0"/>
        <w:widowControl w:val="0"/>
        <w:suppressLineNumbers w:val="0"/>
        <w:kinsoku/>
        <w:wordWrap/>
        <w:overflowPunct/>
        <w:topLinePunct w:val="0"/>
        <w:bidi w:val="0"/>
        <w:spacing w:before="0" w:beforeAutospacing="0" w:after="0" w:afterAutospacing="0" w:line="576"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2022</w:t>
      </w:r>
      <w:r>
        <w:rPr>
          <w:rFonts w:hint="eastAsia" w:ascii="仿宋_GB2312" w:hAnsi="Times New Roman" w:eastAsia="仿宋_GB2312" w:cs="仿宋_GB2312"/>
          <w:kern w:val="2"/>
          <w:sz w:val="32"/>
          <w:szCs w:val="32"/>
          <w:lang w:val="en-US" w:eastAsia="zh-CN" w:bidi="ar"/>
        </w:rPr>
        <w:t>年本年支出合计</w:t>
      </w:r>
      <w:r>
        <w:rPr>
          <w:rFonts w:hint="default" w:ascii="Times New Roman" w:hAnsi="Times New Roman" w:eastAsia="仿宋_GB2312" w:cs="Times New Roman"/>
          <w:kern w:val="2"/>
          <w:sz w:val="32"/>
          <w:szCs w:val="32"/>
          <w:lang w:val="en-US" w:eastAsia="zh-CN" w:bidi="ar"/>
        </w:rPr>
        <w:t>191.07</w:t>
      </w:r>
      <w:r>
        <w:rPr>
          <w:rFonts w:hint="eastAsia" w:ascii="仿宋_GB2312" w:hAnsi="Times New Roman" w:eastAsia="仿宋_GB2312" w:cs="仿宋_GB2312"/>
          <w:kern w:val="2"/>
          <w:sz w:val="32"/>
          <w:szCs w:val="32"/>
          <w:lang w:val="en-US" w:eastAsia="zh-CN" w:bidi="ar"/>
        </w:rPr>
        <w:t>万元，其中：基本支出</w:t>
      </w:r>
      <w:r>
        <w:rPr>
          <w:rFonts w:hint="default" w:ascii="Times New Roman" w:hAnsi="Times New Roman" w:eastAsia="仿宋_GB2312" w:cs="Times New Roman"/>
          <w:kern w:val="2"/>
          <w:sz w:val="32"/>
          <w:szCs w:val="32"/>
          <w:lang w:val="en-US" w:eastAsia="zh-CN" w:bidi="ar"/>
        </w:rPr>
        <w:t>170.44</w:t>
      </w:r>
      <w:r>
        <w:rPr>
          <w:rFonts w:hint="eastAsia" w:ascii="仿宋_GB2312" w:hAnsi="Times New Roman" w:eastAsia="仿宋_GB2312" w:cs="仿宋_GB2312"/>
          <w:kern w:val="2"/>
          <w:sz w:val="32"/>
          <w:szCs w:val="32"/>
          <w:lang w:val="en-US" w:eastAsia="zh-CN" w:bidi="ar"/>
        </w:rPr>
        <w:t>万元，占</w:t>
      </w:r>
      <w:r>
        <w:rPr>
          <w:rFonts w:hint="default" w:ascii="Times New Roman" w:hAnsi="Times New Roman" w:eastAsia="仿宋_GB2312" w:cs="Times New Roman"/>
          <w:kern w:val="2"/>
          <w:sz w:val="32"/>
          <w:szCs w:val="32"/>
          <w:lang w:val="en-US" w:eastAsia="zh-CN" w:bidi="ar"/>
        </w:rPr>
        <w:t>89.2%</w:t>
      </w:r>
      <w:r>
        <w:rPr>
          <w:rFonts w:hint="eastAsia" w:ascii="仿宋_GB2312" w:hAnsi="Times New Roman" w:eastAsia="仿宋_GB2312" w:cs="仿宋_GB2312"/>
          <w:kern w:val="2"/>
          <w:sz w:val="32"/>
          <w:szCs w:val="32"/>
          <w:lang w:val="en-US" w:eastAsia="zh-CN" w:bidi="ar"/>
        </w:rPr>
        <w:t>；项目支出</w:t>
      </w:r>
      <w:r>
        <w:rPr>
          <w:rFonts w:hint="default" w:ascii="Times New Roman" w:hAnsi="Times New Roman" w:eastAsia="仿宋_GB2312" w:cs="Times New Roman"/>
          <w:kern w:val="2"/>
          <w:sz w:val="32"/>
          <w:szCs w:val="32"/>
          <w:lang w:val="en-US" w:eastAsia="zh-CN" w:bidi="ar"/>
        </w:rPr>
        <w:t>20.64</w:t>
      </w:r>
      <w:r>
        <w:rPr>
          <w:rFonts w:hint="eastAsia" w:ascii="仿宋_GB2312" w:hAnsi="Times New Roman" w:eastAsia="仿宋_GB2312" w:cs="仿宋_GB2312"/>
          <w:kern w:val="2"/>
          <w:sz w:val="32"/>
          <w:szCs w:val="32"/>
          <w:lang w:val="en-US" w:eastAsia="zh-CN" w:bidi="ar"/>
        </w:rPr>
        <w:t>万元，占</w:t>
      </w:r>
      <w:r>
        <w:rPr>
          <w:rFonts w:hint="default" w:ascii="Times New Roman" w:hAnsi="Times New Roman" w:eastAsia="仿宋_GB2312" w:cs="Times New Roman"/>
          <w:kern w:val="2"/>
          <w:sz w:val="32"/>
          <w:szCs w:val="32"/>
          <w:lang w:val="en-US" w:eastAsia="zh-CN" w:bidi="ar"/>
        </w:rPr>
        <w:t>10.8%</w:t>
      </w:r>
      <w:r>
        <w:rPr>
          <w:rFonts w:hint="eastAsia" w:ascii="仿宋_GB2312" w:hAnsi="Times New Roman" w:eastAsia="仿宋_GB2312" w:cs="仿宋_GB2312"/>
          <w:kern w:val="2"/>
          <w:sz w:val="32"/>
          <w:szCs w:val="32"/>
          <w:lang w:val="en-US" w:eastAsia="zh-CN" w:bidi="ar"/>
        </w:rPr>
        <w:t>；上缴上级支出</w:t>
      </w:r>
      <w:r>
        <w:rPr>
          <w:rFonts w:hint="default" w:ascii="Times New Roman" w:hAnsi="Times New Roman" w:eastAsia="仿宋_GB2312" w:cs="Times New Roman"/>
          <w:kern w:val="2"/>
          <w:sz w:val="32"/>
          <w:szCs w:val="32"/>
          <w:lang w:val="en-US" w:eastAsia="zh-CN" w:bidi="ar"/>
        </w:rPr>
        <w:t>0</w:t>
      </w:r>
      <w:r>
        <w:rPr>
          <w:rFonts w:hint="eastAsia" w:ascii="仿宋_GB2312" w:hAnsi="Times New Roman" w:eastAsia="仿宋_GB2312" w:cs="仿宋_GB2312"/>
          <w:kern w:val="2"/>
          <w:sz w:val="32"/>
          <w:szCs w:val="32"/>
          <w:lang w:val="en-US" w:eastAsia="zh-CN" w:bidi="ar"/>
        </w:rPr>
        <w:t>万元，占</w:t>
      </w:r>
      <w:r>
        <w:rPr>
          <w:rFonts w:hint="default" w:ascii="Times New Roman" w:hAnsi="Times New Roman" w:eastAsia="仿宋_GB2312" w:cs="Times New Roman"/>
          <w:kern w:val="2"/>
          <w:sz w:val="32"/>
          <w:szCs w:val="32"/>
          <w:lang w:val="en-US" w:eastAsia="zh-CN" w:bidi="ar"/>
        </w:rPr>
        <w:t>0%</w:t>
      </w:r>
      <w:r>
        <w:rPr>
          <w:rFonts w:hint="eastAsia" w:ascii="仿宋_GB2312" w:hAnsi="Times New Roman" w:eastAsia="仿宋_GB2312" w:cs="仿宋_GB2312"/>
          <w:kern w:val="2"/>
          <w:sz w:val="32"/>
          <w:szCs w:val="32"/>
          <w:lang w:val="en-US" w:eastAsia="zh-CN" w:bidi="ar"/>
        </w:rPr>
        <w:t>；经营支出</w:t>
      </w:r>
      <w:r>
        <w:rPr>
          <w:rFonts w:hint="default" w:ascii="Times New Roman" w:hAnsi="Times New Roman" w:eastAsia="仿宋_GB2312" w:cs="Times New Roman"/>
          <w:kern w:val="2"/>
          <w:sz w:val="32"/>
          <w:szCs w:val="32"/>
          <w:lang w:val="en-US" w:eastAsia="zh-CN" w:bidi="ar"/>
        </w:rPr>
        <w:t>0</w:t>
      </w:r>
      <w:r>
        <w:rPr>
          <w:rFonts w:hint="eastAsia" w:ascii="仿宋_GB2312" w:hAnsi="Times New Roman" w:eastAsia="仿宋_GB2312" w:cs="仿宋_GB2312"/>
          <w:kern w:val="2"/>
          <w:sz w:val="32"/>
          <w:szCs w:val="32"/>
          <w:lang w:val="en-US" w:eastAsia="zh-CN" w:bidi="ar"/>
        </w:rPr>
        <w:t>万元，占</w:t>
      </w:r>
      <w:r>
        <w:rPr>
          <w:rFonts w:hint="default" w:ascii="Times New Roman" w:hAnsi="Times New Roman" w:eastAsia="仿宋_GB2312" w:cs="Times New Roman"/>
          <w:kern w:val="2"/>
          <w:sz w:val="32"/>
          <w:szCs w:val="32"/>
          <w:lang w:val="en-US" w:eastAsia="zh-CN" w:bidi="ar"/>
        </w:rPr>
        <w:t>0%</w:t>
      </w:r>
      <w:r>
        <w:rPr>
          <w:rFonts w:hint="eastAsia" w:ascii="仿宋_GB2312" w:hAnsi="Times New Roman" w:eastAsia="仿宋_GB2312" w:cs="仿宋_GB2312"/>
          <w:kern w:val="2"/>
          <w:sz w:val="32"/>
          <w:szCs w:val="32"/>
          <w:lang w:val="en-US" w:eastAsia="zh-CN" w:bidi="ar"/>
        </w:rPr>
        <w:t>；对附属单位补助支出</w:t>
      </w:r>
      <w:r>
        <w:rPr>
          <w:rFonts w:hint="default" w:ascii="Times New Roman" w:hAnsi="Times New Roman" w:eastAsia="仿宋_GB2312" w:cs="Times New Roman"/>
          <w:kern w:val="2"/>
          <w:sz w:val="32"/>
          <w:szCs w:val="32"/>
          <w:lang w:val="en-US" w:eastAsia="zh-CN" w:bidi="ar"/>
        </w:rPr>
        <w:t>0</w:t>
      </w:r>
      <w:r>
        <w:rPr>
          <w:rFonts w:hint="eastAsia" w:ascii="仿宋_GB2312" w:hAnsi="Times New Roman" w:eastAsia="仿宋_GB2312" w:cs="仿宋_GB2312"/>
          <w:kern w:val="2"/>
          <w:sz w:val="32"/>
          <w:szCs w:val="32"/>
          <w:lang w:val="en-US" w:eastAsia="zh-CN" w:bidi="ar"/>
        </w:rPr>
        <w:t>万元，占</w:t>
      </w:r>
      <w:r>
        <w:rPr>
          <w:rFonts w:hint="default" w:ascii="Times New Roman" w:hAnsi="Times New Roman" w:eastAsia="仿宋_GB2312" w:cs="Times New Roman"/>
          <w:kern w:val="2"/>
          <w:sz w:val="32"/>
          <w:szCs w:val="32"/>
          <w:lang w:val="en-US" w:eastAsia="zh-CN" w:bidi="ar"/>
        </w:rPr>
        <w:t>0%</w:t>
      </w:r>
      <w:r>
        <w:rPr>
          <w:rFonts w:hint="eastAsia" w:ascii="仿宋_GB2312" w:hAnsi="Times New Roman" w:eastAsia="仿宋_GB2312" w:cs="仿宋_GB2312"/>
          <w:kern w:val="2"/>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三、部门整体预算绩效管理情况</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（一）部门预算管理。</w:t>
      </w:r>
    </w:p>
    <w:p>
      <w:pPr>
        <w:keepNext w:val="0"/>
        <w:keepLines w:val="0"/>
        <w:pageBreakBefore w:val="0"/>
        <w:widowControl w:val="0"/>
        <w:suppressLineNumbers w:val="0"/>
        <w:kinsoku/>
        <w:wordWrap/>
        <w:overflowPunct/>
        <w:topLinePunct w:val="0"/>
        <w:bidi w:val="0"/>
        <w:spacing w:before="0" w:beforeAutospacing="0" w:after="0" w:afterAutospacing="0" w:line="576"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按照《遂宁市安居区财政局关于编制区级部门</w:t>
      </w:r>
      <w:r>
        <w:rPr>
          <w:rFonts w:hint="default" w:ascii="Times New Roman" w:hAnsi="Times New Roman" w:eastAsia="仿宋_GB2312" w:cs="Times New Roman"/>
          <w:kern w:val="2"/>
          <w:sz w:val="32"/>
          <w:szCs w:val="32"/>
          <w:lang w:val="en-US" w:eastAsia="zh-CN" w:bidi="ar"/>
        </w:rPr>
        <w:t>2022-2024</w:t>
      </w:r>
      <w:r>
        <w:rPr>
          <w:rFonts w:hint="eastAsia" w:ascii="仿宋_GB2312" w:hAnsi="Times New Roman" w:eastAsia="仿宋_GB2312" w:cs="仿宋_GB2312"/>
          <w:kern w:val="2"/>
          <w:sz w:val="32"/>
          <w:szCs w:val="32"/>
          <w:lang w:val="en-US" w:eastAsia="zh-CN" w:bidi="ar"/>
        </w:rPr>
        <w:t>年支出规划和</w:t>
      </w:r>
      <w:r>
        <w:rPr>
          <w:rFonts w:hint="default" w:ascii="Times New Roman" w:hAnsi="Times New Roman" w:eastAsia="仿宋_GB2312" w:cs="Times New Roman"/>
          <w:kern w:val="2"/>
          <w:sz w:val="32"/>
          <w:szCs w:val="32"/>
          <w:lang w:val="en-US" w:eastAsia="zh-CN" w:bidi="ar"/>
        </w:rPr>
        <w:t>2022</w:t>
      </w:r>
      <w:r>
        <w:rPr>
          <w:rFonts w:hint="eastAsia" w:ascii="仿宋_GB2312" w:hAnsi="Times New Roman" w:eastAsia="仿宋_GB2312" w:cs="仿宋_GB2312"/>
          <w:kern w:val="2"/>
          <w:sz w:val="32"/>
          <w:szCs w:val="32"/>
          <w:lang w:val="en-US" w:eastAsia="zh-CN" w:bidi="ar"/>
        </w:rPr>
        <w:t>年部门预算的通知》（遂安财预（</w:t>
      </w:r>
      <w:r>
        <w:rPr>
          <w:rFonts w:hint="default" w:ascii="Times New Roman" w:hAnsi="Times New Roman" w:eastAsia="仿宋_GB2312" w:cs="Times New Roman"/>
          <w:kern w:val="2"/>
          <w:sz w:val="32"/>
          <w:szCs w:val="32"/>
          <w:lang w:val="en-US" w:eastAsia="zh-CN" w:bidi="ar"/>
        </w:rPr>
        <w:t>2021</w:t>
      </w:r>
      <w:r>
        <w:rPr>
          <w:rFonts w:hint="eastAsia"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号）文件精神，我办由综合股牵头，各业务股室充分研究评估，对</w:t>
      </w:r>
      <w:r>
        <w:rPr>
          <w:rFonts w:hint="default" w:ascii="Times New Roman" w:hAnsi="Times New Roman" w:eastAsia="仿宋_GB2312" w:cs="Times New Roman"/>
          <w:kern w:val="2"/>
          <w:sz w:val="32"/>
          <w:szCs w:val="32"/>
          <w:lang w:val="en-US" w:eastAsia="zh-CN" w:bidi="ar"/>
        </w:rPr>
        <w:t>2022</w:t>
      </w:r>
      <w:r>
        <w:rPr>
          <w:rFonts w:hint="eastAsia" w:ascii="仿宋_GB2312" w:hAnsi="Times New Roman" w:eastAsia="仿宋_GB2312" w:cs="仿宋_GB2312"/>
          <w:kern w:val="2"/>
          <w:sz w:val="32"/>
          <w:szCs w:val="32"/>
          <w:lang w:val="en-US" w:eastAsia="zh-CN" w:bidi="ar"/>
        </w:rPr>
        <w:t>年所需各项经费进行了事前分析、量化、评估，结果由分管领导审核后，交综合股汇总，经主任办公会审核通过形成了单位预算。</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（二）结果应用情况。</w:t>
      </w:r>
    </w:p>
    <w:p>
      <w:pPr>
        <w:keepNext w:val="0"/>
        <w:keepLines w:val="0"/>
        <w:pageBreakBefore w:val="0"/>
        <w:widowControl w:val="0"/>
        <w:suppressLineNumbers w:val="0"/>
        <w:kinsoku/>
        <w:wordWrap/>
        <w:overflowPunct/>
        <w:topLinePunct w:val="0"/>
        <w:bidi w:val="0"/>
        <w:spacing w:before="0" w:beforeAutospacing="0" w:after="0" w:afterAutospacing="0" w:line="576"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本部门按要求对</w:t>
      </w:r>
      <w:r>
        <w:rPr>
          <w:rFonts w:hint="default" w:ascii="Times New Roman" w:hAnsi="Times New Roman" w:eastAsia="仿宋_GB2312" w:cs="Times New Roman"/>
          <w:kern w:val="2"/>
          <w:sz w:val="32"/>
          <w:szCs w:val="32"/>
          <w:lang w:val="en-US" w:eastAsia="zh-CN" w:bidi="ar"/>
        </w:rPr>
        <w:t>2022</w:t>
      </w:r>
      <w:r>
        <w:rPr>
          <w:rFonts w:hint="eastAsia" w:ascii="仿宋_GB2312" w:hAnsi="Times New Roman" w:eastAsia="仿宋_GB2312" w:cs="仿宋_GB2312"/>
          <w:kern w:val="2"/>
          <w:sz w:val="32"/>
          <w:szCs w:val="32"/>
          <w:lang w:val="en-US" w:eastAsia="zh-CN" w:bidi="ar"/>
        </w:rPr>
        <w:t>年部门整体支出开展绩效自评，从评价情况来看，能严格遵守各项财经纪律制度。</w:t>
      </w:r>
    </w:p>
    <w:p>
      <w:pPr>
        <w:keepNext w:val="0"/>
        <w:keepLines w:val="0"/>
        <w:pageBreakBefore w:val="0"/>
        <w:widowControl w:val="0"/>
        <w:suppressLineNumbers w:val="0"/>
        <w:kinsoku/>
        <w:wordWrap/>
        <w:overflowPunct/>
        <w:topLinePunct w:val="0"/>
        <w:bidi w:val="0"/>
        <w:spacing w:before="0" w:beforeAutospacing="0" w:after="0" w:afterAutospacing="0" w:line="576"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特定目标类项目全年预算</w:t>
      </w:r>
      <w:r>
        <w:rPr>
          <w:rFonts w:hint="default" w:ascii="Times New Roman" w:hAnsi="Times New Roman" w:eastAsia="仿宋_GB2312" w:cs="Times New Roman"/>
          <w:kern w:val="2"/>
          <w:sz w:val="32"/>
          <w:szCs w:val="32"/>
          <w:lang w:val="en-US" w:eastAsia="zh-CN" w:bidi="ar"/>
        </w:rPr>
        <w:t>27.6</w:t>
      </w:r>
      <w:r>
        <w:rPr>
          <w:rFonts w:hint="eastAsia" w:ascii="仿宋_GB2312" w:hAnsi="Times New Roman" w:eastAsia="仿宋_GB2312" w:cs="仿宋_GB2312"/>
          <w:kern w:val="2"/>
          <w:sz w:val="32"/>
          <w:szCs w:val="32"/>
          <w:lang w:val="en-US" w:eastAsia="zh-CN" w:bidi="ar"/>
        </w:rPr>
        <w:t>万元，执行预算数为</w:t>
      </w:r>
      <w:r>
        <w:rPr>
          <w:rFonts w:hint="default" w:ascii="Times New Roman" w:hAnsi="Times New Roman" w:eastAsia="仿宋_GB2312" w:cs="Times New Roman"/>
          <w:kern w:val="2"/>
          <w:sz w:val="32"/>
          <w:szCs w:val="32"/>
          <w:lang w:val="en-US" w:eastAsia="zh-CN" w:bidi="ar"/>
        </w:rPr>
        <w:t>20.64</w:t>
      </w:r>
      <w:r>
        <w:rPr>
          <w:rFonts w:hint="eastAsia" w:ascii="仿宋_GB2312" w:hAnsi="Times New Roman" w:eastAsia="仿宋_GB2312" w:cs="仿宋_GB2312"/>
          <w:kern w:val="2"/>
          <w:sz w:val="32"/>
          <w:szCs w:val="32"/>
          <w:lang w:val="en-US" w:eastAsia="zh-CN" w:bidi="ar"/>
        </w:rPr>
        <w:t>万元，完成预算的</w:t>
      </w:r>
      <w:r>
        <w:rPr>
          <w:rFonts w:hint="default" w:ascii="Times New Roman" w:hAnsi="Times New Roman" w:eastAsia="仿宋_GB2312" w:cs="Times New Roman"/>
          <w:kern w:val="2"/>
          <w:sz w:val="32"/>
          <w:szCs w:val="32"/>
          <w:lang w:val="en-US" w:eastAsia="zh-CN" w:bidi="ar"/>
        </w:rPr>
        <w:t>74.78%</w:t>
      </w:r>
      <w:r>
        <w:rPr>
          <w:rFonts w:hint="eastAsia" w:ascii="仿宋_GB2312" w:hAnsi="Times New Roman" w:eastAsia="仿宋_GB2312" w:cs="仿宋_GB2312"/>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0" w:beforeAutospacing="0" w:after="0" w:afterAutospacing="0" w:line="576"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）深化机构改革“后半篇”文章绩效目标完成情况综述。项目全年预算数</w:t>
      </w:r>
      <w:r>
        <w:rPr>
          <w:rFonts w:hint="default" w:ascii="Times New Roman" w:hAnsi="Times New Roman" w:eastAsia="仿宋_GB2312" w:cs="Times New Roman"/>
          <w:kern w:val="2"/>
          <w:sz w:val="32"/>
          <w:szCs w:val="32"/>
          <w:lang w:val="en-US" w:eastAsia="zh-CN" w:bidi="ar"/>
        </w:rPr>
        <w:t>10</w:t>
      </w:r>
      <w:r>
        <w:rPr>
          <w:rFonts w:hint="eastAsia" w:ascii="仿宋_GB2312" w:hAnsi="Times New Roman" w:eastAsia="仿宋_GB2312" w:cs="仿宋_GB2312"/>
          <w:kern w:val="2"/>
          <w:sz w:val="32"/>
          <w:szCs w:val="32"/>
          <w:lang w:val="en-US" w:eastAsia="zh-CN" w:bidi="ar"/>
        </w:rPr>
        <w:t>万元，执行预算数为</w:t>
      </w:r>
      <w:r>
        <w:rPr>
          <w:rFonts w:hint="default" w:ascii="Times New Roman" w:hAnsi="Times New Roman" w:eastAsia="仿宋_GB2312" w:cs="Times New Roman"/>
          <w:kern w:val="2"/>
          <w:sz w:val="32"/>
          <w:szCs w:val="32"/>
          <w:lang w:val="en-US" w:eastAsia="zh-CN" w:bidi="ar"/>
        </w:rPr>
        <w:t>9.92</w:t>
      </w:r>
      <w:r>
        <w:rPr>
          <w:rFonts w:hint="eastAsia" w:ascii="仿宋_GB2312" w:hAnsi="Times New Roman" w:eastAsia="仿宋_GB2312" w:cs="仿宋_GB2312"/>
          <w:kern w:val="2"/>
          <w:sz w:val="32"/>
          <w:szCs w:val="32"/>
          <w:lang w:val="en-US" w:eastAsia="zh-CN" w:bidi="ar"/>
        </w:rPr>
        <w:t>万元，完成预算的</w:t>
      </w:r>
      <w:r>
        <w:rPr>
          <w:rFonts w:hint="default" w:ascii="Times New Roman" w:hAnsi="Times New Roman" w:eastAsia="仿宋_GB2312" w:cs="Times New Roman"/>
          <w:kern w:val="2"/>
          <w:sz w:val="32"/>
          <w:szCs w:val="32"/>
          <w:lang w:val="en-US" w:eastAsia="zh-CN" w:bidi="ar"/>
        </w:rPr>
        <w:t>99.2%</w:t>
      </w:r>
      <w:r>
        <w:rPr>
          <w:rFonts w:hint="eastAsia" w:ascii="仿宋_GB2312" w:hAnsi="Times New Roman" w:eastAsia="仿宋_GB2312" w:cs="仿宋_GB2312"/>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0" w:beforeAutospacing="0" w:after="0" w:afterAutospacing="0" w:line="576"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）“码上监督”运行维护、机构编制监督检查、权责清单动态调整、议事协调机构精简清理绩效目标完成情况综述。项目全年预算数</w:t>
      </w:r>
      <w:r>
        <w:rPr>
          <w:rFonts w:hint="default" w:ascii="Times New Roman" w:hAnsi="Times New Roman" w:eastAsia="仿宋_GB2312" w:cs="Times New Roman"/>
          <w:kern w:val="2"/>
          <w:sz w:val="32"/>
          <w:szCs w:val="32"/>
          <w:lang w:val="en-US" w:eastAsia="zh-CN" w:bidi="ar"/>
        </w:rPr>
        <w:t>10</w:t>
      </w:r>
      <w:r>
        <w:rPr>
          <w:rFonts w:hint="eastAsia" w:ascii="仿宋_GB2312" w:hAnsi="Times New Roman" w:eastAsia="仿宋_GB2312" w:cs="仿宋_GB2312"/>
          <w:kern w:val="2"/>
          <w:sz w:val="32"/>
          <w:szCs w:val="32"/>
          <w:lang w:val="en-US" w:eastAsia="zh-CN" w:bidi="ar"/>
        </w:rPr>
        <w:t>万元，执行预算数为</w:t>
      </w:r>
      <w:r>
        <w:rPr>
          <w:rFonts w:hint="default" w:ascii="Times New Roman" w:hAnsi="Times New Roman" w:eastAsia="仿宋_GB2312" w:cs="Times New Roman"/>
          <w:kern w:val="2"/>
          <w:sz w:val="32"/>
          <w:szCs w:val="32"/>
          <w:lang w:val="en-US" w:eastAsia="zh-CN" w:bidi="ar"/>
        </w:rPr>
        <w:t>9.23</w:t>
      </w:r>
      <w:r>
        <w:rPr>
          <w:rFonts w:hint="eastAsia" w:ascii="仿宋_GB2312" w:hAnsi="Times New Roman" w:eastAsia="仿宋_GB2312" w:cs="仿宋_GB2312"/>
          <w:kern w:val="2"/>
          <w:sz w:val="32"/>
          <w:szCs w:val="32"/>
          <w:lang w:val="en-US" w:eastAsia="zh-CN" w:bidi="ar"/>
        </w:rPr>
        <w:t>万元，完成预算的</w:t>
      </w:r>
      <w:r>
        <w:rPr>
          <w:rFonts w:hint="default" w:ascii="Times New Roman" w:hAnsi="Times New Roman" w:eastAsia="仿宋_GB2312" w:cs="Times New Roman"/>
          <w:kern w:val="2"/>
          <w:sz w:val="32"/>
          <w:szCs w:val="32"/>
          <w:lang w:val="en-US" w:eastAsia="zh-CN" w:bidi="ar"/>
        </w:rPr>
        <w:t>92.3%</w:t>
      </w:r>
      <w:r>
        <w:rPr>
          <w:rFonts w:hint="eastAsia" w:ascii="仿宋_GB2312" w:hAnsi="Times New Roman" w:eastAsia="仿宋_GB2312" w:cs="仿宋_GB2312"/>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0" w:beforeAutospacing="0" w:after="0" w:afterAutospacing="0" w:line="576"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3</w:t>
      </w:r>
      <w:r>
        <w:rPr>
          <w:rFonts w:hint="eastAsia" w:ascii="仿宋_GB2312" w:hAnsi="Times New Roman" w:eastAsia="仿宋_GB2312" w:cs="仿宋_GB2312"/>
          <w:kern w:val="2"/>
          <w:sz w:val="32"/>
          <w:szCs w:val="32"/>
          <w:lang w:val="en-US" w:eastAsia="zh-CN" w:bidi="ar"/>
        </w:rPr>
        <w:t>）信息化建设及运行维护经费、培训等绩效目标完成情况综述。项目全年预算数</w:t>
      </w: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万元，执行预算数为</w:t>
      </w:r>
      <w:r>
        <w:rPr>
          <w:rFonts w:hint="default" w:ascii="Times New Roman" w:hAnsi="Times New Roman" w:eastAsia="仿宋_GB2312" w:cs="Times New Roman"/>
          <w:kern w:val="2"/>
          <w:sz w:val="32"/>
          <w:szCs w:val="32"/>
          <w:lang w:val="en-US" w:eastAsia="zh-CN" w:bidi="ar"/>
        </w:rPr>
        <w:t>1.42</w:t>
      </w:r>
      <w:r>
        <w:rPr>
          <w:rFonts w:hint="eastAsia" w:ascii="仿宋_GB2312" w:hAnsi="Times New Roman" w:eastAsia="仿宋_GB2312" w:cs="仿宋_GB2312"/>
          <w:kern w:val="2"/>
          <w:sz w:val="32"/>
          <w:szCs w:val="32"/>
          <w:lang w:val="en-US" w:eastAsia="zh-CN" w:bidi="ar"/>
        </w:rPr>
        <w:t>万元，完成预算的</w:t>
      </w:r>
      <w:r>
        <w:rPr>
          <w:rFonts w:hint="default" w:ascii="Times New Roman" w:hAnsi="Times New Roman" w:eastAsia="仿宋_GB2312" w:cs="Times New Roman"/>
          <w:kern w:val="2"/>
          <w:sz w:val="32"/>
          <w:szCs w:val="32"/>
          <w:lang w:val="en-US" w:eastAsia="zh-CN" w:bidi="ar"/>
        </w:rPr>
        <w:t>71%</w:t>
      </w:r>
      <w:r>
        <w:rPr>
          <w:rFonts w:hint="eastAsia" w:ascii="仿宋_GB2312" w:hAnsi="Times New Roman" w:eastAsia="仿宋_GB2312" w:cs="仿宋_GB2312"/>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0" w:beforeAutospacing="0" w:after="0" w:afterAutospacing="0" w:line="576"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w:t>
      </w:r>
      <w:r>
        <w:rPr>
          <w:rFonts w:hint="eastAsia" w:ascii="Times New Roman" w:hAnsi="Times New Roman" w:eastAsia="仿宋_GB2312" w:cs="Times New Roman"/>
          <w:kern w:val="2"/>
          <w:sz w:val="32"/>
          <w:szCs w:val="32"/>
          <w:lang w:val="en-US" w:eastAsia="zh-CN" w:bidi="ar"/>
        </w:rPr>
        <w:t>4</w:t>
      </w:r>
      <w:r>
        <w:rPr>
          <w:rFonts w:hint="eastAsia" w:ascii="仿宋_GB2312" w:hAnsi="Times New Roman" w:eastAsia="仿宋_GB2312" w:cs="仿宋_GB2312"/>
          <w:kern w:val="2"/>
          <w:sz w:val="32"/>
          <w:szCs w:val="32"/>
          <w:lang w:val="en-US" w:eastAsia="zh-CN" w:bidi="ar"/>
        </w:rPr>
        <w:t>）基层党组织活动经费及老干部支部活动经费绩效目标完成情况综述。项目全年预算数</w:t>
      </w:r>
      <w:r>
        <w:rPr>
          <w:rFonts w:hint="default" w:ascii="Times New Roman" w:hAnsi="Times New Roman" w:eastAsia="仿宋_GB2312" w:cs="Times New Roman"/>
          <w:kern w:val="2"/>
          <w:sz w:val="32"/>
          <w:szCs w:val="32"/>
          <w:lang w:val="en-US" w:eastAsia="zh-CN" w:bidi="ar"/>
        </w:rPr>
        <w:t>0.6</w:t>
      </w:r>
      <w:r>
        <w:rPr>
          <w:rFonts w:hint="eastAsia" w:ascii="仿宋_GB2312" w:hAnsi="Times New Roman" w:eastAsia="仿宋_GB2312" w:cs="仿宋_GB2312"/>
          <w:kern w:val="2"/>
          <w:sz w:val="32"/>
          <w:szCs w:val="32"/>
          <w:lang w:val="en-US" w:eastAsia="zh-CN" w:bidi="ar"/>
        </w:rPr>
        <w:t>万元，执行预算数为</w:t>
      </w:r>
      <w:r>
        <w:rPr>
          <w:rFonts w:hint="default" w:ascii="Times New Roman" w:hAnsi="Times New Roman" w:eastAsia="仿宋_GB2312" w:cs="Times New Roman"/>
          <w:kern w:val="2"/>
          <w:sz w:val="32"/>
          <w:szCs w:val="32"/>
          <w:lang w:val="en-US" w:eastAsia="zh-CN" w:bidi="ar"/>
        </w:rPr>
        <w:t>0.08</w:t>
      </w:r>
      <w:r>
        <w:rPr>
          <w:rFonts w:hint="eastAsia" w:ascii="仿宋_GB2312" w:hAnsi="Times New Roman" w:eastAsia="仿宋_GB2312" w:cs="仿宋_GB2312"/>
          <w:kern w:val="2"/>
          <w:sz w:val="32"/>
          <w:szCs w:val="32"/>
          <w:lang w:val="en-US" w:eastAsia="zh-CN" w:bidi="ar"/>
        </w:rPr>
        <w:t>万元，完成预算的</w:t>
      </w:r>
      <w:r>
        <w:rPr>
          <w:rFonts w:hint="default" w:ascii="Times New Roman" w:hAnsi="Times New Roman" w:eastAsia="仿宋_GB2312" w:cs="Times New Roman"/>
          <w:kern w:val="2"/>
          <w:sz w:val="32"/>
          <w:szCs w:val="32"/>
          <w:lang w:val="en-US" w:eastAsia="zh-CN" w:bidi="ar"/>
        </w:rPr>
        <w:t>13.33%</w:t>
      </w:r>
      <w:r>
        <w:rPr>
          <w:rFonts w:hint="eastAsia" w:ascii="仿宋_GB2312" w:hAnsi="Times New Roman" w:eastAsia="仿宋_GB2312" w:cs="仿宋_GB2312"/>
          <w:kern w:val="2"/>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（三）自评质量</w:t>
      </w:r>
    </w:p>
    <w:p>
      <w:pPr>
        <w:keepNext w:val="0"/>
        <w:keepLines w:val="0"/>
        <w:pageBreakBefore w:val="0"/>
        <w:widowControl w:val="0"/>
        <w:suppressLineNumbers w:val="0"/>
        <w:kinsoku/>
        <w:wordWrap/>
        <w:overflowPunct/>
        <w:topLinePunct w:val="0"/>
        <w:bidi w:val="0"/>
        <w:spacing w:before="0" w:beforeAutospacing="0" w:after="0" w:afterAutospacing="0" w:line="576"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本部门</w:t>
      </w:r>
      <w:r>
        <w:rPr>
          <w:rFonts w:hint="default" w:ascii="Times New Roman" w:hAnsi="Times New Roman" w:eastAsia="仿宋_GB2312" w:cs="Times New Roman"/>
          <w:kern w:val="2"/>
          <w:sz w:val="32"/>
          <w:szCs w:val="32"/>
          <w:lang w:val="en-US" w:eastAsia="zh-CN" w:bidi="ar"/>
        </w:rPr>
        <w:t>2022</w:t>
      </w:r>
      <w:r>
        <w:rPr>
          <w:rFonts w:hint="eastAsia" w:ascii="仿宋_GB2312" w:hAnsi="Times New Roman" w:eastAsia="仿宋_GB2312" w:cs="仿宋_GB2312"/>
          <w:kern w:val="2"/>
          <w:sz w:val="32"/>
          <w:szCs w:val="32"/>
          <w:lang w:val="en-US" w:eastAsia="zh-CN" w:bidi="ar"/>
        </w:rPr>
        <w:t>年部门整体支出自评情况准确。</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四、评价结论及建议</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（一）评价结论。</w:t>
      </w:r>
    </w:p>
    <w:p>
      <w:pPr>
        <w:keepNext w:val="0"/>
        <w:keepLines w:val="0"/>
        <w:pageBreakBefore w:val="0"/>
        <w:widowControl w:val="0"/>
        <w:suppressLineNumbers w:val="0"/>
        <w:kinsoku/>
        <w:wordWrap/>
        <w:overflowPunct/>
        <w:topLinePunct w:val="0"/>
        <w:bidi w:val="0"/>
        <w:spacing w:before="0" w:beforeAutospacing="0" w:after="0" w:afterAutospacing="0" w:line="576"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按照部门整体支出绩效管理要求，本部门对</w:t>
      </w:r>
      <w:r>
        <w:rPr>
          <w:rFonts w:hint="default" w:ascii="Times New Roman" w:hAnsi="Times New Roman" w:eastAsia="仿宋_GB2312" w:cs="Times New Roman"/>
          <w:kern w:val="2"/>
          <w:sz w:val="32"/>
          <w:szCs w:val="32"/>
          <w:lang w:val="en-US" w:eastAsia="zh-CN" w:bidi="ar"/>
        </w:rPr>
        <w:t>2022</w:t>
      </w:r>
      <w:r>
        <w:rPr>
          <w:rFonts w:hint="eastAsia" w:ascii="仿宋_GB2312" w:hAnsi="Times New Roman" w:eastAsia="仿宋_GB2312" w:cs="仿宋_GB2312"/>
          <w:kern w:val="2"/>
          <w:sz w:val="32"/>
          <w:szCs w:val="32"/>
          <w:lang w:val="en-US" w:eastAsia="zh-CN" w:bidi="ar"/>
        </w:rPr>
        <w:t>年整体支出开展绩效自评，自评得分</w:t>
      </w:r>
      <w:r>
        <w:rPr>
          <w:rFonts w:hint="default" w:ascii="Times New Roman" w:hAnsi="Times New Roman" w:eastAsia="仿宋_GB2312" w:cs="Times New Roman"/>
          <w:kern w:val="2"/>
          <w:sz w:val="32"/>
          <w:szCs w:val="32"/>
          <w:lang w:val="en-US" w:eastAsia="zh-CN" w:bidi="ar"/>
        </w:rPr>
        <w:t>97</w:t>
      </w:r>
      <w:r>
        <w:rPr>
          <w:rFonts w:hint="eastAsia" w:ascii="仿宋_GB2312" w:hAnsi="Times New Roman" w:eastAsia="仿宋_GB2312" w:cs="仿宋_GB2312"/>
          <w:kern w:val="2"/>
          <w:sz w:val="32"/>
          <w:szCs w:val="32"/>
          <w:lang w:val="en-US" w:eastAsia="zh-CN" w:bidi="ar"/>
        </w:rPr>
        <w:t>分。</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（二）存在问题。</w:t>
      </w:r>
    </w:p>
    <w:p>
      <w:pPr>
        <w:keepNext w:val="0"/>
        <w:keepLines w:val="0"/>
        <w:pageBreakBefore w:val="0"/>
        <w:widowControl w:val="0"/>
        <w:suppressLineNumbers w:val="0"/>
        <w:kinsoku/>
        <w:wordWrap/>
        <w:overflowPunct/>
        <w:topLinePunct w:val="0"/>
        <w:bidi w:val="0"/>
        <w:spacing w:before="0" w:beforeAutospacing="0" w:after="0" w:afterAutospacing="0" w:line="576"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一是资金使用效益有待进一步提高。二是个别会计核算科目不精准。</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（三）改进建议。</w:t>
      </w:r>
    </w:p>
    <w:p>
      <w:pPr>
        <w:keepNext w:val="0"/>
        <w:keepLines w:val="0"/>
        <w:pageBreakBefore w:val="0"/>
        <w:widowControl w:val="0"/>
        <w:suppressLineNumbers w:val="0"/>
        <w:kinsoku/>
        <w:wordWrap/>
        <w:overflowPunct/>
        <w:topLinePunct w:val="0"/>
        <w:bidi w:val="0"/>
        <w:spacing w:before="0" w:beforeAutospacing="0" w:after="0" w:afterAutospacing="0" w:line="576"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细化预算编制工作，认真做好预算的编制。进一步加强单位的预算管理意识，严格按照预算编制的相关制度和要求，进一步提高预算编制的科学性、合理性、严谨性和可控性。单位内部要深挖潜力，强化责任意识，细化工作措施，夯实管理基础，加强统筹协调，不断提高管理水平和能力，切实抓好部门预算和执行等管理工作，促进财政资金使用绩效的不断提高。</w:t>
      </w:r>
    </w:p>
    <w:p>
      <w:pPr>
        <w:keepNext w:val="0"/>
        <w:keepLines w:val="0"/>
        <w:pageBreakBefore w:val="0"/>
        <w:widowControl w:val="0"/>
        <w:suppressLineNumbers w:val="0"/>
        <w:kinsoku/>
        <w:wordWrap/>
        <w:overflowPunct/>
        <w:topLinePunct w:val="0"/>
        <w:bidi w:val="0"/>
        <w:spacing w:before="0" w:beforeAutospacing="0" w:after="0" w:afterAutospacing="0" w:line="576"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、进一步强化责任意识、细化工作措施。单位要夯实管理基础、加强统筹协调、提升管理水平，切实抓好预算执行管理工作，加快预算支出进度，提高预算执行质量，确保全年的预算执行工作顺利完成。</w:t>
      </w:r>
    </w:p>
    <w:p>
      <w:pPr>
        <w:keepNext w:val="0"/>
        <w:keepLines w:val="0"/>
        <w:pageBreakBefore w:val="0"/>
        <w:widowControl w:val="0"/>
        <w:suppressLineNumbers w:val="0"/>
        <w:kinsoku/>
        <w:wordWrap/>
        <w:overflowPunct/>
        <w:topLinePunct w:val="0"/>
        <w:bidi w:val="0"/>
        <w:spacing w:before="0" w:beforeAutospacing="0" w:after="0" w:afterAutospacing="0" w:line="576" w:lineRule="exact"/>
        <w:ind w:left="0" w:right="0" w:firstLine="640" w:firstLineChars="200"/>
        <w:jc w:val="both"/>
        <w:textAlignment w:val="auto"/>
        <w:rPr>
          <w:rFonts w:hint="eastAsia" w:ascii="仿宋_GB2312" w:hAnsi="Times New Roman" w:eastAsia="仿宋_GB2312" w:cs="仿宋_GB2312"/>
          <w:kern w:val="2"/>
          <w:sz w:val="32"/>
          <w:szCs w:val="32"/>
          <w:lang w:val="en-US" w:eastAsia="zh-CN" w:bidi="ar"/>
        </w:rPr>
      </w:pPr>
      <w:r>
        <w:rPr>
          <w:rFonts w:hint="default" w:ascii="Times New Roman" w:hAnsi="Times New Roman" w:eastAsia="仿宋_GB2312" w:cs="Times New Roman"/>
          <w:kern w:val="2"/>
          <w:sz w:val="32"/>
          <w:szCs w:val="32"/>
          <w:lang w:val="en-US" w:eastAsia="zh-CN" w:bidi="ar"/>
        </w:rPr>
        <w:t>3</w:t>
      </w:r>
      <w:r>
        <w:rPr>
          <w:rFonts w:hint="eastAsia" w:ascii="仿宋_GB2312" w:hAnsi="Times New Roman" w:eastAsia="仿宋_GB2312" w:cs="仿宋_GB2312"/>
          <w:kern w:val="2"/>
          <w:sz w:val="32"/>
          <w:szCs w:val="32"/>
          <w:lang w:val="en-US" w:eastAsia="zh-CN" w:bidi="ar"/>
        </w:rPr>
        <w:t>、严格按照财务会计制度的要求，进一步完善单位内部的会计控制体系，特别是在资金使用的规范方面，加强内控管理；进一步加强项目成本和资金的分析和控制，强化资金和资产管理，加强对项目的管控能力，强化审计监察和绩效考核工作。</w:t>
      </w:r>
    </w:p>
    <w:p>
      <w:pPr>
        <w:keepNext w:val="0"/>
        <w:keepLines w:val="0"/>
        <w:pageBreakBefore w:val="0"/>
        <w:widowControl w:val="0"/>
        <w:suppressLineNumbers w:val="0"/>
        <w:kinsoku/>
        <w:wordWrap/>
        <w:overflowPunct/>
        <w:topLinePunct w:val="0"/>
        <w:bidi w:val="0"/>
        <w:spacing w:before="0" w:beforeAutospacing="0" w:after="0" w:afterAutospacing="0" w:line="576" w:lineRule="exact"/>
        <w:ind w:left="0" w:right="0" w:firstLine="640" w:firstLineChars="200"/>
        <w:jc w:val="both"/>
        <w:textAlignment w:val="auto"/>
        <w:rPr>
          <w:rFonts w:hint="eastAsia" w:ascii="仿宋_GB2312" w:hAnsi="Times New Roman"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bidi w:val="0"/>
        <w:spacing w:before="0" w:beforeAutospacing="0" w:after="0" w:afterAutospacing="0" w:line="576" w:lineRule="exact"/>
        <w:ind w:left="0" w:right="0" w:firstLine="640" w:firstLineChars="200"/>
        <w:jc w:val="both"/>
        <w:textAlignment w:val="auto"/>
        <w:rPr>
          <w:rFonts w:hint="default" w:ascii="仿宋_GB2312" w:hAnsi="Times New Roman" w:eastAsia="仿宋_GB2312" w:cs="仿宋_GB2312"/>
          <w:kern w:val="2"/>
          <w:sz w:val="32"/>
          <w:szCs w:val="32"/>
          <w:lang w:val="en-US" w:eastAsia="zh-CN" w:bidi="ar"/>
        </w:rPr>
      </w:pPr>
      <w:r>
        <w:rPr>
          <w:rFonts w:hint="default" w:ascii="仿宋_GB2312" w:hAnsi="Times New Roman" w:eastAsia="仿宋_GB2312" w:cs="仿宋_GB2312"/>
          <w:kern w:val="2"/>
          <w:sz w:val="32"/>
          <w:szCs w:val="32"/>
          <w:lang w:val="en-US" w:eastAsia="zh-CN" w:bidi="ar"/>
        </w:rPr>
        <w:t>附表：1.</w:t>
      </w:r>
      <w:r>
        <w:rPr>
          <w:rFonts w:hint="eastAsia" w:ascii="仿宋_GB2312" w:hAnsi="Times New Roman" w:eastAsia="仿宋_GB2312" w:cs="仿宋_GB2312"/>
          <w:kern w:val="2"/>
          <w:sz w:val="32"/>
          <w:szCs w:val="32"/>
          <w:lang w:val="en-US" w:eastAsia="zh-CN" w:bidi="ar"/>
        </w:rPr>
        <w:t>2022年区委编办</w:t>
      </w:r>
      <w:r>
        <w:rPr>
          <w:rFonts w:hint="default" w:ascii="仿宋_GB2312" w:hAnsi="Times New Roman" w:eastAsia="仿宋_GB2312" w:cs="仿宋_GB2312"/>
          <w:kern w:val="2"/>
          <w:sz w:val="32"/>
          <w:szCs w:val="32"/>
          <w:lang w:val="en-US" w:eastAsia="zh-CN" w:bidi="ar"/>
        </w:rPr>
        <w:t>部门整体支出绩效自评表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1815" w:leftChars="750" w:right="0" w:hanging="240" w:hangingChars="75"/>
        <w:jc w:val="both"/>
        <w:textAlignment w:val="auto"/>
        <w:rPr>
          <w:rFonts w:hint="default" w:ascii="仿宋_GB2312" w:hAnsi="Times New Roman" w:eastAsia="仿宋_GB2312" w:cs="仿宋_GB2312"/>
          <w:kern w:val="2"/>
          <w:sz w:val="32"/>
          <w:szCs w:val="32"/>
          <w:lang w:val="en-US" w:eastAsia="zh-CN" w:bidi="ar"/>
        </w:rPr>
      </w:pPr>
      <w:r>
        <w:rPr>
          <w:rFonts w:hint="default" w:ascii="仿宋_GB2312" w:hAnsi="Times New Roman" w:eastAsia="仿宋_GB2312" w:cs="仿宋_GB2312"/>
          <w:kern w:val="2"/>
          <w:sz w:val="32"/>
          <w:szCs w:val="32"/>
          <w:lang w:val="en-US" w:eastAsia="zh-CN" w:bidi="ar"/>
        </w:rPr>
        <w:t>2.“码上监督”运行维护、机构编制监督检查、权责清单动态调整、议事协调机构精简清理项目支出绩效自评表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1815" w:leftChars="750" w:right="0" w:hanging="240" w:hangingChars="75"/>
        <w:jc w:val="both"/>
        <w:textAlignment w:val="auto"/>
        <w:rPr>
          <w:rFonts w:hint="default" w:ascii="仿宋_GB2312" w:hAnsi="Times New Roman" w:eastAsia="仿宋_GB2312" w:cs="仿宋_GB2312"/>
          <w:kern w:val="2"/>
          <w:sz w:val="32"/>
          <w:szCs w:val="32"/>
          <w:lang w:val="en-US" w:eastAsia="zh-CN" w:bidi="ar"/>
        </w:rPr>
      </w:pPr>
      <w:r>
        <w:rPr>
          <w:rFonts w:hint="default" w:ascii="仿宋_GB2312" w:hAnsi="Times New Roman" w:eastAsia="仿宋_GB2312" w:cs="仿宋_GB2312"/>
          <w:kern w:val="2"/>
          <w:sz w:val="32"/>
          <w:szCs w:val="32"/>
          <w:lang w:val="en-US" w:eastAsia="zh-CN" w:bidi="ar"/>
        </w:rPr>
        <w:t>3.深化机构改革“后半篇”文章项目支出绩效自评表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1815" w:leftChars="750" w:right="0" w:hanging="240" w:hangingChars="75"/>
        <w:jc w:val="both"/>
        <w:textAlignment w:val="auto"/>
        <w:rPr>
          <w:rFonts w:hint="default" w:ascii="仿宋_GB2312" w:hAnsi="Times New Roman"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4.信息化建设及运行维护经费、培训等</w:t>
      </w:r>
      <w:r>
        <w:rPr>
          <w:rFonts w:hint="default" w:ascii="仿宋_GB2312" w:hAnsi="Times New Roman" w:eastAsia="仿宋_GB2312" w:cs="仿宋_GB2312"/>
          <w:kern w:val="2"/>
          <w:sz w:val="32"/>
          <w:szCs w:val="32"/>
          <w:lang w:val="en-US" w:eastAsia="zh-CN" w:bidi="ar"/>
        </w:rPr>
        <w:t>项目支出绩效自评表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1815" w:leftChars="750" w:right="0" w:hanging="240" w:hangingChars="75"/>
        <w:jc w:val="both"/>
        <w:textAlignment w:val="auto"/>
        <w:rPr>
          <w:rFonts w:hint="default" w:ascii="仿宋_GB2312" w:hAnsi="Times New Roman"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5.基层党组织活动经费及老干部支部活动经费</w:t>
      </w:r>
      <w:r>
        <w:rPr>
          <w:rFonts w:hint="default" w:ascii="仿宋_GB2312" w:hAnsi="Times New Roman" w:eastAsia="仿宋_GB2312" w:cs="仿宋_GB2312"/>
          <w:kern w:val="2"/>
          <w:sz w:val="32"/>
          <w:szCs w:val="32"/>
          <w:lang w:val="en-US" w:eastAsia="zh-CN" w:bidi="ar"/>
        </w:rPr>
        <w:t>项目支出绩效自评表</w:t>
      </w:r>
    </w:p>
    <w:p>
      <w:pPr>
        <w:rPr>
          <w:rFonts w:hint="default" w:ascii="仿宋_GB2312" w:hAnsi="Times New Roman" w:eastAsia="仿宋_GB2312" w:cs="仿宋_GB2312"/>
          <w:kern w:val="2"/>
          <w:sz w:val="32"/>
          <w:szCs w:val="32"/>
          <w:lang w:val="en-US" w:eastAsia="zh-CN" w:bidi="ar"/>
        </w:rPr>
        <w:sectPr>
          <w:headerReference r:id="rId4" w:type="first"/>
          <w:footerReference r:id="rId6" w:type="first"/>
          <w:headerReference r:id="rId3"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default" w:ascii="仿宋_GB2312" w:hAnsi="Times New Roman" w:eastAsia="仿宋_GB2312" w:cs="仿宋_GB2312"/>
          <w:kern w:val="2"/>
          <w:sz w:val="32"/>
          <w:szCs w:val="32"/>
          <w:lang w:val="en-US" w:eastAsia="zh-CN" w:bidi="ar"/>
        </w:rPr>
        <w:br w:type="page"/>
      </w:r>
    </w:p>
    <w:tbl>
      <w:tblPr>
        <w:tblStyle w:val="14"/>
        <w:tblW w:w="96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0"/>
        <w:gridCol w:w="706"/>
        <w:gridCol w:w="729"/>
        <w:gridCol w:w="508"/>
        <w:gridCol w:w="1515"/>
        <w:gridCol w:w="4695"/>
        <w:gridCol w:w="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628" w:type="dxa"/>
            <w:gridSpan w:val="7"/>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2022年区委编办</w:t>
            </w:r>
            <w:r>
              <w:rPr>
                <w:rFonts w:hint="eastAsia" w:ascii="方正小标宋简体" w:hAnsi="方正小标宋简体" w:eastAsia="方正小标宋简体" w:cs="方正小标宋简体"/>
                <w:b w:val="0"/>
                <w:bCs w:val="0"/>
                <w:kern w:val="2"/>
                <w:sz w:val="44"/>
                <w:szCs w:val="44"/>
                <w:lang w:val="en-US" w:eastAsia="zh-CN" w:bidi="ar"/>
              </w:rPr>
              <w:t>部门整体支出绩效自评表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绩效指标</w:t>
            </w:r>
          </w:p>
        </w:tc>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指标分值</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指标解释</w:t>
            </w:r>
          </w:p>
        </w:tc>
        <w:tc>
          <w:tcPr>
            <w:tcW w:w="469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计分标准</w:t>
            </w:r>
          </w:p>
        </w:tc>
        <w:tc>
          <w:tcPr>
            <w:tcW w:w="70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一级指标</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二级指标</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三级指标</w:t>
            </w: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469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0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部门预算管理（80分）</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预算编制（30分）</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目标制定</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评价部门绩效目标是否要素完整、细化量化。</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1.绩效目标编制要素完整的，得5分，否则酌情扣分。</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2.绩效指标细化量化的，得5分，否则酌情扣分。有项目绩效目标的部门（单位），根据项目绩效目标编制质量打分，无项目绩效目标的部门，根据部门整体支出绩效目标打分。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5" w:hRule="atLeast"/>
        </w:trPr>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目标实现</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评价部门绩效目标实际实现程度与预期目标的偏离度。</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项目完成数量为核心，评价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编制准确</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评价部门年初预算编制是否科学准确。</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指标得分=（1-（10×部门全年预算调剂金额/年初部门预算数））*指标分值。其中：若部门全年预算调剂金额/年初部门预算数&gt;0.1，此项得0分。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9" w:hRule="atLeast"/>
        </w:trPr>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预算执行（30分）</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支出控制</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部门公用经费及非定额公用支出控制情况。</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计算部门日常公用经费、项目支出中“办公费、印刷费、水费、电费、物业管理费”等科目年初预算数与决算数偏差程度                                                              预决算偏差程度在10%以内的，得10分。偏差度在10%-20%之间的，得5分，偏差度超过20%的，不得分。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动态调整</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评价部门开展绩效运行监控后，将绩效监控结果应用到预算调整的情况。</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                  3.当部门绩效监控调整取消额与结余注销额均为零时，得满分。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0" w:hRule="atLeast"/>
        </w:trPr>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执行进度</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评价部门在6、9、11月的预算执行情况。</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部门预算执行进度在6、9、11月应达到序时进度的80%、90%、90%，即实际支出进度分别达到40%、67.5%、82.5%。                                                     6、9、11月部门预算执行进度达到量化指标的分别得3、4、3分，未达到目标进度的按其实际进度占目标进度的比重计算得分。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完成结果（20分）</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预算完成</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评价部门预算项目年终预算执行情况。</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部门预算项目12月预算执行进度达到100%的，得10分，未达100%的，按照实际进度量化计算得分。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违规记录</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根据审计监督、财政检查结果反映部门上一年度部门预算管理是否合规。</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依据评价年度审计监督、财政检查结果，出现部门预算管理方面违纪违规问题的，每个问题扣0.5分，直至扣完。</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绩效结果应用（10分）</w:t>
            </w:r>
          </w:p>
        </w:tc>
        <w:tc>
          <w:tcPr>
            <w:tcW w:w="7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信息公开（2分)</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自评公开</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评价部门是否按要求将部门整体绩效自评情况和自行组织的评价情况向社会公开。</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按要求将相关绩效信息随同决算公开的，得2分，否则不得分。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整改反馈（8分）</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结果整改</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评价部门根据绩效管理结果整改问题、完善政策、改进管理的情况。</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针对绩效管理过程中（包括绩效目标核查、绩效监控核查和重点绩效评价）提出的问题进行整改，将绩效管理结果应用于完善政策、改进管理、预算挂钩等的，得4分。否则，酌情扣分。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应用反馈</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评价部门按要求及时向财政部门反馈结果应用情况。</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部门在规定时间内向财政部门反馈应用绩效结果报告的，得满分，否则不得分。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自评质量（10分）</w:t>
            </w:r>
          </w:p>
        </w:tc>
        <w:tc>
          <w:tcPr>
            <w:tcW w:w="7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自评质量（10分）</w:t>
            </w:r>
          </w:p>
        </w:tc>
        <w:tc>
          <w:tcPr>
            <w:tcW w:w="72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自评准确</w:t>
            </w:r>
          </w:p>
        </w:tc>
        <w:tc>
          <w:tcPr>
            <w:tcW w:w="50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评价部门整体支出自评准确率。</w:t>
            </w:r>
          </w:p>
        </w:tc>
        <w:tc>
          <w:tcPr>
            <w:tcW w:w="469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部门整体支出自评得分与评价组抽查得分差异在5%以内的，不扣分；在5%-10%之间的，扣4分，在10%-20%的，扣8分，在20%以上的，扣10分。（部门在自评时，此项指标无需打分，部门自评满分为90分）</w:t>
            </w:r>
          </w:p>
        </w:tc>
        <w:tc>
          <w:tcPr>
            <w:tcW w:w="7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1815" w:leftChars="750" w:right="0" w:hanging="240" w:hangingChars="75"/>
        <w:jc w:val="both"/>
        <w:textAlignment w:val="auto"/>
        <w:rPr>
          <w:rFonts w:hint="default" w:ascii="仿宋_GB2312" w:hAnsi="Times New Roman" w:eastAsia="仿宋_GB2312" w:cs="仿宋_GB2312"/>
          <w:kern w:val="2"/>
          <w:sz w:val="32"/>
          <w:szCs w:val="32"/>
          <w:lang w:val="en-US" w:eastAsia="zh-CN" w:bidi="ar"/>
        </w:rPr>
      </w:pPr>
    </w:p>
    <w:p>
      <w:pPr>
        <w:rPr>
          <w:rFonts w:hint="default" w:ascii="仿宋_GB2312" w:hAnsi="Times New Roman" w:eastAsia="仿宋_GB2312" w:cs="仿宋_GB2312"/>
          <w:kern w:val="2"/>
          <w:sz w:val="32"/>
          <w:szCs w:val="32"/>
          <w:lang w:val="en-US" w:eastAsia="zh-CN" w:bidi="ar"/>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ascii="仿宋_GB2312" w:hAnsi="Times New Roman" w:eastAsia="仿宋_GB2312" w:cs="仿宋_GB2312"/>
          <w:kern w:val="2"/>
          <w:sz w:val="32"/>
          <w:szCs w:val="32"/>
          <w:lang w:val="en-US" w:eastAsia="zh-CN" w:bidi="ar"/>
        </w:rPr>
        <w:br w:type="page"/>
      </w:r>
    </w:p>
    <w:tbl>
      <w:tblPr>
        <w:tblStyle w:val="14"/>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51"/>
        <w:gridCol w:w="1775"/>
        <w:gridCol w:w="2263"/>
        <w:gridCol w:w="521"/>
        <w:gridCol w:w="1677"/>
        <w:gridCol w:w="521"/>
        <w:gridCol w:w="1091"/>
        <w:gridCol w:w="505"/>
        <w:gridCol w:w="456"/>
        <w:gridCol w:w="2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51090422T000000400551-“码上监督”运行维护、机构编制监督检查、权责清单动态调整、议事协调机构精简清理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中共遂宁市安居区委机构编制委员会办公室部门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中共遂宁市安居区委机构编制委员会办公室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居区“码上监督”评价管理系统日常管理维护，网络使用、操作培训、相关考察调研会议等。深入各单位开展机构编制监督检查，按期动态调整权责清单，开展议事协调机构精简清理，组织召开相关会议和考察调研，并完成各类工作的编辑、排版、印刷、装订等工作。</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9.23</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9.23</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开展机构编制监督检查、权责清单动态调整、议事协调机构精简清理工作的考察、调研、会议</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开展机构编制监督检查、权责清单动态调整、议事协调机构精简清理工作的编辑、排版、校对、印刷等工作</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“码上监督”运行维护</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“码上监督”运行维护</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开展机构编制监督检查、权责清单动态调整、议事协调机构精简清理工作的编辑、排版、校对、印刷等工作</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开展机构编制监督检查、权责清单动态调整、议事协调机构精简清理工作的考察、调研、会议</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对机构编制监督工作的促进作用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对权责清单动态调整工作的促进作用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对议事协调机构精简清理工作的促进作用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2022年度，本单位深入开展“码上监督”、机构编制监督检查、权责清单动态调整、议事协调机构精简清理等相关工作，不断加强自身建设，积极履行职能职责，较好地完成了年初</w:t>
            </w:r>
            <w:bookmarkStart w:id="71" w:name="_GoBack"/>
            <w:bookmarkEnd w:id="71"/>
            <w:r>
              <w:rPr>
                <w:rFonts w:hint="eastAsia" w:ascii="宋体" w:hAnsi="宋体" w:cs="宋体"/>
                <w:i w:val="0"/>
                <w:iCs w:val="0"/>
                <w:color w:val="000000"/>
                <w:kern w:val="0"/>
                <w:sz w:val="18"/>
                <w:szCs w:val="18"/>
                <w:u w:val="none"/>
                <w:lang w:val="en-US" w:eastAsia="zh-CN" w:bidi="ar"/>
              </w:rPr>
              <w:t>预定</w:t>
            </w:r>
            <w:r>
              <w:rPr>
                <w:rFonts w:hint="eastAsia" w:ascii="宋体" w:hAnsi="宋体" w:eastAsia="宋体" w:cs="宋体"/>
                <w:i w:val="0"/>
                <w:iCs w:val="0"/>
                <w:color w:val="000000"/>
                <w:kern w:val="0"/>
                <w:sz w:val="18"/>
                <w:szCs w:val="18"/>
                <w:u w:val="none"/>
                <w:lang w:val="en-US" w:eastAsia="zh-CN" w:bidi="ar"/>
              </w:rPr>
              <w:t>的各项目标任务。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rPr>
          <w:rFonts w:hint="default" w:ascii="仿宋_GB2312" w:hAnsi="Times New Roman" w:eastAsia="仿宋_GB2312" w:cs="仿宋_GB2312"/>
          <w:kern w:val="2"/>
          <w:sz w:val="32"/>
          <w:szCs w:val="32"/>
          <w:lang w:val="en-US" w:eastAsia="zh-CN" w:bidi="ar"/>
        </w:rPr>
      </w:pPr>
      <w:r>
        <w:rPr>
          <w:rFonts w:hint="default" w:ascii="仿宋_GB2312" w:hAnsi="Times New Roman" w:eastAsia="仿宋_GB2312" w:cs="仿宋_GB2312"/>
          <w:kern w:val="2"/>
          <w:sz w:val="32"/>
          <w:szCs w:val="32"/>
          <w:lang w:val="en-US" w:eastAsia="zh-CN" w:bidi="ar"/>
        </w:rPr>
        <w:br w:type="page"/>
      </w:r>
    </w:p>
    <w:tbl>
      <w:tblPr>
        <w:tblStyle w:val="14"/>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51"/>
        <w:gridCol w:w="1775"/>
        <w:gridCol w:w="2263"/>
        <w:gridCol w:w="521"/>
        <w:gridCol w:w="1677"/>
        <w:gridCol w:w="521"/>
        <w:gridCol w:w="1091"/>
        <w:gridCol w:w="505"/>
        <w:gridCol w:w="456"/>
        <w:gridCol w:w="2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51090422T000000400573-深化机构改革“后半篇”文章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中共遂宁市安居区委机构编制委员会办公室部门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中共遂宁市安居区委机构编制委员会办公室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“后半篇”文章相关改革工作；拟制各类机构改革方案、开展各类机构改革工作的考察、调研、会议，与省市协调等；完成各类改革工作要点；完成各类工作编辑、排版、校对、印刷、装订等工作。</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9.92</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9.92</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开展各类机构改革工作的考察、调研、会议</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拟制各类机构改革方案</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各类改革工作要点完成率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完成各类工作编辑、排版、校对、印刷、装订、打印等工作</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完成各类工作编辑、排版、校对、印刷、装订、打印等工作</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开展各类工作的考察、调研、会议</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对机构改革工作的促进作用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对部门各类工作的影响年限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对部门各类工作的使用年限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涉及各类部门、乡镇的满意度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2022年度，本单位深入开展深化机构改革“后半篇”文章相关工作，不断加强自身建设，积极履行职能职责，较好地完成了年初</w:t>
            </w:r>
            <w:r>
              <w:rPr>
                <w:rFonts w:hint="eastAsia" w:ascii="宋体" w:hAnsi="宋体" w:cs="宋体"/>
                <w:i w:val="0"/>
                <w:iCs w:val="0"/>
                <w:color w:val="000000"/>
                <w:kern w:val="0"/>
                <w:sz w:val="18"/>
                <w:szCs w:val="18"/>
                <w:u w:val="none"/>
                <w:lang w:val="en-US" w:eastAsia="zh-CN" w:bidi="ar"/>
              </w:rPr>
              <w:t>预定</w:t>
            </w:r>
            <w:r>
              <w:rPr>
                <w:rFonts w:hint="eastAsia" w:ascii="宋体" w:hAnsi="宋体" w:eastAsia="宋体" w:cs="宋体"/>
                <w:i w:val="0"/>
                <w:iCs w:val="0"/>
                <w:color w:val="000000"/>
                <w:kern w:val="0"/>
                <w:sz w:val="18"/>
                <w:szCs w:val="18"/>
                <w:u w:val="none"/>
                <w:lang w:val="en-US" w:eastAsia="zh-CN" w:bidi="ar"/>
              </w:rPr>
              <w:t>的各项目标任务。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rPr>
          <w:rFonts w:hint="default" w:ascii="仿宋_GB2312" w:hAnsi="Times New Roman" w:eastAsia="仿宋_GB2312" w:cs="仿宋_GB2312"/>
          <w:kern w:val="2"/>
          <w:sz w:val="32"/>
          <w:szCs w:val="32"/>
          <w:lang w:val="en-US" w:eastAsia="zh-CN" w:bidi="ar"/>
        </w:rPr>
      </w:pPr>
      <w:r>
        <w:rPr>
          <w:rFonts w:hint="default" w:ascii="仿宋_GB2312" w:hAnsi="Times New Roman" w:eastAsia="仿宋_GB2312" w:cs="仿宋_GB2312"/>
          <w:kern w:val="2"/>
          <w:sz w:val="32"/>
          <w:szCs w:val="32"/>
          <w:lang w:val="en-US" w:eastAsia="zh-CN" w:bidi="ar"/>
        </w:rPr>
        <w:br w:type="page"/>
      </w:r>
    </w:p>
    <w:tbl>
      <w:tblPr>
        <w:tblStyle w:val="14"/>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51"/>
        <w:gridCol w:w="1775"/>
        <w:gridCol w:w="2263"/>
        <w:gridCol w:w="521"/>
        <w:gridCol w:w="1677"/>
        <w:gridCol w:w="521"/>
        <w:gridCol w:w="1091"/>
        <w:gridCol w:w="505"/>
        <w:gridCol w:w="456"/>
        <w:gridCol w:w="2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51090422T000000400578-信息化建设及运行维护经费、培训等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中共遂宁市安居区委机构编制委员会办公室部门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中共遂宁市安居区委机构编制委员会办公室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信息中心实名制系统和事业单位网上登记管理系统的日常管理维护和内网使用，实名制系统和事业单位网上登记管理系统的操作培训。</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区级实名制数据库操作培训</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实名制数据库日常管理维护 </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区级实名制数据库操作培训</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实名制数据库月报、季报、年报资料打印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资金安排</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对部门各类工作的影响年限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2022年度，本单位深入开展信息化建设及运行相关工作，不断加强自身建设，积极履行职能职责，较好地完成了年初</w:t>
            </w:r>
            <w:r>
              <w:rPr>
                <w:rFonts w:hint="eastAsia" w:ascii="宋体" w:hAnsi="宋体" w:cs="宋体"/>
                <w:i w:val="0"/>
                <w:iCs w:val="0"/>
                <w:color w:val="000000"/>
                <w:kern w:val="0"/>
                <w:sz w:val="18"/>
                <w:szCs w:val="18"/>
                <w:u w:val="none"/>
                <w:lang w:val="en-US" w:eastAsia="zh-CN" w:bidi="ar"/>
              </w:rPr>
              <w:t>预定</w:t>
            </w:r>
            <w:r>
              <w:rPr>
                <w:rFonts w:hint="eastAsia" w:ascii="宋体" w:hAnsi="宋体" w:eastAsia="宋体" w:cs="宋体"/>
                <w:i w:val="0"/>
                <w:iCs w:val="0"/>
                <w:color w:val="000000"/>
                <w:kern w:val="0"/>
                <w:sz w:val="18"/>
                <w:szCs w:val="18"/>
                <w:u w:val="none"/>
                <w:lang w:val="en-US" w:eastAsia="zh-CN" w:bidi="ar"/>
              </w:rPr>
              <w:t>的各项目标任务。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rPr>
          <w:rFonts w:hint="default" w:ascii="仿宋_GB2312" w:hAnsi="Times New Roman" w:eastAsia="仿宋_GB2312" w:cs="仿宋_GB2312"/>
          <w:kern w:val="2"/>
          <w:sz w:val="32"/>
          <w:szCs w:val="32"/>
          <w:lang w:val="en-US" w:eastAsia="zh-CN" w:bidi="ar"/>
        </w:rPr>
      </w:pPr>
      <w:r>
        <w:rPr>
          <w:rFonts w:hint="default" w:ascii="仿宋_GB2312" w:hAnsi="Times New Roman" w:eastAsia="仿宋_GB2312" w:cs="仿宋_GB2312"/>
          <w:kern w:val="2"/>
          <w:sz w:val="32"/>
          <w:szCs w:val="32"/>
          <w:lang w:val="en-US" w:eastAsia="zh-CN" w:bidi="ar"/>
        </w:rPr>
        <w:br w:type="page"/>
      </w:r>
    </w:p>
    <w:tbl>
      <w:tblPr>
        <w:tblStyle w:val="14"/>
        <w:tblW w:w="141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52"/>
        <w:gridCol w:w="1775"/>
        <w:gridCol w:w="2264"/>
        <w:gridCol w:w="521"/>
        <w:gridCol w:w="1677"/>
        <w:gridCol w:w="521"/>
        <w:gridCol w:w="1091"/>
        <w:gridCol w:w="505"/>
        <w:gridCol w:w="456"/>
        <w:gridCol w:w="2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51090423T000007634589-基层党组织活动经费及老干部支部活动经费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中共遂宁市安居区委机构编制委员会办公室部门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中共遂宁市安居区委机构编制委员会办公室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宋体" w:hAnsi="宋体" w:eastAsia="宋体" w:cs="宋体"/>
                <w:i w:val="0"/>
                <w:iCs w:val="0"/>
                <w:color w:val="000000"/>
                <w:kern w:val="0"/>
                <w:sz w:val="18"/>
                <w:szCs w:val="18"/>
                <w:u w:val="none"/>
                <w:lang w:val="en-US" w:eastAsia="zh-CN" w:bidi="ar"/>
              </w:rPr>
              <w:t>2022年度，本单位深入开展</w:t>
            </w:r>
            <w:r>
              <w:rPr>
                <w:rFonts w:hint="eastAsia" w:ascii="宋体" w:hAnsi="宋体" w:cs="宋体"/>
                <w:i w:val="0"/>
                <w:iCs w:val="0"/>
                <w:color w:val="000000"/>
                <w:kern w:val="0"/>
                <w:sz w:val="18"/>
                <w:szCs w:val="18"/>
                <w:u w:val="none"/>
                <w:lang w:val="en-US" w:eastAsia="zh-CN" w:bidi="ar"/>
              </w:rPr>
              <w:t>党组织活动，按时开展主题党日活动、“三会一课”等</w:t>
            </w:r>
            <w:r>
              <w:rPr>
                <w:rFonts w:hint="eastAsia" w:ascii="宋体" w:hAnsi="宋体" w:eastAsia="宋体" w:cs="宋体"/>
                <w:i w:val="0"/>
                <w:iCs w:val="0"/>
                <w:color w:val="000000"/>
                <w:kern w:val="0"/>
                <w:sz w:val="18"/>
                <w:szCs w:val="18"/>
                <w:u w:val="none"/>
                <w:lang w:val="en-US" w:eastAsia="zh-CN" w:bidi="ar"/>
              </w:rPr>
              <w:t>，不断加强自身建设，积极履行职能职责，较好地完成了年初</w:t>
            </w:r>
            <w:r>
              <w:rPr>
                <w:rFonts w:hint="eastAsia" w:ascii="宋体" w:hAnsi="宋体" w:cs="宋体"/>
                <w:i w:val="0"/>
                <w:iCs w:val="0"/>
                <w:color w:val="000000"/>
                <w:kern w:val="0"/>
                <w:sz w:val="18"/>
                <w:szCs w:val="18"/>
                <w:u w:val="none"/>
                <w:lang w:val="en-US" w:eastAsia="zh-CN" w:bidi="ar"/>
              </w:rPr>
              <w:t>预定</w:t>
            </w:r>
            <w:r>
              <w:rPr>
                <w:rFonts w:hint="eastAsia" w:ascii="宋体" w:hAnsi="宋体" w:eastAsia="宋体" w:cs="宋体"/>
                <w:i w:val="0"/>
                <w:iCs w:val="0"/>
                <w:color w:val="000000"/>
                <w:kern w:val="0"/>
                <w:sz w:val="18"/>
                <w:szCs w:val="18"/>
                <w:u w:val="none"/>
                <w:lang w:val="en-US" w:eastAsia="zh-CN" w:bidi="ar"/>
              </w:rPr>
              <w:t>的各项目标任务。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1365" w:leftChars="650" w:right="0" w:firstLine="240" w:firstLineChars="75"/>
        <w:jc w:val="both"/>
        <w:textAlignment w:val="auto"/>
        <w:rPr>
          <w:rFonts w:hint="default" w:ascii="仿宋_GB2312" w:hAnsi="Times New Roman" w:eastAsia="仿宋_GB2312" w:cs="仿宋_GB2312"/>
          <w:kern w:val="2"/>
          <w:sz w:val="32"/>
          <w:szCs w:val="32"/>
          <w:lang w:val="en-US" w:eastAsia="zh-CN" w:bidi="ar"/>
        </w:rPr>
      </w:pPr>
    </w:p>
    <w:p>
      <w:pPr>
        <w:widowControl/>
        <w:jc w:val="left"/>
        <w:rPr>
          <w:rStyle w:val="28"/>
          <w:rFonts w:ascii="黑体" w:hAnsi="黑体" w:eastAsia="黑体"/>
          <w:b w:val="0"/>
          <w:color w:val="auto"/>
          <w:highlight w:val="none"/>
        </w:rPr>
        <w:sectPr>
          <w:pgSz w:w="16838" w:h="11906" w:orient="landscape"/>
          <w:pgMar w:top="1417" w:right="1440" w:bottom="1417"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Style w:val="28"/>
          <w:rFonts w:ascii="黑体" w:hAnsi="黑体" w:eastAsia="黑体"/>
          <w:b w:val="0"/>
          <w:color w:val="auto"/>
          <w:highlight w:val="none"/>
        </w:rPr>
        <w:br w:type="page"/>
      </w:r>
    </w:p>
    <w:p>
      <w:pPr>
        <w:spacing w:line="600" w:lineRule="exact"/>
        <w:jc w:val="center"/>
        <w:outlineLvl w:val="0"/>
        <w:rPr>
          <w:rStyle w:val="28"/>
          <w:rFonts w:hint="eastAsia" w:ascii="黑体" w:hAnsi="黑体" w:eastAsia="黑体"/>
          <w:b w:val="0"/>
          <w:color w:val="auto"/>
          <w:highlight w:val="none"/>
        </w:rPr>
      </w:pPr>
      <w:bookmarkStart w:id="57" w:name="_Toc15396618"/>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五部分 附表</w:t>
      </w:r>
      <w:bookmarkEnd w:id="55"/>
      <w:bookmarkEnd w:id="57"/>
      <w:bookmarkStart w:id="58" w:name="_Toc15396619"/>
    </w:p>
    <w:p>
      <w:pPr>
        <w:spacing w:line="600" w:lineRule="exact"/>
        <w:jc w:val="center"/>
        <w:outlineLvl w:val="0"/>
        <w:rPr>
          <w:rStyle w:val="28"/>
          <w:rFonts w:hint="eastAsia" w:ascii="黑体" w:hAnsi="黑体" w:eastAsia="黑体"/>
          <w:b w:val="0"/>
          <w:color w:val="auto"/>
          <w:highlight w:val="none"/>
        </w:rPr>
      </w:pPr>
    </w:p>
    <w:p>
      <w:pPr>
        <w:pStyle w:val="3"/>
        <w:spacing w:line="720" w:lineRule="auto"/>
        <w:rPr>
          <w:rFonts w:ascii="仿宋" w:hAnsi="仿宋" w:eastAsia="仿宋"/>
          <w:color w:val="auto"/>
          <w:highlight w:val="none"/>
        </w:rPr>
      </w:pPr>
      <w:r>
        <w:rPr>
          <w:rFonts w:hint="eastAsia" w:ascii="仿宋" w:hAnsi="仿宋" w:eastAsia="仿宋"/>
          <w:b w:val="0"/>
          <w:color w:val="auto"/>
          <w:highlight w:val="none"/>
        </w:rPr>
        <w:t>一、收</w:t>
      </w:r>
      <w:r>
        <w:rPr>
          <w:rStyle w:val="29"/>
          <w:rFonts w:hint="eastAsia" w:ascii="仿宋" w:hAnsi="仿宋" w:eastAsia="仿宋"/>
          <w:b w:val="0"/>
          <w:bCs w:val="0"/>
          <w:color w:val="auto"/>
          <w:highlight w:val="none"/>
        </w:rPr>
        <w:t>入支出决算总表</w:t>
      </w:r>
      <w:bookmarkEnd w:id="58"/>
    </w:p>
    <w:p>
      <w:pPr>
        <w:pStyle w:val="3"/>
        <w:spacing w:line="720" w:lineRule="auto"/>
        <w:rPr>
          <w:rFonts w:ascii="仿宋" w:hAnsi="仿宋" w:eastAsia="仿宋"/>
          <w:color w:val="auto"/>
          <w:highlight w:val="none"/>
        </w:rPr>
      </w:pPr>
      <w:bookmarkStart w:id="59" w:name="_Toc15396620"/>
      <w:r>
        <w:rPr>
          <w:rFonts w:hint="eastAsia" w:ascii="仿宋" w:hAnsi="仿宋" w:eastAsia="仿宋"/>
          <w:b w:val="0"/>
          <w:color w:val="auto"/>
          <w:highlight w:val="none"/>
        </w:rPr>
        <w:t>二、收</w:t>
      </w:r>
      <w:r>
        <w:rPr>
          <w:rStyle w:val="29"/>
          <w:rFonts w:hint="eastAsia" w:ascii="仿宋" w:hAnsi="仿宋" w:eastAsia="仿宋"/>
          <w:b w:val="0"/>
          <w:bCs w:val="0"/>
          <w:color w:val="auto"/>
          <w:highlight w:val="none"/>
        </w:rPr>
        <w:t>入决算表</w:t>
      </w:r>
      <w:bookmarkEnd w:id="59"/>
    </w:p>
    <w:p>
      <w:pPr>
        <w:pStyle w:val="3"/>
        <w:spacing w:line="720" w:lineRule="auto"/>
        <w:rPr>
          <w:rFonts w:ascii="仿宋" w:hAnsi="仿宋" w:eastAsia="仿宋"/>
          <w:color w:val="auto"/>
          <w:highlight w:val="none"/>
        </w:rPr>
      </w:pPr>
      <w:bookmarkStart w:id="60" w:name="_Toc15396621"/>
      <w:r>
        <w:rPr>
          <w:rStyle w:val="29"/>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9"/>
          <w:rFonts w:hint="eastAsia" w:ascii="仿宋" w:hAnsi="仿宋" w:eastAsia="仿宋"/>
          <w:b w:val="0"/>
          <w:bCs w:val="0"/>
          <w:color w:val="auto"/>
          <w:highlight w:val="none"/>
        </w:rPr>
        <w:t>出决算表</w:t>
      </w:r>
      <w:bookmarkEnd w:id="60"/>
    </w:p>
    <w:p>
      <w:pPr>
        <w:pStyle w:val="3"/>
        <w:spacing w:line="720" w:lineRule="auto"/>
        <w:rPr>
          <w:rFonts w:ascii="仿宋" w:hAnsi="仿宋" w:eastAsia="仿宋"/>
          <w:b w:val="0"/>
          <w:color w:val="auto"/>
          <w:highlight w:val="none"/>
        </w:rPr>
      </w:pPr>
      <w:bookmarkStart w:id="61" w:name="_Toc15396622"/>
      <w:r>
        <w:rPr>
          <w:rStyle w:val="29"/>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政拨款收入支出决算总表</w:t>
      </w:r>
      <w:bookmarkEnd w:id="61"/>
    </w:p>
    <w:p>
      <w:pPr>
        <w:pStyle w:val="3"/>
        <w:spacing w:line="720" w:lineRule="auto"/>
        <w:rPr>
          <w:rStyle w:val="29"/>
          <w:rFonts w:ascii="仿宋" w:hAnsi="仿宋" w:eastAsia="仿宋"/>
          <w:b w:val="0"/>
          <w:bCs w:val="0"/>
          <w:color w:val="auto"/>
          <w:highlight w:val="none"/>
        </w:rPr>
      </w:pPr>
      <w:bookmarkStart w:id="62" w:name="_Toc15396623"/>
      <w:r>
        <w:rPr>
          <w:rStyle w:val="29"/>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政拨款支出决算明细表</w:t>
      </w:r>
      <w:bookmarkEnd w:id="62"/>
      <w:bookmarkStart w:id="63" w:name="_Toc15396624"/>
    </w:p>
    <w:p>
      <w:pPr>
        <w:pStyle w:val="3"/>
        <w:spacing w:line="720" w:lineRule="auto"/>
        <w:rPr>
          <w:rFonts w:ascii="仿宋" w:hAnsi="仿宋" w:eastAsia="仿宋"/>
          <w:color w:val="auto"/>
          <w:highlight w:val="none"/>
        </w:rPr>
      </w:pPr>
      <w:r>
        <w:rPr>
          <w:rStyle w:val="29"/>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般公共预算财政拨款支出决算表</w:t>
      </w:r>
      <w:bookmarkEnd w:id="63"/>
    </w:p>
    <w:p>
      <w:pPr>
        <w:pStyle w:val="3"/>
        <w:spacing w:line="720" w:lineRule="auto"/>
        <w:rPr>
          <w:rFonts w:ascii="仿宋" w:hAnsi="仿宋" w:eastAsia="仿宋"/>
          <w:color w:val="auto"/>
          <w:highlight w:val="none"/>
        </w:rPr>
      </w:pPr>
      <w:bookmarkStart w:id="64" w:name="_Toc15396625"/>
      <w:r>
        <w:rPr>
          <w:rStyle w:val="29"/>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般公共预算财政拨款支出决算明细表</w:t>
      </w:r>
      <w:bookmarkEnd w:id="64"/>
    </w:p>
    <w:p>
      <w:pPr>
        <w:pStyle w:val="3"/>
        <w:spacing w:line="720" w:lineRule="auto"/>
        <w:rPr>
          <w:rFonts w:ascii="仿宋" w:hAnsi="仿宋" w:eastAsia="仿宋"/>
          <w:color w:val="auto"/>
          <w:highlight w:val="none"/>
        </w:rPr>
      </w:pPr>
      <w:bookmarkStart w:id="65" w:name="_Toc15396626"/>
      <w:r>
        <w:rPr>
          <w:rStyle w:val="29"/>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般公共预算财政拨款基本支出决算表</w:t>
      </w:r>
      <w:bookmarkEnd w:id="65"/>
    </w:p>
    <w:p>
      <w:pPr>
        <w:pStyle w:val="3"/>
        <w:spacing w:line="720" w:lineRule="auto"/>
        <w:rPr>
          <w:rFonts w:ascii="仿宋" w:hAnsi="仿宋" w:eastAsia="仿宋"/>
          <w:color w:val="auto"/>
          <w:highlight w:val="none"/>
        </w:rPr>
      </w:pPr>
      <w:bookmarkStart w:id="66" w:name="_Toc15396627"/>
      <w:r>
        <w:rPr>
          <w:rStyle w:val="29"/>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般公共预算财政拨款项目支出决算表</w:t>
      </w:r>
      <w:bookmarkEnd w:id="66"/>
    </w:p>
    <w:p>
      <w:pPr>
        <w:pStyle w:val="3"/>
        <w:spacing w:line="720" w:lineRule="auto"/>
        <w:rPr>
          <w:rFonts w:ascii="仿宋" w:hAnsi="仿宋" w:eastAsia="仿宋"/>
          <w:color w:val="auto"/>
          <w:highlight w:val="none"/>
        </w:rPr>
      </w:pPr>
      <w:bookmarkStart w:id="67" w:name="_Toc15396628"/>
      <w:r>
        <w:rPr>
          <w:rStyle w:val="29"/>
          <w:rFonts w:hint="eastAsia" w:ascii="仿宋" w:hAnsi="仿宋" w:eastAsia="仿宋"/>
          <w:b w:val="0"/>
          <w:bCs w:val="0"/>
          <w:color w:val="auto"/>
          <w:highlight w:val="none"/>
        </w:rPr>
        <w:t>十、</w:t>
      </w:r>
      <w:bookmarkEnd w:id="67"/>
      <w:r>
        <w:rPr>
          <w:rFonts w:hint="eastAsia" w:ascii="仿宋" w:hAnsi="仿宋" w:eastAsia="仿宋"/>
          <w:b w:val="0"/>
          <w:color w:val="auto"/>
          <w:highlight w:val="none"/>
        </w:rPr>
        <w:t>政</w:t>
      </w:r>
      <w:r>
        <w:rPr>
          <w:rStyle w:val="29"/>
          <w:rFonts w:hint="eastAsia" w:ascii="仿宋" w:hAnsi="仿宋" w:eastAsia="仿宋"/>
          <w:b w:val="0"/>
          <w:bCs w:val="0"/>
          <w:color w:val="auto"/>
          <w:highlight w:val="none"/>
        </w:rPr>
        <w:t>府性基金预算财政拨款收入支出决算表</w:t>
      </w:r>
    </w:p>
    <w:p>
      <w:pPr>
        <w:pStyle w:val="3"/>
        <w:spacing w:line="720" w:lineRule="auto"/>
        <w:rPr>
          <w:rFonts w:ascii="仿宋" w:hAnsi="仿宋" w:eastAsia="仿宋"/>
          <w:color w:val="auto"/>
          <w:highlight w:val="none"/>
        </w:rPr>
      </w:pPr>
      <w:bookmarkStart w:id="68" w:name="_Toc15396629"/>
      <w:r>
        <w:rPr>
          <w:rStyle w:val="29"/>
          <w:rFonts w:hint="eastAsia" w:ascii="仿宋" w:hAnsi="仿宋" w:eastAsia="仿宋"/>
          <w:b w:val="0"/>
          <w:bCs w:val="0"/>
          <w:color w:val="auto"/>
          <w:highlight w:val="none"/>
        </w:rPr>
        <w:t>十一、</w:t>
      </w:r>
      <w:bookmarkEnd w:id="68"/>
      <w:r>
        <w:rPr>
          <w:rFonts w:hint="eastAsia" w:ascii="仿宋" w:hAnsi="仿宋" w:eastAsia="仿宋"/>
          <w:b w:val="0"/>
          <w:color w:val="auto"/>
          <w:highlight w:val="none"/>
        </w:rPr>
        <w:t>国</w:t>
      </w:r>
      <w:r>
        <w:rPr>
          <w:rStyle w:val="29"/>
          <w:rFonts w:hint="eastAsia" w:ascii="仿宋" w:hAnsi="仿宋" w:eastAsia="仿宋"/>
          <w:b w:val="0"/>
          <w:bCs w:val="0"/>
          <w:color w:val="auto"/>
          <w:highlight w:val="none"/>
        </w:rPr>
        <w:t>有资本经营预算</w:t>
      </w:r>
      <w:r>
        <w:rPr>
          <w:rStyle w:val="29"/>
          <w:rFonts w:hint="eastAsia" w:ascii="仿宋" w:hAnsi="仿宋" w:eastAsia="仿宋"/>
          <w:b w:val="0"/>
          <w:bCs w:val="0"/>
          <w:color w:val="auto"/>
          <w:highlight w:val="none"/>
          <w:lang w:eastAsia="zh-CN"/>
        </w:rPr>
        <w:t>财政拨款收入</w:t>
      </w:r>
      <w:r>
        <w:rPr>
          <w:rStyle w:val="29"/>
          <w:rFonts w:hint="eastAsia" w:ascii="仿宋" w:hAnsi="仿宋" w:eastAsia="仿宋"/>
          <w:b w:val="0"/>
          <w:bCs w:val="0"/>
          <w:color w:val="auto"/>
          <w:highlight w:val="none"/>
        </w:rPr>
        <w:t>支出决算表</w:t>
      </w:r>
    </w:p>
    <w:p>
      <w:pPr>
        <w:pStyle w:val="3"/>
        <w:spacing w:line="720" w:lineRule="auto"/>
        <w:rPr>
          <w:rFonts w:ascii="仿宋" w:hAnsi="仿宋" w:eastAsia="仿宋"/>
          <w:color w:val="auto"/>
          <w:highlight w:val="none"/>
        </w:rPr>
      </w:pPr>
      <w:bookmarkStart w:id="69" w:name="_Toc15396630"/>
      <w:r>
        <w:rPr>
          <w:rStyle w:val="29"/>
          <w:rFonts w:hint="eastAsia" w:ascii="仿宋" w:hAnsi="仿宋" w:eastAsia="仿宋"/>
          <w:b w:val="0"/>
          <w:bCs w:val="0"/>
          <w:color w:val="auto"/>
          <w:highlight w:val="none"/>
        </w:rPr>
        <w:t>十二、</w:t>
      </w:r>
      <w:bookmarkEnd w:id="69"/>
      <w:r>
        <w:rPr>
          <w:rStyle w:val="29"/>
          <w:rFonts w:hint="eastAsia" w:ascii="仿宋" w:hAnsi="仿宋" w:eastAsia="仿宋"/>
          <w:b w:val="0"/>
          <w:bCs w:val="0"/>
          <w:color w:val="auto"/>
          <w:highlight w:val="none"/>
          <w:lang w:eastAsia="zh-CN"/>
        </w:rPr>
        <w:t>国有资本经营预算财政拨款支出决算表</w:t>
      </w:r>
    </w:p>
    <w:p>
      <w:pPr>
        <w:pStyle w:val="3"/>
        <w:spacing w:line="720" w:lineRule="auto"/>
        <w:rPr>
          <w:rFonts w:hint="eastAsia" w:eastAsia="仿宋"/>
          <w:color w:val="auto"/>
          <w:highlight w:val="none"/>
          <w:lang w:eastAsia="zh-CN"/>
        </w:rPr>
      </w:pPr>
      <w:bookmarkStart w:id="70" w:name="_Toc15396631"/>
      <w:r>
        <w:rPr>
          <w:rStyle w:val="29"/>
          <w:rFonts w:hint="eastAsia" w:ascii="仿宋" w:hAnsi="仿宋" w:eastAsia="仿宋"/>
          <w:b w:val="0"/>
          <w:bCs w:val="0"/>
          <w:color w:val="auto"/>
          <w:highlight w:val="none"/>
        </w:rPr>
        <w:t>十三、</w:t>
      </w:r>
      <w:bookmarkEnd w:id="70"/>
      <w:r>
        <w:rPr>
          <w:rStyle w:val="29"/>
          <w:rFonts w:hint="eastAsia" w:ascii="仿宋" w:hAnsi="仿宋" w:eastAsia="仿宋"/>
          <w:b w:val="0"/>
          <w:bCs w:val="0"/>
          <w:color w:val="auto"/>
          <w:highlight w:val="none"/>
          <w:lang w:eastAsia="zh-CN"/>
        </w:rPr>
        <w:t>财政拨款“三公”经费支出决算表</w:t>
      </w: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693C8E8"/>
    <w:multiLevelType w:val="singleLevel"/>
    <w:tmpl w:val="D693C8E8"/>
    <w:lvl w:ilvl="0" w:tentative="0">
      <w:start w:val="1"/>
      <w:numFmt w:val="chineseCounting"/>
      <w:suff w:val="space"/>
      <w:lvlText w:val="第%1部分"/>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lYTk0MzcyMThiYzYzYTU1MmY3NTJiOTIzYzlhZDc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66E0107"/>
    <w:rsid w:val="068F1240"/>
    <w:rsid w:val="069A65B0"/>
    <w:rsid w:val="07996F6E"/>
    <w:rsid w:val="0A2032A3"/>
    <w:rsid w:val="0A285C81"/>
    <w:rsid w:val="0AAC240E"/>
    <w:rsid w:val="0B852C60"/>
    <w:rsid w:val="0EB96FCB"/>
    <w:rsid w:val="0F98263C"/>
    <w:rsid w:val="101860EC"/>
    <w:rsid w:val="10BF041C"/>
    <w:rsid w:val="10C055FF"/>
    <w:rsid w:val="10FB40F0"/>
    <w:rsid w:val="118107EC"/>
    <w:rsid w:val="13D50BC4"/>
    <w:rsid w:val="14922675"/>
    <w:rsid w:val="14F458B3"/>
    <w:rsid w:val="16BB723D"/>
    <w:rsid w:val="16F72C63"/>
    <w:rsid w:val="17425323"/>
    <w:rsid w:val="174E08E2"/>
    <w:rsid w:val="179951AA"/>
    <w:rsid w:val="1A330456"/>
    <w:rsid w:val="1BE8440E"/>
    <w:rsid w:val="1C4C3A51"/>
    <w:rsid w:val="1D155CEE"/>
    <w:rsid w:val="1FF35744"/>
    <w:rsid w:val="20BD316F"/>
    <w:rsid w:val="215A54C1"/>
    <w:rsid w:val="22FF7A6F"/>
    <w:rsid w:val="23860B96"/>
    <w:rsid w:val="240371BF"/>
    <w:rsid w:val="240D3542"/>
    <w:rsid w:val="258B383C"/>
    <w:rsid w:val="283B6906"/>
    <w:rsid w:val="288822B5"/>
    <w:rsid w:val="29FD04D3"/>
    <w:rsid w:val="2A094D30"/>
    <w:rsid w:val="2C155C0E"/>
    <w:rsid w:val="2C815051"/>
    <w:rsid w:val="2C8A61B5"/>
    <w:rsid w:val="2DF04E50"/>
    <w:rsid w:val="2E114AFB"/>
    <w:rsid w:val="2F040D46"/>
    <w:rsid w:val="31745184"/>
    <w:rsid w:val="319F7F4E"/>
    <w:rsid w:val="3304709D"/>
    <w:rsid w:val="36AA5135"/>
    <w:rsid w:val="376D39B2"/>
    <w:rsid w:val="37D54F27"/>
    <w:rsid w:val="37E16F03"/>
    <w:rsid w:val="38044D88"/>
    <w:rsid w:val="386A68D5"/>
    <w:rsid w:val="38D469F0"/>
    <w:rsid w:val="391E1E7A"/>
    <w:rsid w:val="39204F51"/>
    <w:rsid w:val="3D98207C"/>
    <w:rsid w:val="3E2919ED"/>
    <w:rsid w:val="3E78745D"/>
    <w:rsid w:val="40FA4E7B"/>
    <w:rsid w:val="4226071D"/>
    <w:rsid w:val="44A678F3"/>
    <w:rsid w:val="44E268DA"/>
    <w:rsid w:val="476126D6"/>
    <w:rsid w:val="48D24C1A"/>
    <w:rsid w:val="4A446CB6"/>
    <w:rsid w:val="4A627F82"/>
    <w:rsid w:val="4B0E749A"/>
    <w:rsid w:val="4B4F25DA"/>
    <w:rsid w:val="4BE068DB"/>
    <w:rsid w:val="4D196FC1"/>
    <w:rsid w:val="4D577224"/>
    <w:rsid w:val="4EAB630A"/>
    <w:rsid w:val="4ECE2238"/>
    <w:rsid w:val="507C775A"/>
    <w:rsid w:val="51351F63"/>
    <w:rsid w:val="51EE6435"/>
    <w:rsid w:val="5253621A"/>
    <w:rsid w:val="5285323E"/>
    <w:rsid w:val="537E6D0A"/>
    <w:rsid w:val="552A3C28"/>
    <w:rsid w:val="556F5ADF"/>
    <w:rsid w:val="55A41C2D"/>
    <w:rsid w:val="573214BA"/>
    <w:rsid w:val="5AF92295"/>
    <w:rsid w:val="5C9E1D6E"/>
    <w:rsid w:val="5CA948B2"/>
    <w:rsid w:val="5CB97273"/>
    <w:rsid w:val="5CD71FC4"/>
    <w:rsid w:val="6094289E"/>
    <w:rsid w:val="61C80A51"/>
    <w:rsid w:val="65982E30"/>
    <w:rsid w:val="660109D5"/>
    <w:rsid w:val="66C9266A"/>
    <w:rsid w:val="6C4A05C8"/>
    <w:rsid w:val="6D323B6A"/>
    <w:rsid w:val="6E7E3605"/>
    <w:rsid w:val="6EE113A4"/>
    <w:rsid w:val="6F5D0870"/>
    <w:rsid w:val="6FF5CC65"/>
    <w:rsid w:val="715C0E4B"/>
    <w:rsid w:val="72734D90"/>
    <w:rsid w:val="73243F55"/>
    <w:rsid w:val="73AD73D5"/>
    <w:rsid w:val="73B6EB34"/>
    <w:rsid w:val="744731E5"/>
    <w:rsid w:val="76DF67C1"/>
    <w:rsid w:val="76E3355F"/>
    <w:rsid w:val="778769C8"/>
    <w:rsid w:val="79EE5BA4"/>
    <w:rsid w:val="7A894339"/>
    <w:rsid w:val="7A97325F"/>
    <w:rsid w:val="7ACC4A69"/>
    <w:rsid w:val="7CB4634A"/>
    <w:rsid w:val="7EEF11D3"/>
    <w:rsid w:val="7FA30C79"/>
    <w:rsid w:val="7FB14DC3"/>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line="576" w:lineRule="exact"/>
      <w:outlineLvl w:val="1"/>
    </w:pPr>
    <w:rPr>
      <w:rFonts w:eastAsia="黑体" w:asciiTheme="majorAscii" w:hAnsiTheme="majorAscii" w:cstheme="majorBidi"/>
      <w:bCs/>
      <w:sz w:val="32"/>
      <w:szCs w:val="32"/>
    </w:rPr>
  </w:style>
  <w:style w:type="paragraph" w:styleId="4">
    <w:name w:val="heading 3"/>
    <w:basedOn w:val="1"/>
    <w:next w:val="1"/>
    <w:link w:val="18"/>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 w:val="right" w:leader="dot" w:pos="8843"/>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 w:val="right" w:leader="dot" w:pos="8843"/>
      </w:tabs>
      <w:ind w:left="420" w:leftChars="200"/>
    </w:pPr>
    <w:rPr>
      <w:rFonts w:ascii="Times New Roman" w:hAnsi="Times New Roman" w:eastAsia="宋体"/>
    </w:r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标题 3 Char"/>
    <w:basedOn w:val="15"/>
    <w:link w:val="4"/>
    <w:qFormat/>
    <w:uiPriority w:val="9"/>
    <w:rPr>
      <w:rFonts w:ascii="Times New Roman" w:hAnsi="Times New Roman"/>
      <w:b/>
      <w:bCs/>
      <w:kern w:val="2"/>
      <w:sz w:val="32"/>
      <w:szCs w:val="32"/>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5"/>
    <w:semiHidden/>
    <w:qFormat/>
    <w:uiPriority w:val="99"/>
    <w:rPr>
      <w:rFonts w:ascii="Times New Roman" w:hAnsi="Times New Roman"/>
      <w:sz w:val="18"/>
      <w:szCs w:val="18"/>
    </w:rPr>
  </w:style>
  <w:style w:type="character" w:customStyle="1" w:styleId="21">
    <w:name w:val="页眉 Char"/>
    <w:link w:val="10"/>
    <w:semiHidden/>
    <w:qFormat/>
    <w:locked/>
    <w:uiPriority w:val="99"/>
    <w:rPr>
      <w:sz w:val="18"/>
    </w:rPr>
  </w:style>
  <w:style w:type="character" w:customStyle="1" w:styleId="22">
    <w:name w:val="Footer Char"/>
    <w:basedOn w:val="15"/>
    <w:semiHidden/>
    <w:qFormat/>
    <w:uiPriority w:val="99"/>
    <w:rPr>
      <w:rFonts w:ascii="Times New Roman" w:hAnsi="Times New Roman"/>
      <w:sz w:val="18"/>
      <w:szCs w:val="18"/>
    </w:rPr>
  </w:style>
  <w:style w:type="character" w:customStyle="1" w:styleId="23">
    <w:name w:val="页脚 Char"/>
    <w:link w:val="9"/>
    <w:qFormat/>
    <w:locked/>
    <w:uiPriority w:val="99"/>
    <w:rPr>
      <w:sz w:val="18"/>
    </w:rPr>
  </w:style>
  <w:style w:type="character" w:customStyle="1" w:styleId="24">
    <w:name w:val="Body Text Char"/>
    <w:basedOn w:val="15"/>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5"/>
    <w:link w:val="2"/>
    <w:qFormat/>
    <w:uiPriority w:val="9"/>
    <w:rPr>
      <w:rFonts w:ascii="Times New Roman" w:hAnsi="Times New Roman"/>
      <w:b/>
      <w:bCs/>
      <w:kern w:val="44"/>
      <w:sz w:val="44"/>
      <w:szCs w:val="44"/>
    </w:rPr>
  </w:style>
  <w:style w:type="character" w:customStyle="1" w:styleId="29">
    <w:name w:val="标题 2 Char"/>
    <w:basedOn w:val="15"/>
    <w:link w:val="3"/>
    <w:qFormat/>
    <w:uiPriority w:val="9"/>
    <w:rPr>
      <w:rFonts w:eastAsia="黑体" w:asciiTheme="majorAscii" w:hAnsiTheme="majorAscii" w:cstheme="majorBidi"/>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5"/>
    <w:link w:val="8"/>
    <w:semiHidden/>
    <w:qFormat/>
    <w:uiPriority w:val="99"/>
    <w:rPr>
      <w:rFonts w:ascii="Times New Roman" w:hAnsi="Times New Roman"/>
      <w:kern w:val="2"/>
      <w:sz w:val="18"/>
      <w:szCs w:val="18"/>
    </w:rPr>
  </w:style>
  <w:style w:type="paragraph" w:customStyle="1" w:styleId="32">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F:\2022&#24180;&#37096;&#38376;&#20915;&#31639;\2022&#24180;&#20915;&#31639;&#20844;&#24320;&#21450;&#25209;&#22797;&#36164;&#26009;\&#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2022&#24180;&#37096;&#38376;&#20915;&#31639;\2022&#24180;&#20915;&#31639;&#20844;&#24320;&#21450;&#25209;&#22797;&#36164;&#26009;\&#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2022&#24180;&#37096;&#38376;&#20915;&#31639;\2022&#24180;&#20915;&#31639;&#20844;&#24320;&#21450;&#25209;&#22797;&#36164;&#26009;\&#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2022&#24180;&#37096;&#38376;&#20915;&#31639;\2022&#24180;&#20915;&#31639;&#20844;&#24320;&#21450;&#25209;&#22797;&#36164;&#26009;\&#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2022&#24180;&#37096;&#38376;&#20915;&#31639;\2022&#24180;&#20915;&#31639;&#20844;&#24320;&#21450;&#25209;&#22797;&#36164;&#26009;\&#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2022&#24180;&#37096;&#38376;&#20915;&#31639;\2022&#24180;&#20915;&#31639;&#20844;&#24320;&#21450;&#25209;&#22797;&#36164;&#26009;\&#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2022&#24180;&#37096;&#38376;&#20915;&#31639;\2022&#24180;&#20915;&#31639;&#20844;&#24320;&#21450;&#25209;&#22797;&#36164;&#26009;\&#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[图表.xls]Sheet1!$A$2</c:f>
              <c:strCache>
                <c:ptCount val="1"/>
                <c:pt idx="0">
                  <c:v>2022年</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[图表.xls]Sheet1!$B$1:$C$1</c:f>
              <c:strCache>
                <c:ptCount val="2"/>
                <c:pt idx="0">
                  <c:v>收入</c:v>
                </c:pt>
                <c:pt idx="1">
                  <c:v>支出</c:v>
                </c:pt>
              </c:strCache>
            </c:strRef>
          </c:cat>
          <c:val>
            <c:numRef>
              <c:f>[图表.xls]Sheet1!$B$2:$C$2</c:f>
              <c:numCache>
                <c:formatCode>#,##0.00_ </c:formatCode>
                <c:ptCount val="2"/>
                <c:pt idx="0">
                  <c:v>191.07</c:v>
                </c:pt>
                <c:pt idx="1">
                  <c:v>191.07</c:v>
                </c:pt>
              </c:numCache>
            </c:numRef>
          </c:val>
        </c:ser>
        <c:ser>
          <c:idx val="1"/>
          <c:order val="1"/>
          <c:tx>
            <c:strRef>
              <c:f>[图表.xls]Sheet1!$A$3</c:f>
              <c:strCache>
                <c:ptCount val="1"/>
                <c:pt idx="0">
                  <c:v>2021年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[图表.xls]Sheet1!$B$1:$C$1</c:f>
              <c:strCache>
                <c:ptCount val="2"/>
                <c:pt idx="0">
                  <c:v>收入</c:v>
                </c:pt>
                <c:pt idx="1">
                  <c:v>支出</c:v>
                </c:pt>
              </c:strCache>
            </c:strRef>
          </c:cat>
          <c:val>
            <c:numRef>
              <c:f>[图表.xls]Sheet1!$B$3:$C$3</c:f>
              <c:numCache>
                <c:formatCode>#,##0.00_ </c:formatCode>
                <c:ptCount val="2"/>
                <c:pt idx="0">
                  <c:v>204.48</c:v>
                </c:pt>
                <c:pt idx="1">
                  <c:v>204.48</c:v>
                </c:pt>
              </c:numCache>
            </c:numRef>
          </c:val>
        </c:ser>
        <c:dLbls>
          <c:showLegendKey val="0"/>
          <c:showVal val="0"/>
          <c:showCatName val="0"/>
          <c:showSerName val="0"/>
          <c:showPercent val="0"/>
          <c:showBubbleSize val="0"/>
        </c:dLbls>
        <c:gapWidth val="219"/>
        <c:overlap val="-27"/>
        <c:axId val="204970276"/>
        <c:axId val="668266028"/>
      </c:barChart>
      <c:catAx>
        <c:axId val="20497027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8266028"/>
        <c:crosses val="autoZero"/>
        <c:auto val="1"/>
        <c:lblAlgn val="ctr"/>
        <c:lblOffset val="100"/>
        <c:noMultiLvlLbl val="0"/>
      </c:catAx>
      <c:valAx>
        <c:axId val="6682660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497027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'[图表.xls]2'!$B$1</c:f>
              <c:strCache>
                <c:ptCount val="1"/>
                <c:pt idx="0">
                  <c:v>占比</c:v>
                </c:pt>
              </c:strCache>
            </c:strRef>
          </c:tx>
          <c:explosion val="0"/>
          <c:dPt>
            <c:idx val="0"/>
            <c:bubble3D val="0"/>
          </c:dPt>
          <c:dLbls>
            <c:dLbl>
              <c:idx val="0"/>
              <c:layout>
                <c:manualLayout>
                  <c:x val="0.00384731217599634"/>
                  <c:y val="-0.2061566741362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'[图表.xls]2'!$A$2</c:f>
              <c:strCache>
                <c:ptCount val="1"/>
                <c:pt idx="0">
                  <c:v>一般公共预算财政拨款收入</c:v>
                </c:pt>
              </c:strCache>
            </c:strRef>
          </c:cat>
          <c:val>
            <c:numRef>
              <c:f>'[图表.xls]2'!$B$2</c:f>
              <c:numCache>
                <c:formatCode>0.00%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[图表.xls]Sheet3!$B$1</c:f>
              <c:strCache>
                <c:ptCount val="1"/>
                <c:pt idx="0">
                  <c:v>占比</c:v>
                </c:pt>
              </c:strCache>
            </c:strRef>
          </c:tx>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dLbl>
              <c:idx val="0"/>
              <c:layout>
                <c:manualLayout>
                  <c:x val="-0.0737596932415443"/>
                  <c:y val="-0.19840570618376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43353277757383"/>
                  <c:y val="0.13433086923180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[图表.xls]Sheet3!$A$2:$A$3</c:f>
              <c:strCache>
                <c:ptCount val="2"/>
                <c:pt idx="0">
                  <c:v>基本支出</c:v>
                </c:pt>
                <c:pt idx="1">
                  <c:v>项目支出</c:v>
                </c:pt>
              </c:strCache>
            </c:strRef>
          </c:cat>
          <c:val>
            <c:numRef>
              <c:f>[图表.xls]Sheet3!$B$2:$B$3</c:f>
              <c:numCache>
                <c:formatCode>0.00%</c:formatCode>
                <c:ptCount val="2"/>
                <c:pt idx="0">
                  <c:v>0.891976762443084</c:v>
                </c:pt>
                <c:pt idx="1">
                  <c:v>0.108023237556916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[图表.xls]Sheet1!$A$2</c:f>
              <c:strCache>
                <c:ptCount val="1"/>
                <c:pt idx="0">
                  <c:v>2022年</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[图表.xls]Sheet1!$B$1:$C$1</c:f>
              <c:strCache>
                <c:ptCount val="2"/>
                <c:pt idx="0">
                  <c:v>收入</c:v>
                </c:pt>
                <c:pt idx="1">
                  <c:v>支出</c:v>
                </c:pt>
              </c:strCache>
            </c:strRef>
          </c:cat>
          <c:val>
            <c:numRef>
              <c:f>[图表.xls]Sheet1!$B$2:$C$2</c:f>
              <c:numCache>
                <c:formatCode>#,##0.00_ </c:formatCode>
                <c:ptCount val="2"/>
                <c:pt idx="0">
                  <c:v>191.07</c:v>
                </c:pt>
                <c:pt idx="1">
                  <c:v>191.07</c:v>
                </c:pt>
              </c:numCache>
            </c:numRef>
          </c:val>
        </c:ser>
        <c:ser>
          <c:idx val="1"/>
          <c:order val="1"/>
          <c:tx>
            <c:strRef>
              <c:f>[图表.xls]Sheet1!$A$3</c:f>
              <c:strCache>
                <c:ptCount val="1"/>
                <c:pt idx="0">
                  <c:v>2021年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[图表.xls]Sheet1!$B$1:$C$1</c:f>
              <c:strCache>
                <c:ptCount val="2"/>
                <c:pt idx="0">
                  <c:v>收入</c:v>
                </c:pt>
                <c:pt idx="1">
                  <c:v>支出</c:v>
                </c:pt>
              </c:strCache>
            </c:strRef>
          </c:cat>
          <c:val>
            <c:numRef>
              <c:f>[图表.xls]Sheet1!$B$3:$C$3</c:f>
              <c:numCache>
                <c:formatCode>#,##0.00_ </c:formatCode>
                <c:ptCount val="2"/>
                <c:pt idx="0">
                  <c:v>204.48</c:v>
                </c:pt>
                <c:pt idx="1">
                  <c:v>204.48</c:v>
                </c:pt>
              </c:numCache>
            </c:numRef>
          </c:val>
        </c:ser>
        <c:dLbls>
          <c:showLegendKey val="0"/>
          <c:showVal val="0"/>
          <c:showCatName val="0"/>
          <c:showSerName val="0"/>
          <c:showPercent val="0"/>
          <c:showBubbleSize val="0"/>
        </c:dLbls>
        <c:gapWidth val="219"/>
        <c:overlap val="-27"/>
        <c:axId val="204970276"/>
        <c:axId val="668266028"/>
      </c:barChart>
      <c:catAx>
        <c:axId val="20497027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8266028"/>
        <c:crosses val="autoZero"/>
        <c:auto val="1"/>
        <c:lblAlgn val="ctr"/>
        <c:lblOffset val="100"/>
        <c:noMultiLvlLbl val="0"/>
      </c:catAx>
      <c:valAx>
        <c:axId val="6682660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497027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[图表.xls]Sheet4!$B$1</c:f>
              <c:strCache>
                <c:ptCount val="1"/>
                <c:pt idx="0">
                  <c:v>一般公共预算财政拨款支出</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[图表.xls]Sheet4!$A$2:$A$3</c:f>
              <c:strCache>
                <c:ptCount val="2"/>
                <c:pt idx="0">
                  <c:v>2022年</c:v>
                </c:pt>
                <c:pt idx="1">
                  <c:v>2021年</c:v>
                </c:pt>
              </c:strCache>
            </c:strRef>
          </c:cat>
          <c:val>
            <c:numRef>
              <c:f>[图表.xls]Sheet4!$B$2:$B$3</c:f>
              <c:numCache>
                <c:formatCode>#,##0.00_ </c:formatCode>
                <c:ptCount val="2"/>
                <c:pt idx="0">
                  <c:v>191.07</c:v>
                </c:pt>
                <c:pt idx="1">
                  <c:v>204.48</c:v>
                </c:pt>
              </c:numCache>
            </c:numRef>
          </c:val>
        </c:ser>
        <c:dLbls>
          <c:showLegendKey val="0"/>
          <c:showVal val="0"/>
          <c:showCatName val="0"/>
          <c:showSerName val="0"/>
          <c:showPercent val="0"/>
          <c:showBubbleSize val="0"/>
        </c:dLbls>
        <c:gapWidth val="219"/>
        <c:overlap val="-27"/>
        <c:axId val="881001858"/>
        <c:axId val="820372285"/>
      </c:barChart>
      <c:catAx>
        <c:axId val="88100185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0372285"/>
        <c:crosses val="autoZero"/>
        <c:auto val="1"/>
        <c:lblAlgn val="ctr"/>
        <c:lblOffset val="100"/>
        <c:noMultiLvlLbl val="0"/>
      </c:catAx>
      <c:valAx>
        <c:axId val="820372285"/>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00185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[图表.xls]Sheet5!$B$1</c:f>
              <c:strCache>
                <c:ptCount val="1"/>
                <c:pt idx="0">
                  <c:v>占比</c:v>
                </c:pt>
              </c:strCache>
            </c:strRef>
          </c:tx>
          <c:explosion val="0"/>
          <c:dPt>
            <c:idx val="0"/>
            <c:bubble3D val="0"/>
          </c:dPt>
          <c:dPt>
            <c:idx val="1"/>
            <c:bubble3D val="0"/>
          </c:dPt>
          <c:dPt>
            <c:idx val="2"/>
            <c:bubble3D val="0"/>
          </c:dPt>
          <c:dPt>
            <c:idx val="3"/>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[图表.xls]Sheet5!$A$2:$A$5</c:f>
              <c:strCache>
                <c:ptCount val="4"/>
                <c:pt idx="0">
                  <c:v>一般公共服务支出</c:v>
                </c:pt>
                <c:pt idx="1">
                  <c:v>社会保障和就业支出</c:v>
                </c:pt>
                <c:pt idx="2">
                  <c:v>卫生健康支出</c:v>
                </c:pt>
                <c:pt idx="3">
                  <c:v>住房保障支出</c:v>
                </c:pt>
              </c:strCache>
            </c:strRef>
          </c:cat>
          <c:val>
            <c:numRef>
              <c:f>[图表.xls]Sheet5!$B$2:$B$5</c:f>
              <c:numCache>
                <c:formatCode>0.00%</c:formatCode>
                <c:ptCount val="4"/>
                <c:pt idx="0">
                  <c:v>0.833778196472497</c:v>
                </c:pt>
                <c:pt idx="1">
                  <c:v>0.0581462291306851</c:v>
                </c:pt>
                <c:pt idx="2">
                  <c:v>0.0372114931700424</c:v>
                </c:pt>
                <c:pt idx="3">
                  <c:v>0.0708640812267755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[图表.xls]Sheet6!$B$1</c:f>
              <c:strCache>
                <c:ptCount val="1"/>
                <c:pt idx="0">
                  <c:v>占比</c:v>
                </c:pt>
              </c:strCache>
            </c:strRef>
          </c:tx>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[图表.xls]Sheet6!$A$2:$A$4</c:f>
              <c:strCache>
                <c:ptCount val="3"/>
                <c:pt idx="0">
                  <c:v>公务接待费</c:v>
                </c:pt>
                <c:pt idx="1">
                  <c:v>公务用车购置及运行维护费</c:v>
                </c:pt>
                <c:pt idx="2">
                  <c:v>因公出国（境）费支出</c:v>
                </c:pt>
              </c:strCache>
            </c:strRef>
          </c:cat>
          <c:val>
            <c:numRef>
              <c:f>[图表.xls]Sheet6!$B$2:$B$4</c:f>
              <c:numCache>
                <c:formatCode>0.00%</c:formatCode>
                <c:ptCount val="3"/>
                <c:pt idx="0">
                  <c:v>1</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36</Pages>
  <Words>12773</Words>
  <Characters>14064</Characters>
  <Lines>1</Lines>
  <Paragraphs>1</Paragraphs>
  <TotalTime>41</TotalTime>
  <ScaleCrop>false</ScaleCrop>
  <LinksUpToDate>false</LinksUpToDate>
  <CharactersWithSpaces>14465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2023-08-24T07:03:00Z</cp:lastPrinted>
  <dcterms:modified xsi:type="dcterms:W3CDTF">2023-08-25T03:21:24Z</dcterms:modified>
  <dc:title>四川省***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F9E4C67D94DD4CB78E4EAD85F0DB1BC7_13</vt:lpwstr>
  </property>
</Properties>
</file>