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bookmarkEnd w:id="0"/>
    <w:p>
      <w:pPr>
        <w:spacing w:line="600" w:lineRule="exact"/>
        <w:jc w:val="center"/>
        <w:outlineLvl w:val="0"/>
        <w:rPr>
          <w:rFonts w:ascii="方正小标宋简体" w:hAnsi="宋体" w:eastAsia="方正小标宋简体"/>
          <w:sz w:val="72"/>
          <w:szCs w:val="72"/>
        </w:rPr>
      </w:pPr>
      <w:bookmarkStart w:id="1" w:name="_Toc15377196"/>
      <w:bookmarkStart w:id="2" w:name="_Toc15396599"/>
    </w:p>
    <w:p>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2022年度</w:t>
      </w:r>
    </w:p>
    <w:p>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遂宁市安居区保石镇水井九年义务教育学校</w:t>
      </w:r>
    </w:p>
    <w:p>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en-US" w:eastAsia="zh-CN"/>
        </w:rPr>
        <w:t>单位</w:t>
      </w:r>
      <w:r>
        <w:rPr>
          <w:rFonts w:hint="eastAsia" w:ascii="方正小标宋简体" w:hAnsi="方正小标宋简体" w:eastAsia="方正小标宋简体"/>
          <w:kern w:val="2"/>
          <w:sz w:val="72"/>
          <w:szCs w:val="24"/>
          <w:lang w:val="zh-CN"/>
        </w:rPr>
        <w:t>决算</w:t>
      </w:r>
    </w:p>
    <w:p>
      <w:pPr>
        <w:spacing w:line="360" w:lineRule="auto"/>
        <w:jc w:val="center"/>
        <w:rPr>
          <w:rFonts w:hint="eastAsia" w:ascii="方正小标宋简体" w:hAnsi="方正小标宋简体" w:eastAsia="方正小标宋简体"/>
          <w:kern w:val="2"/>
          <w:sz w:val="52"/>
          <w:szCs w:val="24"/>
          <w:lang w:val="zh-CN"/>
        </w:rPr>
      </w:pPr>
    </w:p>
    <w:p>
      <w:pPr>
        <w:widowControl/>
        <w:jc w:val="center"/>
        <w:rPr>
          <w:rFonts w:ascii="黑体" w:hAnsi="黑体" w:eastAsia="黑体"/>
          <w:color w:val="auto"/>
          <w:sz w:val="48"/>
          <w:szCs w:val="48"/>
          <w:highlight w:val="none"/>
        </w:rPr>
      </w:pPr>
      <w:r>
        <w:rPr>
          <w:rFonts w:ascii="方正小标宋简体" w:hAnsi="宋体" w:eastAsia="方正小标宋简体"/>
          <w:sz w:val="36"/>
          <w:szCs w:val="36"/>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08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bookmarkStart w:id="54" w:name="_GoBack"/>
      <w:bookmarkEnd w:id="54"/>
    </w:p>
    <w:p>
      <w:pPr>
        <w:rPr>
          <w:color w:val="auto"/>
          <w:highlight w:val="none"/>
        </w:rPr>
      </w:pPr>
    </w:p>
    <w:p>
      <w:pPr>
        <w:pStyle w:val="10"/>
        <w:adjustRightInd w:val="0"/>
        <w:snapToGrid w:val="0"/>
        <w:spacing w:before="0" w:line="440" w:lineRule="exact"/>
        <w:jc w:val="distribute"/>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sz w:val="24"/>
          <w:lang w:eastAsia="zh-CN"/>
        </w:rPr>
        <w:t>………………………………………………………</w:t>
      </w:r>
      <w:r>
        <w:rPr>
          <w:rFonts w:hint="eastAsia"/>
          <w:sz w:val="24"/>
          <w:lang w:val="en-US" w:eastAsia="zh-CN"/>
        </w:rPr>
        <w:t>4</w:t>
      </w:r>
    </w:p>
    <w:p>
      <w:pPr>
        <w:pStyle w:val="11"/>
        <w:adjustRightInd w:val="0"/>
        <w:snapToGrid w:val="0"/>
        <w:spacing w:line="440" w:lineRule="exact"/>
        <w:jc w:val="distribute"/>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r>
        <w:rPr>
          <w:rFonts w:hint="eastAsia"/>
          <w:sz w:val="24"/>
          <w:lang w:eastAsia="zh-CN"/>
        </w:rPr>
        <w:t>………………………………………………………</w:t>
      </w:r>
      <w:r>
        <w:rPr>
          <w:rFonts w:hint="eastAsia"/>
          <w:sz w:val="24"/>
          <w:lang w:val="en-US" w:eastAsia="zh-CN"/>
        </w:rPr>
        <w:t>4</w:t>
      </w:r>
    </w:p>
    <w:p>
      <w:pPr>
        <w:pStyle w:val="11"/>
        <w:adjustRightInd w:val="0"/>
        <w:snapToGrid w:val="0"/>
        <w:spacing w:line="440" w:lineRule="exact"/>
        <w:jc w:val="distribute"/>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sz w:val="24"/>
          <w:lang w:eastAsia="zh-CN"/>
        </w:rPr>
        <w:t>………………………………………………………</w:t>
      </w:r>
      <w:r>
        <w:rPr>
          <w:rFonts w:hint="eastAsia"/>
          <w:sz w:val="24"/>
          <w:lang w:val="en-US" w:eastAsia="zh-CN"/>
        </w:rPr>
        <w:t>4</w:t>
      </w:r>
    </w:p>
    <w:p>
      <w:pPr>
        <w:pStyle w:val="10"/>
        <w:adjustRightInd w:val="0"/>
        <w:snapToGrid w:val="0"/>
        <w:spacing w:before="0" w:line="440" w:lineRule="exact"/>
        <w:jc w:val="distribute"/>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一、收入支出决算总体情况说明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二、收入决算情况说明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distribute"/>
        <w:rPr>
          <w:rFonts w:hint="eastAsia"/>
          <w:sz w:val="24"/>
          <w:lang w:val="en-US" w:eastAsia="zh-CN"/>
        </w:rPr>
      </w:pPr>
      <w:r>
        <w:rPr>
          <w:rFonts w:hint="eastAsia"/>
          <w:color w:val="auto"/>
          <w:sz w:val="24"/>
          <w:highlight w:val="none"/>
        </w:rPr>
        <w:t>三、支出决算情况说明</w:t>
      </w:r>
      <w:r>
        <w:rPr>
          <w:rFonts w:hint="eastAsia"/>
          <w:sz w:val="24"/>
          <w:lang w:eastAsia="zh-CN"/>
        </w:rPr>
        <w:t>…………………………………………</w:t>
      </w:r>
      <w:r>
        <w:rPr>
          <w:rFonts w:hint="eastAsia"/>
          <w:sz w:val="24"/>
          <w:lang w:val="en-US" w:eastAsia="zh-CN"/>
        </w:rPr>
        <w:t>6</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sz w:val="24"/>
          <w:lang w:eastAsia="zh-CN"/>
        </w:rPr>
        <w:t>……………………………………</w:t>
      </w:r>
      <w:r>
        <w:rPr>
          <w:rFonts w:hint="eastAsia"/>
          <w:sz w:val="24"/>
          <w:lang w:val="en-US" w:eastAsia="zh-CN"/>
        </w:rPr>
        <w:t>7</w:t>
      </w:r>
    </w:p>
    <w:p>
      <w:pPr>
        <w:pStyle w:val="11"/>
        <w:adjustRightInd w:val="0"/>
        <w:snapToGrid w:val="0"/>
        <w:spacing w:line="440" w:lineRule="exact"/>
        <w:jc w:val="distribute"/>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sz w:val="24"/>
          <w:lang w:eastAsia="zh-CN"/>
        </w:rPr>
        <w:t>………………………………</w:t>
      </w:r>
      <w:r>
        <w:rPr>
          <w:rFonts w:hint="eastAsia"/>
          <w:sz w:val="24"/>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sz w:val="24"/>
          <w:lang w:eastAsia="zh-CN"/>
        </w:rPr>
        <w:t>…………………………</w:t>
      </w:r>
      <w:r>
        <w:rPr>
          <w:rFonts w:hint="eastAsia"/>
          <w:sz w:val="24"/>
          <w:lang w:val="en-US" w:eastAsia="zh-CN"/>
        </w:rPr>
        <w:t>11</w:t>
      </w: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sz w:val="24"/>
          <w:lang w:eastAsia="zh-CN"/>
        </w:rPr>
        <w:t>………………………………</w:t>
      </w:r>
      <w:r>
        <w:rPr>
          <w:rFonts w:hint="eastAsia"/>
          <w:sz w:val="24"/>
          <w:lang w:val="en-US" w:eastAsia="zh-CN"/>
        </w:rPr>
        <w:t>12</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八、政府性基金预算支出决算情况说明</w:t>
      </w:r>
      <w:r>
        <w:rPr>
          <w:rFonts w:hint="eastAsia"/>
          <w:sz w:val="24"/>
          <w:lang w:eastAsia="zh-CN"/>
        </w:rPr>
        <w:t>………………………………</w:t>
      </w:r>
      <w:r>
        <w:rPr>
          <w:rFonts w:hint="eastAsia"/>
          <w:sz w:val="24"/>
          <w:lang w:val="en-US" w:eastAsia="zh-CN"/>
        </w:rPr>
        <w:t>12</w:t>
      </w:r>
    </w:p>
    <w:p>
      <w:pPr>
        <w:pStyle w:val="11"/>
        <w:adjustRightInd w:val="0"/>
        <w:snapToGrid w:val="0"/>
        <w:spacing w:line="440" w:lineRule="exact"/>
        <w:jc w:val="distribute"/>
        <w:rPr>
          <w:rFonts w:hint="eastAsia"/>
          <w:sz w:val="24"/>
          <w:lang w:val="en-US" w:eastAsia="zh-CN"/>
        </w:rPr>
      </w:pPr>
      <w:r>
        <w:rPr>
          <w:rFonts w:hint="eastAsia"/>
          <w:color w:val="auto"/>
          <w:sz w:val="24"/>
          <w:highlight w:val="none"/>
        </w:rPr>
        <w:t>九、国有资本经营预算支出决算情况说明</w:t>
      </w:r>
      <w:r>
        <w:rPr>
          <w:rFonts w:hint="eastAsia"/>
          <w:sz w:val="24"/>
          <w:lang w:eastAsia="zh-CN"/>
        </w:rPr>
        <w:t>………………………………</w:t>
      </w:r>
      <w:r>
        <w:rPr>
          <w:rFonts w:hint="eastAsia"/>
          <w:sz w:val="24"/>
          <w:lang w:val="en-US" w:eastAsia="zh-CN"/>
        </w:rPr>
        <w:t>12</w:t>
      </w:r>
    </w:p>
    <w:p>
      <w:pPr>
        <w:pStyle w:val="11"/>
        <w:adjustRightInd w:val="0"/>
        <w:snapToGrid w:val="0"/>
        <w:spacing w:line="440" w:lineRule="exact"/>
        <w:jc w:val="distribute"/>
        <w:rPr>
          <w:rFonts w:hint="eastAsia"/>
          <w:color w:val="auto"/>
          <w:sz w:val="24"/>
          <w:highlight w:val="none"/>
          <w:lang w:eastAsia="zh-CN"/>
        </w:rPr>
      </w:pPr>
      <w:r>
        <w:rPr>
          <w:rFonts w:hint="eastAsia"/>
          <w:color w:val="auto"/>
          <w:sz w:val="24"/>
          <w:highlight w:val="none"/>
        </w:rPr>
        <w:t>十、其他重要事项的情况说明</w:t>
      </w:r>
      <w:r>
        <w:rPr>
          <w:rFonts w:hint="eastAsia"/>
          <w:sz w:val="24"/>
          <w:lang w:eastAsia="zh-CN"/>
        </w:rPr>
        <w:t>………………………………</w:t>
      </w:r>
      <w:r>
        <w:rPr>
          <w:rFonts w:hint="eastAsia"/>
          <w:sz w:val="24"/>
          <w:lang w:val="en-US" w:eastAsia="zh-CN"/>
        </w:rPr>
        <w:t>12</w:t>
      </w:r>
    </w:p>
    <w:p>
      <w:pPr>
        <w:pStyle w:val="10"/>
        <w:adjustRightInd w:val="0"/>
        <w:snapToGrid w:val="0"/>
        <w:spacing w:before="0" w:line="440" w:lineRule="exact"/>
        <w:jc w:val="distribute"/>
        <w:rPr>
          <w:rFonts w:hint="eastAsia"/>
          <w:sz w:val="24"/>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sz w:val="24"/>
          <w:lang w:eastAsia="zh-CN"/>
        </w:rPr>
        <w:t>……………………………………………………………</w:t>
      </w:r>
      <w:r>
        <w:rPr>
          <w:rFonts w:hint="eastAsia"/>
          <w:sz w:val="24"/>
          <w:lang w:val="en-US" w:eastAsia="zh-CN"/>
        </w:rPr>
        <w:t>14</w:t>
      </w:r>
    </w:p>
    <w:p>
      <w:pPr>
        <w:pStyle w:val="10"/>
        <w:adjustRightInd w:val="0"/>
        <w:snapToGrid w:val="0"/>
        <w:spacing w:before="0" w:line="440" w:lineRule="exact"/>
        <w:jc w:val="distribute"/>
        <w:rPr>
          <w:rFonts w:hint="default"/>
          <w:sz w:val="24"/>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sz w:val="24"/>
          <w:lang w:eastAsia="zh-CN"/>
        </w:rPr>
        <w:t>……………………………………………………………</w:t>
      </w:r>
      <w:r>
        <w:rPr>
          <w:rFonts w:hint="eastAsia"/>
          <w:sz w:val="24"/>
          <w:lang w:val="en-US" w:eastAsia="zh-CN"/>
        </w:rPr>
        <w:t>17</w:t>
      </w:r>
    </w:p>
    <w:p>
      <w:pPr>
        <w:pStyle w:val="10"/>
        <w:adjustRightInd w:val="0"/>
        <w:snapToGrid w:val="0"/>
        <w:spacing w:before="0" w:line="440" w:lineRule="exact"/>
        <w:jc w:val="distribute"/>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一、收入支出决算总表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二、收入决算表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三、支出决算表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四、财政拨款收入支出决算总表</w:t>
      </w:r>
      <w:r>
        <w:rPr>
          <w:rFonts w:hint="eastAsia"/>
          <w:sz w:val="24"/>
          <w:lang w:eastAsia="zh-CN"/>
        </w:rPr>
        <w:t>………………………………………………</w:t>
      </w:r>
      <w:r>
        <w:rPr>
          <w:rFonts w:hint="eastAsia"/>
          <w:sz w:val="24"/>
          <w:lang w:val="en-US" w:eastAsia="zh-CN"/>
        </w:rPr>
        <w:t>19</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六、一般公共预算财政拨款支出决算表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七、一般公共预算财政拨款支出决算明细表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九、一般公共预算财政拨款项目支出决算表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十、政府性基金预算财政拨款收入支出决算表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十一、国有资本经营预算财政拨款收入支出决算表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distribute"/>
        <w:rPr>
          <w:rFonts w:hint="eastAsia"/>
          <w:color w:val="auto"/>
          <w:sz w:val="24"/>
          <w:highlight w:val="none"/>
        </w:rPr>
      </w:pPr>
      <w:r>
        <w:rPr>
          <w:rFonts w:hint="eastAsia"/>
          <w:color w:val="auto"/>
          <w:sz w:val="24"/>
          <w:highlight w:val="none"/>
        </w:rPr>
        <w:t>十三、财政拨款“三公”经费支出决算表</w:t>
      </w:r>
      <w:r>
        <w:rPr>
          <w:rFonts w:hint="eastAsia"/>
          <w:sz w:val="24"/>
          <w:lang w:eastAsia="zh-CN"/>
        </w:rPr>
        <w:t>………………………………</w:t>
      </w:r>
      <w:r>
        <w:rPr>
          <w:rFonts w:hint="eastAsia"/>
          <w:sz w:val="24"/>
          <w:lang w:val="en-US" w:eastAsia="zh-CN"/>
        </w:rPr>
        <w:t>19</w:t>
      </w:r>
    </w:p>
    <w:p>
      <w:pPr>
        <w:pStyle w:val="11"/>
        <w:adjustRightInd w:val="0"/>
        <w:snapToGrid w:val="0"/>
        <w:spacing w:line="440" w:lineRule="exact"/>
        <w:jc w:val="left"/>
        <w:rPr>
          <w:rFonts w:hint="eastAsia"/>
          <w:color w:val="auto"/>
          <w:sz w:val="24"/>
          <w:highlight w:val="none"/>
        </w:rPr>
      </w:pP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spacing w:line="440" w:lineRule="exact"/>
        <w:rPr>
          <w:rFonts w:ascii="仿宋" w:hAnsi="仿宋" w:eastAsia="仿宋"/>
          <w:sz w:val="24"/>
        </w:rPr>
      </w:pPr>
    </w:p>
    <w:bookmarkEnd w:id="1"/>
    <w:bookmarkEnd w:id="2"/>
    <w:p>
      <w:pPr>
        <w:pStyle w:val="3"/>
        <w:keepNext/>
        <w:keepLines/>
        <w:numPr>
          <w:ilvl w:val="0"/>
          <w:numId w:val="1"/>
        </w:numPr>
        <w:spacing w:before="340" w:after="330" w:line="576" w:lineRule="auto"/>
        <w:jc w:val="center"/>
        <w:rPr>
          <w:rFonts w:hint="eastAsia" w:ascii="黑体" w:hAnsi="黑体" w:eastAsia="黑体"/>
          <w:color w:val="auto"/>
          <w:kern w:val="44"/>
          <w:sz w:val="44"/>
          <w:szCs w:val="24"/>
          <w:lang w:val="zh-CN"/>
        </w:rPr>
      </w:pPr>
      <w:r>
        <w:rPr>
          <w:rFonts w:hint="eastAsia" w:ascii="黑体" w:hAnsi="黑体" w:eastAsia="黑体"/>
          <w:color w:val="auto"/>
          <w:kern w:val="44"/>
          <w:sz w:val="44"/>
          <w:szCs w:val="24"/>
          <w:lang w:val="zh-CN"/>
        </w:rPr>
        <w:t>部门概况</w:t>
      </w:r>
    </w:p>
    <w:p>
      <w:pPr>
        <w:pStyle w:val="3"/>
        <w:keepNext/>
        <w:keepLines/>
        <w:numPr>
          <w:ilvl w:val="0"/>
          <w:numId w:val="2"/>
        </w:numPr>
        <w:spacing w:before="340" w:after="330" w:line="576" w:lineRule="auto"/>
        <w:jc w:val="both"/>
        <w:outlineLvl w:val="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部门</w:t>
      </w:r>
      <w:r>
        <w:rPr>
          <w:rFonts w:hint="eastAsia" w:ascii="黑体" w:hAnsi="黑体" w:eastAsia="黑体"/>
          <w:color w:val="auto"/>
          <w:kern w:val="2"/>
          <w:sz w:val="32"/>
          <w:szCs w:val="24"/>
          <w:lang w:val="zh-CN"/>
        </w:rPr>
        <w:t>职责</w:t>
      </w:r>
    </w:p>
    <w:p>
      <w:pPr>
        <w:pStyle w:val="3"/>
        <w:keepNext/>
        <w:keepLines/>
        <w:numPr>
          <w:ilvl w:val="0"/>
          <w:numId w:val="0"/>
        </w:numPr>
        <w:spacing w:before="340" w:after="330" w:line="576" w:lineRule="auto"/>
        <w:ind w:firstLine="643" w:firstLineChars="200"/>
        <w:jc w:val="both"/>
        <w:outlineLvl w:val="0"/>
        <w:rPr>
          <w:rFonts w:hint="eastAsia" w:ascii="黑体" w:hAnsi="黑体" w:eastAsia="黑体"/>
          <w:color w:val="auto"/>
          <w:kern w:val="2"/>
          <w:sz w:val="32"/>
          <w:szCs w:val="24"/>
          <w:lang w:val="zh-CN"/>
        </w:rPr>
      </w:pPr>
      <w:r>
        <w:rPr>
          <w:rFonts w:hint="eastAsia" w:ascii="仿宋_GB2312" w:hAnsi="仿宋" w:eastAsia="仿宋_GB2312"/>
          <w:sz w:val="32"/>
          <w:szCs w:val="24"/>
        </w:rPr>
        <w:t>主要工作宗指为：实施九年义务教育，促进基础教育发展。</w:t>
      </w:r>
    </w:p>
    <w:p>
      <w:pPr>
        <w:pStyle w:val="4"/>
        <w:keepNext/>
        <w:keepLines/>
        <w:spacing w:before="260" w:after="260" w:line="576" w:lineRule="exact"/>
        <w:ind w:firstLine="640"/>
        <w:jc w:val="both"/>
        <w:rPr>
          <w:rFonts w:hint="default" w:ascii="Cambria" w:hAnsi="Cambria" w:eastAsia="Cambria"/>
          <w:color w:val="auto"/>
          <w:kern w:val="2"/>
          <w:sz w:val="32"/>
          <w:szCs w:val="24"/>
          <w:lang w:val="zh-CN"/>
        </w:rPr>
      </w:pPr>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olor w:val="auto"/>
          <w:kern w:val="2"/>
          <w:sz w:val="32"/>
          <w:szCs w:val="24"/>
          <w:lang w:val="zh-CN"/>
        </w:rPr>
        <w:t>四川省遂宁市安居区保石镇水井九年义务教育学校</w:t>
      </w:r>
      <w:r>
        <w:rPr>
          <w:rFonts w:hint="eastAsia" w:ascii="仿宋_GB2312" w:hAnsi="仿宋" w:eastAsia="仿宋_GB2312"/>
          <w:sz w:val="32"/>
          <w:szCs w:val="24"/>
        </w:rPr>
        <w:t>为独立编制机构（1），独立核算机构（1）</w:t>
      </w:r>
    </w:p>
    <w:p>
      <w:pPr>
        <w:ind w:firstLine="800"/>
        <w:jc w:val="both"/>
        <w:rPr>
          <w:rFonts w:hint="eastAsia" w:ascii="仿宋_GB2312" w:hAnsi="仿宋" w:eastAsia="仿宋_GB2312"/>
          <w:sz w:val="32"/>
          <w:szCs w:val="24"/>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61</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p>
    <w:p>
      <w:pPr>
        <w:ind w:firstLine="800"/>
        <w:jc w:val="both"/>
        <w:rPr>
          <w:rFonts w:hint="eastAsia" w:ascii="仿宋_GB2312" w:hAnsi="仿宋" w:eastAsia="仿宋_GB2312"/>
          <w:sz w:val="32"/>
          <w:szCs w:val="24"/>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3" w:name="_Toc15377204"/>
      <w:bookmarkStart w:id="4" w:name="_Toc15396602"/>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24"/>
          <w:rFonts w:hint="eastAsia" w:ascii="黑体" w:hAnsi="黑体" w:eastAsia="黑体"/>
          <w:b w:val="0"/>
          <w:bCs/>
        </w:rPr>
        <w:t>单位决算情况说明</w:t>
      </w:r>
      <w:bookmarkEnd w:id="3"/>
      <w:bookmarkEnd w:id="4"/>
    </w:p>
    <w:p/>
    <w:p>
      <w:pPr>
        <w:pStyle w:val="23"/>
        <w:numPr>
          <w:ilvl w:val="0"/>
          <w:numId w:val="3"/>
        </w:numPr>
        <w:spacing w:line="600" w:lineRule="exact"/>
        <w:ind w:firstLineChars="0"/>
        <w:outlineLvl w:val="1"/>
        <w:rPr>
          <w:rStyle w:val="25"/>
          <w:rFonts w:ascii="黑体" w:hAnsi="黑体" w:eastAsia="黑体"/>
          <w:b w:val="0"/>
        </w:rPr>
      </w:pPr>
      <w:bookmarkStart w:id="5" w:name="_Toc15377205"/>
      <w:bookmarkStart w:id="6"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5"/>
      <w:bookmarkEnd w:id="6"/>
    </w:p>
    <w:p>
      <w:pPr>
        <w:spacing w:line="600" w:lineRule="exact"/>
        <w:ind w:firstLine="640" w:firstLineChars="200"/>
        <w:rPr>
          <w:rFonts w:ascii="仿宋" w:hAnsi="仿宋" w:eastAsia="仿宋"/>
          <w:sz w:val="32"/>
          <w:szCs w:val="32"/>
        </w:rPr>
      </w:pPr>
      <w:r>
        <w:rPr>
          <w:rFonts w:hint="eastAsia" w:ascii="仿宋_GB2312" w:hAnsi="仿宋_GB2312" w:eastAsia="仿宋_GB2312"/>
          <w:color w:val="000000"/>
          <w:kern w:val="2"/>
          <w:sz w:val="32"/>
          <w:szCs w:val="24"/>
          <w:lang w:val="zh-CN"/>
        </w:rPr>
        <w:t>2022年度收、支总计1,087.16万元。与2021年相比，收、支总计各增加176.74万元，增长19.4%。主要变动原因是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2</w:t>
      </w:r>
      <w:r>
        <w:rPr>
          <w:rFonts w:hint="eastAsia" w:ascii="仿宋" w:hAnsi="仿宋" w:eastAsia="仿宋"/>
          <w:sz w:val="32"/>
          <w:szCs w:val="32"/>
        </w:rPr>
        <w:t>年度奖励性绩效、乡镇补贴等人员经费和公用经费等财政收回，未做结转。</w:t>
      </w:r>
    </w:p>
    <w:p>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（图1：收、支决算总计变动情况图）（柱状图）</w:t>
      </w:r>
    </w:p>
    <w:p>
      <w:pPr>
        <w:spacing w:line="600" w:lineRule="exact"/>
        <w:ind w:firstLine="640" w:firstLineChars="200"/>
        <w:rPr>
          <w:rFonts w:ascii="仿宋" w:hAnsi="仿宋" w:eastAsia="仿宋"/>
          <w:sz w:val="32"/>
          <w:szCs w:val="32"/>
        </w:rPr>
      </w:pPr>
      <w:bookmarkStart w:id="7" w:name="_Hlk118743075"/>
    </w:p>
    <w:bookmarkEnd w:id="7"/>
    <w:p>
      <w:pPr>
        <w:pStyle w:val="2"/>
        <w:spacing w:before="93"/>
        <w:jc w:val="center"/>
      </w:pPr>
      <w:r>
        <w:drawing>
          <wp:inline distT="0" distB="0" distL="0" distR="0">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3"/>
        </w:numPr>
        <w:spacing w:line="600" w:lineRule="exact"/>
        <w:ind w:firstLineChars="0"/>
        <w:outlineLvl w:val="1"/>
        <w:rPr>
          <w:rFonts w:hint="eastAsia" w:ascii="仿宋_GB2312" w:hAnsi="仿宋_GB2312" w:eastAsia="仿宋_GB2312"/>
          <w:color w:val="000000"/>
          <w:kern w:val="2"/>
          <w:sz w:val="32"/>
          <w:szCs w:val="24"/>
          <w:lang w:val="zh-CN"/>
        </w:rPr>
      </w:pPr>
      <w:bookmarkStart w:id="8" w:name="_Toc15396604"/>
      <w:bookmarkStart w:id="9" w:name="_Toc15377206"/>
      <w:r>
        <w:rPr>
          <w:rFonts w:hint="eastAsia" w:ascii="黑体" w:hAnsi="黑体" w:eastAsia="黑体"/>
          <w:sz w:val="32"/>
          <w:szCs w:val="32"/>
        </w:rPr>
        <w:t>收</w:t>
      </w:r>
      <w:r>
        <w:rPr>
          <w:rStyle w:val="25"/>
          <w:rFonts w:hint="eastAsia" w:ascii="黑体" w:hAnsi="黑体" w:eastAsia="黑体"/>
          <w:b w:val="0"/>
        </w:rPr>
        <w:t>入决算情况说明</w:t>
      </w:r>
      <w:bookmarkEnd w:id="8"/>
      <w:bookmarkEnd w:id="9"/>
    </w:p>
    <w:p>
      <w:pPr>
        <w:pStyle w:val="23"/>
        <w:numPr>
          <w:ilvl w:val="0"/>
          <w:numId w:val="0"/>
        </w:numPr>
        <w:spacing w:line="600" w:lineRule="exact"/>
        <w:ind w:left="640" w:leftChars="0"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1,087.16万元，其中：一般公共预算财政拨款收入1,087.16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3"/>
        <w:jc w:val="both"/>
        <w:rPr>
          <w:rFonts w:ascii="仿宋" w:hAnsi="仿宋" w:eastAsia="仿宋"/>
          <w:sz w:val="32"/>
          <w:szCs w:val="32"/>
        </w:rPr>
      </w:pPr>
      <w:r>
        <w:rPr>
          <w:rFonts w:hint="eastAsia" w:ascii="仿宋" w:hAnsi="仿宋" w:eastAsia="仿宋"/>
          <w:b/>
          <w:color w:val="auto"/>
          <w:kern w:val="2"/>
          <w:sz w:val="32"/>
          <w:szCs w:val="24"/>
          <w:lang w:val="en-US"/>
        </w:rPr>
        <w:t>（注：数据来源于财决01表，仅罗列本部门涉及的收入。）</w:t>
      </w:r>
    </w:p>
    <w:p>
      <w:pPr>
        <w:ind w:firstLine="420" w:firstLineChars="200"/>
        <w:outlineLvl w:val="1"/>
        <w:rPr>
          <w:rFonts w:ascii="仿宋" w:hAnsi="仿宋" w:eastAsia="仿宋"/>
          <w:sz w:val="32"/>
          <w:szCs w:val="32"/>
        </w:rPr>
      </w:pPr>
      <w:r>
        <w:drawing>
          <wp:inline distT="0" distB="0" distL="0" distR="0">
            <wp:extent cx="3857625" cy="2552700"/>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10" w:name="_Toc15396605"/>
      <w:bookmarkStart w:id="11" w:name="_Toc15377207"/>
      <w:r>
        <w:rPr>
          <w:rFonts w:hint="eastAsia" w:ascii="黑体" w:hAnsi="黑体" w:eastAsia="黑体"/>
          <w:sz w:val="32"/>
          <w:szCs w:val="32"/>
        </w:rPr>
        <w:t>支</w:t>
      </w:r>
      <w:r>
        <w:rPr>
          <w:rStyle w:val="25"/>
          <w:rFonts w:hint="eastAsia" w:ascii="黑体" w:hAnsi="黑体" w:eastAsia="黑体"/>
          <w:b w:val="0"/>
        </w:rPr>
        <w:t>出决算情况说明</w:t>
      </w:r>
      <w:bookmarkEnd w:id="10"/>
      <w:bookmarkEnd w:id="11"/>
    </w:p>
    <w:p>
      <w:pPr>
        <w:keepNext/>
        <w:keepLines/>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2022年本年支出合计1,087.16万元，其中：基本支出1,056.59万元，占97.2%；项目支出30.57万元，占2.8%；上缴上级支出0万元，占0%；经营支出0万元，占0%；对附属单位补助支出0万元，占0%。</w:t>
      </w:r>
    </w:p>
    <w:p>
      <w:pPr>
        <w:spacing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（注：数据来源于财决04表，仅罗列本部门涉及的支出。）</w:t>
      </w:r>
    </w:p>
    <w:p>
      <w:pPr>
        <w:ind w:firstLine="640"/>
        <w:jc w:val="left"/>
        <w:rPr>
          <w:rFonts w:hint="eastAsia" w:ascii="仿宋" w:hAnsi="仿宋" w:eastAsia="仿宋"/>
          <w:sz w:val="32"/>
          <w:szCs w:val="32"/>
          <w:shd w:val="pct10" w:color="auto" w:fill="FFFFFF"/>
        </w:rPr>
      </w:pPr>
      <w:r>
        <w:drawing>
          <wp:inline distT="0" distB="0" distL="0" distR="0">
            <wp:extent cx="3857625" cy="2552700"/>
            <wp:effectExtent l="0" t="0" r="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12" w:name="_Toc15377208"/>
      <w:bookmarkStart w:id="13"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12"/>
      <w:bookmarkEnd w:id="13"/>
    </w:p>
    <w:p>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2022年财政拨款收、支总计1,087.16万元。与2021年相比，财政拨款收、支总计各增加176.74万元，增长/下降19.4%。主要变动原因是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2</w:t>
      </w:r>
      <w:r>
        <w:rPr>
          <w:rFonts w:hint="eastAsia" w:ascii="仿宋" w:hAnsi="仿宋" w:eastAsia="仿宋"/>
          <w:sz w:val="32"/>
          <w:szCs w:val="32"/>
        </w:rPr>
        <w:t>年度奖励性绩效、乡镇补贴等人员经费和公用经费等财政收回，未做结转</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sz w:val="32"/>
          <w:szCs w:val="32"/>
        </w:rPr>
      </w:pPr>
    </w:p>
    <w:p>
      <w:pPr>
        <w:rPr>
          <w:rFonts w:ascii="仿宋" w:hAnsi="仿宋" w:eastAsia="仿宋"/>
          <w:sz w:val="32"/>
          <w:szCs w:val="32"/>
        </w:rPr>
      </w:pPr>
      <w: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14" w:name="_Toc15396607"/>
      <w:bookmarkStart w:id="15"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14"/>
      <w:bookmarkEnd w:id="15"/>
    </w:p>
    <w:p>
      <w:pPr>
        <w:keepNext/>
        <w:keepLines/>
        <w:spacing w:line="576" w:lineRule="exact"/>
        <w:ind w:firstLine="643"/>
        <w:jc w:val="both"/>
        <w:rPr>
          <w:rFonts w:hint="eastAsia" w:ascii="仿宋_GB2312" w:hAnsi="仿宋_GB2312" w:eastAsia="仿宋_GB2312"/>
          <w:b/>
          <w:color w:val="000000"/>
          <w:kern w:val="2"/>
          <w:sz w:val="32"/>
          <w:szCs w:val="24"/>
          <w:lang w:val="zh-CN"/>
        </w:rPr>
      </w:pPr>
      <w:bookmarkStart w:id="16" w:name="_Toc15377211"/>
      <w:r>
        <w:rPr>
          <w:rFonts w:hint="eastAsia" w:ascii="仿宋_GB2312" w:hAnsi="仿宋_GB2312" w:eastAsia="仿宋_GB2312"/>
          <w:b/>
          <w:color w:val="000000"/>
          <w:kern w:val="2"/>
          <w:sz w:val="32"/>
          <w:szCs w:val="24"/>
          <w:lang w:val="zh-CN"/>
        </w:rPr>
        <w:t>（一）一般公共预算财政拨款支出决算总体情况。</w:t>
      </w:r>
    </w:p>
    <w:p>
      <w:pPr>
        <w:keepNext/>
        <w:keepLines/>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2022年一般公共预算财政拨款支出1,087.16万元，占本年支出合计的100%。与2021年相比，一般公共预算财政拨款支出增加176.74万元，增长19.4%。主要变动原因是</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2</w:t>
      </w:r>
      <w:r>
        <w:rPr>
          <w:rFonts w:hint="eastAsia" w:ascii="仿宋" w:hAnsi="仿宋" w:eastAsia="仿宋"/>
          <w:sz w:val="32"/>
          <w:szCs w:val="32"/>
        </w:rPr>
        <w:t>年度奖励性绩效、乡镇补贴等人员经费和公用经费等财政收回，未做结转。</w:t>
      </w:r>
    </w:p>
    <w:p>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pPr>
        <w:pStyle w:val="2"/>
        <w:rPr>
          <w:rFonts w:hint="eastAsia"/>
          <w:lang w:val="en-US"/>
        </w:rPr>
      </w:pPr>
      <w:r>
        <w:drawing>
          <wp:inline distT="0" distB="0" distL="0" distR="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4"/>
        </w:numPr>
        <w:spacing w:line="600" w:lineRule="exact"/>
        <w:ind w:firstLine="643" w:firstLineChars="200"/>
        <w:outlineLvl w:val="2"/>
        <w:rPr>
          <w:rFonts w:hint="eastAsia" w:ascii="仿宋" w:hAnsi="仿宋" w:eastAsia="仿宋"/>
          <w:b/>
          <w:sz w:val="32"/>
          <w:szCs w:val="32"/>
        </w:rPr>
      </w:pPr>
      <w:r>
        <w:rPr>
          <w:rFonts w:hint="eastAsia" w:ascii="仿宋" w:hAnsi="仿宋" w:eastAsia="仿宋"/>
          <w:b/>
          <w:sz w:val="32"/>
          <w:szCs w:val="32"/>
        </w:rPr>
        <w:t>一般公共预算财政拨款支出决算结构情况</w:t>
      </w:r>
      <w:bookmarkEnd w:id="16"/>
    </w:p>
    <w:p>
      <w:pPr>
        <w:numPr>
          <w:ilvl w:val="0"/>
          <w:numId w:val="0"/>
        </w:numPr>
        <w:spacing w:line="600" w:lineRule="exact"/>
        <w:ind w:firstLine="640" w:firstLineChars="200"/>
        <w:outlineLvl w:val="2"/>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2022年一般公共预算财政拨款支出1,087.16万元，主要用于以下方面: 一般公共服务支出0万元，占0%；外交支出0万元，占0%；国防支出0万元，占0%；公共安全支出0万元，占0%；教育支出905.71万元，占83.3%；科学技术支出0万元，占0%；文化体育与传媒支出0万元，占0%；社会保障和就业支出80.71万元，占7.4%；卫生健康支出26.6万元，占2.4%；节能环保支出0万元，占0%；城乡社区支出0万元，占0%；农林水支出0万元，占0%；交通运输支出0万元，占0%；资源勘探工业信息等支出0万元，占0%；商业服务业等支出0万元，占0%；金融支出0万元，占0%；援助其他地区支出0万元，占0%；自然资源海洋气象等支出0万元，占0%；住房保障支出74.14万元，占6.8%；粮油物资储备支出0万元，占0%；国有资本经营预算支出0万元，占0%；灾害防治及应急管理支出0万元，占0%；其他支出0万元，占0%；债务还本支出0万元，占0%；债务付息支出0万元，占0%；抗疫特别国债安排的支出0万元，占0%。</w:t>
      </w:r>
    </w:p>
    <w:p>
      <w:pPr>
        <w:spacing w:line="600" w:lineRule="exact"/>
        <w:ind w:firstLine="640"/>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（注：数据来源于财决01-1表，仅罗列本部门涉及的全部功能分类科目，至类级。）</w:t>
      </w:r>
    </w:p>
    <w:p>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（图6：一般公共预算财政拨款支出决算结构）（饼状图）</w:t>
      </w:r>
    </w:p>
    <w:p>
      <w:pPr>
        <w:ind w:firstLine="640"/>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margin">
              <wp:posOffset>-103505</wp:posOffset>
            </wp:positionH>
            <wp:positionV relativeFrom="paragraph">
              <wp:posOffset>270510</wp:posOffset>
            </wp:positionV>
            <wp:extent cx="5257800" cy="2542540"/>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17" w:name="_Toc15377212"/>
      <w:r>
        <w:rPr>
          <w:rFonts w:hint="eastAsia" w:ascii="仿宋" w:hAnsi="仿宋" w:eastAsia="仿宋"/>
          <w:b/>
          <w:sz w:val="32"/>
          <w:szCs w:val="32"/>
        </w:rPr>
        <w:t>（三）一般公共预算财政拨款支出决算具体情况</w:t>
      </w:r>
      <w:bookmarkEnd w:id="17"/>
    </w:p>
    <w:p>
      <w:pPr>
        <w:spacing w:line="600" w:lineRule="exact"/>
        <w:ind w:firstLine="643" w:firstLineChars="200"/>
        <w:outlineLvl w:val="2"/>
        <w:rPr>
          <w:rFonts w:ascii="仿宋" w:hAnsi="仿宋" w:eastAsia="仿宋"/>
          <w:sz w:val="32"/>
          <w:szCs w:val="32"/>
        </w:rPr>
      </w:pPr>
      <w:bookmarkStart w:id="18" w:name="_Toc15378460"/>
      <w:bookmarkStart w:id="19" w:name="_Toc15377444"/>
      <w:bookmarkStart w:id="20" w:name="_Toc15377213"/>
      <w:r>
        <w:rPr>
          <w:rFonts w:hint="eastAsia" w:ascii="仿宋_GB2312" w:hAnsi="仿宋_GB2312" w:eastAsia="仿宋_GB2312"/>
          <w:b/>
          <w:color w:val="000000"/>
          <w:kern w:val="2"/>
          <w:sz w:val="32"/>
          <w:szCs w:val="24"/>
          <w:lang w:val="zh-CN"/>
        </w:rPr>
        <w:t>2022年一般公共预算支出决算数为1,087.16万元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bookmarkEnd w:id="18"/>
      <w:bookmarkEnd w:id="19"/>
      <w:bookmarkEnd w:id="20"/>
    </w:p>
    <w:p>
      <w:pPr>
        <w:numPr>
          <w:ilvl w:val="0"/>
          <w:numId w:val="5"/>
        </w:numPr>
        <w:spacing w:line="600" w:lineRule="exact"/>
        <w:ind w:firstLine="643" w:firstLineChars="200"/>
        <w:rPr>
          <w:rStyle w:val="14"/>
          <w:rFonts w:hint="eastAsia" w:ascii="仿宋" w:hAnsi="仿宋" w:eastAsia="仿宋"/>
          <w:b w:val="0"/>
          <w:bCs/>
          <w:sz w:val="32"/>
          <w:szCs w:val="32"/>
          <w:highlight w:val="none"/>
        </w:rPr>
      </w:pPr>
      <w:r>
        <w:rPr>
          <w:rStyle w:val="14"/>
          <w:rFonts w:hint="eastAsia" w:ascii="仿宋" w:hAnsi="仿宋" w:eastAsia="仿宋"/>
          <w:bCs/>
          <w:sz w:val="32"/>
          <w:szCs w:val="32"/>
          <w:highlight w:val="none"/>
        </w:rPr>
        <w:t>教育2</w:t>
      </w:r>
      <w:r>
        <w:rPr>
          <w:rStyle w:val="14"/>
          <w:rFonts w:ascii="仿宋" w:hAnsi="仿宋" w:eastAsia="仿宋"/>
          <w:bCs/>
          <w:sz w:val="32"/>
          <w:szCs w:val="32"/>
          <w:highlight w:val="none"/>
        </w:rPr>
        <w:t>05:</w:t>
      </w:r>
      <w:r>
        <w:rPr>
          <w:rStyle w:val="14"/>
          <w:rFonts w:ascii="仿宋" w:hAnsi="仿宋" w:eastAsia="仿宋"/>
          <w:b w:val="0"/>
          <w:bCs/>
          <w:sz w:val="32"/>
          <w:szCs w:val="32"/>
          <w:highlight w:val="none"/>
        </w:rPr>
        <w:t xml:space="preserve"> </w:t>
      </w:r>
      <w:r>
        <w:rPr>
          <w:rStyle w:val="14"/>
          <w:rFonts w:hint="eastAsia" w:ascii="仿宋" w:hAnsi="仿宋" w:eastAsia="仿宋"/>
          <w:b w:val="0"/>
          <w:bCs/>
          <w:sz w:val="32"/>
          <w:szCs w:val="32"/>
          <w:highlight w:val="none"/>
        </w:rPr>
        <w:t>支出决算为</w:t>
      </w:r>
      <w:r>
        <w:rPr>
          <w:rFonts w:hint="eastAsia" w:ascii="仿宋_GB2312" w:hAnsi="仿宋_GB2312" w:eastAsia="仿宋_GB2312"/>
          <w:color w:val="000000"/>
          <w:kern w:val="2"/>
          <w:sz w:val="32"/>
          <w:szCs w:val="24"/>
          <w:highlight w:val="none"/>
          <w:lang w:val="zh-CN"/>
        </w:rPr>
        <w:t>905.71</w:t>
      </w:r>
      <w:r>
        <w:rPr>
          <w:rStyle w:val="14"/>
          <w:rFonts w:hint="eastAsia" w:ascii="仿宋" w:hAnsi="仿宋" w:eastAsia="仿宋"/>
          <w:b w:val="0"/>
          <w:bCs/>
          <w:sz w:val="32"/>
          <w:szCs w:val="32"/>
          <w:highlight w:val="none"/>
        </w:rPr>
        <w:t>万元，完成预算</w:t>
      </w:r>
      <w:r>
        <w:rPr>
          <w:rStyle w:val="14"/>
          <w:rFonts w:ascii="仿宋" w:hAnsi="仿宋" w:eastAsia="仿宋"/>
          <w:b w:val="0"/>
          <w:bCs/>
          <w:sz w:val="32"/>
          <w:szCs w:val="32"/>
          <w:highlight w:val="none"/>
        </w:rPr>
        <w:t>100%</w:t>
      </w:r>
      <w:r>
        <w:rPr>
          <w:rStyle w:val="14"/>
          <w:rFonts w:hint="eastAsia" w:ascii="仿宋" w:hAnsi="仿宋" w:eastAsia="仿宋"/>
          <w:b w:val="0"/>
          <w:bCs/>
          <w:sz w:val="32"/>
          <w:szCs w:val="32"/>
          <w:highlight w:val="none"/>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01学前教育</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30.92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主要用于学前教育资助、办公费</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2）教育支出205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03初中教育</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792.00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主要用于人员工资、福利支出、</w:t>
      </w:r>
      <w:r>
        <w:rPr>
          <w:rFonts w:hint="eastAsia" w:ascii="仿宋_GB2312" w:hAnsi="仿宋" w:eastAsia="仿宋_GB2312" w:cs="仿宋"/>
          <w:color w:val="000000"/>
          <w:sz w:val="32"/>
          <w:szCs w:val="32"/>
          <w:lang w:val="en-US" w:eastAsia="zh-CN"/>
        </w:rPr>
        <w:t>驻村工作队生活补助、义务教育贫困生生活补助、退休人员公用经费</w:t>
      </w:r>
      <w:r>
        <w:rPr>
          <w:rStyle w:val="14"/>
          <w:rFonts w:hint="eastAsia" w:ascii="仿宋" w:hAnsi="仿宋" w:eastAsia="仿宋"/>
          <w:b w:val="0"/>
          <w:bCs/>
          <w:color w:val="000000"/>
          <w:sz w:val="32"/>
          <w:szCs w:val="32"/>
          <w:lang w:eastAsia="zh-CN"/>
        </w:rPr>
        <w:t>等</w:t>
      </w:r>
      <w:r>
        <w:rPr>
          <w:rStyle w:val="14"/>
          <w:rFonts w:hint="eastAsia" w:ascii="仿宋" w:hAnsi="仿宋" w:eastAsia="仿宋"/>
          <w:b w:val="0"/>
          <w:bCs/>
          <w:color w:val="000000"/>
          <w:sz w:val="32"/>
          <w:szCs w:val="32"/>
        </w:rPr>
        <w:t>。</w:t>
      </w:r>
    </w:p>
    <w:p>
      <w:pPr>
        <w:spacing w:line="600" w:lineRule="exact"/>
        <w:ind w:firstLine="643" w:firstLineChars="200"/>
        <w:rPr>
          <w:highlight w:val="none"/>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3）教育支出205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99其他普通教育支出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82.79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主要用于义务教育学生生活困难资助、</w:t>
      </w:r>
      <w:r>
        <w:rPr>
          <w:rFonts w:hint="eastAsia" w:ascii="仿宋_GB2312" w:hAnsi="仿宋" w:eastAsia="仿宋_GB2312" w:cs="仿宋"/>
          <w:color w:val="000000"/>
          <w:sz w:val="32"/>
          <w:szCs w:val="32"/>
          <w:lang w:val="en-US" w:eastAsia="zh-CN"/>
        </w:rPr>
        <w:t>2022年农村中小学被</w:t>
      </w:r>
      <w:r>
        <w:rPr>
          <w:rFonts w:hint="eastAsia" w:ascii="仿宋_GB2312" w:hAnsi="仿宋" w:eastAsia="仿宋_GB2312" w:cs="仿宋"/>
          <w:color w:val="000000"/>
          <w:sz w:val="32"/>
          <w:szCs w:val="32"/>
          <w:highlight w:val="none"/>
          <w:lang w:val="en-US" w:eastAsia="zh-CN"/>
        </w:rPr>
        <w:t>辞退民师定额养老困难补助资金、免作业本费、</w:t>
      </w:r>
      <w:r>
        <w:rPr>
          <w:rStyle w:val="14"/>
          <w:rFonts w:hint="eastAsia" w:ascii="仿宋" w:hAnsi="仿宋" w:eastAsia="仿宋"/>
          <w:b w:val="0"/>
          <w:bCs/>
          <w:color w:val="000000"/>
          <w:sz w:val="32"/>
          <w:szCs w:val="32"/>
          <w:highlight w:val="none"/>
          <w:lang w:eastAsia="zh-CN"/>
        </w:rPr>
        <w:t>办公支出等</w:t>
      </w:r>
      <w:r>
        <w:rPr>
          <w:rStyle w:val="14"/>
          <w:rFonts w:hint="eastAsia" w:ascii="仿宋" w:hAnsi="仿宋" w:eastAsia="仿宋"/>
          <w:b w:val="0"/>
          <w:bCs/>
          <w:color w:val="000000"/>
          <w:sz w:val="32"/>
          <w:szCs w:val="32"/>
          <w:highlight w:val="none"/>
        </w:rPr>
        <w:t>。</w:t>
      </w:r>
    </w:p>
    <w:p>
      <w:pPr>
        <w:numPr>
          <w:ilvl w:val="0"/>
          <w:numId w:val="5"/>
        </w:numPr>
        <w:spacing w:line="600" w:lineRule="exact"/>
        <w:ind w:left="0" w:leftChars="0" w:firstLine="643" w:firstLineChars="200"/>
        <w:rPr>
          <w:rStyle w:val="14"/>
          <w:rFonts w:hint="eastAsia" w:ascii="仿宋" w:hAnsi="仿宋" w:eastAsia="仿宋"/>
          <w:b w:val="0"/>
          <w:bCs/>
          <w:sz w:val="32"/>
          <w:szCs w:val="32"/>
          <w:highlight w:val="none"/>
        </w:rPr>
      </w:pPr>
      <w:r>
        <w:rPr>
          <w:rStyle w:val="14"/>
          <w:rFonts w:hint="eastAsia" w:ascii="仿宋" w:hAnsi="仿宋" w:eastAsia="仿宋"/>
          <w:bCs/>
          <w:color w:val="000000"/>
          <w:sz w:val="32"/>
          <w:szCs w:val="32"/>
          <w:highlight w:val="none"/>
        </w:rPr>
        <w:t>社会保障和就业</w:t>
      </w:r>
      <w:r>
        <w:rPr>
          <w:rStyle w:val="14"/>
          <w:rFonts w:hint="eastAsia" w:ascii="仿宋" w:hAnsi="仿宋" w:eastAsia="仿宋"/>
          <w:bCs/>
          <w:color w:val="000000"/>
          <w:sz w:val="32"/>
          <w:szCs w:val="32"/>
          <w:highlight w:val="none"/>
          <w:lang w:val="en-US" w:eastAsia="zh-CN"/>
        </w:rPr>
        <w:t>208</w:t>
      </w:r>
      <w:r>
        <w:rPr>
          <w:rStyle w:val="14"/>
          <w:rFonts w:ascii="仿宋" w:hAnsi="仿宋" w:eastAsia="仿宋"/>
          <w:bCs/>
          <w:sz w:val="32"/>
          <w:szCs w:val="32"/>
          <w:highlight w:val="none"/>
        </w:rPr>
        <w:t>:</w:t>
      </w:r>
      <w:r>
        <w:rPr>
          <w:rStyle w:val="14"/>
          <w:rFonts w:ascii="仿宋" w:hAnsi="仿宋" w:eastAsia="仿宋"/>
          <w:b w:val="0"/>
          <w:bCs/>
          <w:sz w:val="32"/>
          <w:szCs w:val="32"/>
          <w:highlight w:val="none"/>
        </w:rPr>
        <w:t xml:space="preserve"> </w:t>
      </w:r>
      <w:r>
        <w:rPr>
          <w:rStyle w:val="14"/>
          <w:rFonts w:hint="eastAsia" w:ascii="仿宋" w:hAnsi="仿宋" w:eastAsia="仿宋"/>
          <w:b w:val="0"/>
          <w:bCs/>
          <w:sz w:val="32"/>
          <w:szCs w:val="32"/>
          <w:highlight w:val="none"/>
        </w:rPr>
        <w:t>支出决算为</w:t>
      </w:r>
      <w:r>
        <w:rPr>
          <w:rFonts w:hint="eastAsia" w:ascii="仿宋_GB2312" w:hAnsi="仿宋_GB2312" w:eastAsia="仿宋_GB2312"/>
          <w:color w:val="000000"/>
          <w:kern w:val="2"/>
          <w:sz w:val="32"/>
          <w:szCs w:val="24"/>
          <w:highlight w:val="none"/>
          <w:lang w:val="zh-CN"/>
        </w:rPr>
        <w:t>80.71</w:t>
      </w:r>
      <w:r>
        <w:rPr>
          <w:rStyle w:val="14"/>
          <w:rFonts w:hint="eastAsia" w:ascii="仿宋" w:hAnsi="仿宋" w:eastAsia="仿宋"/>
          <w:b w:val="0"/>
          <w:bCs/>
          <w:sz w:val="32"/>
          <w:szCs w:val="32"/>
          <w:highlight w:val="none"/>
        </w:rPr>
        <w:t>万元，完成预算</w:t>
      </w:r>
      <w:r>
        <w:rPr>
          <w:rStyle w:val="14"/>
          <w:rFonts w:ascii="仿宋" w:hAnsi="仿宋" w:eastAsia="仿宋"/>
          <w:b w:val="0"/>
          <w:bCs/>
          <w:sz w:val="32"/>
          <w:szCs w:val="32"/>
          <w:highlight w:val="none"/>
        </w:rPr>
        <w:t>100%</w:t>
      </w:r>
      <w:r>
        <w:rPr>
          <w:rStyle w:val="14"/>
          <w:rFonts w:hint="eastAsia" w:ascii="仿宋" w:hAnsi="仿宋" w:eastAsia="仿宋"/>
          <w:b w:val="0"/>
          <w:bCs/>
          <w:sz w:val="32"/>
          <w:szCs w:val="32"/>
          <w:highlight w:val="none"/>
        </w:rPr>
        <w:t>。</w:t>
      </w:r>
    </w:p>
    <w:p>
      <w:pPr>
        <w:numPr>
          <w:ilvl w:val="0"/>
          <w:numId w:val="6"/>
        </w:num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05事业单位基本养老保险缴费支出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71.71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主要用于购买</w:t>
      </w:r>
      <w:r>
        <w:rPr>
          <w:rStyle w:val="14"/>
          <w:rFonts w:hint="eastAsia" w:ascii="仿宋" w:hAnsi="仿宋" w:eastAsia="仿宋"/>
          <w:b w:val="0"/>
          <w:bCs/>
          <w:color w:val="000000"/>
          <w:sz w:val="32"/>
          <w:szCs w:val="32"/>
          <w:lang w:val="en-US" w:eastAsia="zh-CN"/>
        </w:rPr>
        <w:t>基本养老保险。</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2）</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99事业单位基本养老保险缴费支出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5.79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主要用于购买</w:t>
      </w:r>
      <w:r>
        <w:rPr>
          <w:rStyle w:val="14"/>
          <w:rFonts w:hint="eastAsia" w:ascii="仿宋" w:hAnsi="仿宋" w:eastAsia="仿宋"/>
          <w:b w:val="0"/>
          <w:bCs/>
          <w:color w:val="000000"/>
          <w:sz w:val="32"/>
          <w:szCs w:val="32"/>
          <w:lang w:val="en-US" w:eastAsia="zh-CN"/>
        </w:rPr>
        <w:t>西部志愿者养老保险。</w:t>
      </w:r>
    </w:p>
    <w:p>
      <w:pPr>
        <w:pStyle w:val="2"/>
        <w:numPr>
          <w:ilvl w:val="0"/>
          <w:numId w:val="0"/>
        </w:numPr>
        <w:ind w:left="0" w:leftChars="0" w:firstLine="421" w:firstLineChars="131"/>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3）</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99其他社会保障和就业支出</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3.21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，主要用于遗属人员生活补助</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sz w:val="32"/>
          <w:szCs w:val="32"/>
          <w:highlight w:val="none"/>
        </w:rPr>
      </w:pPr>
      <w:r>
        <w:rPr>
          <w:rStyle w:val="14"/>
          <w:rFonts w:ascii="仿宋" w:hAnsi="仿宋" w:eastAsia="仿宋"/>
          <w:bCs/>
          <w:sz w:val="32"/>
          <w:szCs w:val="32"/>
          <w:highlight w:val="none"/>
        </w:rPr>
        <w:t>6.</w:t>
      </w:r>
      <w:r>
        <w:rPr>
          <w:rFonts w:hint="eastAsia" w:ascii="仿宋" w:hAnsi="仿宋" w:eastAsia="仿宋"/>
          <w:b/>
          <w:bCs/>
          <w:color w:val="000000"/>
          <w:sz w:val="32"/>
          <w:szCs w:val="32"/>
          <w:highlight w:val="none"/>
        </w:rPr>
        <w:t>卫生健康</w:t>
      </w:r>
      <w:r>
        <w:rPr>
          <w:rFonts w:hint="eastAsia" w:ascii="仿宋" w:hAnsi="仿宋" w:eastAsia="仿宋"/>
          <w:b/>
          <w:bCs/>
          <w:color w:val="000000"/>
          <w:sz w:val="32"/>
          <w:szCs w:val="32"/>
          <w:highlight w:val="none"/>
          <w:lang w:val="en-US" w:eastAsia="zh-CN"/>
        </w:rPr>
        <w:t>210</w:t>
      </w:r>
      <w:r>
        <w:rPr>
          <w:rStyle w:val="14"/>
          <w:rFonts w:ascii="仿宋" w:hAnsi="仿宋" w:eastAsia="仿宋"/>
          <w:bCs/>
          <w:sz w:val="32"/>
          <w:szCs w:val="32"/>
          <w:highlight w:val="none"/>
        </w:rPr>
        <w:t>:</w:t>
      </w:r>
      <w:r>
        <w:rPr>
          <w:rStyle w:val="14"/>
          <w:rFonts w:hint="eastAsia" w:ascii="仿宋" w:hAnsi="仿宋" w:eastAsia="仿宋"/>
          <w:b w:val="0"/>
          <w:bCs/>
          <w:sz w:val="32"/>
          <w:szCs w:val="32"/>
          <w:highlight w:val="none"/>
        </w:rPr>
        <w:t>支出决算为</w:t>
      </w:r>
      <w:r>
        <w:rPr>
          <w:rFonts w:hint="eastAsia" w:ascii="仿宋_GB2312" w:hAnsi="仿宋_GB2312" w:eastAsia="仿宋_GB2312"/>
          <w:color w:val="000000"/>
          <w:kern w:val="2"/>
          <w:sz w:val="32"/>
          <w:szCs w:val="24"/>
          <w:highlight w:val="none"/>
          <w:lang w:val="zh-CN"/>
        </w:rPr>
        <w:t>26.6</w:t>
      </w:r>
      <w:r>
        <w:rPr>
          <w:rFonts w:hint="eastAsia" w:ascii="仿宋_GB2312" w:hAnsi="仿宋_GB2312" w:eastAsia="仿宋_GB2312"/>
          <w:color w:val="000000"/>
          <w:kern w:val="2"/>
          <w:sz w:val="32"/>
          <w:szCs w:val="24"/>
          <w:highlight w:val="none"/>
          <w:lang w:val="en-US" w:eastAsia="zh-CN"/>
        </w:rPr>
        <w:t>0</w:t>
      </w:r>
      <w:r>
        <w:rPr>
          <w:rStyle w:val="14"/>
          <w:rFonts w:hint="eastAsia" w:ascii="仿宋" w:hAnsi="仿宋" w:eastAsia="仿宋"/>
          <w:b w:val="0"/>
          <w:bCs/>
          <w:sz w:val="32"/>
          <w:szCs w:val="32"/>
          <w:highlight w:val="none"/>
        </w:rPr>
        <w:t>万元，完成预算</w:t>
      </w:r>
      <w:r>
        <w:rPr>
          <w:rStyle w:val="14"/>
          <w:rFonts w:ascii="仿宋" w:hAnsi="仿宋" w:eastAsia="仿宋"/>
          <w:b w:val="0"/>
          <w:bCs/>
          <w:sz w:val="32"/>
          <w:szCs w:val="32"/>
          <w:highlight w:val="none"/>
        </w:rPr>
        <w:t>100%</w:t>
      </w:r>
      <w:r>
        <w:rPr>
          <w:rStyle w:val="14"/>
          <w:rFonts w:hint="eastAsia" w:ascii="仿宋" w:hAnsi="仿宋" w:eastAsia="仿宋"/>
          <w:b w:val="0"/>
          <w:bCs/>
          <w:sz w:val="32"/>
          <w:szCs w:val="32"/>
          <w:highlight w:val="none"/>
        </w:rPr>
        <w:t>。</w:t>
      </w:r>
    </w:p>
    <w:p>
      <w:pPr>
        <w:spacing w:line="600" w:lineRule="exact"/>
        <w:ind w:firstLine="643" w:firstLineChars="200"/>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11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02事业单位医疗</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26.60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，主要用于单位医疗生育等保险支出</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Style w:val="14"/>
          <w:rFonts w:hint="eastAsia" w:ascii="仿宋" w:hAnsi="仿宋" w:eastAsia="仿宋"/>
          <w:b w:val="0"/>
          <w:bCs/>
          <w:sz w:val="32"/>
          <w:szCs w:val="32"/>
          <w:highlight w:val="none"/>
        </w:rPr>
      </w:pPr>
      <w:r>
        <w:rPr>
          <w:rStyle w:val="14"/>
          <w:rFonts w:ascii="仿宋" w:hAnsi="仿宋" w:eastAsia="仿宋"/>
          <w:bCs/>
          <w:sz w:val="32"/>
          <w:szCs w:val="32"/>
          <w:highlight w:val="none"/>
        </w:rPr>
        <w:t>7.</w:t>
      </w:r>
      <w:r>
        <w:rPr>
          <w:rFonts w:hint="eastAsia" w:ascii="仿宋" w:hAnsi="仿宋" w:eastAsia="仿宋"/>
          <w:b/>
          <w:bCs/>
          <w:color w:val="000000"/>
          <w:sz w:val="32"/>
          <w:szCs w:val="32"/>
          <w:highlight w:val="none"/>
        </w:rPr>
        <w:t>住房保障支出</w:t>
      </w:r>
      <w:r>
        <w:rPr>
          <w:rFonts w:hint="eastAsia" w:ascii="仿宋" w:hAnsi="仿宋" w:eastAsia="仿宋"/>
          <w:b/>
          <w:bCs/>
          <w:color w:val="000000"/>
          <w:sz w:val="32"/>
          <w:szCs w:val="32"/>
          <w:highlight w:val="none"/>
          <w:lang w:val="en-US" w:eastAsia="zh-CN"/>
        </w:rPr>
        <w:t>221</w:t>
      </w:r>
      <w:r>
        <w:rPr>
          <w:rStyle w:val="14"/>
          <w:rFonts w:ascii="仿宋" w:hAnsi="仿宋" w:eastAsia="仿宋"/>
          <w:bCs/>
          <w:sz w:val="32"/>
          <w:szCs w:val="32"/>
          <w:highlight w:val="none"/>
        </w:rPr>
        <w:t>:</w:t>
      </w:r>
      <w:r>
        <w:rPr>
          <w:rStyle w:val="14"/>
          <w:rFonts w:hint="eastAsia" w:ascii="仿宋" w:hAnsi="仿宋" w:eastAsia="仿宋"/>
          <w:b w:val="0"/>
          <w:bCs/>
          <w:sz w:val="32"/>
          <w:szCs w:val="32"/>
          <w:highlight w:val="none"/>
        </w:rPr>
        <w:t>支出决算为</w:t>
      </w:r>
      <w:r>
        <w:rPr>
          <w:rFonts w:hint="eastAsia" w:ascii="仿宋_GB2312" w:hAnsi="仿宋_GB2312" w:eastAsia="仿宋_GB2312"/>
          <w:color w:val="000000"/>
          <w:kern w:val="2"/>
          <w:sz w:val="32"/>
          <w:szCs w:val="24"/>
          <w:highlight w:val="none"/>
          <w:lang w:val="zh-CN"/>
        </w:rPr>
        <w:t>74.14</w:t>
      </w:r>
      <w:r>
        <w:rPr>
          <w:rStyle w:val="14"/>
          <w:rFonts w:hint="eastAsia" w:ascii="仿宋" w:hAnsi="仿宋" w:eastAsia="仿宋"/>
          <w:b w:val="0"/>
          <w:bCs/>
          <w:sz w:val="32"/>
          <w:szCs w:val="32"/>
          <w:highlight w:val="none"/>
        </w:rPr>
        <w:t>万元，完成预算</w:t>
      </w:r>
      <w:r>
        <w:rPr>
          <w:rStyle w:val="14"/>
          <w:rFonts w:ascii="仿宋" w:hAnsi="仿宋" w:eastAsia="仿宋"/>
          <w:b w:val="0"/>
          <w:bCs/>
          <w:sz w:val="32"/>
          <w:szCs w:val="32"/>
          <w:highlight w:val="none"/>
        </w:rPr>
        <w:t>100%</w:t>
      </w:r>
      <w:r>
        <w:rPr>
          <w:rStyle w:val="14"/>
          <w:rFonts w:hint="eastAsia" w:ascii="仿宋" w:hAnsi="仿宋" w:eastAsia="仿宋"/>
          <w:b w:val="0"/>
          <w:bCs/>
          <w:sz w:val="32"/>
          <w:szCs w:val="32"/>
          <w:highlight w:val="none"/>
        </w:rPr>
        <w:t>。</w:t>
      </w:r>
    </w:p>
    <w:p>
      <w:pPr>
        <w:spacing w:line="600" w:lineRule="exact"/>
        <w:ind w:firstLine="643" w:firstLineChars="200"/>
        <w:rPr>
          <w:rFonts w:ascii="仿宋" w:hAnsi="仿宋" w:eastAsia="仿宋"/>
          <w:b/>
          <w:sz w:val="32"/>
          <w:szCs w:val="32"/>
          <w:highlight w:val="none"/>
        </w:rPr>
      </w:pP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1）</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01住房公积金</w:t>
      </w:r>
      <w:r>
        <w:rPr>
          <w:rStyle w:val="14"/>
          <w:rFonts w:hint="eastAsia" w:ascii="仿宋" w:hAnsi="仿宋" w:eastAsia="仿宋"/>
          <w:bCs/>
          <w:color w:val="000000"/>
          <w:sz w:val="32"/>
          <w:szCs w:val="32"/>
        </w:rPr>
        <w:t>（项）</w:t>
      </w:r>
      <w:r>
        <w:rPr>
          <w:rStyle w:val="14"/>
          <w:rFonts w:hint="eastAsia" w:ascii="仿宋" w:hAnsi="仿宋" w:eastAsia="仿宋"/>
          <w:bCs/>
          <w:color w:val="000000"/>
          <w:sz w:val="32"/>
          <w:szCs w:val="32"/>
          <w:lang w:val="en-US" w:eastAsia="zh-CN"/>
        </w:rPr>
        <w:t>2022年</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74.14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，主要用于单位住房公积金保险支出</w:t>
      </w:r>
      <w:r>
        <w:rPr>
          <w:rStyle w:val="14"/>
          <w:rFonts w:hint="eastAsia" w:ascii="仿宋" w:hAnsi="仿宋" w:eastAsia="仿宋"/>
          <w:b w:val="0"/>
          <w:bCs/>
          <w:color w:val="000000"/>
          <w:sz w:val="32"/>
          <w:szCs w:val="32"/>
          <w:lang w:val="en-US" w:eastAsia="zh-CN"/>
        </w:rPr>
        <w:t>。</w:t>
      </w:r>
    </w:p>
    <w:p>
      <w:pPr>
        <w:spacing w:line="60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（注：数据来源于财决</w:t>
      </w:r>
      <w:r>
        <w:rPr>
          <w:rFonts w:ascii="仿宋" w:hAnsi="仿宋" w:eastAsia="仿宋"/>
          <w:b/>
          <w:sz w:val="32"/>
          <w:szCs w:val="32"/>
          <w:highlight w:val="none"/>
        </w:rPr>
        <w:t>0</w:t>
      </w:r>
      <w:r>
        <w:rPr>
          <w:rFonts w:hint="eastAsia" w:ascii="仿宋" w:hAnsi="仿宋" w:eastAsia="仿宋"/>
          <w:b/>
          <w:sz w:val="32"/>
          <w:szCs w:val="32"/>
          <w:highlight w:val="none"/>
        </w:rPr>
        <w:t>1-1表和财决08表。）</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21" w:name="_Toc15377214"/>
      <w:bookmarkStart w:id="2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21"/>
      <w:bookmarkEnd w:id="22"/>
      <w:r>
        <w:rPr>
          <w:rStyle w:val="25"/>
          <w:rFonts w:ascii="黑体" w:hAnsi="黑体" w:eastAsia="黑体"/>
          <w:b w:val="0"/>
        </w:rPr>
        <w:tab/>
      </w:r>
    </w:p>
    <w:p>
      <w:pPr>
        <w:spacing w:line="576" w:lineRule="exact"/>
        <w:ind w:firstLine="640"/>
        <w:jc w:val="both"/>
        <w:rPr>
          <w:rFonts w:hint="eastAsia" w:ascii="仿宋_GB2312" w:hAnsi="仿宋_GB2312" w:eastAsia="仿宋_GB2312"/>
          <w:color w:val="000000"/>
          <w:kern w:val="2"/>
          <w:sz w:val="32"/>
          <w:szCs w:val="24"/>
          <w:lang w:val="zh-CN"/>
        </w:rPr>
      </w:pPr>
      <w:bookmarkStart w:id="23" w:name="_Toc15377215"/>
      <w:bookmarkStart w:id="24" w:name="_Toc15396609"/>
      <w:r>
        <w:rPr>
          <w:rFonts w:hint="eastAsia" w:ascii="仿宋_GB2312" w:hAnsi="仿宋_GB2312" w:eastAsia="仿宋_GB2312"/>
          <w:color w:val="000000"/>
          <w:kern w:val="2"/>
          <w:sz w:val="32"/>
          <w:szCs w:val="24"/>
          <w:lang w:val="zh-CN"/>
        </w:rPr>
        <w:t>2022年一般公共预算财政拨款基本支出1,056.59万元，其中：</w:t>
      </w:r>
    </w:p>
    <w:p>
      <w:pPr>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957.41万元，主要包括：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pPr>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99.18万元，主要包括：</w:t>
      </w:r>
      <w:r>
        <w:rPr>
          <w:rFonts w:hint="eastAsia" w:ascii="仿宋" w:hAnsi="仿宋" w:eastAsia="仿宋"/>
          <w:color w:val="auto"/>
          <w:kern w:val="2"/>
          <w:sz w:val="32"/>
          <w:szCs w:val="24"/>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pPr>
        <w:spacing w:line="600" w:lineRule="exact"/>
        <w:ind w:firstLine="645"/>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（注：数据来源于财决07表和财决08-1表，仅罗列本部门实际支出涉及的经济分类科目。）</w:t>
      </w:r>
    </w:p>
    <w:p>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23"/>
      <w:bookmarkEnd w:id="24"/>
    </w:p>
    <w:p>
      <w:pPr>
        <w:spacing w:line="600" w:lineRule="exact"/>
        <w:ind w:firstLine="640"/>
        <w:outlineLvl w:val="2"/>
        <w:rPr>
          <w:rFonts w:ascii="仿宋" w:hAnsi="仿宋" w:eastAsia="仿宋"/>
          <w:b/>
          <w:sz w:val="32"/>
          <w:szCs w:val="32"/>
        </w:rPr>
      </w:pPr>
      <w:bookmarkStart w:id="25" w:name="_Toc15377216"/>
      <w:r>
        <w:rPr>
          <w:rFonts w:hint="eastAsia" w:ascii="仿宋" w:hAnsi="仿宋" w:eastAsia="仿宋"/>
          <w:b/>
          <w:sz w:val="32"/>
          <w:szCs w:val="32"/>
        </w:rPr>
        <w:t>（一）“三公”经费财政拨款支出决算总体情况说明</w:t>
      </w:r>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年“三公”经费财政拨款无支出。</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26" w:name="_Toc15377217"/>
      <w:r>
        <w:rPr>
          <w:rFonts w:hint="eastAsia" w:ascii="仿宋" w:hAnsi="仿宋" w:eastAsia="仿宋"/>
          <w:b/>
          <w:sz w:val="32"/>
          <w:szCs w:val="32"/>
        </w:rPr>
        <w:t>（二）“三公”经费财政拨款支出决算具体情况说明</w:t>
      </w:r>
      <w:bookmarkEnd w:id="26"/>
    </w:p>
    <w:p>
      <w:pPr>
        <w:spacing w:line="600" w:lineRule="exact"/>
        <w:ind w:firstLine="640"/>
        <w:rPr>
          <w:rFonts w:ascii="黑体" w:eastAsia="黑体"/>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年“三公”经费财政拨款无支出。</w:t>
      </w:r>
      <w:bookmarkStart w:id="27" w:name="_Toc15396610"/>
      <w:bookmarkStart w:id="28"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27"/>
      <w:bookmarkEnd w:id="2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7"/>
        </w:numPr>
        <w:spacing w:line="600" w:lineRule="exact"/>
        <w:ind w:firstLine="640"/>
        <w:outlineLvl w:val="1"/>
        <w:rPr>
          <w:rStyle w:val="25"/>
          <w:rFonts w:ascii="黑体" w:hAnsi="黑体" w:eastAsia="黑体"/>
          <w:b w:val="0"/>
        </w:rPr>
      </w:pPr>
      <w:bookmarkStart w:id="29" w:name="_Toc15377219"/>
      <w:bookmarkStart w:id="30" w:name="_Toc15396611"/>
      <w:r>
        <w:rPr>
          <w:rStyle w:val="25"/>
          <w:rFonts w:hint="eastAsia" w:ascii="黑体" w:hAnsi="黑体" w:eastAsia="黑体"/>
          <w:b w:val="0"/>
        </w:rPr>
        <w:t>国有资本经营预算支出决算情况说明</w:t>
      </w:r>
      <w:bookmarkEnd w:id="29"/>
      <w:bookmarkEnd w:id="30"/>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7"/>
        </w:numPr>
        <w:spacing w:line="600" w:lineRule="exact"/>
        <w:ind w:firstLine="640"/>
        <w:outlineLvl w:val="1"/>
        <w:rPr>
          <w:rStyle w:val="25"/>
          <w:rFonts w:ascii="黑体" w:hAnsi="黑体" w:eastAsia="黑体"/>
          <w:b w:val="0"/>
        </w:rPr>
      </w:pPr>
      <w:bookmarkStart w:id="31" w:name="_Toc15377221"/>
      <w:bookmarkStart w:id="32" w:name="_Toc15396612"/>
      <w:r>
        <w:rPr>
          <w:rStyle w:val="25"/>
          <w:rFonts w:hint="eastAsia" w:ascii="黑体" w:hAnsi="黑体" w:eastAsia="黑体"/>
          <w:b w:val="0"/>
        </w:rPr>
        <w:t>其他重要事项的情况说明</w:t>
      </w:r>
      <w:bookmarkEnd w:id="31"/>
      <w:bookmarkEnd w:id="32"/>
    </w:p>
    <w:p>
      <w:pPr>
        <w:spacing w:line="600" w:lineRule="exact"/>
        <w:ind w:firstLine="643" w:firstLineChars="200"/>
        <w:outlineLvl w:val="2"/>
        <w:rPr>
          <w:rFonts w:ascii="仿宋" w:hAnsi="仿宋" w:eastAsia="仿宋"/>
          <w:sz w:val="32"/>
          <w:szCs w:val="32"/>
        </w:rPr>
      </w:pPr>
      <w:bookmarkStart w:id="33" w:name="_Toc15377222"/>
      <w:r>
        <w:rPr>
          <w:rFonts w:hint="eastAsia" w:ascii="仿宋" w:hAnsi="仿宋" w:eastAsia="仿宋"/>
          <w:b/>
          <w:sz w:val="32"/>
          <w:szCs w:val="32"/>
        </w:rPr>
        <w:t>（一）机关运行经费支出情况</w:t>
      </w:r>
      <w:bookmarkEnd w:id="33"/>
    </w:p>
    <w:p>
      <w:pPr>
        <w:spacing w:line="600" w:lineRule="exact"/>
        <w:ind w:firstLine="640" w:firstLineChars="200"/>
        <w:rPr>
          <w:rFonts w:ascii="仿宋" w:hAnsi="仿宋" w:eastAsia="仿宋"/>
          <w:b/>
          <w:sz w:val="32"/>
          <w:szCs w:val="32"/>
        </w:rPr>
      </w:pPr>
      <w:r>
        <w:rPr>
          <w:rFonts w:hint="eastAsia" w:ascii="仿宋_GB2312" w:eastAsia="仿宋_GB2312"/>
          <w:sz w:val="32"/>
          <w:szCs w:val="32"/>
        </w:rPr>
        <w:t>我单位为事业单位，无机关运行经费支出。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4" w:name="_Toc15377223"/>
      <w:r>
        <w:rPr>
          <w:rFonts w:hint="eastAsia" w:ascii="仿宋" w:hAnsi="仿宋" w:eastAsia="仿宋"/>
          <w:b/>
          <w:sz w:val="32"/>
          <w:szCs w:val="32"/>
        </w:rPr>
        <w:t>（二）政府采购支出情况</w:t>
      </w:r>
      <w:bookmarkEnd w:id="34"/>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5" w:name="_Toc15377224"/>
      <w:r>
        <w:rPr>
          <w:rFonts w:hint="eastAsia" w:ascii="仿宋" w:hAnsi="仿宋" w:eastAsia="仿宋"/>
          <w:b/>
          <w:sz w:val="32"/>
          <w:szCs w:val="32"/>
        </w:rPr>
        <w:t>（三）国有资产占有使用情况</w:t>
      </w:r>
      <w:bookmarkEnd w:id="35"/>
    </w:p>
    <w:p>
      <w:pPr>
        <w:autoSpaceDE w:val="0"/>
        <w:autoSpaceDN w:val="0"/>
        <w:adjustRightInd w:val="0"/>
        <w:spacing w:line="600" w:lineRule="exact"/>
        <w:ind w:firstLine="640" w:firstLineChars="200"/>
        <w:jc w:val="left"/>
      </w:pPr>
      <w:r>
        <w:rPr>
          <w:rFonts w:hint="eastAsia" w:ascii="仿宋_GB2312" w:eastAsia="仿宋_GB2312"/>
          <w:sz w:val="32"/>
          <w:szCs w:val="32"/>
        </w:rPr>
        <w:t>无</w:t>
      </w:r>
    </w:p>
    <w:p>
      <w:pPr>
        <w:numPr>
          <w:ilvl w:val="0"/>
          <w:numId w:val="0"/>
        </w:numPr>
        <w:autoSpaceDE w:val="0"/>
        <w:autoSpaceDN w:val="0"/>
        <w:adjustRightInd w:val="0"/>
        <w:spacing w:line="600" w:lineRule="exact"/>
        <w:ind w:leftChars="200"/>
        <w:jc w:val="left"/>
        <w:outlineLvl w:val="2"/>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四</w:t>
      </w:r>
      <w:r>
        <w:rPr>
          <w:rFonts w:hint="eastAsia" w:ascii="仿宋" w:hAnsi="仿宋" w:eastAsia="仿宋"/>
          <w:b/>
          <w:sz w:val="32"/>
          <w:szCs w:val="32"/>
        </w:rPr>
        <w:t>）预算绩效管理情况</w:t>
      </w:r>
    </w:p>
    <w:p>
      <w:pPr>
        <w:numPr>
          <w:ilvl w:val="0"/>
          <w:numId w:val="0"/>
        </w:numPr>
        <w:autoSpaceDE w:val="0"/>
        <w:autoSpaceDN w:val="0"/>
        <w:adjustRightInd w:val="0"/>
        <w:spacing w:line="600" w:lineRule="exact"/>
        <w:ind w:left="0" w:leftChars="0" w:firstLine="640" w:firstLineChars="200"/>
        <w:jc w:val="left"/>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本单位工资福利、社会保障和就业支出、卫生健康支出</w:t>
      </w:r>
      <w:r>
        <w:rPr>
          <w:rFonts w:hint="eastAsia" w:hAnsi="仿宋_GB2312" w:cs="仿宋_GB2312"/>
          <w:sz w:val="32"/>
          <w:szCs w:val="32"/>
          <w:lang w:eastAsia="zh-CN"/>
        </w:rPr>
        <w:t>、住房公积金</w:t>
      </w:r>
      <w:r>
        <w:rPr>
          <w:rFonts w:hint="eastAsia" w:ascii="仿宋_GB2312" w:hAnsi="仿宋_GB2312" w:eastAsia="仿宋_GB2312" w:cs="仿宋_GB2312"/>
          <w:sz w:val="32"/>
          <w:szCs w:val="32"/>
        </w:rPr>
        <w:t>项目</w:t>
      </w:r>
      <w:r>
        <w:rPr>
          <w:rFonts w:hint="eastAsia" w:hAnsi="仿宋_GB2312" w:cs="仿宋_GB2312"/>
          <w:sz w:val="32"/>
          <w:szCs w:val="32"/>
          <w:lang w:eastAsia="zh-CN"/>
        </w:rPr>
        <w:t>等</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r>
        <w:rPr>
          <w:rFonts w:hint="eastAsia" w:hAnsi="仿宋_GB2312" w:cs="仿宋_GB2312"/>
          <w:sz w:val="32"/>
          <w:szCs w:val="32"/>
          <w:lang w:eastAsia="zh-CN"/>
        </w:rPr>
        <w:t>，</w:t>
      </w:r>
      <w:r>
        <w:rPr>
          <w:rFonts w:hint="eastAsia" w:ascii="仿宋_GB2312" w:hAnsi="仿宋_GB2312" w:eastAsia="仿宋_GB2312" w:cs="仿宋_GB2312"/>
          <w:color w:val="auto"/>
          <w:sz w:val="32"/>
          <w:szCs w:val="32"/>
          <w:highlight w:val="none"/>
        </w:rPr>
        <w:t>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pPr>
    </w:p>
    <w:p>
      <w:pPr>
        <w:numPr>
          <w:ilvl w:val="0"/>
          <w:numId w:val="8"/>
        </w:numPr>
        <w:spacing w:line="600" w:lineRule="exact"/>
        <w:ind w:firstLine="660" w:firstLineChars="150"/>
        <w:jc w:val="center"/>
        <w:outlineLvl w:val="0"/>
        <w:rPr>
          <w:rStyle w:val="24"/>
          <w:rFonts w:ascii="黑体" w:hAnsi="黑体" w:eastAsia="黑体"/>
          <w:b w:val="0"/>
        </w:rPr>
      </w:pPr>
      <w:bookmarkStart w:id="36" w:name="_Toc15396613"/>
      <w:bookmarkStart w:id="37" w:name="_Toc15377225"/>
      <w:r>
        <w:rPr>
          <w:rFonts w:hint="eastAsia" w:ascii="黑体" w:hAnsi="黑体" w:eastAsia="黑体"/>
          <w:sz w:val="44"/>
          <w:szCs w:val="44"/>
        </w:rPr>
        <w:t>名</w:t>
      </w:r>
      <w:r>
        <w:rPr>
          <w:rStyle w:val="24"/>
          <w:rFonts w:hint="eastAsia" w:ascii="黑体" w:hAnsi="黑体" w:eastAsia="黑体"/>
          <w:b w:val="0"/>
        </w:rPr>
        <w:t>词解释</w:t>
      </w:r>
      <w:bookmarkEnd w:id="36"/>
      <w:bookmarkEnd w:id="37"/>
    </w:p>
    <w:p>
      <w:pPr>
        <w:spacing w:line="600" w:lineRule="exact"/>
        <w:jc w:val="left"/>
        <w:rPr>
          <w:rFonts w:ascii="宋体"/>
          <w:b/>
          <w:sz w:val="44"/>
          <w:szCs w:val="44"/>
        </w:rPr>
      </w:pPr>
      <w:bookmarkStart w:id="38" w:name="_Toc15396614"/>
      <w:bookmarkStart w:id="39" w:name="_Toc15377226"/>
    </w:p>
    <w:p>
      <w:pPr>
        <w:pStyle w:val="22"/>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2"/>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2"/>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2"/>
        <w:spacing w:line="560" w:lineRule="exact"/>
        <w:ind w:left="638" w:leftChars="304"/>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pPr>
        <w:pStyle w:val="22"/>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pPr>
        <w:pStyle w:val="22"/>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pStyle w:val="22"/>
        <w:spacing w:line="560" w:lineRule="exact"/>
        <w:ind w:firstLine="640" w:firstLineChars="200"/>
        <w:rPr>
          <w:rFonts w:hAnsi="仿宋"/>
          <w:sz w:val="32"/>
          <w:szCs w:val="32"/>
        </w:rPr>
      </w:pPr>
      <w:r>
        <w:rPr>
          <w:rFonts w:hint="eastAsia" w:hAnsi="仿宋"/>
          <w:sz w:val="32"/>
          <w:szCs w:val="32"/>
        </w:rPr>
        <w:t>9</w:t>
      </w:r>
      <w:r>
        <w:rPr>
          <w:rFonts w:hAnsi="仿宋"/>
          <w:sz w:val="32"/>
          <w:szCs w:val="32"/>
        </w:rPr>
        <w:t>.</w:t>
      </w:r>
      <w:r>
        <w:rPr>
          <w:rFonts w:hint="eastAsia" w:hAnsi="仿宋"/>
          <w:sz w:val="32"/>
          <w:szCs w:val="32"/>
        </w:rPr>
        <w:t>教育（类）普通教育（款）小学教育（项）</w:t>
      </w:r>
      <w:r>
        <w:rPr>
          <w:rFonts w:hAnsi="仿宋"/>
          <w:sz w:val="32"/>
          <w:szCs w:val="32"/>
        </w:rPr>
        <w:t xml:space="preserve">: </w:t>
      </w:r>
      <w:r>
        <w:rPr>
          <w:rFonts w:hint="eastAsia" w:hAnsi="仿宋"/>
          <w:sz w:val="32"/>
          <w:szCs w:val="32"/>
        </w:rPr>
        <w:t>反映各部门举办的小学教育支出。政府各部门对社会中介组织等举办的小学的资助，如各类捐赠、补贴等，也在本科目中反映。</w:t>
      </w:r>
    </w:p>
    <w:p>
      <w:pPr>
        <w:pStyle w:val="22"/>
        <w:spacing w:line="560" w:lineRule="exact"/>
        <w:ind w:firstLine="640" w:firstLineChars="200"/>
        <w:rPr>
          <w:rFonts w:hint="eastAsia" w:hAnsi="仿宋"/>
          <w:sz w:val="32"/>
          <w:szCs w:val="32"/>
        </w:rPr>
      </w:pPr>
      <w:r>
        <w:rPr>
          <w:rFonts w:hint="eastAsia" w:hAnsi="仿宋"/>
          <w:sz w:val="32"/>
          <w:szCs w:val="32"/>
        </w:rPr>
        <w:t>10</w:t>
      </w:r>
      <w:r>
        <w:rPr>
          <w:rFonts w:hAnsi="仿宋"/>
          <w:sz w:val="32"/>
          <w:szCs w:val="32"/>
        </w:rPr>
        <w:t>.</w:t>
      </w:r>
      <w:r>
        <w:rPr>
          <w:rFonts w:hint="eastAsia" w:hAnsi="仿宋"/>
          <w:sz w:val="32"/>
          <w:szCs w:val="32"/>
        </w:rPr>
        <w:t>教育（类）普通教育（款）其他普通教育支出（项）</w:t>
      </w:r>
      <w:r>
        <w:rPr>
          <w:rFonts w:hAnsi="仿宋"/>
          <w:sz w:val="32"/>
          <w:szCs w:val="32"/>
        </w:rPr>
        <w:t xml:space="preserve">: </w:t>
      </w:r>
      <w:r>
        <w:rPr>
          <w:rFonts w:hint="eastAsia" w:hAnsi="仿宋"/>
          <w:sz w:val="32"/>
          <w:szCs w:val="32"/>
        </w:rPr>
        <w:t>反映除上述项目以外其它用于普通教育方面的支出。</w:t>
      </w:r>
    </w:p>
    <w:p>
      <w:pPr>
        <w:pStyle w:val="22"/>
        <w:spacing w:line="560" w:lineRule="exact"/>
        <w:ind w:firstLine="640" w:firstLineChars="200"/>
        <w:rPr>
          <w:rFonts w:hint="eastAsia" w:hAnsi="仿宋"/>
          <w:sz w:val="32"/>
          <w:szCs w:val="32"/>
        </w:rPr>
      </w:pPr>
      <w:r>
        <w:rPr>
          <w:rFonts w:hint="eastAsia" w:hAnsi="仿宋"/>
          <w:sz w:val="32"/>
          <w:szCs w:val="32"/>
        </w:rPr>
        <w:t>1</w:t>
      </w:r>
      <w:r>
        <w:rPr>
          <w:rFonts w:hint="eastAsia" w:hAnsi="仿宋"/>
          <w:sz w:val="32"/>
          <w:szCs w:val="32"/>
          <w:lang w:val="en-US" w:eastAsia="zh-CN"/>
        </w:rPr>
        <w:t>1</w:t>
      </w:r>
      <w:r>
        <w:rPr>
          <w:rFonts w:hAnsi="仿宋"/>
          <w:sz w:val="32"/>
          <w:szCs w:val="32"/>
        </w:rPr>
        <w:t>.</w:t>
      </w:r>
      <w:r>
        <w:rPr>
          <w:rFonts w:hint="eastAsia" w:hAnsi="仿宋"/>
          <w:sz w:val="32"/>
          <w:szCs w:val="32"/>
        </w:rPr>
        <w:t>教育（类）教育费附加安排的支出（款）农村中小学校舍建设（项）</w:t>
      </w:r>
      <w:r>
        <w:rPr>
          <w:rFonts w:hAnsi="仿宋"/>
          <w:sz w:val="32"/>
          <w:szCs w:val="32"/>
        </w:rPr>
        <w:t xml:space="preserve">: </w:t>
      </w:r>
      <w:r>
        <w:rPr>
          <w:rFonts w:hint="eastAsia" w:hAnsi="仿宋"/>
          <w:sz w:val="32"/>
          <w:szCs w:val="32"/>
        </w:rPr>
        <w:t>反映除上述项目以外其它用于教育费附加安排的支出。</w:t>
      </w:r>
    </w:p>
    <w:p>
      <w:pPr>
        <w:pStyle w:val="22"/>
        <w:spacing w:line="560" w:lineRule="exact"/>
        <w:ind w:firstLine="640" w:firstLineChars="200"/>
        <w:rPr>
          <w:rFonts w:hint="eastAsia" w:hAnsi="仿宋"/>
          <w:sz w:val="32"/>
          <w:szCs w:val="32"/>
        </w:rPr>
      </w:pPr>
      <w:r>
        <w:rPr>
          <w:rFonts w:hint="eastAsia" w:hAnsi="仿宋"/>
          <w:sz w:val="32"/>
          <w:szCs w:val="32"/>
        </w:rPr>
        <w:t>1</w:t>
      </w:r>
      <w:r>
        <w:rPr>
          <w:rFonts w:hint="eastAsia" w:hAnsi="仿宋"/>
          <w:sz w:val="32"/>
          <w:szCs w:val="32"/>
          <w:lang w:val="en-US" w:eastAsia="zh-CN"/>
        </w:rPr>
        <w:t>2</w:t>
      </w:r>
      <w:r>
        <w:rPr>
          <w:rFonts w:hAnsi="仿宋"/>
          <w:sz w:val="32"/>
          <w:szCs w:val="32"/>
        </w:rPr>
        <w:t>.</w:t>
      </w:r>
      <w:r>
        <w:rPr>
          <w:rFonts w:hint="eastAsia" w:hAnsi="仿宋"/>
          <w:sz w:val="32"/>
          <w:szCs w:val="32"/>
        </w:rPr>
        <w:t>教育（类）教育费附加安排的支出（款）其他教育费附加安排的支出（项）</w:t>
      </w:r>
      <w:r>
        <w:rPr>
          <w:rFonts w:hAnsi="仿宋"/>
          <w:sz w:val="32"/>
          <w:szCs w:val="32"/>
        </w:rPr>
        <w:t xml:space="preserve">: </w:t>
      </w:r>
      <w:r>
        <w:rPr>
          <w:rFonts w:hint="eastAsia" w:hAnsi="仿宋"/>
          <w:sz w:val="32"/>
          <w:szCs w:val="32"/>
        </w:rPr>
        <w:t>反映除上述项目以外其它用于教育费附加安排的支出。</w:t>
      </w:r>
    </w:p>
    <w:p>
      <w:pPr>
        <w:pStyle w:val="22"/>
        <w:spacing w:line="560" w:lineRule="exact"/>
        <w:ind w:firstLine="640" w:firstLineChars="200"/>
        <w:rPr>
          <w:rFonts w:hAnsi="仿宋"/>
          <w:sz w:val="32"/>
          <w:szCs w:val="32"/>
        </w:rPr>
      </w:pPr>
      <w:r>
        <w:rPr>
          <w:rFonts w:hint="eastAsia" w:hAnsi="仿宋"/>
          <w:sz w:val="32"/>
          <w:szCs w:val="32"/>
        </w:rPr>
        <w:t>1</w:t>
      </w:r>
      <w:r>
        <w:rPr>
          <w:rFonts w:hint="eastAsia" w:hAnsi="仿宋"/>
          <w:sz w:val="32"/>
          <w:szCs w:val="32"/>
          <w:lang w:val="en-US" w:eastAsia="zh-CN"/>
        </w:rPr>
        <w:t>3</w:t>
      </w:r>
      <w:r>
        <w:rPr>
          <w:rFonts w:hAnsi="仿宋"/>
          <w:sz w:val="32"/>
          <w:szCs w:val="32"/>
        </w:rPr>
        <w:t>.</w:t>
      </w:r>
      <w:r>
        <w:rPr>
          <w:rFonts w:hint="eastAsia" w:hAnsi="仿宋"/>
          <w:sz w:val="32"/>
          <w:szCs w:val="32"/>
        </w:rPr>
        <w:t>社会保障和就业（类）行政事业单位养老支出（款）机关事业单位基本养老保险缴费支出（项）</w:t>
      </w:r>
      <w:r>
        <w:rPr>
          <w:rFonts w:hAnsi="仿宋"/>
          <w:sz w:val="32"/>
          <w:szCs w:val="32"/>
        </w:rPr>
        <w:t xml:space="preserve">: </w:t>
      </w:r>
      <w:r>
        <w:rPr>
          <w:rFonts w:hint="eastAsia" w:hAnsi="仿宋"/>
          <w:sz w:val="32"/>
          <w:szCs w:val="32"/>
        </w:rPr>
        <w:t>反映机关事业单位实施养老保险制度由单位缴纳的基本养老保险费支出。</w:t>
      </w:r>
    </w:p>
    <w:p>
      <w:pPr>
        <w:pStyle w:val="22"/>
        <w:spacing w:line="560" w:lineRule="exact"/>
        <w:ind w:firstLine="640" w:firstLineChars="200"/>
        <w:rPr>
          <w:rFonts w:hAnsi="仿宋"/>
          <w:sz w:val="32"/>
          <w:szCs w:val="32"/>
        </w:rPr>
      </w:pPr>
      <w:r>
        <w:rPr>
          <w:rFonts w:hint="eastAsia" w:hAnsi="仿宋"/>
          <w:sz w:val="32"/>
          <w:szCs w:val="32"/>
        </w:rPr>
        <w:t>14</w:t>
      </w:r>
      <w:r>
        <w:rPr>
          <w:rFonts w:hAnsi="仿宋"/>
          <w:sz w:val="32"/>
          <w:szCs w:val="32"/>
        </w:rPr>
        <w:t>.</w:t>
      </w:r>
      <w:r>
        <w:rPr>
          <w:rFonts w:hint="eastAsia" w:hAnsi="仿宋"/>
          <w:sz w:val="32"/>
          <w:szCs w:val="32"/>
        </w:rPr>
        <w:t>社会保障和就业（类）其他社会保障和就业支出（款）其他社会保障和就业支出（项）</w:t>
      </w:r>
      <w:r>
        <w:rPr>
          <w:rFonts w:hAnsi="仿宋"/>
          <w:sz w:val="32"/>
          <w:szCs w:val="32"/>
        </w:rPr>
        <w:t xml:space="preserve">: </w:t>
      </w:r>
      <w:r>
        <w:rPr>
          <w:rFonts w:hint="eastAsia" w:hAnsi="仿宋"/>
          <w:sz w:val="32"/>
          <w:szCs w:val="32"/>
        </w:rPr>
        <w:t>反映上述项目以外其他用用于社会保障和就业方面的支出。</w:t>
      </w:r>
    </w:p>
    <w:p>
      <w:pPr>
        <w:pStyle w:val="22"/>
        <w:spacing w:line="560" w:lineRule="exact"/>
        <w:ind w:firstLine="640" w:firstLineChars="200"/>
        <w:rPr>
          <w:rFonts w:hAnsi="仿宋"/>
          <w:sz w:val="32"/>
          <w:szCs w:val="32"/>
        </w:rPr>
      </w:pPr>
      <w:r>
        <w:rPr>
          <w:rFonts w:hint="eastAsia" w:hAnsi="仿宋"/>
          <w:sz w:val="32"/>
          <w:szCs w:val="32"/>
        </w:rPr>
        <w:t>15</w:t>
      </w:r>
      <w:r>
        <w:rPr>
          <w:rFonts w:hAnsi="仿宋"/>
          <w:sz w:val="32"/>
          <w:szCs w:val="32"/>
        </w:rPr>
        <w:t>.</w:t>
      </w:r>
      <w:r>
        <w:rPr>
          <w:rFonts w:hint="eastAsia" w:hAnsi="仿宋"/>
          <w:sz w:val="32"/>
          <w:szCs w:val="32"/>
        </w:rPr>
        <w:t>医疗卫生与计划生育（类）行政事业单位医疗（款）事业单位医疗（项）</w:t>
      </w:r>
      <w:r>
        <w:rPr>
          <w:rFonts w:hAnsi="仿宋"/>
          <w:sz w:val="32"/>
          <w:szCs w:val="32"/>
        </w:rPr>
        <w:t>:</w:t>
      </w:r>
      <w:r>
        <w:rPr>
          <w:rFonts w:hint="eastAsia" w:hAnsi="仿宋"/>
          <w:sz w:val="32"/>
          <w:szCs w:val="32"/>
        </w:rPr>
        <w:t>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Ansi="仿宋"/>
          <w:sz w:val="32"/>
          <w:szCs w:val="32"/>
        </w:rPr>
      </w:pPr>
      <w:r>
        <w:rPr>
          <w:rFonts w:hint="eastAsia" w:hAnsi="仿宋"/>
          <w:sz w:val="32"/>
          <w:szCs w:val="32"/>
        </w:rPr>
        <w:t>1</w:t>
      </w:r>
      <w:r>
        <w:rPr>
          <w:rFonts w:hint="eastAsia" w:hAnsi="仿宋"/>
          <w:sz w:val="32"/>
          <w:szCs w:val="32"/>
          <w:lang w:val="en-US" w:eastAsia="zh-CN"/>
        </w:rPr>
        <w:t>6</w:t>
      </w:r>
      <w:r>
        <w:rPr>
          <w:rFonts w:hAnsi="仿宋"/>
          <w:sz w:val="32"/>
          <w:szCs w:val="32"/>
        </w:rPr>
        <w:t>.</w:t>
      </w:r>
      <w:r>
        <w:rPr>
          <w:rFonts w:hint="eastAsia" w:hAnsi="仿宋"/>
          <w:sz w:val="32"/>
          <w:szCs w:val="32"/>
        </w:rPr>
        <w:t>住房保障支出（类）住房改革支出（款）住房公积金（项）</w:t>
      </w:r>
      <w:r>
        <w:rPr>
          <w:rFonts w:hAnsi="仿宋"/>
          <w:sz w:val="32"/>
          <w:szCs w:val="32"/>
        </w:rPr>
        <w:t>:</w:t>
      </w:r>
      <w:r>
        <w:rPr>
          <w:rFonts w:hint="eastAsia" w:hAnsi="仿宋"/>
          <w:sz w:val="32"/>
          <w:szCs w:val="32"/>
        </w:rPr>
        <w:t>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ind w:firstLine="640" w:firstLineChars="200"/>
        <w:rPr>
          <w:rFonts w:ascii="仿宋" w:hAnsi="仿宋" w:eastAsia="仿宋"/>
          <w:sz w:val="32"/>
          <w:szCs w:val="32"/>
        </w:rPr>
      </w:pPr>
      <w:r>
        <w:rPr>
          <w:rFonts w:hint="eastAsia" w:ascii="仿宋" w:hAnsi="仿宋" w:eastAsia="仿宋"/>
          <w:sz w:val="32"/>
          <w:szCs w:val="32"/>
          <w:lang w:val="en-US" w:eastAsia="zh-CN"/>
        </w:rPr>
        <w:t>19</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color w:val="auto"/>
          <w:sz w:val="32"/>
          <w:szCs w:val="32"/>
        </w:rPr>
      </w:pPr>
      <w:r>
        <w:rPr>
          <w:rFonts w:hint="eastAsia" w:hAnsi="仿宋"/>
          <w:color w:val="auto"/>
          <w:sz w:val="32"/>
          <w:szCs w:val="32"/>
        </w:rPr>
        <w:t>2</w:t>
      </w:r>
      <w:r>
        <w:rPr>
          <w:rFonts w:hint="eastAsia" w:hAnsi="仿宋"/>
          <w:color w:val="auto"/>
          <w:sz w:val="32"/>
          <w:szCs w:val="32"/>
          <w:lang w:val="en-US" w:eastAsia="zh-CN"/>
        </w:rPr>
        <w:t>0</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黑体" w:hAnsi="黑体" w:eastAsia="黑体"/>
          <w:color w:val="auto"/>
          <w:sz w:val="44"/>
          <w:szCs w:val="44"/>
          <w:highlight w:val="none"/>
        </w:rPr>
      </w:pPr>
      <w:r>
        <w:rPr>
          <w:rFonts w:hint="eastAsia" w:hAnsi="仿宋"/>
          <w:color w:val="auto"/>
          <w:sz w:val="32"/>
          <w:szCs w:val="32"/>
        </w:rPr>
        <w:t>2</w:t>
      </w:r>
      <w:r>
        <w:rPr>
          <w:rFonts w:hint="eastAsia" w:hAnsi="仿宋"/>
          <w:color w:val="auto"/>
          <w:sz w:val="32"/>
          <w:szCs w:val="32"/>
          <w:lang w:val="en-US" w:eastAsia="zh-CN"/>
        </w:rPr>
        <w:t>1</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numPr>
          <w:ilvl w:val="0"/>
          <w:numId w:val="8"/>
        </w:numPr>
        <w:spacing w:line="600" w:lineRule="exact"/>
        <w:ind w:left="0" w:leftChars="0" w:firstLine="660" w:firstLineChars="150"/>
        <w:jc w:val="center"/>
        <w:outlineLvl w:val="0"/>
        <w:rPr>
          <w:rStyle w:val="24"/>
          <w:rFonts w:hint="eastAsia" w:ascii="黑体" w:hAnsi="黑体" w:eastAsia="黑体"/>
          <w:b w:val="0"/>
          <w:color w:val="auto"/>
          <w:highlight w:val="none"/>
        </w:rPr>
      </w:pPr>
      <w:r>
        <w:rPr>
          <w:rStyle w:val="24"/>
          <w:rFonts w:hint="eastAsia" w:ascii="黑体" w:hAnsi="黑体" w:eastAsia="黑体"/>
          <w:b w:val="0"/>
          <w:color w:val="auto"/>
          <w:highlight w:val="none"/>
        </w:rPr>
        <w:t>附件</w:t>
      </w:r>
      <w:bookmarkEnd w:id="38"/>
      <w:bookmarkStart w:id="40" w:name="_Toc15396618"/>
    </w:p>
    <w:p>
      <w:pPr>
        <w:numPr>
          <w:ilvl w:val="0"/>
          <w:numId w:val="0"/>
        </w:numPr>
        <w:spacing w:line="600" w:lineRule="exact"/>
        <w:ind w:firstLine="1600" w:firstLineChars="500"/>
        <w:jc w:val="both"/>
        <w:outlineLvl w:val="0"/>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部门预算项目支出绩效自评表（2022年度）</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6"/>
        <w:gridCol w:w="894"/>
        <w:gridCol w:w="1191"/>
        <w:gridCol w:w="396"/>
        <w:gridCol w:w="827"/>
        <w:gridCol w:w="396"/>
        <w:gridCol w:w="846"/>
        <w:gridCol w:w="486"/>
        <w:gridCol w:w="486"/>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遂宁市安居区保石镇水井九年义务教育学校</w:t>
            </w:r>
            <w:r>
              <w:rPr>
                <w:rFonts w:hint="eastAsia" w:ascii="宋体" w:hAnsi="宋体" w:cs="宋体"/>
                <w:b/>
                <w:bCs/>
                <w:i w:val="0"/>
                <w:iCs w:val="0"/>
                <w:color w:val="000000"/>
                <w:kern w:val="0"/>
                <w:sz w:val="18"/>
                <w:szCs w:val="18"/>
                <w:u w:val="none"/>
                <w:lang w:val="en-US" w:eastAsia="zh-CN" w:bidi="ar"/>
              </w:rPr>
              <w:t>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遂宁市安居区保石镇水井九年义务教育学校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保障了学校家庭经济困难学生正常入学，减轻其家庭经济负担。</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600" w:lineRule="exact"/>
              <w:ind w:firstLine="480" w:firstLineChars="200"/>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zh-CN" w:eastAsia="zh-CN" w:bidi="ar"/>
              </w:rPr>
              <w:t>我校加强民生资金专项管理，提高民生资金使用效益，确保专款专用，按程序及时兑现给学生（或监护人），及时报送资助政策落实情况及相关资料，该项目资金符合资金管理办法的相关规定。该项目在项目资金下达后已按程序及时兑现给学生（或监护人），及时报送资助政策落实情况及相关资料。由区财政直接下达指标到学校，转入区资助中心，由一卡通系统发到学生（或监护人）。</w:t>
            </w:r>
            <w:r>
              <w:rPr>
                <w:rFonts w:hint="eastAsia" w:ascii="黑体" w:hAnsi="黑体" w:eastAsia="黑体" w:cs="黑体"/>
                <w:i w:val="0"/>
                <w:iCs w:val="0"/>
                <w:color w:val="000000"/>
                <w:kern w:val="0"/>
                <w:sz w:val="24"/>
                <w:szCs w:val="24"/>
                <w:u w:val="none"/>
                <w:lang w:val="en-US" w:eastAsia="zh-CN" w:bidi="ar"/>
              </w:rPr>
              <w:t>所有</w:t>
            </w:r>
            <w:r>
              <w:rPr>
                <w:rFonts w:hint="eastAsia" w:ascii="黑体" w:hAnsi="黑体" w:eastAsia="黑体" w:cs="黑体"/>
                <w:i w:val="0"/>
                <w:iCs w:val="0"/>
                <w:color w:val="000000"/>
                <w:kern w:val="0"/>
                <w:sz w:val="24"/>
                <w:szCs w:val="24"/>
                <w:u w:val="none"/>
                <w:lang w:val="zh-CN" w:eastAsia="zh-CN" w:bidi="ar"/>
              </w:rPr>
              <w:t>资金都按计划及时到位并</w:t>
            </w:r>
            <w:r>
              <w:rPr>
                <w:rFonts w:hint="eastAsia" w:ascii="黑体" w:hAnsi="黑体" w:eastAsia="黑体" w:cs="黑体"/>
                <w:i w:val="0"/>
                <w:iCs w:val="0"/>
                <w:color w:val="000000"/>
                <w:kern w:val="0"/>
                <w:sz w:val="24"/>
                <w:szCs w:val="24"/>
                <w:u w:val="none"/>
                <w:lang w:val="en-US" w:eastAsia="zh-CN" w:bidi="ar"/>
              </w:rPr>
              <w:t>由区一卡通系统发放到位。</w:t>
            </w:r>
            <w:r>
              <w:rPr>
                <w:rFonts w:hint="eastAsia" w:ascii="黑体" w:hAnsi="黑体" w:eastAsia="黑体" w:cs="黑体"/>
                <w:i w:val="0"/>
                <w:iCs w:val="0"/>
                <w:color w:val="000000"/>
                <w:kern w:val="0"/>
                <w:sz w:val="24"/>
                <w:szCs w:val="24"/>
                <w:u w:val="none"/>
                <w:lang w:val="zh-CN" w:eastAsia="zh-CN" w:bidi="ar"/>
              </w:rPr>
              <w:t>该项目我校严格按照上级规定，首先给家庭经济困难学生发放申请表，请各自的社区或村主任签字、盖章进行审核、确认后，到各班时行由班主任审核、确认，然后由学校审核、确认，最后对享受资助的学生进行公示，无异议后通过银行上卡发放给学生（或监护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30.57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30.57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30.57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30.57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学生资助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21"/>
                <w:szCs w:val="21"/>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zh-CN" w:eastAsia="zh-CN" w:bidi="ar"/>
              </w:rPr>
              <w:t>学校在收到财政局下达的计划指标后，转入区资助中心，由一卡通系统发到学生（或监护人）。</w:t>
            </w:r>
            <w:r>
              <w:rPr>
                <w:rFonts w:hint="eastAsia" w:ascii="宋体" w:hAnsi="宋体" w:eastAsia="宋体" w:cs="宋体"/>
                <w:i w:val="0"/>
                <w:iCs w:val="0"/>
                <w:color w:val="000000"/>
                <w:kern w:val="0"/>
                <w:sz w:val="22"/>
                <w:szCs w:val="22"/>
                <w:u w:val="none"/>
                <w:lang w:val="en-US" w:eastAsia="zh-CN" w:bidi="ar"/>
              </w:rPr>
              <w:t>所有</w:t>
            </w:r>
            <w:r>
              <w:rPr>
                <w:rFonts w:hint="eastAsia" w:ascii="宋体" w:hAnsi="宋体" w:eastAsia="宋体" w:cs="宋体"/>
                <w:i w:val="0"/>
                <w:iCs w:val="0"/>
                <w:color w:val="000000"/>
                <w:kern w:val="0"/>
                <w:sz w:val="22"/>
                <w:szCs w:val="22"/>
                <w:u w:val="none"/>
                <w:lang w:val="zh-CN" w:eastAsia="zh-CN" w:bidi="ar"/>
              </w:rPr>
              <w:t>资金都按计划及时到位并</w:t>
            </w:r>
            <w:r>
              <w:rPr>
                <w:rFonts w:hint="eastAsia" w:ascii="宋体" w:hAnsi="宋体" w:eastAsia="宋体" w:cs="宋体"/>
                <w:i w:val="0"/>
                <w:iCs w:val="0"/>
                <w:color w:val="000000"/>
                <w:kern w:val="0"/>
                <w:sz w:val="22"/>
                <w:szCs w:val="22"/>
                <w:u w:val="none"/>
                <w:lang w:val="en-US" w:eastAsia="zh-CN" w:bidi="ar"/>
              </w:rPr>
              <w:t>由区一卡通系统发放到位。</w:t>
            </w:r>
            <w:r>
              <w:rPr>
                <w:rFonts w:hint="eastAsia" w:ascii="宋体" w:hAnsi="宋体" w:eastAsia="宋体" w:cs="宋体"/>
                <w:i w:val="0"/>
                <w:iCs w:val="0"/>
                <w:color w:val="000000"/>
                <w:kern w:val="0"/>
                <w:sz w:val="22"/>
                <w:szCs w:val="22"/>
                <w:u w:val="none"/>
                <w:lang w:val="zh-CN" w:eastAsia="zh-CN" w:bidi="ar"/>
              </w:rPr>
              <w:t>认真落实义务教育“两免一补”、贫困家庭资助政策，把建档立卡家庭经济困难学生作为脱贫攻坚重点对象，特别是把残疾儿童、残疾人子女作为重中之重，优先帮扶，完善不能到校学习的重度残疾儿童送教上门制度，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微软雅黑" w:hAnsi="微软雅黑" w:eastAsia="微软雅黑" w:cs="微软雅黑"/>
                <w:i/>
                <w:iCs/>
                <w:color w:val="000000"/>
                <w:sz w:val="21"/>
                <w:szCs w:val="21"/>
                <w:u w:val="none"/>
              </w:rPr>
            </w:pPr>
            <w:r>
              <w:rPr>
                <w:rFonts w:hint="eastAsia" w:ascii="宋体" w:hAnsi="宋体" w:eastAsia="宋体" w:cs="宋体"/>
                <w:i w:val="0"/>
                <w:iCs w:val="0"/>
                <w:color w:val="000000"/>
                <w:kern w:val="0"/>
                <w:sz w:val="22"/>
                <w:szCs w:val="22"/>
                <w:u w:val="none"/>
                <w:lang w:val="zh-CN" w:eastAsia="zh-CN" w:bidi="ar"/>
              </w:rPr>
              <w:t>因留守儿童多，父母外出务工，爷爷奶奶对银行卡记录</w:t>
            </w:r>
            <w:r>
              <w:rPr>
                <w:rFonts w:ascii="Helvetica" w:hAnsi="Helvetica" w:eastAsia="Helvetica" w:cs="Helvetica"/>
                <w:i w:val="0"/>
                <w:caps w:val="0"/>
                <w:color w:val="555555"/>
                <w:spacing w:val="0"/>
                <w:sz w:val="21"/>
                <w:szCs w:val="21"/>
                <w:shd w:val="clear" w:fill="FFFFFF"/>
              </w:rPr>
              <w:t>不熟悉</w:t>
            </w:r>
            <w:r>
              <w:rPr>
                <w:rFonts w:hint="eastAsia" w:ascii="宋体" w:hAnsi="宋体" w:eastAsia="宋体" w:cs="宋体"/>
                <w:i w:val="0"/>
                <w:iCs w:val="0"/>
                <w:color w:val="000000"/>
                <w:kern w:val="0"/>
                <w:sz w:val="22"/>
                <w:szCs w:val="22"/>
                <w:u w:val="none"/>
                <w:lang w:val="zh-CN" w:eastAsia="zh-CN" w:bidi="ar"/>
              </w:rPr>
              <w:t>，对少数家长和群众对教育资助政策不甚了解，对自己孩子享有的助学金额不清楚。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微软雅黑" w:hAnsi="微软雅黑" w:eastAsia="微软雅黑" w:cs="微软雅黑"/>
                <w:i/>
                <w:iCs/>
                <w:color w:val="000000"/>
                <w:sz w:val="21"/>
                <w:szCs w:val="21"/>
                <w:u w:val="none"/>
              </w:rPr>
            </w:pPr>
            <w:r>
              <w:rPr>
                <w:rFonts w:hint="eastAsia" w:ascii="宋体" w:hAnsi="宋体" w:eastAsia="宋体" w:cs="宋体"/>
                <w:i w:val="0"/>
                <w:iCs w:val="0"/>
                <w:color w:val="000000"/>
                <w:kern w:val="0"/>
                <w:sz w:val="22"/>
                <w:szCs w:val="22"/>
                <w:u w:val="none"/>
                <w:lang w:val="zh-CN" w:eastAsia="zh-CN" w:bidi="ar"/>
              </w:rPr>
              <w:t>少数家长和群众对教育资助政策不甚了解，对自己孩子享有的助学金额不清楚。学校应进一步加强教育资助政策宣传及资助情况的反馈公示。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w:t>
            </w:r>
            <w:r>
              <w:rPr>
                <w:rFonts w:hint="eastAsia" w:ascii="叶根友毛笔行书2.0版" w:hAnsi="叶根友毛笔行书2.0版" w:eastAsia="叶根友毛笔行书2.0版" w:cs="叶根友毛笔行书2.0版"/>
                <w:i w:val="0"/>
                <w:iCs w:val="0"/>
                <w:color w:val="000000"/>
                <w:kern w:val="0"/>
                <w:sz w:val="21"/>
                <w:szCs w:val="21"/>
                <w:u w:val="none"/>
                <w:lang w:val="en-US" w:eastAsia="zh-CN" w:bidi="ar"/>
              </w:rPr>
              <w:t>谭强</w:t>
            </w:r>
          </w:p>
        </w:tc>
        <w:tc>
          <w:tcPr>
            <w:tcW w:w="25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w:t>
            </w:r>
            <w:r>
              <w:rPr>
                <w:rFonts w:hint="eastAsia" w:ascii="叶根友毛笔行书2.0版" w:hAnsi="叶根友毛笔行书2.0版" w:eastAsia="叶根友毛笔行书2.0版" w:cs="叶根友毛笔行书2.0版"/>
                <w:i w:val="0"/>
                <w:iCs w:val="0"/>
                <w:color w:val="000000"/>
                <w:kern w:val="0"/>
                <w:sz w:val="21"/>
                <w:szCs w:val="21"/>
                <w:u w:val="none"/>
                <w:lang w:val="en-US" w:eastAsia="zh-CN" w:bidi="ar"/>
              </w:rPr>
              <w:t>余治国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widowControl/>
        <w:adjustRightInd w:val="0"/>
        <w:snapToGrid w:val="0"/>
        <w:spacing w:line="580" w:lineRule="exact"/>
        <w:contextualSpacing/>
        <w:jc w:val="left"/>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bookmarkEnd w:id="39"/>
    <w:bookmarkEnd w:id="40"/>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Start w:id="41"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41"/>
    </w:p>
    <w:p>
      <w:pPr>
        <w:pStyle w:val="4"/>
        <w:rPr>
          <w:rFonts w:ascii="仿宋" w:hAnsi="仿宋" w:eastAsia="仿宋"/>
          <w:color w:val="auto"/>
          <w:highlight w:val="none"/>
        </w:rPr>
      </w:pPr>
      <w:bookmarkStart w:id="42"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42"/>
    </w:p>
    <w:p>
      <w:pPr>
        <w:pStyle w:val="4"/>
        <w:rPr>
          <w:rFonts w:ascii="仿宋" w:hAnsi="仿宋" w:eastAsia="仿宋"/>
          <w:color w:val="auto"/>
          <w:highlight w:val="none"/>
        </w:rPr>
      </w:pPr>
      <w:bookmarkStart w:id="43"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43"/>
    </w:p>
    <w:p>
      <w:pPr>
        <w:pStyle w:val="4"/>
        <w:rPr>
          <w:rFonts w:ascii="仿宋" w:hAnsi="仿宋" w:eastAsia="仿宋"/>
          <w:b w:val="0"/>
          <w:color w:val="auto"/>
          <w:highlight w:val="none"/>
        </w:rPr>
      </w:pPr>
      <w:bookmarkStart w:id="4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44"/>
    </w:p>
    <w:p>
      <w:pPr>
        <w:pStyle w:val="4"/>
        <w:rPr>
          <w:rStyle w:val="25"/>
          <w:rFonts w:ascii="仿宋" w:hAnsi="仿宋" w:eastAsia="仿宋"/>
          <w:b w:val="0"/>
          <w:bCs w:val="0"/>
          <w:color w:val="auto"/>
          <w:highlight w:val="none"/>
        </w:rPr>
      </w:pPr>
      <w:bookmarkStart w:id="4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45"/>
      <w:bookmarkStart w:id="46"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46"/>
    </w:p>
    <w:p>
      <w:pPr>
        <w:pStyle w:val="4"/>
        <w:rPr>
          <w:rFonts w:ascii="仿宋" w:hAnsi="仿宋" w:eastAsia="仿宋"/>
          <w:color w:val="auto"/>
          <w:highlight w:val="none"/>
        </w:rPr>
      </w:pPr>
      <w:bookmarkStart w:id="47"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47"/>
    </w:p>
    <w:p>
      <w:pPr>
        <w:pStyle w:val="4"/>
        <w:rPr>
          <w:rFonts w:ascii="仿宋" w:hAnsi="仿宋" w:eastAsia="仿宋"/>
          <w:color w:val="auto"/>
          <w:highlight w:val="none"/>
        </w:rPr>
      </w:pPr>
      <w:bookmarkStart w:id="4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48"/>
    </w:p>
    <w:p>
      <w:pPr>
        <w:pStyle w:val="4"/>
        <w:rPr>
          <w:rFonts w:ascii="仿宋" w:hAnsi="仿宋" w:eastAsia="仿宋"/>
          <w:color w:val="auto"/>
          <w:highlight w:val="none"/>
        </w:rPr>
      </w:pPr>
      <w:bookmarkStart w:id="49"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49"/>
    </w:p>
    <w:p>
      <w:pPr>
        <w:pStyle w:val="4"/>
        <w:rPr>
          <w:rFonts w:ascii="仿宋" w:hAnsi="仿宋" w:eastAsia="仿宋"/>
          <w:color w:val="auto"/>
          <w:highlight w:val="none"/>
        </w:rPr>
      </w:pPr>
      <w:bookmarkStart w:id="50" w:name="_Toc15396628"/>
      <w:r>
        <w:rPr>
          <w:rStyle w:val="25"/>
          <w:rFonts w:hint="eastAsia" w:ascii="仿宋" w:hAnsi="仿宋" w:eastAsia="仿宋"/>
          <w:b w:val="0"/>
          <w:bCs w:val="0"/>
          <w:color w:val="auto"/>
          <w:highlight w:val="none"/>
        </w:rPr>
        <w:t>十、</w:t>
      </w:r>
      <w:bookmarkEnd w:id="50"/>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51" w:name="_Toc15396629"/>
      <w:r>
        <w:rPr>
          <w:rStyle w:val="25"/>
          <w:rFonts w:hint="eastAsia" w:ascii="仿宋" w:hAnsi="仿宋" w:eastAsia="仿宋"/>
          <w:b w:val="0"/>
          <w:bCs w:val="0"/>
          <w:color w:val="auto"/>
          <w:highlight w:val="none"/>
        </w:rPr>
        <w:t>十一、</w:t>
      </w:r>
      <w:bookmarkEnd w:id="51"/>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52" w:name="_Toc15396630"/>
      <w:r>
        <w:rPr>
          <w:rStyle w:val="25"/>
          <w:rFonts w:hint="eastAsia" w:ascii="仿宋" w:hAnsi="仿宋" w:eastAsia="仿宋"/>
          <w:b w:val="0"/>
          <w:bCs w:val="0"/>
          <w:color w:val="auto"/>
          <w:highlight w:val="none"/>
        </w:rPr>
        <w:t>十二、</w:t>
      </w:r>
      <w:bookmarkEnd w:id="52"/>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53" w:name="_Toc15396631"/>
      <w:r>
        <w:rPr>
          <w:rStyle w:val="25"/>
          <w:rFonts w:hint="eastAsia" w:ascii="仿宋" w:hAnsi="仿宋" w:eastAsia="仿宋"/>
          <w:b w:val="0"/>
          <w:bCs w:val="0"/>
          <w:color w:val="auto"/>
          <w:highlight w:val="none"/>
        </w:rPr>
        <w:t>十三、</w:t>
      </w:r>
      <w:bookmarkEnd w:id="53"/>
      <w:r>
        <w:rPr>
          <w:rStyle w:val="25"/>
          <w:rFonts w:hint="eastAsia" w:ascii="仿宋" w:hAnsi="仿宋" w:eastAsia="仿宋"/>
          <w:b w:val="0"/>
          <w:bCs w:val="0"/>
          <w:color w:val="auto"/>
          <w:highlight w:val="none"/>
          <w:lang w:eastAsia="zh-CN"/>
        </w:rPr>
        <w:t>财政拨款“三公”经费支出决算表</w:t>
      </w:r>
    </w:p>
    <w:p>
      <w:pPr>
        <w:pStyle w:val="4"/>
        <w:rPr>
          <w:rStyle w:val="25"/>
          <w:rFonts w:ascii="仿宋" w:hAnsi="仿宋" w:eastAsia="仿宋"/>
          <w:b w:val="0"/>
          <w:bCs w:val="0"/>
        </w:rPr>
      </w:pPr>
    </w:p>
    <w:sectPr>
      <w:headerReference r:id="rId3" w:type="default"/>
      <w:footerReference r:id="rId4" w:type="default"/>
      <w:pgSz w:w="11906" w:h="16838"/>
      <w:pgMar w:top="1134" w:right="1797" w:bottom="113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2A28"/>
    <w:multiLevelType w:val="singleLevel"/>
    <w:tmpl w:val="C1532A28"/>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AA74614"/>
    <w:multiLevelType w:val="singleLevel"/>
    <w:tmpl w:val="FAA74614"/>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EC06069"/>
    <w:multiLevelType w:val="singleLevel"/>
    <w:tmpl w:val="1EC06069"/>
    <w:lvl w:ilvl="0" w:tentative="0">
      <w:start w:val="2"/>
      <w:numFmt w:val="chineseCounting"/>
      <w:suff w:val="nothing"/>
      <w:lvlText w:val="（%1）"/>
      <w:lvlJc w:val="left"/>
      <w:rPr>
        <w:rFonts w:hint="eastAsia"/>
      </w:rPr>
    </w:lvl>
  </w:abstractNum>
  <w:abstractNum w:abstractNumId="6">
    <w:nsid w:val="3E2E4077"/>
    <w:multiLevelType w:val="singleLevel"/>
    <w:tmpl w:val="3E2E4077"/>
    <w:lvl w:ilvl="0" w:tentative="0">
      <w:start w:val="1"/>
      <w:numFmt w:val="chineseCounting"/>
      <w:suff w:val="space"/>
      <w:lvlText w:val="第%1部分"/>
      <w:lvlJc w:val="left"/>
      <w:rPr>
        <w:rFonts w:hint="eastAsia"/>
      </w:rPr>
    </w:lvl>
  </w:abstractNum>
  <w:abstractNum w:abstractNumId="7">
    <w:nsid w:val="460E6A48"/>
    <w:multiLevelType w:val="singleLevel"/>
    <w:tmpl w:val="460E6A48"/>
    <w:lvl w:ilvl="0" w:tentative="0">
      <w:start w:val="1"/>
      <w:numFmt w:val="decimal"/>
      <w:suff w:val="nothing"/>
      <w:lvlText w:val="（%1）"/>
      <w:lvlJc w:val="left"/>
    </w:lvl>
  </w:abstractNum>
  <w:num w:numId="1">
    <w:abstractNumId w:val="6"/>
  </w:num>
  <w:num w:numId="2">
    <w:abstractNumId w:val="0"/>
  </w:num>
  <w:num w:numId="3">
    <w:abstractNumId w:val="4"/>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N2U4M2Y4MDI2NDBhY2I0NGQ4NTkyZTc0YTAxZD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F21"/>
    <w:rsid w:val="0010646E"/>
    <w:rsid w:val="00114E9B"/>
    <w:rsid w:val="00142216"/>
    <w:rsid w:val="00144D6A"/>
    <w:rsid w:val="0014645D"/>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0DBD"/>
    <w:rsid w:val="00202B36"/>
    <w:rsid w:val="00204B7A"/>
    <w:rsid w:val="00204CDE"/>
    <w:rsid w:val="0021101A"/>
    <w:rsid w:val="00220536"/>
    <w:rsid w:val="00235629"/>
    <w:rsid w:val="00260C38"/>
    <w:rsid w:val="002616C0"/>
    <w:rsid w:val="00265372"/>
    <w:rsid w:val="002662AA"/>
    <w:rsid w:val="00280496"/>
    <w:rsid w:val="00294DC9"/>
    <w:rsid w:val="00295495"/>
    <w:rsid w:val="002958B8"/>
    <w:rsid w:val="002A31DE"/>
    <w:rsid w:val="002B2613"/>
    <w:rsid w:val="002D0A39"/>
    <w:rsid w:val="002D6D05"/>
    <w:rsid w:val="002F1818"/>
    <w:rsid w:val="002F567B"/>
    <w:rsid w:val="003048A2"/>
    <w:rsid w:val="003216A9"/>
    <w:rsid w:val="00335A74"/>
    <w:rsid w:val="0036561B"/>
    <w:rsid w:val="0037013F"/>
    <w:rsid w:val="00380C92"/>
    <w:rsid w:val="0038214D"/>
    <w:rsid w:val="00397B8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440"/>
    <w:rsid w:val="004173A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01EE"/>
    <w:rsid w:val="0062270A"/>
    <w:rsid w:val="00622830"/>
    <w:rsid w:val="00623DA0"/>
    <w:rsid w:val="00630AEF"/>
    <w:rsid w:val="006325F8"/>
    <w:rsid w:val="00633463"/>
    <w:rsid w:val="00634C9A"/>
    <w:rsid w:val="006440E4"/>
    <w:rsid w:val="0066343B"/>
    <w:rsid w:val="00664777"/>
    <w:rsid w:val="006748A4"/>
    <w:rsid w:val="00681A31"/>
    <w:rsid w:val="00683E73"/>
    <w:rsid w:val="00697ACD"/>
    <w:rsid w:val="006A3141"/>
    <w:rsid w:val="006A595E"/>
    <w:rsid w:val="006A5E34"/>
    <w:rsid w:val="006B2422"/>
    <w:rsid w:val="006B2B9A"/>
    <w:rsid w:val="006B2C91"/>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6D"/>
    <w:rsid w:val="007D2A38"/>
    <w:rsid w:val="007D312A"/>
    <w:rsid w:val="007D3F19"/>
    <w:rsid w:val="007D7AE7"/>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2CF0"/>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318"/>
    <w:rsid w:val="009B2C43"/>
    <w:rsid w:val="009B4EAE"/>
    <w:rsid w:val="009B7573"/>
    <w:rsid w:val="009C22F4"/>
    <w:rsid w:val="009C2A4B"/>
    <w:rsid w:val="009C2E98"/>
    <w:rsid w:val="009D3447"/>
    <w:rsid w:val="009D46EA"/>
    <w:rsid w:val="009D4711"/>
    <w:rsid w:val="009E2AE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69"/>
    <w:rsid w:val="00A91760"/>
    <w:rsid w:val="00A93B00"/>
    <w:rsid w:val="00A93C21"/>
    <w:rsid w:val="00AB64C9"/>
    <w:rsid w:val="00AC3C6A"/>
    <w:rsid w:val="00AC70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F1F"/>
    <w:rsid w:val="00B77EA6"/>
    <w:rsid w:val="00B81598"/>
    <w:rsid w:val="00B841F1"/>
    <w:rsid w:val="00B944D6"/>
    <w:rsid w:val="00BA7CF7"/>
    <w:rsid w:val="00BB4DF0"/>
    <w:rsid w:val="00BC289F"/>
    <w:rsid w:val="00BC2D50"/>
    <w:rsid w:val="00BC5361"/>
    <w:rsid w:val="00BC5460"/>
    <w:rsid w:val="00BC6B50"/>
    <w:rsid w:val="00BD0E25"/>
    <w:rsid w:val="00BF5BD6"/>
    <w:rsid w:val="00C03E31"/>
    <w:rsid w:val="00C33E72"/>
    <w:rsid w:val="00C354B2"/>
    <w:rsid w:val="00C35554"/>
    <w:rsid w:val="00C42709"/>
    <w:rsid w:val="00C528A6"/>
    <w:rsid w:val="00C533CC"/>
    <w:rsid w:val="00C5751C"/>
    <w:rsid w:val="00C61BFC"/>
    <w:rsid w:val="00C62B85"/>
    <w:rsid w:val="00C65438"/>
    <w:rsid w:val="00C87FD8"/>
    <w:rsid w:val="00C91381"/>
    <w:rsid w:val="00C91CBB"/>
    <w:rsid w:val="00CB24B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1A39"/>
    <w:rsid w:val="00E82267"/>
    <w:rsid w:val="00E853CE"/>
    <w:rsid w:val="00E867B6"/>
    <w:rsid w:val="00EA010F"/>
    <w:rsid w:val="00ED1B63"/>
    <w:rsid w:val="00ED3C1F"/>
    <w:rsid w:val="00ED4085"/>
    <w:rsid w:val="00ED420E"/>
    <w:rsid w:val="00ED4EE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5F4"/>
    <w:rsid w:val="00F754A1"/>
    <w:rsid w:val="00F81FD9"/>
    <w:rsid w:val="00F841AA"/>
    <w:rsid w:val="00F84A94"/>
    <w:rsid w:val="00F87E96"/>
    <w:rsid w:val="00FA23E8"/>
    <w:rsid w:val="00FD3CC1"/>
    <w:rsid w:val="00FF1E02"/>
    <w:rsid w:val="00FF30B4"/>
    <w:rsid w:val="0A2032A3"/>
    <w:rsid w:val="0A597A9E"/>
    <w:rsid w:val="0B8A37D8"/>
    <w:rsid w:val="0BA61635"/>
    <w:rsid w:val="10A13781"/>
    <w:rsid w:val="10C055FF"/>
    <w:rsid w:val="118107EC"/>
    <w:rsid w:val="11DD6519"/>
    <w:rsid w:val="14490BE6"/>
    <w:rsid w:val="16BB723D"/>
    <w:rsid w:val="17C11EA6"/>
    <w:rsid w:val="18015F3F"/>
    <w:rsid w:val="1BE8440E"/>
    <w:rsid w:val="1D155CEE"/>
    <w:rsid w:val="20F57F95"/>
    <w:rsid w:val="240371BF"/>
    <w:rsid w:val="25C741E6"/>
    <w:rsid w:val="27842671"/>
    <w:rsid w:val="27F550E8"/>
    <w:rsid w:val="29FD04D3"/>
    <w:rsid w:val="2ABE7A3E"/>
    <w:rsid w:val="2EFA178C"/>
    <w:rsid w:val="30B46D73"/>
    <w:rsid w:val="319F7F4E"/>
    <w:rsid w:val="33A35B33"/>
    <w:rsid w:val="39AE70AB"/>
    <w:rsid w:val="3C0C0783"/>
    <w:rsid w:val="3F9F3A96"/>
    <w:rsid w:val="493C27E9"/>
    <w:rsid w:val="496F39ED"/>
    <w:rsid w:val="49FF41D3"/>
    <w:rsid w:val="4BE068DB"/>
    <w:rsid w:val="4BF6002B"/>
    <w:rsid w:val="4ECE2238"/>
    <w:rsid w:val="51DB4B86"/>
    <w:rsid w:val="55333C3E"/>
    <w:rsid w:val="56725887"/>
    <w:rsid w:val="57F05CE8"/>
    <w:rsid w:val="5BAF7391"/>
    <w:rsid w:val="5FFD71F3"/>
    <w:rsid w:val="63F8204A"/>
    <w:rsid w:val="64CA39A1"/>
    <w:rsid w:val="6C4A05C8"/>
    <w:rsid w:val="72734D90"/>
    <w:rsid w:val="79440082"/>
    <w:rsid w:val="79E7B28D"/>
    <w:rsid w:val="7DFC2C4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2021年</c:v>
                </c:pt>
              </c:strCache>
            </c:strRef>
          </c:tx>
          <c:spPr>
            <a:solidFill>
              <a:schemeClr val="accent1"/>
            </a:solidFill>
            <a:ln>
              <a:noFill/>
            </a:ln>
            <a:effectLst/>
          </c:spPr>
          <c:invertIfNegative val="0"/>
          <c:dLbls>
            <c:delete val="1"/>
          </c:dLbls>
          <c:cat>
            <c:strRef>
              <c:f>Sheet1!$B$10:$C$10</c:f>
              <c:strCache>
                <c:ptCount val="2"/>
                <c:pt idx="0">
                  <c:v>收入</c:v>
                </c:pt>
                <c:pt idx="1">
                  <c:v>支出</c:v>
                </c:pt>
              </c:strCache>
            </c:strRef>
          </c:cat>
          <c:val>
            <c:numRef>
              <c:f>Sheet1!$B$11:$C$11</c:f>
              <c:numCache>
                <c:formatCode>General</c:formatCode>
                <c:ptCount val="2"/>
                <c:pt idx="0">
                  <c:v>910.33</c:v>
                </c:pt>
                <c:pt idx="1">
                  <c:v>910.33</c:v>
                </c:pt>
              </c:numCache>
            </c:numRef>
          </c:val>
        </c:ser>
        <c:ser>
          <c:idx val="1"/>
          <c:order val="1"/>
          <c:tx>
            <c:strRef>
              <c:f>Sheet1!$A$12</c:f>
              <c:strCache>
                <c:ptCount val="1"/>
                <c:pt idx="0">
                  <c:v>2022年</c:v>
                </c:pt>
              </c:strCache>
            </c:strRef>
          </c:tx>
          <c:spPr>
            <a:solidFill>
              <a:schemeClr val="accent2"/>
            </a:solidFill>
            <a:ln>
              <a:noFill/>
            </a:ln>
            <a:effectLst/>
          </c:spPr>
          <c:invertIfNegative val="0"/>
          <c:dLbls>
            <c:delete val="1"/>
          </c:dLbls>
          <c:cat>
            <c:strRef>
              <c:f>Sheet1!$B$10:$C$10</c:f>
              <c:strCache>
                <c:ptCount val="2"/>
                <c:pt idx="0">
                  <c:v>收入</c:v>
                </c:pt>
                <c:pt idx="1">
                  <c:v>支出</c:v>
                </c:pt>
              </c:strCache>
            </c:strRef>
          </c:cat>
          <c:val>
            <c:numRef>
              <c:f>Sheet1!$B$12:$C$12</c:f>
              <c:numCache>
                <c:formatCode>General</c:formatCode>
                <c:ptCount val="2"/>
                <c:pt idx="0">
                  <c:v>1087.16</c:v>
                </c:pt>
                <c:pt idx="1">
                  <c:v>1087.16</c:v>
                </c:pt>
              </c:numCache>
            </c:numRef>
          </c:val>
        </c:ser>
        <c:dLbls>
          <c:showLegendKey val="0"/>
          <c:showVal val="0"/>
          <c:showCatName val="0"/>
          <c:showSerName val="0"/>
          <c:showPercent val="0"/>
          <c:showBubbleSize val="0"/>
        </c:dLbls>
        <c:gapWidth val="219"/>
        <c:overlap val="-27"/>
        <c:axId val="22418536"/>
        <c:axId val="453372264"/>
      </c:barChart>
      <c:catAx>
        <c:axId val="2241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372264"/>
        <c:crosses val="autoZero"/>
        <c:auto val="1"/>
        <c:lblAlgn val="ctr"/>
        <c:lblOffset val="100"/>
        <c:noMultiLvlLbl val="0"/>
      </c:catAx>
      <c:valAx>
        <c:axId val="453372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185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遂宁市安居区保石镇水井九年义务教学学校</a:t>
            </a:r>
            <a:endParaRPr lang="zh-CN" altLang="en-US"/>
          </a:p>
        </c:rich>
      </c:tx>
      <c:layout>
        <c:manualLayout>
          <c:xMode val="edge"/>
          <c:yMode val="edge"/>
          <c:x val="0.15386977502036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2022</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Pt>
            <c:idx val="5"/>
            <c:bubble3D val="0"/>
            <c:spPr>
              <a:solidFill>
                <a:srgbClr val="9999FF"/>
              </a:solidFill>
              <a:ln w="12699">
                <a:solidFill>
                  <a:srgbClr val="000000"/>
                </a:solidFill>
                <a:prstDash val="solid"/>
              </a:ln>
            </c:spPr>
          </c:dPt>
          <c:dLbls>
            <c:delete val="1"/>
          </c:dLbls>
          <c:cat>
            <c:strRef>
              <c:f>Sheet1!$B$1:$G$1</c:f>
              <c:strCache>
                <c:ptCount val="6"/>
                <c:pt idx="0">
                  <c:v>一般公共预算财政拨款收入</c:v>
                </c:pt>
                <c:pt idx="1">
                  <c:v>上级补助收入</c:v>
                </c:pt>
                <c:pt idx="2">
                  <c:v>事业收入</c:v>
                </c:pt>
                <c:pt idx="3">
                  <c:v>经营收入</c:v>
                </c:pt>
                <c:pt idx="4">
                  <c:v>附属单位上缴收入</c:v>
                </c:pt>
                <c:pt idx="5">
                  <c:v>其他收入</c:v>
                </c:pt>
              </c:strCache>
            </c:strRef>
          </c:cat>
          <c:val>
            <c:numRef>
              <c:f>Sheet1!$B$2:$G$2</c:f>
              <c:numCache>
                <c:formatCode>General</c:formatCode>
                <c:ptCount val="6"/>
                <c:pt idx="0">
                  <c:v>826.65</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遂宁市安居区保石镇水井九年义务教育学校</a:t>
            </a:r>
            <a:endParaRPr lang="zh-CN" altLang="en-US"/>
          </a:p>
        </c:rich>
      </c:tx>
      <c:layout>
        <c:manualLayout>
          <c:xMode val="edge"/>
          <c:yMode val="edge"/>
          <c:x val="0.21065989847715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2022</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Lbls>
            <c:delete val="1"/>
          </c:dLbls>
          <c:cat>
            <c:strRef>
              <c:f>Sheet1!$B$1:$F$1</c:f>
              <c:strCache>
                <c:ptCount val="5"/>
                <c:pt idx="0">
                  <c:v>基本支出</c:v>
                </c:pt>
                <c:pt idx="1">
                  <c:v>项目支出</c:v>
                </c:pt>
                <c:pt idx="2">
                  <c:v>上缴上级支出</c:v>
                </c:pt>
                <c:pt idx="3">
                  <c:v>经营支出</c:v>
                </c:pt>
                <c:pt idx="4">
                  <c:v>对附属单位祖支出</c:v>
                </c:pt>
              </c:strCache>
            </c:strRef>
          </c:cat>
          <c:val>
            <c:numRef>
              <c:f>Sheet1!$B$2:$F$2</c:f>
              <c:numCache>
                <c:formatCode>General</c:formatCode>
                <c:ptCount val="5"/>
                <c:pt idx="0">
                  <c:v>1056.59</c:v>
                </c:pt>
                <c:pt idx="1">
                  <c:v>30.57</c:v>
                </c:pt>
                <c:pt idx="2">
                  <c:v>0</c:v>
                </c:pt>
                <c:pt idx="3">
                  <c:v>0</c:v>
                </c:pt>
                <c:pt idx="4">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2021年</c:v>
                </c:pt>
              </c:strCache>
            </c:strRef>
          </c:tx>
          <c:spPr>
            <a:solidFill>
              <a:schemeClr val="accent1"/>
            </a:solidFill>
            <a:ln>
              <a:noFill/>
            </a:ln>
            <a:effectLst/>
          </c:spPr>
          <c:invertIfNegative val="0"/>
          <c:dLbls>
            <c:delete val="1"/>
          </c:dLbls>
          <c:cat>
            <c:strRef>
              <c:f>Sheet1!$B$10:$C$10</c:f>
              <c:strCache>
                <c:ptCount val="2"/>
                <c:pt idx="0">
                  <c:v>收入</c:v>
                </c:pt>
                <c:pt idx="1">
                  <c:v>支出</c:v>
                </c:pt>
              </c:strCache>
            </c:strRef>
          </c:cat>
          <c:val>
            <c:numRef>
              <c:f>Sheet1!$B$11:$C$11</c:f>
              <c:numCache>
                <c:formatCode>General</c:formatCode>
                <c:ptCount val="2"/>
                <c:pt idx="0">
                  <c:v>910.33</c:v>
                </c:pt>
                <c:pt idx="1">
                  <c:v>910.33</c:v>
                </c:pt>
              </c:numCache>
            </c:numRef>
          </c:val>
        </c:ser>
        <c:ser>
          <c:idx val="1"/>
          <c:order val="1"/>
          <c:tx>
            <c:strRef>
              <c:f>Sheet1!$A$12</c:f>
              <c:strCache>
                <c:ptCount val="1"/>
                <c:pt idx="0">
                  <c:v>2022年</c:v>
                </c:pt>
              </c:strCache>
            </c:strRef>
          </c:tx>
          <c:spPr>
            <a:solidFill>
              <a:schemeClr val="accent2"/>
            </a:solidFill>
            <a:ln>
              <a:noFill/>
            </a:ln>
            <a:effectLst/>
          </c:spPr>
          <c:invertIfNegative val="0"/>
          <c:dLbls>
            <c:delete val="1"/>
          </c:dLbls>
          <c:cat>
            <c:strRef>
              <c:f>Sheet1!$B$10:$C$10</c:f>
              <c:strCache>
                <c:ptCount val="2"/>
                <c:pt idx="0">
                  <c:v>收入</c:v>
                </c:pt>
                <c:pt idx="1">
                  <c:v>支出</c:v>
                </c:pt>
              </c:strCache>
            </c:strRef>
          </c:cat>
          <c:val>
            <c:numRef>
              <c:f>Sheet1!$B$12:$C$12</c:f>
              <c:numCache>
                <c:formatCode>General</c:formatCode>
                <c:ptCount val="2"/>
                <c:pt idx="0">
                  <c:v>1087.16</c:v>
                </c:pt>
                <c:pt idx="1">
                  <c:v>1087.16</c:v>
                </c:pt>
              </c:numCache>
            </c:numRef>
          </c:val>
        </c:ser>
        <c:dLbls>
          <c:showLegendKey val="0"/>
          <c:showVal val="0"/>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2021年</c:v>
                </c:pt>
              </c:strCache>
            </c:strRef>
          </c:tx>
          <c:spPr>
            <a:solidFill>
              <a:schemeClr val="accent1"/>
            </a:solidFill>
            <a:ln>
              <a:noFill/>
            </a:ln>
            <a:effectLst/>
          </c:spPr>
          <c:invertIfNegative val="0"/>
          <c:dLbls>
            <c:delete val="1"/>
          </c:dLbls>
          <c:cat>
            <c:strRef>
              <c:f>Sheet1!$B$10:$C$10</c:f>
              <c:strCache>
                <c:ptCount val="2"/>
                <c:pt idx="0">
                  <c:v>收入</c:v>
                </c:pt>
                <c:pt idx="1">
                  <c:v>支出</c:v>
                </c:pt>
              </c:strCache>
            </c:strRef>
          </c:cat>
          <c:val>
            <c:numRef>
              <c:f>Sheet1!$B$11:$C$11</c:f>
              <c:numCache>
                <c:formatCode>General</c:formatCode>
                <c:ptCount val="2"/>
                <c:pt idx="0">
                  <c:v>910.33</c:v>
                </c:pt>
                <c:pt idx="1">
                  <c:v>910.33</c:v>
                </c:pt>
              </c:numCache>
            </c:numRef>
          </c:val>
        </c:ser>
        <c:ser>
          <c:idx val="1"/>
          <c:order val="1"/>
          <c:tx>
            <c:strRef>
              <c:f>Sheet1!$A$12</c:f>
              <c:strCache>
                <c:ptCount val="1"/>
                <c:pt idx="0">
                  <c:v>2022年</c:v>
                </c:pt>
              </c:strCache>
            </c:strRef>
          </c:tx>
          <c:spPr>
            <a:solidFill>
              <a:schemeClr val="accent2"/>
            </a:solidFill>
            <a:ln>
              <a:noFill/>
            </a:ln>
            <a:effectLst/>
          </c:spPr>
          <c:invertIfNegative val="0"/>
          <c:dLbls>
            <c:delete val="1"/>
          </c:dLbls>
          <c:cat>
            <c:strRef>
              <c:f>Sheet1!$B$10:$C$10</c:f>
              <c:strCache>
                <c:ptCount val="2"/>
                <c:pt idx="0">
                  <c:v>收入</c:v>
                </c:pt>
                <c:pt idx="1">
                  <c:v>支出</c:v>
                </c:pt>
              </c:strCache>
            </c:strRef>
          </c:cat>
          <c:val>
            <c:numRef>
              <c:f>Sheet1!$B$12:$C$12</c:f>
              <c:numCache>
                <c:formatCode>General</c:formatCode>
                <c:ptCount val="2"/>
                <c:pt idx="0">
                  <c:v>1087.16</c:v>
                </c:pt>
                <c:pt idx="1">
                  <c:v>1087.16</c:v>
                </c:pt>
              </c:numCache>
            </c:numRef>
          </c:val>
        </c:ser>
        <c:dLbls>
          <c:showLegendKey val="0"/>
          <c:showVal val="0"/>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遂宁市安居区保石镇水井九年义务教育学校</a:t>
            </a:r>
            <a:endParaRPr lang="zh-CN" altLang="en-US"/>
          </a:p>
        </c:rich>
      </c:tx>
      <c:layout>
        <c:manualLayout>
          <c:xMode val="edge"/>
          <c:yMode val="edge"/>
          <c:x val="0.211267605633803"/>
          <c:y val="0.02"/>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2022年</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delete val="1"/>
          </c:dLbls>
          <c:cat>
            <c:strRef>
              <c:f>Sheet1!$B$1:$E$1</c:f>
              <c:strCache>
                <c:ptCount val="4"/>
                <c:pt idx="0">
                  <c:v>教育支出</c:v>
                </c:pt>
                <c:pt idx="1">
                  <c:v>社会保障和就业</c:v>
                </c:pt>
                <c:pt idx="2">
                  <c:v>卫生健康支出</c:v>
                </c:pt>
                <c:pt idx="3">
                  <c:v>住房保障支出</c:v>
                </c:pt>
              </c:strCache>
            </c:strRef>
          </c:cat>
          <c:val>
            <c:numRef>
              <c:f>Sheet1!$B$2:$E$2</c:f>
              <c:numCache>
                <c:formatCode>General</c:formatCode>
                <c:ptCount val="4"/>
                <c:pt idx="0">
                  <c:v>905.71</c:v>
                </c:pt>
                <c:pt idx="1">
                  <c:v>80.71</c:v>
                </c:pt>
                <c:pt idx="2">
                  <c:v>26.6</c:v>
                </c:pt>
                <c:pt idx="3">
                  <c:v>74.14</c:v>
                </c:pt>
              </c:numCache>
            </c:numRef>
          </c:val>
        </c:ser>
        <c:dLbls>
          <c:showLegendKey val="0"/>
          <c:showVal val="0"/>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8821940735669"/>
          <c:y val="0.145075003736421"/>
          <c:w val="0.387960553843813"/>
          <c:h val="0.804904937582103"/>
        </c:manualLayout>
      </c:layout>
      <c:overlay val="0"/>
      <c:spPr>
        <a:noFill/>
        <a:ln w="3160">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19</Pages>
  <Words>6457</Words>
  <Characters>7043</Characters>
  <Lines>8</Lines>
  <Paragraphs>15</Paragraphs>
  <TotalTime>4</TotalTime>
  <ScaleCrop>false</ScaleCrop>
  <LinksUpToDate>false</LinksUpToDate>
  <CharactersWithSpaces>7066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2022-11-08T04:36:00Z</dcterms:created>
  <dc:creator>曹颖</dc:creator>
  <cp:lastModifiedBy>888888</cp:lastModifiedBy>
  <cp:lastPrinted>2022-11-10T03:46:00Z</cp:lastPrinted>
  <dcterms:modified xsi:type="dcterms:W3CDTF">2023-08-25T06:32:50Z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E7D93A1937F740D29A38AB1C87067849_13</vt:lpwstr>
  </property>
</Properties>
</file>