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351"/>
        <w:gridCol w:w="721"/>
        <w:gridCol w:w="1382"/>
        <w:gridCol w:w="1360"/>
        <w:gridCol w:w="743"/>
        <w:gridCol w:w="744"/>
        <w:gridCol w:w="26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2022年度福彩公益金绩效目标自评表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唐林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15196939235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4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   民政部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   四川省民政厅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246.76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186.63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其中：中央补助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60.86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60.73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省级资金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185.9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125.9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地方分成资金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64.12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71.24%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2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  <w:tc>
          <w:tcPr>
            <w:tcW w:w="2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精神障碍社区康复服务机构的设施建设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儿年满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18周岁就读大学、硕士、中等职业学校享受补助人数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养老机构疫情防控物资设备购置惠及老人数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≧1393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≧1393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地殡葬服务设施体系建设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前期选址一直无法落地。现正在另行选址中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资助孤儿医疗康复“明天计划”人数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根据对象申请据实资助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残疾人福利机构建设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社区公共服务设施补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短板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建设区级社会组织孵化园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支持养老机构建设和改善基础设施、消除风险隐患、提升照护能力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经费使用合规率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经费拨付时间达标率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带动老年人事业发展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带动残疾人事业发展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带动儿童福利事业发展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带动社会工作服务体系发展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接受服务老人满意度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受助儿童满意度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对社区基础设施服务条件满意度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孵化社会组织和社工志愿者满意度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478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注：1.其他资金包括与中央财政资金、地方财政资金共同投入到同一项目的自有资金、社会资金，以及以前年度的结转结余资金等。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2.定量指标，地方各级主管部门对资金使用单位填写的实际完成值汇总时，绝对值直接累加计算，相对值按照资金额度加权平均计算。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3.定性指标。资金使用单位分别按照100%-80%（含）、80%-60%（含）、60-0%合理填写实际完成值，地方各级主管部门汇总时，按照资金额度加权平均计算。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4.全年执行数是指按照国库集中支付制度要求，支付到商品和劳务供应者或者用款单位形成的实际支出。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5.资金使用单位按项目填报，主管部门和财政部门汇总时按区域绩效目标填报。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dmYWEwMmU2NmUzZjJkNjJjYWYxOGQxNTQ4ZDQifQ=="/>
  </w:docVars>
  <w:rsids>
    <w:rsidRoot w:val="00000000"/>
    <w:rsid w:val="072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zh-CN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zh-CN" w:eastAsia="zh-CN" w:bidi="ar-SA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2023-07-12T09:09:04Z</dcterms:created>
  <dc:creator>Administrator</dc:creator>
  <cp:lastModifiedBy>WPS_1665209834</cp:lastModifiedBy>
  <dcterms:modified xsi:type="dcterms:W3CDTF">2023-07-12T09:10:52Z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A3A3B7976E4045268E4B242EE57B9E56_12</vt:lpwstr>
  </property>
</Properties>
</file>