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77193"/>
      <w:bookmarkStart w:id="1" w:name="_Toc15396597"/>
      <w:bookmarkStart w:id="2" w:name="_Toc15396475"/>
      <w:bookmarkStart w:id="3" w:name="_Toc15377425"/>
      <w:bookmarkStart w:id="4" w:name="_Toc15378441"/>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2022年度</w:t>
      </w:r>
      <w:bookmarkEnd w:id="0"/>
      <w:bookmarkEnd w:id="1"/>
      <w:bookmarkEnd w:id="2"/>
      <w:bookmarkEnd w:id="3"/>
      <w:bookmarkEnd w:id="4"/>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96476"/>
      <w:bookmarkStart w:id="7" w:name="_Toc15396598"/>
      <w:bookmarkStart w:id="8" w:name="_Toc15377194"/>
      <w:bookmarkStart w:id="9" w:name="_Toc15378442"/>
      <w:bookmarkStart w:id="10" w:name="_Toc15377426"/>
      <w:r>
        <w:rPr>
          <w:rFonts w:hint="eastAsia" w:ascii="方正小标宋简体" w:hAnsi="方正小标宋简体" w:eastAsia="方正小标宋简体" w:cs="方正小标宋简体"/>
          <w:sz w:val="72"/>
          <w:szCs w:val="72"/>
        </w:rPr>
        <w:t>四川省</w:t>
      </w:r>
      <w:bookmarkEnd w:id="5"/>
      <w:bookmarkStart w:id="11" w:name="_Toc15306268"/>
      <w:r>
        <w:rPr>
          <w:rFonts w:hint="eastAsia" w:ascii="方正小标宋简体" w:hAnsi="方正小标宋简体" w:eastAsia="方正小标宋简体" w:cs="方正小标宋简体"/>
          <w:sz w:val="72"/>
          <w:szCs w:val="72"/>
        </w:rPr>
        <w:t>遂宁市安居区红十字会部门决算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bookmarkStart w:id="12" w:name="_Toc15396599"/>
      <w:bookmarkStart w:id="13" w:name="_Toc15377196"/>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4"/>
      </w:pPr>
      <w:r>
        <w:rPr>
          <w:rFonts w:hint="eastAsia"/>
        </w:rPr>
        <w:t>公开时间：2023年8月25日</w:t>
      </w:r>
    </w:p>
    <w:p/>
    <w:p>
      <w:pPr>
        <w:pStyle w:val="14"/>
        <w:adjustRightInd w:val="0"/>
        <w:snapToGrid w:val="0"/>
        <w:spacing w:before="0" w:line="440" w:lineRule="exact"/>
        <w:jc w:val="left"/>
        <w:rPr>
          <w:rFonts w:ascii="Times New Roman" w:hAnsi="Times New Roman" w:eastAsia="宋体"/>
          <w:sz w:val="24"/>
          <w:szCs w:val="24"/>
        </w:rPr>
      </w:pPr>
      <w:r>
        <w:rPr>
          <w:rFonts w:hint="eastAsia"/>
          <w:sz w:val="24"/>
        </w:rPr>
        <w:t>第一部分</w:t>
      </w:r>
      <w:r>
        <w:rPr>
          <w:sz w:val="24"/>
        </w:rPr>
        <w:t xml:space="preserve"> </w:t>
      </w:r>
      <w:r>
        <w:rPr>
          <w:rFonts w:hint="eastAsia"/>
          <w:sz w:val="24"/>
        </w:rPr>
        <w:t>部门概况</w:t>
      </w:r>
      <w:r>
        <w:rPr>
          <w:rFonts w:hint="eastAsia" w:ascii="Times New Roman" w:hAnsi="Times New Roman" w:eastAsia="宋体"/>
          <w:b/>
          <w:bCs/>
          <w:sz w:val="24"/>
          <w:szCs w:val="24"/>
        </w:rPr>
        <w:t>.........................</w:t>
      </w:r>
      <w:r>
        <w:rPr>
          <w:rFonts w:ascii="Times New Roman" w:hAnsi="Times New Roman" w:eastAsia="宋体"/>
          <w:b/>
          <w:bCs/>
          <w:sz w:val="24"/>
          <w:szCs w:val="24"/>
        </w:rPr>
        <w:t>..................................................................</w:t>
      </w:r>
      <w:r>
        <w:rPr>
          <w:rFonts w:hint="eastAsia" w:ascii="Times New Roman" w:hAnsi="Times New Roman" w:eastAsia="宋体"/>
          <w:b/>
          <w:bCs/>
          <w:sz w:val="24"/>
          <w:szCs w:val="24"/>
        </w:rPr>
        <w:t>.........</w:t>
      </w:r>
      <w:r>
        <w:rPr>
          <w:rFonts w:hint="eastAsia" w:ascii="Times New Roman" w:hAnsi="Times New Roman" w:eastAsia="宋体"/>
          <w:sz w:val="24"/>
          <w:szCs w:val="24"/>
        </w:rPr>
        <w:t>.4</w:t>
      </w:r>
    </w:p>
    <w:p>
      <w:pPr>
        <w:pStyle w:val="15"/>
        <w:adjustRightInd w:val="0"/>
        <w:snapToGrid w:val="0"/>
        <w:spacing w:line="440" w:lineRule="exact"/>
        <w:jc w:val="left"/>
        <w:rPr>
          <w:rFonts w:ascii="仿宋" w:hAnsi="仿宋"/>
          <w:sz w:val="24"/>
        </w:rPr>
      </w:pPr>
      <w:r>
        <w:rPr>
          <w:rFonts w:hint="eastAsia"/>
          <w:sz w:val="24"/>
        </w:rPr>
        <w:t>一、部门职责.....................................................................................................</w:t>
      </w:r>
      <w:r>
        <w:rPr>
          <w:sz w:val="24"/>
        </w:rPr>
        <w:t>.</w:t>
      </w:r>
      <w:r>
        <w:rPr>
          <w:rFonts w:hint="eastAsia"/>
          <w:sz w:val="24"/>
        </w:rPr>
        <w:t>..4</w:t>
      </w:r>
    </w:p>
    <w:p>
      <w:pPr>
        <w:pStyle w:val="15"/>
        <w:adjustRightInd w:val="0"/>
        <w:snapToGrid w:val="0"/>
        <w:spacing w:line="440" w:lineRule="exact"/>
        <w:jc w:val="left"/>
        <w:rPr>
          <w:rFonts w:ascii="仿宋" w:hAnsi="仿宋" w:cstheme="minorBidi"/>
          <w:sz w:val="24"/>
        </w:rPr>
      </w:pPr>
      <w:r>
        <w:rPr>
          <w:rFonts w:hint="eastAsia"/>
          <w:sz w:val="24"/>
        </w:rPr>
        <w:t>二、机构设置.......................................................................................................</w:t>
      </w:r>
      <w:r>
        <w:rPr>
          <w:sz w:val="24"/>
        </w:rPr>
        <w:t>.</w:t>
      </w:r>
      <w:r>
        <w:rPr>
          <w:rFonts w:hint="eastAsia"/>
          <w:sz w:val="24"/>
        </w:rPr>
        <w:t>4</w:t>
      </w:r>
    </w:p>
    <w:p>
      <w:pPr>
        <w:pStyle w:val="14"/>
        <w:adjustRightInd w:val="0"/>
        <w:snapToGrid w:val="0"/>
        <w:spacing w:before="0" w:line="440" w:lineRule="exact"/>
        <w:jc w:val="left"/>
        <w:rPr>
          <w:sz w:val="24"/>
          <w:szCs w:val="24"/>
        </w:rPr>
      </w:pPr>
      <w:r>
        <w:rPr>
          <w:rFonts w:hint="eastAsia"/>
          <w:sz w:val="24"/>
        </w:rPr>
        <w:t>第二部分 2022年度部门决算情况说明</w:t>
      </w:r>
      <w:r>
        <w:rPr>
          <w:rFonts w:hint="eastAsia" w:ascii="Times New Roman" w:hAnsi="Times New Roman" w:eastAsia="宋体"/>
          <w:b/>
          <w:bCs/>
          <w:sz w:val="24"/>
          <w:szCs w:val="24"/>
        </w:rPr>
        <w:t>.....................</w:t>
      </w:r>
      <w:r>
        <w:rPr>
          <w:rFonts w:ascii="Times New Roman" w:hAnsi="Times New Roman" w:eastAsia="宋体"/>
          <w:b/>
          <w:bCs/>
          <w:sz w:val="24"/>
          <w:szCs w:val="24"/>
        </w:rPr>
        <w:t>.....................................</w:t>
      </w:r>
      <w:r>
        <w:rPr>
          <w:rFonts w:hint="eastAsia" w:ascii="Times New Roman" w:hAnsi="Times New Roman" w:eastAsia="宋体"/>
          <w:b/>
          <w:bCs/>
          <w:sz w:val="24"/>
          <w:szCs w:val="24"/>
        </w:rPr>
        <w:t>..........</w:t>
      </w:r>
      <w:r>
        <w:rPr>
          <w:rFonts w:hint="eastAsia" w:ascii="Times New Roman" w:hAnsi="Times New Roman" w:eastAsia="宋体"/>
          <w:sz w:val="24"/>
          <w:szCs w:val="24"/>
        </w:rPr>
        <w:t>5</w:t>
      </w:r>
    </w:p>
    <w:p>
      <w:pPr>
        <w:pStyle w:val="15"/>
        <w:adjustRightInd w:val="0"/>
        <w:snapToGrid w:val="0"/>
        <w:spacing w:line="440" w:lineRule="exact"/>
        <w:jc w:val="left"/>
        <w:rPr>
          <w:rFonts w:ascii="仿宋" w:hAnsi="仿宋" w:cstheme="minorBidi"/>
          <w:sz w:val="24"/>
        </w:rPr>
      </w:pPr>
      <w:r>
        <w:rPr>
          <w:rFonts w:hint="eastAsia"/>
          <w:sz w:val="24"/>
        </w:rPr>
        <w:t>一、收入支出决算总体情况说明........................................................................5</w:t>
      </w:r>
    </w:p>
    <w:p>
      <w:pPr>
        <w:pStyle w:val="15"/>
        <w:adjustRightInd w:val="0"/>
        <w:snapToGrid w:val="0"/>
        <w:spacing w:line="440" w:lineRule="exact"/>
        <w:jc w:val="left"/>
        <w:rPr>
          <w:rFonts w:ascii="仿宋" w:hAnsi="仿宋" w:cstheme="minorBidi"/>
          <w:sz w:val="24"/>
        </w:rPr>
      </w:pPr>
      <w:r>
        <w:rPr>
          <w:rFonts w:hint="eastAsia"/>
          <w:sz w:val="24"/>
        </w:rPr>
        <w:t>二、收入决算情况说明........................................................................................5</w:t>
      </w:r>
    </w:p>
    <w:p>
      <w:pPr>
        <w:pStyle w:val="15"/>
        <w:adjustRightInd w:val="0"/>
        <w:snapToGrid w:val="0"/>
        <w:spacing w:line="440" w:lineRule="exact"/>
        <w:jc w:val="left"/>
        <w:rPr>
          <w:rFonts w:ascii="仿宋" w:hAnsi="仿宋" w:cstheme="minorBidi"/>
          <w:sz w:val="24"/>
        </w:rPr>
      </w:pPr>
      <w:r>
        <w:rPr>
          <w:rFonts w:hint="eastAsia"/>
          <w:sz w:val="24"/>
        </w:rPr>
        <w:t>三、支出决算情况说明........................................................................................6</w:t>
      </w:r>
    </w:p>
    <w:p>
      <w:pPr>
        <w:pStyle w:val="15"/>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四、财政拨款收入支出决算总体情况说明........................................................7</w:t>
      </w:r>
    </w:p>
    <w:p>
      <w:pPr>
        <w:pStyle w:val="15"/>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五、一般公共预算财政拨款支出决算情况说明................................................7</w:t>
      </w:r>
    </w:p>
    <w:p>
      <w:pPr>
        <w:pStyle w:val="15"/>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六、一般公共预算财政拨款基本支出决算情况说明.......................................10</w:t>
      </w:r>
    </w:p>
    <w:p>
      <w:pPr>
        <w:pStyle w:val="15"/>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七、财政拨款“三公”经费支出决算情况说明...............................................10</w:t>
      </w:r>
    </w:p>
    <w:p>
      <w:pPr>
        <w:pStyle w:val="15"/>
        <w:adjustRightInd w:val="0"/>
        <w:snapToGrid w:val="0"/>
        <w:spacing w:line="440" w:lineRule="exact"/>
        <w:jc w:val="left"/>
        <w:rPr>
          <w:rFonts w:ascii="仿宋" w:hAnsi="仿宋" w:eastAsia="仿宋" w:cstheme="minorBidi"/>
          <w:sz w:val="24"/>
        </w:rPr>
      </w:pPr>
      <w:r>
        <w:rPr>
          <w:rFonts w:hint="eastAsia"/>
          <w:sz w:val="24"/>
        </w:rPr>
        <w:t>八、政府性基金预算支出决算情况说明...........................................................12</w:t>
      </w:r>
    </w:p>
    <w:p>
      <w:pPr>
        <w:pStyle w:val="15"/>
        <w:adjustRightInd w:val="0"/>
        <w:snapToGrid w:val="0"/>
        <w:spacing w:line="440" w:lineRule="exact"/>
        <w:ind w:leftChars="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九、国有资本经营预算支出决算情况说明</w:t>
      </w:r>
      <w:r>
        <w:rPr>
          <w:rFonts w:hint="eastAsia"/>
          <w:sz w:val="24"/>
        </w:rPr>
        <w:t>.......................................................12</w:t>
      </w:r>
    </w:p>
    <w:p>
      <w:pPr>
        <w:adjustRightInd w:val="0"/>
        <w:snapToGrid w:val="0"/>
        <w:spacing w:line="440" w:lineRule="exact"/>
        <w:ind w:firstLine="420" w:firstLineChars="175"/>
        <w:jc w:val="left"/>
        <w:rPr>
          <w:rFonts w:asciiTheme="minorEastAsia" w:hAnsiTheme="minorEastAsia" w:eastAsiaTheme="minorEastAsia" w:cstheme="minorEastAsia"/>
          <w:sz w:val="24"/>
        </w:rPr>
      </w:pPr>
      <w:r>
        <w:rPr>
          <w:rStyle w:val="21"/>
          <w:rFonts w:hint="eastAsia" w:asciiTheme="minorEastAsia" w:hAnsiTheme="minorEastAsia" w:eastAsiaTheme="minorEastAsia" w:cstheme="minorEastAsia"/>
          <w:color w:val="auto"/>
          <w:sz w:val="24"/>
          <w:u w:val="none"/>
        </w:rPr>
        <w:t>十、</w:t>
      </w:r>
      <w:r>
        <w:rPr>
          <w:rFonts w:hint="eastAsia" w:asciiTheme="minorEastAsia" w:hAnsiTheme="minorEastAsia" w:eastAsiaTheme="minorEastAsia" w:cstheme="minorEastAsia"/>
          <w:sz w:val="24"/>
        </w:rPr>
        <w:t>其他重要事项的情况说明</w:t>
      </w:r>
      <w:r>
        <w:rPr>
          <w:rFonts w:hint="eastAsia"/>
          <w:sz w:val="24"/>
        </w:rPr>
        <w:t>...........................................................................12</w:t>
      </w:r>
    </w:p>
    <w:p>
      <w:pPr>
        <w:pStyle w:val="14"/>
        <w:adjustRightInd w:val="0"/>
        <w:snapToGrid w:val="0"/>
        <w:spacing w:before="0" w:line="440" w:lineRule="exact"/>
        <w:jc w:val="left"/>
        <w:rPr>
          <w:rFonts w:ascii="Times New Roman" w:hAnsi="Times New Roman" w:eastAsia="宋体"/>
          <w:sz w:val="24"/>
          <w:szCs w:val="24"/>
        </w:rPr>
      </w:pPr>
      <w:r>
        <w:rPr>
          <w:rFonts w:hint="eastAsia"/>
          <w:sz w:val="24"/>
        </w:rPr>
        <w:t>第三部分</w:t>
      </w:r>
      <w:r>
        <w:rPr>
          <w:sz w:val="24"/>
        </w:rPr>
        <w:t xml:space="preserve"> </w:t>
      </w:r>
      <w:r>
        <w:rPr>
          <w:rFonts w:hint="eastAsia"/>
          <w:sz w:val="24"/>
        </w:rPr>
        <w:t>名词解释</w:t>
      </w:r>
      <w:r>
        <w:rPr>
          <w:rFonts w:hint="eastAsia" w:ascii="Times New Roman" w:hAnsi="Times New Roman" w:eastAsia="宋体"/>
          <w:b/>
          <w:bCs/>
          <w:sz w:val="24"/>
          <w:szCs w:val="24"/>
        </w:rPr>
        <w:t>...................</w:t>
      </w:r>
      <w:r>
        <w:rPr>
          <w:rFonts w:ascii="Times New Roman" w:hAnsi="Times New Roman" w:eastAsia="宋体"/>
          <w:b/>
          <w:bCs/>
          <w:sz w:val="24"/>
          <w:szCs w:val="24"/>
        </w:rPr>
        <w:t>..............................................................</w:t>
      </w:r>
      <w:r>
        <w:rPr>
          <w:rFonts w:hint="eastAsia" w:ascii="Times New Roman" w:hAnsi="Times New Roman" w:eastAsia="宋体"/>
          <w:b/>
          <w:bCs/>
          <w:sz w:val="24"/>
          <w:szCs w:val="24"/>
        </w:rPr>
        <w:t>...................</w:t>
      </w:r>
      <w:r>
        <w:rPr>
          <w:rFonts w:hint="eastAsia" w:ascii="Times New Roman" w:hAnsi="Times New Roman" w:eastAsia="宋体"/>
          <w:sz w:val="24"/>
          <w:szCs w:val="24"/>
        </w:rPr>
        <w:t>14</w:t>
      </w:r>
    </w:p>
    <w:p>
      <w:pPr>
        <w:pStyle w:val="15"/>
        <w:adjustRightInd w:val="0"/>
        <w:snapToGrid w:val="0"/>
        <w:spacing w:line="440" w:lineRule="exact"/>
        <w:ind w:leftChars="0"/>
        <w:jc w:val="left"/>
        <w:rPr>
          <w:rFonts w:asciiTheme="minorEastAsia" w:hAnsiTheme="minorEastAsia" w:eastAsiaTheme="minorEastAsia" w:cstheme="minorEastAsia"/>
          <w:sz w:val="24"/>
        </w:rPr>
      </w:pPr>
      <w:r>
        <w:rPr>
          <w:rFonts w:hint="eastAsia"/>
          <w:sz w:val="24"/>
        </w:rPr>
        <w:t>第四部分</w:t>
      </w:r>
      <w:r>
        <w:rPr>
          <w:sz w:val="24"/>
        </w:rPr>
        <w:t xml:space="preserve"> </w:t>
      </w:r>
      <w:r>
        <w:rPr>
          <w:rFonts w:hint="eastAsia"/>
          <w:sz w:val="24"/>
        </w:rPr>
        <w:t>附件</w:t>
      </w:r>
      <w:r>
        <w:rPr>
          <w:rFonts w:hint="eastAsia"/>
          <w:b/>
          <w:bCs/>
          <w:sz w:val="24"/>
        </w:rPr>
        <w:t>..........................................</w:t>
      </w:r>
      <w:r>
        <w:rPr>
          <w:b/>
          <w:bCs/>
          <w:sz w:val="24"/>
        </w:rPr>
        <w:t>...............................................</w:t>
      </w:r>
      <w:r>
        <w:rPr>
          <w:rFonts w:hint="eastAsia"/>
          <w:b/>
          <w:bCs/>
          <w:sz w:val="24"/>
        </w:rPr>
        <w:t>............</w:t>
      </w:r>
      <w:r>
        <w:rPr>
          <w:rFonts w:hint="eastAsia"/>
          <w:sz w:val="24"/>
        </w:rPr>
        <w:t>18</w:t>
      </w:r>
    </w:p>
    <w:p>
      <w:pPr>
        <w:pStyle w:val="14"/>
        <w:adjustRightInd w:val="0"/>
        <w:snapToGrid w:val="0"/>
        <w:spacing w:before="0" w:line="440" w:lineRule="exact"/>
        <w:jc w:val="left"/>
        <w:rPr>
          <w:rFonts w:ascii="Times New Roman" w:hAnsi="Times New Roman" w:eastAsia="宋体"/>
          <w:sz w:val="24"/>
          <w:szCs w:val="24"/>
        </w:rPr>
      </w:pPr>
      <w:r>
        <w:rPr>
          <w:rFonts w:hint="eastAsia"/>
          <w:sz w:val="24"/>
        </w:rPr>
        <w:t>第五部分</w:t>
      </w:r>
      <w:r>
        <w:rPr>
          <w:sz w:val="24"/>
        </w:rPr>
        <w:t xml:space="preserve"> </w:t>
      </w:r>
      <w:r>
        <w:rPr>
          <w:rFonts w:hint="eastAsia"/>
          <w:sz w:val="24"/>
        </w:rPr>
        <w:t>附表</w:t>
      </w:r>
      <w:r>
        <w:rPr>
          <w:rFonts w:hint="eastAsia" w:ascii="Times New Roman" w:hAnsi="Times New Roman" w:eastAsia="宋体"/>
          <w:b/>
          <w:bCs/>
          <w:sz w:val="24"/>
          <w:szCs w:val="24"/>
        </w:rPr>
        <w:t>........</w:t>
      </w:r>
      <w:r>
        <w:rPr>
          <w:rFonts w:ascii="Times New Roman" w:hAnsi="Times New Roman" w:eastAsia="宋体"/>
          <w:b/>
          <w:bCs/>
          <w:sz w:val="24"/>
          <w:szCs w:val="24"/>
        </w:rPr>
        <w:t>..........................................................................</w:t>
      </w:r>
      <w:r>
        <w:rPr>
          <w:rFonts w:hint="eastAsia" w:ascii="Times New Roman" w:hAnsi="Times New Roman" w:eastAsia="宋体"/>
          <w:b/>
          <w:bCs/>
          <w:sz w:val="24"/>
          <w:szCs w:val="24"/>
        </w:rPr>
        <w:t>..........................</w:t>
      </w:r>
      <w:r>
        <w:rPr>
          <w:rFonts w:hint="eastAsia" w:ascii="Times New Roman" w:hAnsi="Times New Roman" w:eastAsia="宋体"/>
          <w:sz w:val="24"/>
          <w:szCs w:val="24"/>
        </w:rPr>
        <w:t>26</w:t>
      </w:r>
    </w:p>
    <w:p>
      <w:pPr>
        <w:pStyle w:val="15"/>
        <w:adjustRightInd w:val="0"/>
        <w:snapToGrid w:val="0"/>
        <w:spacing w:line="440" w:lineRule="exact"/>
        <w:jc w:val="left"/>
        <w:rPr>
          <w:sz w:val="24"/>
        </w:rPr>
      </w:pPr>
      <w:r>
        <w:rPr>
          <w:rFonts w:hint="eastAsia"/>
          <w:sz w:val="24"/>
        </w:rPr>
        <w:t>一、收入支出决算总表.......................................................................................26</w:t>
      </w:r>
    </w:p>
    <w:p>
      <w:pPr>
        <w:pStyle w:val="15"/>
        <w:adjustRightInd w:val="0"/>
        <w:snapToGrid w:val="0"/>
        <w:spacing w:line="440" w:lineRule="exact"/>
        <w:jc w:val="left"/>
        <w:rPr>
          <w:sz w:val="24"/>
        </w:rPr>
      </w:pPr>
      <w:r>
        <w:rPr>
          <w:rFonts w:hint="eastAsia"/>
          <w:sz w:val="24"/>
        </w:rPr>
        <w:t>二、收入决算表...................................................................................................26</w:t>
      </w:r>
    </w:p>
    <w:p>
      <w:pPr>
        <w:pStyle w:val="15"/>
        <w:adjustRightInd w:val="0"/>
        <w:snapToGrid w:val="0"/>
        <w:spacing w:line="440" w:lineRule="exact"/>
        <w:jc w:val="left"/>
        <w:rPr>
          <w:sz w:val="24"/>
        </w:rPr>
      </w:pPr>
      <w:r>
        <w:rPr>
          <w:rFonts w:hint="eastAsia"/>
          <w:sz w:val="24"/>
        </w:rPr>
        <w:t>三、支出决算表...................................................................................................26</w:t>
      </w:r>
    </w:p>
    <w:p>
      <w:pPr>
        <w:pStyle w:val="15"/>
        <w:adjustRightInd w:val="0"/>
        <w:snapToGrid w:val="0"/>
        <w:spacing w:line="440" w:lineRule="exact"/>
        <w:jc w:val="left"/>
        <w:rPr>
          <w:sz w:val="24"/>
        </w:rPr>
      </w:pPr>
      <w:r>
        <w:rPr>
          <w:rFonts w:hint="eastAsia"/>
          <w:sz w:val="24"/>
        </w:rPr>
        <w:t>四、财政拨款收入支出决算总表.......................................................................26</w:t>
      </w:r>
    </w:p>
    <w:p>
      <w:pPr>
        <w:pStyle w:val="15"/>
        <w:adjustRightInd w:val="0"/>
        <w:snapToGrid w:val="0"/>
        <w:spacing w:line="440" w:lineRule="exact"/>
        <w:jc w:val="left"/>
        <w:rPr>
          <w:sz w:val="24"/>
        </w:rPr>
      </w:pPr>
      <w:r>
        <w:rPr>
          <w:rFonts w:hint="eastAsia"/>
          <w:sz w:val="24"/>
        </w:rPr>
        <w:t>五、财政拨款支出决算明细表............................................................................26</w:t>
      </w:r>
    </w:p>
    <w:p>
      <w:pPr>
        <w:pStyle w:val="15"/>
        <w:adjustRightInd w:val="0"/>
        <w:snapToGrid w:val="0"/>
        <w:spacing w:line="440" w:lineRule="exact"/>
        <w:jc w:val="left"/>
        <w:rPr>
          <w:sz w:val="24"/>
        </w:rPr>
      </w:pPr>
      <w:r>
        <w:rPr>
          <w:rFonts w:hint="eastAsia"/>
          <w:sz w:val="24"/>
        </w:rPr>
        <w:t>六、一般公共预算财政拨款支出决算表............................................................26</w:t>
      </w:r>
    </w:p>
    <w:p>
      <w:pPr>
        <w:pStyle w:val="15"/>
        <w:adjustRightInd w:val="0"/>
        <w:snapToGrid w:val="0"/>
        <w:spacing w:line="440" w:lineRule="exact"/>
        <w:jc w:val="left"/>
        <w:rPr>
          <w:sz w:val="24"/>
        </w:rPr>
      </w:pPr>
      <w:r>
        <w:rPr>
          <w:rFonts w:hint="eastAsia"/>
          <w:sz w:val="24"/>
        </w:rPr>
        <w:t>七、一般公共预算财政拨款支出决算明细表...................................................26</w:t>
      </w:r>
    </w:p>
    <w:p>
      <w:pPr>
        <w:pStyle w:val="15"/>
        <w:adjustRightInd w:val="0"/>
        <w:snapToGrid w:val="0"/>
        <w:spacing w:line="440" w:lineRule="exact"/>
        <w:jc w:val="left"/>
        <w:rPr>
          <w:sz w:val="24"/>
        </w:rPr>
      </w:pPr>
      <w:r>
        <w:rPr>
          <w:rFonts w:hint="eastAsia"/>
          <w:sz w:val="24"/>
        </w:rPr>
        <w:t>八、一般公共预算财政拨款基本支出决算明细表...........................................26</w:t>
      </w:r>
    </w:p>
    <w:p>
      <w:pPr>
        <w:pStyle w:val="15"/>
        <w:adjustRightInd w:val="0"/>
        <w:snapToGrid w:val="0"/>
        <w:spacing w:line="440" w:lineRule="exact"/>
        <w:jc w:val="left"/>
        <w:rPr>
          <w:sz w:val="24"/>
        </w:rPr>
      </w:pPr>
      <w:r>
        <w:rPr>
          <w:rFonts w:hint="eastAsia"/>
          <w:sz w:val="24"/>
        </w:rPr>
        <w:t>九、一般公共预算财政拨款项目支出决算表...................................................26</w:t>
      </w:r>
    </w:p>
    <w:p>
      <w:pPr>
        <w:pStyle w:val="15"/>
        <w:adjustRightInd w:val="0"/>
        <w:snapToGrid w:val="0"/>
        <w:spacing w:line="440" w:lineRule="exact"/>
        <w:jc w:val="left"/>
        <w:rPr>
          <w:sz w:val="24"/>
        </w:rPr>
      </w:pPr>
      <w:r>
        <w:rPr>
          <w:rFonts w:hint="eastAsia"/>
          <w:sz w:val="24"/>
        </w:rPr>
        <w:t>十、政府性基金预算财政拨款收入支出决算表................................................26</w:t>
      </w:r>
    </w:p>
    <w:p>
      <w:pPr>
        <w:pStyle w:val="15"/>
        <w:adjustRightInd w:val="0"/>
        <w:snapToGrid w:val="0"/>
        <w:spacing w:line="440" w:lineRule="exact"/>
        <w:jc w:val="left"/>
        <w:rPr>
          <w:sz w:val="24"/>
        </w:rPr>
      </w:pPr>
      <w:r>
        <w:rPr>
          <w:rFonts w:hint="eastAsia"/>
          <w:sz w:val="24"/>
        </w:rPr>
        <w:t>十一、国有资本经营预算财政拨款收入支出决算表........................................26</w:t>
      </w:r>
    </w:p>
    <w:p>
      <w:pPr>
        <w:pStyle w:val="15"/>
        <w:adjustRightInd w:val="0"/>
        <w:snapToGrid w:val="0"/>
        <w:spacing w:line="440" w:lineRule="exact"/>
        <w:jc w:val="left"/>
        <w:rPr>
          <w:sz w:val="24"/>
        </w:rPr>
      </w:pPr>
      <w:r>
        <w:rPr>
          <w:rFonts w:hint="eastAsia"/>
          <w:sz w:val="24"/>
        </w:rPr>
        <w:t>十二、国有资本经营预算财政拨款支出决算表................................................26</w:t>
      </w:r>
    </w:p>
    <w:p>
      <w:pPr>
        <w:pStyle w:val="15"/>
        <w:adjustRightInd w:val="0"/>
        <w:snapToGrid w:val="0"/>
        <w:spacing w:line="440" w:lineRule="exact"/>
        <w:jc w:val="left"/>
        <w:rPr>
          <w:rFonts w:asciiTheme="minorEastAsia" w:hAnsiTheme="minorEastAsia" w:eastAsiaTheme="minorEastAsia" w:cstheme="minorEastAsia"/>
          <w:sz w:val="24"/>
        </w:rPr>
      </w:pPr>
      <w:r>
        <w:rPr>
          <w:rFonts w:hint="eastAsia"/>
          <w:sz w:val="24"/>
        </w:rPr>
        <w:t>十三、财政拨款“三公”经费支出决算表.........................................................26</w:t>
      </w:r>
    </w:p>
    <w:p>
      <w:pPr>
        <w:widowControl/>
        <w:spacing w:line="440" w:lineRule="exact"/>
        <w:jc w:val="left"/>
        <w:rPr>
          <w:rFonts w:ascii="仿宋" w:hAnsi="仿宋" w:eastAsia="仿宋"/>
          <w:bCs/>
          <w:kern w:val="44"/>
          <w:sz w:val="24"/>
        </w:rPr>
      </w:pPr>
      <w:r>
        <w:rPr>
          <w:rFonts w:ascii="仿宋" w:hAnsi="仿宋" w:eastAsia="仿宋"/>
          <w:b/>
          <w:sz w:val="24"/>
        </w:rPr>
        <w:br w:type="page"/>
      </w:r>
    </w:p>
    <w:p>
      <w:pPr>
        <w:pStyle w:val="3"/>
        <w:jc w:val="center"/>
        <w:rPr>
          <w:rFonts w:ascii="黑体" w:eastAsia="黑体"/>
          <w:sz w:val="32"/>
          <w:szCs w:val="32"/>
        </w:rPr>
      </w:pPr>
      <w:r>
        <w:rPr>
          <w:rFonts w:hint="eastAsia" w:ascii="黑体" w:hAnsi="黑体" w:eastAsia="黑体"/>
          <w:b w:val="0"/>
        </w:rPr>
        <w:t xml:space="preserve">第一部分 </w:t>
      </w:r>
      <w:r>
        <w:rPr>
          <w:rStyle w:val="31"/>
          <w:rFonts w:hint="eastAsia" w:ascii="黑体" w:hAnsi="黑体" w:eastAsia="黑体"/>
          <w:b w:val="0"/>
          <w:bCs w:val="0"/>
        </w:rPr>
        <w:t>部门概况</w:t>
      </w:r>
      <w:bookmarkEnd w:id="12"/>
      <w:bookmarkEnd w:id="13"/>
    </w:p>
    <w:p>
      <w:pPr>
        <w:pStyle w:val="4"/>
        <w:numPr>
          <w:ilvl w:val="0"/>
          <w:numId w:val="2"/>
        </w:numPr>
        <w:rPr>
          <w:rFonts w:ascii="黑体" w:hAnsi="黑体" w:eastAsia="黑体"/>
          <w:b w:val="0"/>
        </w:rPr>
      </w:pPr>
      <w:r>
        <w:rPr>
          <w:rFonts w:hint="eastAsia" w:ascii="黑体" w:hAnsi="黑体" w:eastAsia="黑体"/>
          <w:b w:val="0"/>
        </w:rPr>
        <w:t>部门职责</w:t>
      </w:r>
    </w:p>
    <w:p>
      <w:pPr>
        <w:ind w:firstLine="800" w:firstLineChars="250"/>
        <w:rPr>
          <w:rFonts w:ascii="仿宋" w:hAnsi="仿宋" w:eastAsia="仿宋"/>
          <w:sz w:val="32"/>
          <w:szCs w:val="32"/>
        </w:rPr>
      </w:pPr>
      <w:r>
        <w:rPr>
          <w:rFonts w:hint="eastAsia" w:ascii="仿宋" w:hAnsi="仿宋" w:eastAsia="仿宋"/>
          <w:sz w:val="32"/>
          <w:szCs w:val="32"/>
        </w:rPr>
        <w:t>1.主要职能</w:t>
      </w:r>
    </w:p>
    <w:p>
      <w:pPr>
        <w:ind w:firstLine="800" w:firstLineChars="250"/>
        <w:rPr>
          <w:rFonts w:ascii="仿宋" w:hAnsi="仿宋" w:eastAsia="仿宋"/>
          <w:sz w:val="32"/>
          <w:szCs w:val="32"/>
        </w:rPr>
      </w:pPr>
      <w:r>
        <w:rPr>
          <w:rFonts w:hint="eastAsia" w:ascii="仿宋" w:hAnsi="仿宋" w:eastAsia="仿宋"/>
          <w:sz w:val="32"/>
          <w:szCs w:val="32"/>
        </w:rPr>
        <w:t>（1）开展救援、救灾的相关工作，建立红十字应急救援体系。在自然灾害、事故灾难、公共卫生事件等突发事件中，对伤病人员和其他受害者提供紧急救援和人道救助；</w:t>
      </w:r>
    </w:p>
    <w:p>
      <w:pPr>
        <w:ind w:firstLine="800" w:firstLineChars="250"/>
        <w:rPr>
          <w:rFonts w:ascii="仿宋" w:hAnsi="仿宋" w:eastAsia="仿宋"/>
          <w:sz w:val="32"/>
          <w:szCs w:val="32"/>
        </w:rPr>
      </w:pPr>
      <w:r>
        <w:rPr>
          <w:rFonts w:hint="eastAsia" w:ascii="仿宋" w:hAnsi="仿宋" w:eastAsia="仿宋"/>
          <w:sz w:val="32"/>
          <w:szCs w:val="32"/>
        </w:rPr>
        <w:t>（2）开展应急救护培训，普及应急救护、防灾避险和卫生健康知识，组织志愿者参与现场救护；</w:t>
      </w:r>
    </w:p>
    <w:p>
      <w:pPr>
        <w:ind w:firstLine="800" w:firstLineChars="250"/>
        <w:rPr>
          <w:rFonts w:ascii="仿宋" w:hAnsi="仿宋" w:eastAsia="仿宋"/>
          <w:sz w:val="32"/>
          <w:szCs w:val="32"/>
        </w:rPr>
      </w:pPr>
      <w:r>
        <w:rPr>
          <w:rFonts w:hint="eastAsia" w:ascii="仿宋" w:hAnsi="仿宋" w:eastAsia="仿宋"/>
          <w:sz w:val="32"/>
          <w:szCs w:val="32"/>
        </w:rPr>
        <w:t>（3）参与、推动无偿献血、遗体和人体器官捐献工作，参与开展造血干细胞捐献的相关工作；</w:t>
      </w:r>
    </w:p>
    <w:p>
      <w:pPr>
        <w:ind w:firstLine="800" w:firstLineChars="250"/>
        <w:rPr>
          <w:rFonts w:ascii="仿宋" w:hAnsi="仿宋" w:eastAsia="仿宋"/>
          <w:sz w:val="32"/>
          <w:szCs w:val="32"/>
        </w:rPr>
      </w:pPr>
      <w:r>
        <w:rPr>
          <w:rFonts w:hint="eastAsia" w:ascii="仿宋" w:hAnsi="仿宋" w:eastAsia="仿宋"/>
          <w:sz w:val="32"/>
          <w:szCs w:val="32"/>
        </w:rPr>
        <w:t>（4）组织开展红十字志愿服务、红十字青少年工作；</w:t>
      </w:r>
    </w:p>
    <w:p>
      <w:pPr>
        <w:ind w:firstLine="800" w:firstLineChars="250"/>
      </w:pPr>
      <w:r>
        <w:rPr>
          <w:rFonts w:hint="eastAsia" w:ascii="仿宋" w:hAnsi="仿宋" w:eastAsia="仿宋"/>
          <w:sz w:val="32"/>
          <w:szCs w:val="32"/>
        </w:rPr>
        <w:t>（5）协助人民政府开展与其职责相关的其他人道主义服务活动。</w:t>
      </w:r>
    </w:p>
    <w:p>
      <w:pPr>
        <w:pStyle w:val="4"/>
        <w:rPr>
          <w:rStyle w:val="32"/>
          <w:b w:val="0"/>
          <w:bCs w:val="0"/>
        </w:rPr>
      </w:pPr>
      <w:bookmarkStart w:id="14" w:name="_Toc15396601"/>
      <w:bookmarkStart w:id="15" w:name="_Toc15377200"/>
      <w:r>
        <w:rPr>
          <w:rFonts w:hint="eastAsia" w:ascii="黑体" w:eastAsia="黑体"/>
          <w:b w:val="0"/>
        </w:rPr>
        <w:t>二、</w:t>
      </w:r>
      <w:r>
        <w:rPr>
          <w:rFonts w:hint="eastAsia" w:ascii="黑体" w:hAnsi="黑体" w:eastAsia="黑体"/>
          <w:b w:val="0"/>
        </w:rPr>
        <w:t>机</w:t>
      </w:r>
      <w:r>
        <w:rPr>
          <w:rStyle w:val="32"/>
          <w:rFonts w:hint="eastAsia" w:ascii="黑体" w:hAnsi="黑体" w:eastAsia="黑体"/>
          <w:b w:val="0"/>
          <w:bCs w:val="0"/>
        </w:rPr>
        <w:t>构设置</w:t>
      </w:r>
      <w:bookmarkEnd w:id="14"/>
      <w:bookmarkEnd w:id="15"/>
    </w:p>
    <w:p>
      <w:pPr>
        <w:ind w:firstLine="800" w:firstLineChars="250"/>
        <w:rPr>
          <w:rFonts w:ascii="仿宋" w:hAnsi="仿宋" w:eastAsia="仿宋"/>
          <w:sz w:val="32"/>
          <w:szCs w:val="32"/>
        </w:rPr>
      </w:pPr>
      <w:r>
        <w:rPr>
          <w:rFonts w:hint="eastAsia" w:ascii="仿宋" w:hAnsi="仿宋" w:eastAsia="仿宋"/>
          <w:sz w:val="32"/>
          <w:szCs w:val="32"/>
        </w:rPr>
        <w:t>遂宁市安居区红十字会下属二级预算单位0个，其中行政单位0个，参照公务员法管理的事业单位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个，其他事业单位0个。</w:t>
      </w:r>
    </w:p>
    <w:p>
      <w:pPr>
        <w:pStyle w:val="8"/>
        <w:adjustRightInd w:val="0"/>
        <w:snapToGrid w:val="0"/>
        <w:spacing w:before="93" w:line="600" w:lineRule="exact"/>
        <w:ind w:firstLine="672" w:firstLineChars="210"/>
        <w:rPr>
          <w:rFonts w:ascii="仿宋" w:hAnsi="仿宋" w:eastAsia="仿宋"/>
          <w:sz w:val="32"/>
          <w:szCs w:val="32"/>
        </w:rPr>
      </w:pPr>
      <w:r>
        <w:rPr>
          <w:rFonts w:hint="eastAsia" w:ascii="仿宋" w:hAnsi="仿宋" w:eastAsia="仿宋"/>
          <w:sz w:val="32"/>
          <w:szCs w:val="32"/>
        </w:rPr>
        <w:t>纳入本单位2022年度部门决算编制范围的二级预算单位包括：0个</w:t>
      </w:r>
    </w:p>
    <w:p>
      <w:pPr>
        <w:pStyle w:val="3"/>
        <w:ind w:right="440"/>
        <w:jc w:val="center"/>
        <w:rPr>
          <w:rStyle w:val="31"/>
          <w:rFonts w:ascii="黑体" w:hAnsi="黑体" w:eastAsia="黑体"/>
          <w:b w:val="0"/>
          <w:bCs/>
        </w:rPr>
      </w:pPr>
      <w:bookmarkStart w:id="16" w:name="_Toc15396602"/>
      <w:bookmarkStart w:id="17" w:name="_Toc15377204"/>
      <w:r>
        <w:rPr>
          <w:rFonts w:hint="eastAsia" w:ascii="黑体" w:hAnsi="黑体" w:eastAsia="黑体"/>
          <w:b w:val="0"/>
        </w:rPr>
        <w:t>第二部分 2022年度</w:t>
      </w:r>
      <w:r>
        <w:rPr>
          <w:rStyle w:val="31"/>
          <w:rFonts w:hint="eastAsia" w:ascii="黑体" w:hAnsi="黑体" w:eastAsia="黑体"/>
          <w:b w:val="0"/>
          <w:bCs/>
        </w:rPr>
        <w:t>部门决算情况说明</w:t>
      </w:r>
      <w:bookmarkEnd w:id="16"/>
      <w:bookmarkEnd w:id="17"/>
    </w:p>
    <w:p/>
    <w:p>
      <w:pPr>
        <w:pStyle w:val="30"/>
        <w:numPr>
          <w:ilvl w:val="0"/>
          <w:numId w:val="3"/>
        </w:numPr>
        <w:spacing w:line="600" w:lineRule="exact"/>
        <w:ind w:firstLineChars="0"/>
        <w:outlineLvl w:val="1"/>
        <w:rPr>
          <w:rStyle w:val="32"/>
          <w:rFonts w:ascii="黑体" w:hAnsi="黑体" w:eastAsia="黑体"/>
          <w:b w:val="0"/>
        </w:rPr>
      </w:pPr>
      <w:bookmarkStart w:id="18" w:name="_Toc15396603"/>
      <w:bookmarkStart w:id="19" w:name="_Toc15377205"/>
      <w:r>
        <w:rPr>
          <w:rFonts w:hint="eastAsia" w:ascii="黑体" w:hAnsi="黑体" w:eastAsia="黑体"/>
          <w:sz w:val="32"/>
          <w:szCs w:val="32"/>
        </w:rPr>
        <w:t>收</w:t>
      </w:r>
      <w:r>
        <w:rPr>
          <w:rStyle w:val="32"/>
          <w:rFonts w:hint="eastAsia" w:ascii="黑体" w:hAnsi="黑体" w:eastAsia="黑体"/>
          <w:b w:val="0"/>
        </w:rPr>
        <w:t>入支出决算总体情况说明</w:t>
      </w:r>
      <w:bookmarkEnd w:id="18"/>
      <w:bookmarkEnd w:id="19"/>
    </w:p>
    <w:p>
      <w:pPr>
        <w:spacing w:line="600" w:lineRule="exact"/>
        <w:ind w:firstLine="640" w:firstLineChars="200"/>
        <w:rPr>
          <w:rFonts w:ascii="仿宋" w:hAnsi="仿宋" w:eastAsia="仿宋"/>
          <w:sz w:val="32"/>
          <w:szCs w:val="32"/>
        </w:rPr>
      </w:pPr>
      <w:r>
        <w:rPr>
          <w:rFonts w:hint="eastAsia" w:ascii="仿宋" w:hAnsi="仿宋" w:eastAsia="仿宋"/>
          <w:sz w:val="32"/>
          <w:szCs w:val="32"/>
        </w:rPr>
        <w:t>2022年度收、支总计43.42万元。与2021年无法相比，收、支总计各增加43.42万元，增长100</w:t>
      </w:r>
      <w:r>
        <w:rPr>
          <w:rFonts w:ascii="仿宋" w:hAnsi="仿宋" w:eastAsia="仿宋"/>
          <w:sz w:val="32"/>
          <w:szCs w:val="32"/>
        </w:rPr>
        <w:t>%</w:t>
      </w:r>
      <w:r>
        <w:rPr>
          <w:rFonts w:hint="eastAsia" w:ascii="仿宋" w:hAnsi="仿宋" w:eastAsia="仿宋"/>
          <w:sz w:val="32"/>
          <w:szCs w:val="32"/>
        </w:rPr>
        <w:t>。主要原因是本单位属于2022年新纳入预算管理单位。</w:t>
      </w:r>
    </w:p>
    <w:p>
      <w:pPr>
        <w:pStyle w:val="2"/>
        <w:numPr>
          <w:ilvl w:val="0"/>
          <w:numId w:val="0"/>
        </w:numPr>
        <w:rPr>
          <w:rFonts w:ascii="仿宋" w:hAnsi="仿宋" w:eastAsia="仿宋"/>
          <w:sz w:val="32"/>
          <w:szCs w:val="32"/>
          <w:highlight w:val="yellow"/>
        </w:rPr>
      </w:pPr>
      <w:r>
        <w:rPr>
          <w:rFonts w:hint="eastAsia" w:ascii="仿宋" w:hAnsi="仿宋" w:eastAsia="仿宋"/>
          <w:sz w:val="32"/>
          <w:szCs w:val="32"/>
          <w:highlight w:val="yellow"/>
        </w:rPr>
        <w:drawing>
          <wp:anchor distT="0" distB="0" distL="114300" distR="114300" simplePos="0" relativeHeight="251660288" behindDoc="0" locked="0" layoutInCell="1" allowOverlap="1">
            <wp:simplePos x="0" y="0"/>
            <wp:positionH relativeFrom="column">
              <wp:posOffset>806450</wp:posOffset>
            </wp:positionH>
            <wp:positionV relativeFrom="paragraph">
              <wp:posOffset>224155</wp:posOffset>
            </wp:positionV>
            <wp:extent cx="4010025" cy="2881630"/>
            <wp:effectExtent l="4445" t="4445" r="5080" b="9525"/>
            <wp:wrapNone/>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pStyle w:val="2"/>
        <w:numPr>
          <w:ilvl w:val="0"/>
          <w:numId w:val="0"/>
        </w:numPr>
        <w:rPr>
          <w:rFonts w:ascii="仿宋" w:hAnsi="仿宋" w:eastAsia="仿宋"/>
          <w:color w:val="FFFFFF" w:themeColor="background1"/>
          <w:sz w:val="32"/>
          <w:szCs w:val="32"/>
          <w:highlight w:val="yellow"/>
          <w14:textFill>
            <w14:noFill/>
          </w14:textFill>
        </w:rPr>
      </w:pPr>
    </w:p>
    <w:p>
      <w:pPr>
        <w:pStyle w:val="2"/>
        <w:numPr>
          <w:ilvl w:val="0"/>
          <w:numId w:val="0"/>
        </w:numPr>
        <w:rPr>
          <w:rFonts w:ascii="仿宋" w:hAnsi="仿宋" w:eastAsia="仿宋"/>
          <w:sz w:val="32"/>
          <w:szCs w:val="32"/>
          <w:highlight w:val="yellow"/>
        </w:rPr>
      </w:pPr>
    </w:p>
    <w:p>
      <w:pPr>
        <w:pStyle w:val="2"/>
        <w:numPr>
          <w:ilvl w:val="0"/>
          <w:numId w:val="0"/>
        </w:numPr>
        <w:rPr>
          <w:rFonts w:ascii="仿宋" w:hAnsi="仿宋" w:eastAsia="仿宋"/>
          <w:sz w:val="32"/>
          <w:szCs w:val="32"/>
          <w:highlight w:val="yellow"/>
        </w:rPr>
      </w:pPr>
    </w:p>
    <w:p>
      <w:pPr>
        <w:pStyle w:val="2"/>
        <w:numPr>
          <w:ilvl w:val="0"/>
          <w:numId w:val="0"/>
        </w:numPr>
        <w:rPr>
          <w:rFonts w:ascii="仿宋" w:hAnsi="仿宋" w:eastAsia="仿宋"/>
          <w:sz w:val="32"/>
          <w:szCs w:val="32"/>
          <w:highlight w:val="yellow"/>
        </w:rPr>
      </w:pPr>
    </w:p>
    <w:p>
      <w:pPr>
        <w:pStyle w:val="2"/>
        <w:numPr>
          <w:ilvl w:val="0"/>
          <w:numId w:val="0"/>
        </w:numPr>
        <w:rPr>
          <w:rFonts w:ascii="仿宋" w:hAnsi="仿宋" w:eastAsia="仿宋"/>
          <w:sz w:val="32"/>
          <w:szCs w:val="32"/>
          <w:highlight w:val="yellow"/>
        </w:rPr>
      </w:pPr>
    </w:p>
    <w:p>
      <w:pPr>
        <w:pStyle w:val="2"/>
        <w:numPr>
          <w:ilvl w:val="0"/>
          <w:numId w:val="0"/>
        </w:numPr>
        <w:rPr>
          <w:rFonts w:ascii="仿宋" w:hAnsi="仿宋" w:eastAsia="仿宋"/>
          <w:sz w:val="32"/>
          <w:szCs w:val="32"/>
          <w:highlight w:val="yellow"/>
        </w:rPr>
      </w:pPr>
    </w:p>
    <w:p>
      <w:pPr>
        <w:pStyle w:val="2"/>
        <w:numPr>
          <w:ilvl w:val="0"/>
          <w:numId w:val="0"/>
        </w:numPr>
        <w:rPr>
          <w:rFonts w:ascii="仿宋" w:hAnsi="仿宋" w:eastAsia="仿宋"/>
          <w:sz w:val="32"/>
          <w:szCs w:val="32"/>
          <w:highlight w:val="yellow"/>
        </w:rPr>
      </w:pPr>
    </w:p>
    <w:p>
      <w:pPr>
        <w:spacing w:line="600" w:lineRule="exact"/>
        <w:ind w:firstLine="640" w:firstLineChars="200"/>
        <w:rPr>
          <w:rFonts w:ascii="仿宋" w:hAnsi="仿宋" w:eastAsia="仿宋"/>
          <w:sz w:val="32"/>
          <w:szCs w:val="32"/>
          <w:highlight w:val="yellow"/>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pPr>
        <w:pStyle w:val="30"/>
        <w:numPr>
          <w:ilvl w:val="0"/>
          <w:numId w:val="3"/>
        </w:numPr>
        <w:spacing w:line="600" w:lineRule="exact"/>
        <w:ind w:firstLineChars="0"/>
        <w:outlineLvl w:val="1"/>
        <w:rPr>
          <w:rStyle w:val="32"/>
          <w:rFonts w:ascii="黑体" w:hAnsi="黑体" w:eastAsia="黑体"/>
          <w:b w:val="0"/>
        </w:rPr>
      </w:pPr>
      <w:bookmarkStart w:id="20" w:name="_Toc15396604"/>
      <w:bookmarkStart w:id="21" w:name="_Toc15377206"/>
      <w:r>
        <w:rPr>
          <w:rFonts w:hint="eastAsia" w:ascii="黑体" w:hAnsi="黑体" w:eastAsia="黑体"/>
          <w:sz w:val="32"/>
          <w:szCs w:val="32"/>
        </w:rPr>
        <w:t>收</w:t>
      </w:r>
      <w:r>
        <w:rPr>
          <w:rStyle w:val="32"/>
          <w:rFonts w:hint="eastAsia" w:ascii="黑体" w:hAnsi="黑体" w:eastAsia="黑体"/>
          <w:b w:val="0"/>
        </w:rPr>
        <w:t>入决算情况说明</w:t>
      </w:r>
      <w:bookmarkEnd w:id="20"/>
      <w:bookmarkEnd w:id="21"/>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22年本年收入合计43.42万元，其中：一般公共预算财政拨款收入43.42万元，占100</w:t>
      </w:r>
      <w:r>
        <w:rPr>
          <w:rFonts w:ascii="仿宋" w:hAnsi="仿宋" w:eastAsia="仿宋"/>
          <w:sz w:val="32"/>
          <w:szCs w:val="32"/>
        </w:rPr>
        <w:t>%</w:t>
      </w:r>
      <w:r>
        <w:rPr>
          <w:rFonts w:hint="eastAsia" w:ascii="仿宋" w:hAnsi="仿宋" w:eastAsia="仿宋"/>
          <w:sz w:val="32"/>
          <w:szCs w:val="32"/>
        </w:rPr>
        <w:t>；政府性基金预算财政拨款收入0万元，占0</w:t>
      </w:r>
      <w:r>
        <w:rPr>
          <w:rFonts w:ascii="仿宋" w:hAnsi="仿宋" w:eastAsia="仿宋"/>
          <w:sz w:val="32"/>
          <w:szCs w:val="32"/>
        </w:rPr>
        <w:t>%</w:t>
      </w:r>
      <w:r>
        <w:rPr>
          <w:rFonts w:hint="eastAsia" w:ascii="仿宋" w:hAnsi="仿宋" w:eastAsia="仿宋"/>
          <w:sz w:val="32"/>
          <w:szCs w:val="32"/>
        </w:rPr>
        <w:t>；国有资本经营预算财政拨款收入0万元，占0</w:t>
      </w:r>
      <w:r>
        <w:rPr>
          <w:rFonts w:ascii="仿宋" w:hAnsi="仿宋" w:eastAsia="仿宋"/>
          <w:sz w:val="32"/>
          <w:szCs w:val="32"/>
        </w:rPr>
        <w:t>%</w:t>
      </w:r>
      <w:r>
        <w:rPr>
          <w:rFonts w:hint="eastAsia" w:ascii="仿宋" w:hAnsi="仿宋" w:eastAsia="仿宋"/>
          <w:sz w:val="32"/>
          <w:szCs w:val="32"/>
        </w:rPr>
        <w:t>；上级补助收入0万元，占0</w:t>
      </w:r>
      <w:r>
        <w:rPr>
          <w:rFonts w:ascii="仿宋" w:hAnsi="仿宋" w:eastAsia="仿宋"/>
          <w:sz w:val="32"/>
          <w:szCs w:val="32"/>
        </w:rPr>
        <w:t>%</w:t>
      </w:r>
      <w:r>
        <w:rPr>
          <w:rFonts w:hint="eastAsia" w:ascii="仿宋" w:hAnsi="仿宋" w:eastAsia="仿宋"/>
          <w:sz w:val="32"/>
          <w:szCs w:val="32"/>
        </w:rPr>
        <w:t>；事业收入0万元，占0</w:t>
      </w:r>
      <w:r>
        <w:rPr>
          <w:rFonts w:ascii="仿宋" w:hAnsi="仿宋" w:eastAsia="仿宋"/>
          <w:sz w:val="32"/>
          <w:szCs w:val="32"/>
        </w:rPr>
        <w:t>%</w:t>
      </w:r>
      <w:r>
        <w:rPr>
          <w:rFonts w:hint="eastAsia" w:ascii="仿宋" w:hAnsi="仿宋" w:eastAsia="仿宋"/>
          <w:sz w:val="32"/>
          <w:szCs w:val="32"/>
        </w:rPr>
        <w:t>；经营收入0万元，占0</w:t>
      </w:r>
      <w:r>
        <w:rPr>
          <w:rFonts w:ascii="仿宋" w:hAnsi="仿宋" w:eastAsia="仿宋"/>
          <w:sz w:val="32"/>
          <w:szCs w:val="32"/>
        </w:rPr>
        <w:t>%</w:t>
      </w:r>
      <w:r>
        <w:rPr>
          <w:rFonts w:hint="eastAsia" w:ascii="仿宋" w:hAnsi="仿宋" w:eastAsia="仿宋"/>
          <w:sz w:val="32"/>
          <w:szCs w:val="32"/>
        </w:rPr>
        <w:t>；附属单位上缴收入0万元，占0</w:t>
      </w:r>
      <w:r>
        <w:rPr>
          <w:rFonts w:ascii="仿宋" w:hAnsi="仿宋" w:eastAsia="仿宋"/>
          <w:sz w:val="32"/>
          <w:szCs w:val="32"/>
        </w:rPr>
        <w:t>%</w:t>
      </w:r>
      <w:r>
        <w:rPr>
          <w:rFonts w:hint="eastAsia" w:ascii="仿宋" w:hAnsi="仿宋" w:eastAsia="仿宋"/>
          <w:sz w:val="32"/>
          <w:szCs w:val="32"/>
        </w:rPr>
        <w:t>；其他收入0万元，占0</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rPr>
          <w:rFonts w:ascii="仿宋" w:hAnsi="仿宋" w:eastAsia="仿宋"/>
          <w:sz w:val="32"/>
          <w:szCs w:val="32"/>
          <w:highlight w:val="yellow"/>
        </w:rPr>
      </w:pPr>
      <w:r>
        <w:rPr>
          <w:rFonts w:hint="eastAsia"/>
          <w:color w:val="FF0000"/>
          <w:sz w:val="32"/>
          <w:szCs w:val="32"/>
        </w:rPr>
        <w:drawing>
          <wp:anchor distT="0" distB="0" distL="114300" distR="114300" simplePos="0" relativeHeight="251661312" behindDoc="0" locked="0" layoutInCell="1" allowOverlap="1">
            <wp:simplePos x="0" y="0"/>
            <wp:positionH relativeFrom="column">
              <wp:posOffset>243205</wp:posOffset>
            </wp:positionH>
            <wp:positionV relativeFrom="paragraph">
              <wp:posOffset>82550</wp:posOffset>
            </wp:positionV>
            <wp:extent cx="4182745" cy="3302635"/>
            <wp:effectExtent l="4445" t="4445" r="22860" b="7620"/>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pStyle w:val="2"/>
        <w:numPr>
          <w:ilvl w:val="0"/>
          <w:numId w:val="0"/>
        </w:numPr>
        <w:rPr>
          <w:rFonts w:ascii="仿宋" w:hAnsi="仿宋" w:eastAsia="仿宋"/>
          <w:sz w:val="32"/>
          <w:szCs w:val="32"/>
          <w:highlight w:val="yellow"/>
        </w:rPr>
      </w:pPr>
    </w:p>
    <w:p>
      <w:pPr>
        <w:pStyle w:val="2"/>
        <w:numPr>
          <w:ilvl w:val="0"/>
          <w:numId w:val="0"/>
        </w:numPr>
        <w:rPr>
          <w:rFonts w:ascii="仿宋" w:hAnsi="仿宋" w:eastAsia="仿宋"/>
          <w:sz w:val="32"/>
          <w:szCs w:val="32"/>
          <w:highlight w:val="yellow"/>
        </w:rPr>
      </w:pPr>
    </w:p>
    <w:p>
      <w:pPr>
        <w:pStyle w:val="2"/>
        <w:numPr>
          <w:ilvl w:val="0"/>
          <w:numId w:val="0"/>
        </w:numPr>
        <w:rPr>
          <w:rFonts w:ascii="仿宋" w:hAnsi="仿宋" w:eastAsia="仿宋"/>
          <w:sz w:val="32"/>
          <w:szCs w:val="32"/>
          <w:highlight w:val="yellow"/>
        </w:rPr>
      </w:pPr>
    </w:p>
    <w:p>
      <w:pPr>
        <w:pStyle w:val="2"/>
        <w:numPr>
          <w:ilvl w:val="0"/>
          <w:numId w:val="0"/>
        </w:numPr>
        <w:rPr>
          <w:rFonts w:ascii="仿宋" w:hAnsi="仿宋" w:eastAsia="仿宋"/>
          <w:sz w:val="32"/>
          <w:szCs w:val="32"/>
          <w:highlight w:val="yellow"/>
        </w:rPr>
      </w:pPr>
    </w:p>
    <w:p>
      <w:pPr>
        <w:pStyle w:val="2"/>
        <w:numPr>
          <w:ilvl w:val="0"/>
          <w:numId w:val="0"/>
        </w:numPr>
        <w:rPr>
          <w:rFonts w:ascii="仿宋" w:hAnsi="仿宋" w:eastAsia="仿宋"/>
          <w:sz w:val="32"/>
          <w:szCs w:val="32"/>
          <w:highlight w:val="yellow"/>
        </w:rPr>
      </w:pPr>
    </w:p>
    <w:p>
      <w:pPr>
        <w:spacing w:line="600" w:lineRule="exact"/>
        <w:rPr>
          <w:rFonts w:ascii="仿宋" w:hAnsi="仿宋" w:eastAsia="仿宋"/>
          <w:sz w:val="32"/>
          <w:szCs w:val="32"/>
          <w:highlight w:val="yellow"/>
        </w:rPr>
      </w:pPr>
    </w:p>
    <w:p>
      <w:pPr>
        <w:spacing w:line="600" w:lineRule="exact"/>
        <w:rPr>
          <w:rFonts w:ascii="仿宋" w:hAnsi="仿宋" w:eastAsia="仿宋"/>
          <w:sz w:val="32"/>
          <w:szCs w:val="32"/>
        </w:rPr>
      </w:pPr>
    </w:p>
    <w:p>
      <w:pPr>
        <w:pStyle w:val="2"/>
        <w:numPr>
          <w:ilvl w:val="0"/>
          <w:numId w:val="0"/>
        </w:numPr>
      </w:pPr>
    </w:p>
    <w:p>
      <w:pPr>
        <w:spacing w:line="600" w:lineRule="exact"/>
        <w:ind w:firstLine="640" w:firstLineChars="200"/>
        <w:rPr>
          <w:rFonts w:ascii="仿宋_GB2312" w:eastAsia="仿宋_GB2312"/>
          <w:sz w:val="32"/>
          <w:szCs w:val="32"/>
        </w:rPr>
      </w:pPr>
      <w:r>
        <w:rPr>
          <w:rFonts w:hint="eastAsia" w:ascii="仿宋" w:hAnsi="仿宋" w:eastAsia="仿宋"/>
          <w:sz w:val="32"/>
          <w:szCs w:val="32"/>
        </w:rPr>
        <w:t>（图2：收入决算结构图）</w:t>
      </w:r>
    </w:p>
    <w:p>
      <w:pPr>
        <w:pStyle w:val="30"/>
        <w:numPr>
          <w:ilvl w:val="0"/>
          <w:numId w:val="3"/>
        </w:numPr>
        <w:spacing w:line="600" w:lineRule="exact"/>
        <w:ind w:firstLineChars="0"/>
        <w:outlineLvl w:val="1"/>
        <w:rPr>
          <w:rFonts w:ascii="仿宋" w:hAnsi="仿宋" w:eastAsia="仿宋"/>
          <w:sz w:val="32"/>
          <w:szCs w:val="32"/>
        </w:rPr>
      </w:pPr>
      <w:bookmarkStart w:id="22" w:name="_Toc15396605"/>
      <w:bookmarkStart w:id="23" w:name="_Toc15377207"/>
      <w:r>
        <w:rPr>
          <w:rFonts w:hint="eastAsia" w:ascii="黑体" w:hAnsi="黑体" w:eastAsia="黑体"/>
          <w:sz w:val="32"/>
          <w:szCs w:val="32"/>
        </w:rPr>
        <w:t>支</w:t>
      </w:r>
      <w:r>
        <w:rPr>
          <w:rStyle w:val="32"/>
          <w:rFonts w:hint="eastAsia" w:ascii="黑体" w:hAnsi="黑体" w:eastAsia="黑体"/>
          <w:b w:val="0"/>
        </w:rPr>
        <w:t>出决算情况说明</w:t>
      </w:r>
      <w:bookmarkEnd w:id="22"/>
      <w:bookmarkEnd w:id="23"/>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22年本年支出合计43.42万元，其中：基本支出39.42万元，占90.79</w:t>
      </w:r>
      <w:r>
        <w:rPr>
          <w:rFonts w:ascii="仿宋" w:hAnsi="仿宋" w:eastAsia="仿宋"/>
          <w:sz w:val="32"/>
          <w:szCs w:val="32"/>
        </w:rPr>
        <w:t>%</w:t>
      </w:r>
      <w:r>
        <w:rPr>
          <w:rFonts w:hint="eastAsia" w:ascii="仿宋" w:hAnsi="仿宋" w:eastAsia="仿宋"/>
          <w:sz w:val="32"/>
          <w:szCs w:val="32"/>
        </w:rPr>
        <w:t>；项目支出4万元，占9.21</w:t>
      </w:r>
      <w:r>
        <w:rPr>
          <w:rFonts w:ascii="仿宋" w:hAnsi="仿宋" w:eastAsia="仿宋"/>
          <w:sz w:val="32"/>
          <w:szCs w:val="32"/>
        </w:rPr>
        <w:t>%</w:t>
      </w:r>
      <w:r>
        <w:rPr>
          <w:rFonts w:hint="eastAsia" w:ascii="仿宋" w:hAnsi="仿宋" w:eastAsia="仿宋"/>
          <w:sz w:val="32"/>
          <w:szCs w:val="32"/>
        </w:rPr>
        <w:t>；上缴上级支出0万元，占0</w:t>
      </w:r>
      <w:r>
        <w:rPr>
          <w:rFonts w:ascii="仿宋" w:hAnsi="仿宋" w:eastAsia="仿宋"/>
          <w:sz w:val="32"/>
          <w:szCs w:val="32"/>
        </w:rPr>
        <w:t>%</w:t>
      </w:r>
      <w:r>
        <w:rPr>
          <w:rFonts w:hint="eastAsia" w:ascii="仿宋" w:hAnsi="仿宋" w:eastAsia="仿宋"/>
          <w:sz w:val="32"/>
          <w:szCs w:val="32"/>
        </w:rPr>
        <w:t>；经营支出0万元，占0</w:t>
      </w:r>
      <w:r>
        <w:rPr>
          <w:rFonts w:ascii="仿宋" w:hAnsi="仿宋" w:eastAsia="仿宋"/>
          <w:sz w:val="32"/>
          <w:szCs w:val="32"/>
        </w:rPr>
        <w:t>%</w:t>
      </w:r>
      <w:r>
        <w:rPr>
          <w:rFonts w:hint="eastAsia" w:ascii="仿宋" w:hAnsi="仿宋" w:eastAsia="仿宋"/>
          <w:sz w:val="32"/>
          <w:szCs w:val="32"/>
        </w:rPr>
        <w:t>；对附属单位补助支出0万元，占0</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rPr>
          <w:rFonts w:ascii="仿宋" w:hAnsi="仿宋" w:eastAsia="仿宋"/>
          <w:sz w:val="32"/>
          <w:szCs w:val="32"/>
          <w:highlight w:val="yellow"/>
        </w:rPr>
      </w:pPr>
      <w:r>
        <w:rPr>
          <w:rFonts w:hint="eastAsia"/>
          <w:color w:val="FF0000"/>
          <w:sz w:val="32"/>
          <w:szCs w:val="32"/>
        </w:rPr>
        <w:drawing>
          <wp:anchor distT="0" distB="0" distL="114300" distR="114300" simplePos="0" relativeHeight="251662336" behindDoc="0" locked="0" layoutInCell="1" allowOverlap="1">
            <wp:simplePos x="0" y="0"/>
            <wp:positionH relativeFrom="column">
              <wp:posOffset>207010</wp:posOffset>
            </wp:positionH>
            <wp:positionV relativeFrom="paragraph">
              <wp:posOffset>56515</wp:posOffset>
            </wp:positionV>
            <wp:extent cx="4508500" cy="2952750"/>
            <wp:effectExtent l="4445" t="4445" r="20955" b="14605"/>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rPr>
          <w:rFonts w:ascii="仿宋" w:hAnsi="仿宋" w:eastAsia="仿宋"/>
          <w:sz w:val="32"/>
          <w:szCs w:val="32"/>
          <w:highlight w:val="yellow"/>
        </w:rPr>
      </w:pPr>
    </w:p>
    <w:p>
      <w:pPr>
        <w:spacing w:line="600" w:lineRule="exact"/>
        <w:ind w:firstLine="640" w:firstLineChars="200"/>
        <w:rPr>
          <w:rFonts w:ascii="仿宋" w:hAnsi="仿宋" w:eastAsia="仿宋"/>
          <w:sz w:val="32"/>
          <w:szCs w:val="32"/>
          <w:highlight w:val="yellow"/>
        </w:rPr>
      </w:pPr>
    </w:p>
    <w:p>
      <w:pPr>
        <w:pStyle w:val="2"/>
        <w:numPr>
          <w:ilvl w:val="0"/>
          <w:numId w:val="0"/>
        </w:numPr>
        <w:rPr>
          <w:rFonts w:ascii="仿宋" w:hAnsi="仿宋" w:eastAsia="仿宋"/>
          <w:sz w:val="32"/>
          <w:szCs w:val="32"/>
          <w:highlight w:val="yellow"/>
        </w:rPr>
      </w:pPr>
    </w:p>
    <w:p>
      <w:pPr>
        <w:pStyle w:val="2"/>
        <w:numPr>
          <w:ilvl w:val="0"/>
          <w:numId w:val="0"/>
        </w:numPr>
        <w:rPr>
          <w:rFonts w:ascii="仿宋" w:hAnsi="仿宋" w:eastAsia="仿宋"/>
          <w:sz w:val="32"/>
          <w:szCs w:val="32"/>
          <w:highlight w:val="yellow"/>
        </w:rPr>
      </w:pPr>
    </w:p>
    <w:p>
      <w:pPr>
        <w:spacing w:line="600" w:lineRule="exact"/>
        <w:ind w:firstLine="640" w:firstLineChars="200"/>
        <w:rPr>
          <w:rFonts w:ascii="仿宋" w:hAnsi="仿宋" w:eastAsia="仿宋"/>
          <w:sz w:val="32"/>
          <w:szCs w:val="32"/>
          <w:highlight w:val="yellow"/>
        </w:rPr>
      </w:pPr>
    </w:p>
    <w:p>
      <w:pPr>
        <w:spacing w:line="600" w:lineRule="exact"/>
        <w:ind w:firstLine="640" w:firstLineChars="200"/>
        <w:rPr>
          <w:rFonts w:ascii="仿宋" w:hAnsi="仿宋" w:eastAsia="仿宋"/>
          <w:sz w:val="32"/>
          <w:szCs w:val="32"/>
          <w:highlight w:val="yellow"/>
        </w:rPr>
      </w:pPr>
    </w:p>
    <w:p>
      <w:pPr>
        <w:spacing w:line="600" w:lineRule="exact"/>
        <w:ind w:firstLine="640" w:firstLineChars="200"/>
        <w:rPr>
          <w:rFonts w:ascii="仿宋" w:hAnsi="仿宋" w:eastAsia="仿宋"/>
          <w:sz w:val="32"/>
          <w:szCs w:val="32"/>
          <w:highlight w:val="yellow"/>
        </w:rPr>
      </w:pPr>
    </w:p>
    <w:p>
      <w:pPr>
        <w:spacing w:line="600" w:lineRule="exact"/>
        <w:ind w:firstLine="640" w:firstLineChars="200"/>
        <w:rPr>
          <w:rFonts w:ascii="仿宋_GB2312" w:eastAsia="仿宋_GB2312"/>
          <w:sz w:val="32"/>
          <w:szCs w:val="32"/>
        </w:rPr>
      </w:pPr>
      <w:r>
        <w:rPr>
          <w:rFonts w:hint="eastAsia" w:ascii="仿宋" w:hAnsi="仿宋" w:eastAsia="仿宋"/>
          <w:sz w:val="32"/>
          <w:szCs w:val="32"/>
        </w:rPr>
        <w:t>（图3：支出决算结构图）</w:t>
      </w:r>
    </w:p>
    <w:p>
      <w:pPr>
        <w:spacing w:line="600" w:lineRule="exact"/>
        <w:ind w:firstLine="640" w:firstLineChars="200"/>
        <w:outlineLvl w:val="1"/>
        <w:rPr>
          <w:rStyle w:val="32"/>
          <w:rFonts w:ascii="黑体" w:hAnsi="黑体" w:eastAsia="黑体"/>
          <w:b w:val="0"/>
        </w:rPr>
      </w:pPr>
      <w:bookmarkStart w:id="24" w:name="_Toc15396606"/>
      <w:bookmarkStart w:id="25" w:name="_Toc15377208"/>
      <w:r>
        <w:rPr>
          <w:rFonts w:hint="eastAsia" w:ascii="黑体" w:hAnsi="黑体" w:eastAsia="黑体"/>
          <w:sz w:val="32"/>
          <w:szCs w:val="32"/>
        </w:rPr>
        <w:t>四、财</w:t>
      </w:r>
      <w:r>
        <w:rPr>
          <w:rStyle w:val="32"/>
          <w:rFonts w:hint="eastAsia" w:ascii="黑体" w:hAnsi="黑体" w:eastAsia="黑体"/>
          <w:b w:val="0"/>
        </w:rPr>
        <w:t>政拨款收入支出决算总体情况说明</w:t>
      </w:r>
      <w:bookmarkEnd w:id="24"/>
      <w:bookmarkEnd w:id="25"/>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22年财政拨款收、支总计43.42万元。与</w:t>
      </w:r>
      <w:r>
        <w:rPr>
          <w:rFonts w:ascii="仿宋" w:hAnsi="仿宋" w:eastAsia="仿宋"/>
          <w:sz w:val="32"/>
          <w:szCs w:val="32"/>
        </w:rPr>
        <w:t>20</w:t>
      </w:r>
      <w:r>
        <w:rPr>
          <w:rFonts w:hint="eastAsia" w:ascii="仿宋" w:hAnsi="仿宋" w:eastAsia="仿宋"/>
          <w:sz w:val="32"/>
          <w:szCs w:val="32"/>
        </w:rPr>
        <w:t>21年相比，财政拨款收、支总计各增加43.42万元，增长100</w:t>
      </w:r>
      <w:r>
        <w:rPr>
          <w:rFonts w:ascii="仿宋" w:hAnsi="仿宋" w:eastAsia="仿宋"/>
          <w:sz w:val="32"/>
          <w:szCs w:val="32"/>
        </w:rPr>
        <w:t>%</w:t>
      </w:r>
      <w:r>
        <w:rPr>
          <w:rFonts w:hint="eastAsia" w:ascii="仿宋" w:hAnsi="仿宋" w:eastAsia="仿宋"/>
          <w:sz w:val="32"/>
          <w:szCs w:val="32"/>
        </w:rPr>
        <w:t>。主要本单位属于2022年新纳入预算管理单位。</w:t>
      </w:r>
    </w:p>
    <w:p>
      <w:pPr>
        <w:spacing w:line="600" w:lineRule="exact"/>
        <w:rPr>
          <w:rFonts w:ascii="仿宋" w:hAnsi="仿宋" w:eastAsia="仿宋"/>
          <w:sz w:val="32"/>
          <w:szCs w:val="32"/>
        </w:rPr>
      </w:pPr>
      <w:r>
        <w:rPr>
          <w:rFonts w:hint="eastAsia" w:ascii="仿宋" w:hAnsi="仿宋" w:eastAsia="仿宋"/>
          <w:sz w:val="32"/>
          <w:szCs w:val="32"/>
        </w:rPr>
        <w:drawing>
          <wp:anchor distT="0" distB="0" distL="114300" distR="114300" simplePos="0" relativeHeight="251663360" behindDoc="0" locked="0" layoutInCell="1" allowOverlap="1">
            <wp:simplePos x="0" y="0"/>
            <wp:positionH relativeFrom="column">
              <wp:posOffset>258445</wp:posOffset>
            </wp:positionH>
            <wp:positionV relativeFrom="paragraph">
              <wp:posOffset>139065</wp:posOffset>
            </wp:positionV>
            <wp:extent cx="4912995" cy="3000375"/>
            <wp:effectExtent l="4445" t="4445" r="16510" b="5080"/>
            <wp:wrapNone/>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pStyle w:val="2"/>
        <w:numPr>
          <w:ilvl w:val="0"/>
          <w:numId w:val="0"/>
        </w:numPr>
        <w:rPr>
          <w:rFonts w:ascii="仿宋" w:hAnsi="仿宋" w:eastAsia="仿宋"/>
          <w:sz w:val="32"/>
          <w:szCs w:val="32"/>
        </w:rPr>
      </w:pPr>
    </w:p>
    <w:p>
      <w:pPr>
        <w:pStyle w:val="2"/>
        <w:numPr>
          <w:ilvl w:val="0"/>
          <w:numId w:val="0"/>
        </w:numPr>
        <w:rPr>
          <w:rFonts w:ascii="仿宋" w:hAnsi="仿宋" w:eastAsia="仿宋"/>
          <w:sz w:val="32"/>
          <w:szCs w:val="32"/>
        </w:rPr>
      </w:pPr>
    </w:p>
    <w:p>
      <w:pPr>
        <w:pStyle w:val="2"/>
        <w:numPr>
          <w:ilvl w:val="0"/>
          <w:numId w:val="0"/>
        </w:numPr>
        <w:rPr>
          <w:rFonts w:ascii="仿宋" w:hAnsi="仿宋" w:eastAsia="仿宋"/>
          <w:sz w:val="32"/>
          <w:szCs w:val="32"/>
        </w:rPr>
      </w:pPr>
    </w:p>
    <w:p>
      <w:pPr>
        <w:pStyle w:val="2"/>
        <w:numPr>
          <w:ilvl w:val="0"/>
          <w:numId w:val="0"/>
        </w:numPr>
        <w:rPr>
          <w:rFonts w:ascii="仿宋" w:hAnsi="仿宋" w:eastAsia="仿宋"/>
          <w:sz w:val="32"/>
          <w:szCs w:val="32"/>
        </w:rPr>
      </w:pPr>
    </w:p>
    <w:p>
      <w:pPr>
        <w:pStyle w:val="2"/>
        <w:numPr>
          <w:ilvl w:val="0"/>
          <w:numId w:val="0"/>
        </w:numPr>
        <w:rPr>
          <w:rFonts w:ascii="仿宋" w:hAnsi="仿宋" w:eastAsia="仿宋"/>
          <w:sz w:val="32"/>
          <w:szCs w:val="32"/>
        </w:rPr>
      </w:pPr>
    </w:p>
    <w:p>
      <w:pPr>
        <w:pStyle w:val="2"/>
        <w:numPr>
          <w:ilvl w:val="0"/>
          <w:numId w:val="0"/>
        </w:numPr>
        <w:rPr>
          <w:rFonts w:ascii="仿宋" w:hAnsi="仿宋" w:eastAsia="仿宋"/>
          <w:sz w:val="32"/>
          <w:szCs w:val="32"/>
        </w:rPr>
      </w:pPr>
    </w:p>
    <w:p>
      <w:pPr>
        <w:pStyle w:val="2"/>
        <w:numPr>
          <w:ilvl w:val="0"/>
          <w:numId w:val="0"/>
        </w:numPr>
        <w:rPr>
          <w:rFonts w:ascii="仿宋" w:hAnsi="仿宋" w:eastAsia="仿宋"/>
          <w:sz w:val="32"/>
          <w:szCs w:val="32"/>
        </w:rPr>
      </w:pPr>
    </w:p>
    <w:p>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（图4：财政拨款收、支决算总计变动情况）</w:t>
      </w:r>
      <w:bookmarkStart w:id="26" w:name="_Toc15377209"/>
      <w:bookmarkStart w:id="27" w:name="_Toc15396607"/>
    </w:p>
    <w:p>
      <w:pPr>
        <w:spacing w:line="600" w:lineRule="exact"/>
        <w:ind w:firstLine="640" w:firstLineChars="200"/>
        <w:outlineLvl w:val="1"/>
        <w:rPr>
          <w:rStyle w:val="32"/>
          <w:rFonts w:ascii="黑体" w:hAnsi="黑体" w:eastAsia="黑体"/>
          <w:b w:val="0"/>
        </w:rPr>
      </w:pPr>
      <w:r>
        <w:rPr>
          <w:rFonts w:hint="eastAsia" w:ascii="黑体" w:hAnsi="黑体" w:eastAsia="黑体"/>
          <w:sz w:val="32"/>
          <w:szCs w:val="32"/>
        </w:rPr>
        <w:t>五、</w:t>
      </w:r>
      <w:r>
        <w:rPr>
          <w:rFonts w:hint="eastAsia" w:ascii="黑体" w:hAnsi="黑体" w:eastAsia="黑体"/>
          <w:b/>
          <w:sz w:val="32"/>
          <w:szCs w:val="32"/>
        </w:rPr>
        <w:t>一</w:t>
      </w:r>
      <w:r>
        <w:rPr>
          <w:rStyle w:val="32"/>
          <w:rFonts w:hint="eastAsia" w:ascii="黑体" w:hAnsi="黑体" w:eastAsia="黑体"/>
          <w:b w:val="0"/>
        </w:rPr>
        <w:t>般公共预算财政拨款支出决算情况说明</w:t>
      </w:r>
      <w:bookmarkEnd w:id="26"/>
      <w:bookmarkEnd w:id="27"/>
    </w:p>
    <w:p>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22年一般公共预算财政拨款支出43.42万元，占本年支出合计的100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21年相比，一般公共预算财政拨款支出增加43.42万元，增长100</w:t>
      </w:r>
      <w:r>
        <w:rPr>
          <w:rFonts w:ascii="仿宋" w:hAnsi="仿宋" w:eastAsia="仿宋"/>
          <w:sz w:val="32"/>
          <w:szCs w:val="32"/>
        </w:rPr>
        <w:t>%</w:t>
      </w:r>
      <w:r>
        <w:rPr>
          <w:rFonts w:hint="eastAsia" w:ascii="仿宋" w:hAnsi="仿宋" w:eastAsia="仿宋"/>
          <w:sz w:val="32"/>
          <w:szCs w:val="32"/>
        </w:rPr>
        <w:t>。主要变动原因是本单位属于2022年新纳入预算管理单位。</w:t>
      </w:r>
    </w:p>
    <w:p>
      <w:pPr>
        <w:spacing w:line="600" w:lineRule="exact"/>
        <w:ind w:firstLine="640" w:firstLineChars="200"/>
        <w:rPr>
          <w:rFonts w:ascii="仿宋" w:hAnsi="仿宋" w:eastAsia="仿宋"/>
          <w:sz w:val="32"/>
          <w:szCs w:val="32"/>
          <w:highlight w:val="yellow"/>
        </w:rPr>
      </w:pPr>
    </w:p>
    <w:p>
      <w:pPr>
        <w:spacing w:line="600" w:lineRule="exact"/>
        <w:ind w:firstLine="640" w:firstLineChars="200"/>
        <w:rPr>
          <w:rFonts w:ascii="仿宋" w:hAnsi="仿宋" w:eastAsia="仿宋"/>
          <w:sz w:val="32"/>
          <w:szCs w:val="32"/>
          <w:highlight w:val="yellow"/>
        </w:rPr>
      </w:pPr>
    </w:p>
    <w:p>
      <w:pPr>
        <w:spacing w:line="600" w:lineRule="exact"/>
        <w:ind w:firstLine="640" w:firstLineChars="200"/>
        <w:rPr>
          <w:rFonts w:ascii="仿宋" w:hAnsi="仿宋" w:eastAsia="仿宋"/>
          <w:sz w:val="32"/>
          <w:szCs w:val="32"/>
          <w:highlight w:val="yellow"/>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4384" behindDoc="0" locked="0" layoutInCell="1" allowOverlap="1">
            <wp:simplePos x="0" y="0"/>
            <wp:positionH relativeFrom="column">
              <wp:posOffset>46990</wp:posOffset>
            </wp:positionH>
            <wp:positionV relativeFrom="paragraph">
              <wp:posOffset>118110</wp:posOffset>
            </wp:positionV>
            <wp:extent cx="5080000" cy="3810000"/>
            <wp:effectExtent l="4445" t="4445" r="20955" b="14605"/>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0" w:firstLineChars="200"/>
        <w:rPr>
          <w:rFonts w:ascii="仿宋" w:hAnsi="仿宋" w:eastAsia="仿宋"/>
          <w:sz w:val="32"/>
          <w:szCs w:val="32"/>
          <w:highlight w:val="yellow"/>
        </w:rPr>
      </w:pPr>
    </w:p>
    <w:p>
      <w:pPr>
        <w:spacing w:line="600" w:lineRule="exact"/>
        <w:ind w:firstLine="640" w:firstLineChars="200"/>
        <w:rPr>
          <w:rFonts w:ascii="仿宋" w:hAnsi="仿宋" w:eastAsia="仿宋"/>
          <w:sz w:val="32"/>
          <w:szCs w:val="32"/>
          <w:highlight w:val="yellow"/>
        </w:rPr>
      </w:pPr>
    </w:p>
    <w:p>
      <w:pPr>
        <w:spacing w:line="600" w:lineRule="exact"/>
        <w:ind w:firstLine="640" w:firstLineChars="200"/>
        <w:rPr>
          <w:rFonts w:ascii="仿宋" w:hAnsi="仿宋" w:eastAsia="仿宋"/>
          <w:sz w:val="32"/>
          <w:szCs w:val="32"/>
          <w:highlight w:val="yellow"/>
        </w:rPr>
      </w:pPr>
    </w:p>
    <w:p>
      <w:pPr>
        <w:spacing w:line="600" w:lineRule="exact"/>
        <w:ind w:firstLine="640" w:firstLineChars="200"/>
        <w:rPr>
          <w:rFonts w:ascii="仿宋" w:hAnsi="仿宋" w:eastAsia="仿宋"/>
          <w:sz w:val="32"/>
          <w:szCs w:val="32"/>
          <w:highlight w:val="yellow"/>
        </w:rPr>
      </w:pPr>
    </w:p>
    <w:p>
      <w:pPr>
        <w:spacing w:line="600" w:lineRule="exact"/>
        <w:ind w:firstLine="640" w:firstLineChars="200"/>
        <w:rPr>
          <w:rFonts w:ascii="仿宋" w:hAnsi="仿宋" w:eastAsia="仿宋"/>
          <w:sz w:val="32"/>
          <w:szCs w:val="32"/>
          <w:highlight w:val="yellow"/>
        </w:rPr>
      </w:pPr>
    </w:p>
    <w:p>
      <w:pPr>
        <w:spacing w:line="600" w:lineRule="exact"/>
        <w:ind w:firstLine="640" w:firstLineChars="200"/>
        <w:rPr>
          <w:rFonts w:ascii="仿宋" w:hAnsi="仿宋" w:eastAsia="仿宋"/>
          <w:sz w:val="32"/>
          <w:szCs w:val="32"/>
          <w:highlight w:val="yellow"/>
        </w:rPr>
      </w:pPr>
    </w:p>
    <w:p>
      <w:pPr>
        <w:spacing w:line="600" w:lineRule="exact"/>
        <w:ind w:firstLine="640" w:firstLineChars="200"/>
        <w:rPr>
          <w:rFonts w:ascii="仿宋" w:hAnsi="仿宋" w:eastAsia="仿宋"/>
          <w:sz w:val="32"/>
          <w:szCs w:val="32"/>
          <w:highlight w:val="yellow"/>
        </w:rPr>
      </w:pPr>
    </w:p>
    <w:p>
      <w:pPr>
        <w:spacing w:line="600" w:lineRule="exact"/>
        <w:ind w:firstLine="640" w:firstLineChars="200"/>
        <w:rPr>
          <w:rFonts w:ascii="仿宋" w:hAnsi="仿宋" w:eastAsia="仿宋"/>
          <w:sz w:val="32"/>
          <w:szCs w:val="32"/>
          <w:highlight w:val="yellow"/>
        </w:rPr>
      </w:pPr>
    </w:p>
    <w:p>
      <w:pPr>
        <w:spacing w:line="600" w:lineRule="exact"/>
        <w:ind w:firstLine="640" w:firstLineChars="200"/>
        <w:rPr>
          <w:rFonts w:ascii="仿宋" w:hAnsi="仿宋" w:eastAsia="仿宋"/>
          <w:sz w:val="32"/>
          <w:szCs w:val="32"/>
          <w:highlight w:val="yellow"/>
        </w:rPr>
      </w:pPr>
    </w:p>
    <w:p>
      <w:pPr>
        <w:spacing w:line="600" w:lineRule="exact"/>
        <w:rPr>
          <w:rFonts w:ascii="仿宋" w:hAnsi="仿宋" w:eastAsia="仿宋"/>
          <w:sz w:val="32"/>
          <w:szCs w:val="32"/>
        </w:rPr>
      </w:pPr>
      <w:r>
        <w:rPr>
          <w:rFonts w:hint="eastAsia" w:ascii="仿宋" w:hAnsi="仿宋" w:eastAsia="仿宋"/>
          <w:sz w:val="32"/>
          <w:szCs w:val="32"/>
        </w:rPr>
        <w:t>　　</w:t>
      </w:r>
    </w:p>
    <w:p>
      <w:pPr>
        <w:spacing w:line="600" w:lineRule="exact"/>
        <w:rPr>
          <w:rFonts w:ascii="仿宋" w:hAnsi="仿宋" w:eastAsia="仿宋"/>
          <w:sz w:val="32"/>
          <w:szCs w:val="32"/>
        </w:rPr>
      </w:pPr>
      <w:r>
        <w:rPr>
          <w:rFonts w:hint="eastAsia" w:ascii="仿宋" w:hAnsi="仿宋" w:eastAsia="仿宋"/>
          <w:sz w:val="32"/>
          <w:szCs w:val="32"/>
        </w:rPr>
        <w:t>　　（图5：一般公共预算财政拨款支出决算变动情况）</w:t>
      </w:r>
    </w:p>
    <w:p>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22年一般公共预算财政拨款支出43.42万元，主要用于以下方面</w:t>
      </w:r>
      <w:r>
        <w:rPr>
          <w:rFonts w:ascii="仿宋" w:hAnsi="仿宋" w:eastAsia="仿宋"/>
          <w:sz w:val="32"/>
          <w:szCs w:val="32"/>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rPr>
        <w:t>40.03万元，占92.19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rPr>
        <w:t>0万元，占0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sz w:val="32"/>
          <w:szCs w:val="32"/>
        </w:rPr>
        <w:t>0万元，占0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文化旅游体育与传媒支出0万元，占0</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rPr>
        <w:t>1.43万元，占3.29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卫生健康支出0.88</w:t>
      </w:r>
      <w:r>
        <w:rPr>
          <w:rFonts w:hint="eastAsia" w:ascii="仿宋" w:hAnsi="仿宋" w:eastAsia="仿宋"/>
          <w:sz w:val="32"/>
          <w:szCs w:val="32"/>
        </w:rPr>
        <w:t>万元，占2.03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rPr>
        <w:t>1.07万元，占2.49</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rPr>
          <w:rFonts w:ascii="仿宋" w:hAnsi="仿宋" w:eastAsia="仿宋"/>
          <w:sz w:val="32"/>
          <w:szCs w:val="32"/>
          <w:highlight w:val="yellow"/>
        </w:rPr>
      </w:pPr>
    </w:p>
    <w:p>
      <w:pPr>
        <w:spacing w:line="600" w:lineRule="exact"/>
        <w:ind w:firstLine="640" w:firstLineChars="200"/>
        <w:rPr>
          <w:rFonts w:ascii="仿宋" w:hAnsi="仿宋" w:eastAsia="仿宋"/>
          <w:sz w:val="32"/>
          <w:szCs w:val="32"/>
          <w:highlight w:val="yellow"/>
        </w:rPr>
      </w:pPr>
    </w:p>
    <w:p>
      <w:pPr>
        <w:spacing w:line="600" w:lineRule="exact"/>
        <w:ind w:firstLine="640" w:firstLineChars="200"/>
        <w:rPr>
          <w:rFonts w:ascii="仿宋" w:hAnsi="仿宋" w:eastAsia="仿宋"/>
          <w:sz w:val="32"/>
          <w:szCs w:val="32"/>
          <w:highlight w:val="yellow"/>
        </w:rPr>
      </w:pPr>
    </w:p>
    <w:p>
      <w:pPr>
        <w:spacing w:line="600" w:lineRule="exact"/>
        <w:ind w:firstLine="640" w:firstLineChars="200"/>
        <w:rPr>
          <w:rFonts w:ascii="仿宋" w:hAnsi="仿宋" w:eastAsia="仿宋"/>
          <w:sz w:val="32"/>
          <w:szCs w:val="32"/>
          <w:highlight w:val="yellow"/>
        </w:rPr>
      </w:pPr>
    </w:p>
    <w:p>
      <w:pPr>
        <w:spacing w:line="600" w:lineRule="exact"/>
        <w:ind w:firstLine="640" w:firstLineChars="200"/>
        <w:rPr>
          <w:rFonts w:ascii="仿宋" w:hAnsi="仿宋" w:eastAsia="仿宋"/>
          <w:sz w:val="32"/>
          <w:szCs w:val="32"/>
          <w:highlight w:val="yellow"/>
        </w:rPr>
      </w:pPr>
      <w:r>
        <w:rPr>
          <w:rFonts w:hint="eastAsia" w:ascii="仿宋" w:hAnsi="仿宋" w:eastAsia="仿宋"/>
          <w:sz w:val="32"/>
          <w:szCs w:val="32"/>
          <w:highlight w:val="yellow"/>
        </w:rPr>
        <w:drawing>
          <wp:anchor distT="0" distB="0" distL="114300" distR="114300" simplePos="0" relativeHeight="251659264" behindDoc="0" locked="0" layoutInCell="1" allowOverlap="1">
            <wp:simplePos x="0" y="0"/>
            <wp:positionH relativeFrom="column">
              <wp:posOffset>227965</wp:posOffset>
            </wp:positionH>
            <wp:positionV relativeFrom="paragraph">
              <wp:posOffset>39370</wp:posOffset>
            </wp:positionV>
            <wp:extent cx="4794885" cy="3595370"/>
            <wp:effectExtent l="0" t="0" r="24765" b="24130"/>
            <wp:wrapNone/>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firstLineChars="200"/>
        <w:rPr>
          <w:rFonts w:ascii="仿宋" w:hAnsi="仿宋" w:eastAsia="仿宋"/>
          <w:sz w:val="32"/>
          <w:szCs w:val="32"/>
          <w:highlight w:val="yellow"/>
        </w:rPr>
      </w:pPr>
    </w:p>
    <w:p>
      <w:pPr>
        <w:spacing w:line="600" w:lineRule="exact"/>
        <w:ind w:firstLine="640" w:firstLineChars="200"/>
        <w:rPr>
          <w:rFonts w:ascii="仿宋" w:hAnsi="仿宋" w:eastAsia="仿宋"/>
          <w:sz w:val="32"/>
          <w:szCs w:val="32"/>
          <w:highlight w:val="yellow"/>
        </w:rPr>
      </w:pPr>
    </w:p>
    <w:p>
      <w:pPr>
        <w:spacing w:line="600" w:lineRule="exact"/>
        <w:ind w:firstLine="640" w:firstLineChars="200"/>
        <w:rPr>
          <w:rFonts w:ascii="仿宋" w:hAnsi="仿宋" w:eastAsia="仿宋"/>
          <w:sz w:val="32"/>
          <w:szCs w:val="32"/>
          <w:highlight w:val="yellow"/>
        </w:rPr>
      </w:pPr>
    </w:p>
    <w:p>
      <w:pPr>
        <w:spacing w:line="600" w:lineRule="exact"/>
        <w:ind w:firstLine="640" w:firstLineChars="200"/>
        <w:rPr>
          <w:rFonts w:ascii="仿宋" w:hAnsi="仿宋" w:eastAsia="仿宋"/>
          <w:sz w:val="32"/>
          <w:szCs w:val="32"/>
          <w:highlight w:val="yellow"/>
        </w:rPr>
      </w:pPr>
    </w:p>
    <w:p>
      <w:pPr>
        <w:spacing w:line="600" w:lineRule="exact"/>
        <w:ind w:firstLine="640" w:firstLineChars="200"/>
        <w:rPr>
          <w:rFonts w:hint="eastAsia" w:ascii="仿宋" w:hAnsi="仿宋" w:eastAsia="仿宋"/>
          <w:sz w:val="32"/>
          <w:szCs w:val="32"/>
          <w:highlight w:val="yellow"/>
        </w:rPr>
      </w:pPr>
    </w:p>
    <w:p>
      <w:pPr>
        <w:pStyle w:val="2"/>
        <w:numPr>
          <w:ilvl w:val="0"/>
          <w:numId w:val="0"/>
        </w:numPr>
        <w:ind w:left="360" w:hanging="360"/>
        <w:rPr>
          <w:rFonts w:hint="eastAsia"/>
          <w:highlight w:val="yellow"/>
        </w:rPr>
      </w:pPr>
    </w:p>
    <w:p>
      <w:pPr>
        <w:pStyle w:val="2"/>
        <w:numPr>
          <w:ilvl w:val="0"/>
          <w:numId w:val="0"/>
        </w:numPr>
        <w:ind w:left="360" w:hanging="360"/>
        <w:rPr>
          <w:rFonts w:hint="eastAsia"/>
          <w:highlight w:val="yellow"/>
        </w:rPr>
      </w:pPr>
    </w:p>
    <w:p>
      <w:pPr>
        <w:pStyle w:val="2"/>
        <w:numPr>
          <w:ilvl w:val="0"/>
          <w:numId w:val="0"/>
        </w:numPr>
        <w:ind w:left="360" w:hanging="360"/>
        <w:rPr>
          <w:rFonts w:hint="eastAsia"/>
          <w:highlight w:val="yellow"/>
        </w:rPr>
      </w:pPr>
    </w:p>
    <w:p>
      <w:pPr>
        <w:pStyle w:val="2"/>
        <w:numPr>
          <w:ilvl w:val="0"/>
          <w:numId w:val="0"/>
        </w:numPr>
        <w:ind w:left="360" w:hanging="360"/>
        <w:rPr>
          <w:rFonts w:hint="eastAsia"/>
          <w:highlight w:val="yellow"/>
        </w:rPr>
      </w:pPr>
    </w:p>
    <w:p>
      <w:pPr>
        <w:pStyle w:val="2"/>
        <w:numPr>
          <w:ilvl w:val="0"/>
          <w:numId w:val="0"/>
        </w:numPr>
        <w:ind w:left="360" w:hanging="360"/>
        <w:rPr>
          <w:rFonts w:hint="eastAsia"/>
          <w:highlight w:val="yellow"/>
        </w:rPr>
      </w:pPr>
    </w:p>
    <w:p>
      <w:pPr>
        <w:pStyle w:val="2"/>
        <w:numPr>
          <w:ilvl w:val="0"/>
          <w:numId w:val="0"/>
        </w:numPr>
        <w:ind w:left="360" w:hanging="360"/>
        <w:rPr>
          <w:highlight w:val="yellow"/>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w:t>
      </w:r>
    </w:p>
    <w:p>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pPr>
        <w:spacing w:line="600" w:lineRule="exact"/>
        <w:ind w:firstLine="643" w:firstLineChars="200"/>
        <w:outlineLvl w:val="2"/>
        <w:rPr>
          <w:rFonts w:ascii="仿宋" w:hAnsi="仿宋" w:eastAsia="仿宋"/>
          <w:sz w:val="32"/>
          <w:szCs w:val="32"/>
        </w:rPr>
      </w:pPr>
      <w:bookmarkStart w:id="31" w:name="_Toc15377213"/>
      <w:bookmarkStart w:id="32" w:name="_Toc15377444"/>
      <w:bookmarkStart w:id="33" w:name="_Toc15378460"/>
      <w:r>
        <w:rPr>
          <w:rFonts w:hint="eastAsia" w:ascii="仿宋" w:hAnsi="仿宋" w:eastAsia="仿宋"/>
          <w:b/>
          <w:sz w:val="32"/>
          <w:szCs w:val="32"/>
        </w:rPr>
        <w:t>2022年一般公共预算支出决算数为43.42</w:t>
      </w:r>
      <w:r>
        <w:rPr>
          <w:rFonts w:hint="eastAsia" w:ascii="仿宋" w:hAnsi="仿宋" w:eastAsia="仿宋"/>
          <w:sz w:val="32"/>
          <w:szCs w:val="32"/>
        </w:rPr>
        <w:t>，</w:t>
      </w:r>
      <w:r>
        <w:rPr>
          <w:rStyle w:val="20"/>
          <w:rFonts w:hint="eastAsia" w:ascii="仿宋" w:hAnsi="仿宋" w:eastAsia="仿宋"/>
          <w:bCs/>
          <w:sz w:val="32"/>
          <w:szCs w:val="32"/>
        </w:rPr>
        <w:t>完成预算100</w:t>
      </w:r>
      <w:r>
        <w:rPr>
          <w:rStyle w:val="20"/>
          <w:rFonts w:ascii="仿宋" w:hAnsi="仿宋" w:eastAsia="仿宋"/>
          <w:bCs/>
          <w:sz w:val="32"/>
          <w:szCs w:val="32"/>
        </w:rPr>
        <w:t>%</w:t>
      </w:r>
      <w:r>
        <w:rPr>
          <w:rStyle w:val="20"/>
          <w:rFonts w:hint="eastAsia" w:ascii="仿宋" w:hAnsi="仿宋" w:eastAsia="仿宋"/>
          <w:bCs/>
          <w:sz w:val="32"/>
          <w:szCs w:val="32"/>
        </w:rPr>
        <w:t>。其中：</w:t>
      </w:r>
      <w:bookmarkEnd w:id="31"/>
      <w:bookmarkEnd w:id="32"/>
      <w:bookmarkEnd w:id="33"/>
    </w:p>
    <w:p>
      <w:pPr>
        <w:spacing w:line="600" w:lineRule="exact"/>
        <w:ind w:firstLine="643" w:firstLineChars="200"/>
        <w:rPr>
          <w:rFonts w:ascii="仿宋" w:hAnsi="仿宋" w:eastAsia="仿宋"/>
          <w:b/>
          <w:sz w:val="32"/>
          <w:szCs w:val="32"/>
        </w:rPr>
      </w:pPr>
      <w:r>
        <w:rPr>
          <w:rStyle w:val="20"/>
          <w:rFonts w:ascii="仿宋" w:hAnsi="仿宋" w:eastAsia="仿宋"/>
          <w:bCs/>
          <w:sz w:val="32"/>
          <w:szCs w:val="32"/>
        </w:rPr>
        <w:t>1.</w:t>
      </w:r>
      <w:r>
        <w:rPr>
          <w:rStyle w:val="20"/>
          <w:rFonts w:hint="eastAsia" w:ascii="仿宋" w:hAnsi="仿宋" w:eastAsia="仿宋"/>
          <w:bCs/>
          <w:sz w:val="32"/>
          <w:szCs w:val="32"/>
        </w:rPr>
        <w:t>一般公共服务（类）群众团体事务（款）事业运行（项）</w:t>
      </w:r>
      <w:r>
        <w:rPr>
          <w:rStyle w:val="20"/>
          <w:rFonts w:ascii="仿宋" w:hAnsi="仿宋" w:eastAsia="仿宋"/>
          <w:bCs/>
          <w:sz w:val="32"/>
          <w:szCs w:val="32"/>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支出决算为21.07万元，完成预算100</w:t>
      </w:r>
      <w:r>
        <w:rPr>
          <w:rStyle w:val="20"/>
          <w:rFonts w:ascii="仿宋" w:hAnsi="仿宋" w:eastAsia="仿宋"/>
          <w:b w:val="0"/>
          <w:bCs/>
          <w:sz w:val="32"/>
          <w:szCs w:val="32"/>
        </w:rPr>
        <w:t>%</w:t>
      </w:r>
      <w:r>
        <w:rPr>
          <w:rStyle w:val="20"/>
          <w:rFonts w:hint="eastAsia" w:ascii="仿宋" w:hAnsi="仿宋" w:eastAsia="仿宋"/>
          <w:b w:val="0"/>
          <w:bCs/>
          <w:sz w:val="32"/>
          <w:szCs w:val="32"/>
        </w:rPr>
        <w:t>，决算数等于预算；</w:t>
      </w:r>
      <w:r>
        <w:rPr>
          <w:rStyle w:val="20"/>
          <w:rFonts w:hint="eastAsia" w:ascii="仿宋" w:hAnsi="仿宋" w:eastAsia="仿宋"/>
          <w:bCs/>
          <w:sz w:val="32"/>
          <w:szCs w:val="32"/>
        </w:rPr>
        <w:t>一般公共服务（类）群众团体事务（款）其他群众团体事务支出（项），</w:t>
      </w:r>
      <w:r>
        <w:rPr>
          <w:rStyle w:val="20"/>
          <w:rFonts w:hint="eastAsia" w:ascii="仿宋" w:hAnsi="仿宋" w:eastAsia="仿宋"/>
          <w:b w:val="0"/>
          <w:bCs/>
          <w:sz w:val="32"/>
          <w:szCs w:val="32"/>
        </w:rPr>
        <w:t>支出决算为18.96万元，完成预算100</w:t>
      </w:r>
      <w:r>
        <w:rPr>
          <w:rStyle w:val="20"/>
          <w:rFonts w:ascii="仿宋" w:hAnsi="仿宋" w:eastAsia="仿宋"/>
          <w:b w:val="0"/>
          <w:bCs/>
          <w:sz w:val="32"/>
          <w:szCs w:val="32"/>
        </w:rPr>
        <w:t>%</w:t>
      </w:r>
      <w:r>
        <w:rPr>
          <w:rStyle w:val="20"/>
          <w:rFonts w:hint="eastAsia" w:ascii="仿宋" w:hAnsi="仿宋" w:eastAsia="仿宋"/>
          <w:b w:val="0"/>
          <w:bCs/>
          <w:sz w:val="32"/>
          <w:szCs w:val="32"/>
        </w:rPr>
        <w:t>，决算数等于预算。</w:t>
      </w:r>
    </w:p>
    <w:p>
      <w:pPr>
        <w:spacing w:line="600" w:lineRule="exact"/>
        <w:ind w:firstLine="643" w:firstLineChars="200"/>
        <w:rPr>
          <w:rFonts w:ascii="仿宋" w:hAnsi="仿宋" w:eastAsia="仿宋"/>
          <w:b/>
          <w:sz w:val="32"/>
          <w:szCs w:val="32"/>
        </w:rPr>
      </w:pPr>
      <w:r>
        <w:rPr>
          <w:rStyle w:val="20"/>
          <w:rFonts w:hint="eastAsia" w:ascii="仿宋" w:hAnsi="仿宋" w:eastAsia="仿宋"/>
          <w:bCs/>
          <w:sz w:val="32"/>
          <w:szCs w:val="32"/>
        </w:rPr>
        <w:t>2</w:t>
      </w:r>
      <w:r>
        <w:rPr>
          <w:rStyle w:val="20"/>
          <w:rFonts w:ascii="仿宋" w:hAnsi="仿宋" w:eastAsia="仿宋"/>
          <w:bCs/>
          <w:sz w:val="32"/>
          <w:szCs w:val="32"/>
        </w:rPr>
        <w:t>.</w:t>
      </w:r>
      <w:r>
        <w:rPr>
          <w:rStyle w:val="20"/>
          <w:rFonts w:hint="eastAsia" w:ascii="仿宋" w:hAnsi="仿宋" w:eastAsia="仿宋"/>
          <w:bCs/>
          <w:sz w:val="32"/>
          <w:szCs w:val="32"/>
        </w:rPr>
        <w:t>社会保障和就业（类）行政事业单位养老支出（款）机关事业单位基本养老保险缴费支出（项）</w:t>
      </w:r>
      <w:r>
        <w:rPr>
          <w:rStyle w:val="20"/>
          <w:rFonts w:ascii="仿宋" w:hAnsi="仿宋" w:eastAsia="仿宋"/>
          <w:bCs/>
          <w:sz w:val="32"/>
          <w:szCs w:val="32"/>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支出决算为1.43万元，完成预算100</w:t>
      </w:r>
      <w:r>
        <w:rPr>
          <w:rStyle w:val="20"/>
          <w:rFonts w:ascii="仿宋" w:hAnsi="仿宋" w:eastAsia="仿宋"/>
          <w:b w:val="0"/>
          <w:bCs/>
          <w:sz w:val="32"/>
          <w:szCs w:val="32"/>
        </w:rPr>
        <w:t>%</w:t>
      </w:r>
      <w:r>
        <w:rPr>
          <w:rStyle w:val="20"/>
          <w:rFonts w:hint="eastAsia" w:ascii="仿宋" w:hAnsi="仿宋" w:eastAsia="仿宋"/>
          <w:b w:val="0"/>
          <w:bCs/>
          <w:sz w:val="32"/>
          <w:szCs w:val="32"/>
        </w:rPr>
        <w:t>，决算数等于预算。</w:t>
      </w:r>
    </w:p>
    <w:p>
      <w:pPr>
        <w:spacing w:line="600" w:lineRule="exact"/>
        <w:ind w:firstLine="643" w:firstLineChars="200"/>
        <w:rPr>
          <w:rFonts w:ascii="仿宋" w:hAnsi="仿宋" w:eastAsia="仿宋"/>
          <w:b/>
          <w:sz w:val="32"/>
          <w:szCs w:val="32"/>
        </w:rPr>
      </w:pPr>
      <w:r>
        <w:rPr>
          <w:rStyle w:val="20"/>
          <w:rFonts w:hint="eastAsia" w:ascii="仿宋" w:hAnsi="仿宋" w:eastAsia="仿宋"/>
          <w:bCs/>
          <w:sz w:val="32"/>
          <w:szCs w:val="32"/>
        </w:rPr>
        <w:t>3</w:t>
      </w:r>
      <w:r>
        <w:rPr>
          <w:rStyle w:val="20"/>
          <w:rFonts w:ascii="仿宋" w:hAnsi="仿宋" w:eastAsia="仿宋"/>
          <w:bCs/>
          <w:sz w:val="32"/>
          <w:szCs w:val="32"/>
        </w:rPr>
        <w:t>.</w:t>
      </w:r>
      <w:r>
        <w:rPr>
          <w:rFonts w:hint="eastAsia" w:ascii="仿宋" w:hAnsi="仿宋" w:eastAsia="仿宋"/>
          <w:b/>
          <w:bCs/>
          <w:sz w:val="32"/>
          <w:szCs w:val="32"/>
        </w:rPr>
        <w:t>卫生健康</w:t>
      </w:r>
      <w:r>
        <w:rPr>
          <w:rStyle w:val="20"/>
          <w:rFonts w:hint="eastAsia" w:ascii="仿宋" w:hAnsi="仿宋" w:eastAsia="仿宋"/>
          <w:bCs/>
          <w:sz w:val="32"/>
          <w:szCs w:val="32"/>
        </w:rPr>
        <w:t>（类）行政事业单位医疗（款）事业单位医疗（项）</w:t>
      </w:r>
      <w:r>
        <w:rPr>
          <w:rStyle w:val="20"/>
          <w:rFonts w:ascii="仿宋" w:hAnsi="仿宋" w:eastAsia="仿宋"/>
          <w:bCs/>
          <w:sz w:val="32"/>
          <w:szCs w:val="32"/>
        </w:rPr>
        <w:t>:</w:t>
      </w:r>
      <w:r>
        <w:rPr>
          <w:rStyle w:val="20"/>
          <w:rFonts w:hint="eastAsia" w:ascii="仿宋" w:hAnsi="仿宋" w:eastAsia="仿宋"/>
          <w:b w:val="0"/>
          <w:bCs/>
          <w:sz w:val="32"/>
          <w:szCs w:val="32"/>
        </w:rPr>
        <w:t>支出决算为0.70万元，完成预算100</w:t>
      </w:r>
      <w:r>
        <w:rPr>
          <w:rStyle w:val="20"/>
          <w:rFonts w:ascii="仿宋" w:hAnsi="仿宋" w:eastAsia="仿宋"/>
          <w:b w:val="0"/>
          <w:bCs/>
          <w:sz w:val="32"/>
          <w:szCs w:val="32"/>
        </w:rPr>
        <w:t>%</w:t>
      </w:r>
      <w:r>
        <w:rPr>
          <w:rStyle w:val="20"/>
          <w:rFonts w:hint="eastAsia" w:ascii="仿宋" w:hAnsi="仿宋" w:eastAsia="仿宋"/>
          <w:b w:val="0"/>
          <w:bCs/>
          <w:sz w:val="32"/>
          <w:szCs w:val="32"/>
        </w:rPr>
        <w:t>；</w:t>
      </w:r>
      <w:r>
        <w:rPr>
          <w:rFonts w:hint="eastAsia" w:ascii="仿宋" w:hAnsi="仿宋" w:eastAsia="仿宋"/>
          <w:b/>
          <w:bCs/>
          <w:sz w:val="32"/>
          <w:szCs w:val="32"/>
        </w:rPr>
        <w:t>卫生健康</w:t>
      </w:r>
      <w:r>
        <w:rPr>
          <w:rStyle w:val="20"/>
          <w:rFonts w:hint="eastAsia" w:ascii="仿宋" w:hAnsi="仿宋" w:eastAsia="仿宋"/>
          <w:bCs/>
          <w:sz w:val="32"/>
          <w:szCs w:val="32"/>
        </w:rPr>
        <w:t>（类）行政事业单位医疗（款）公务员医疗保险（项）</w:t>
      </w:r>
      <w:r>
        <w:rPr>
          <w:rStyle w:val="20"/>
          <w:rFonts w:ascii="仿宋" w:hAnsi="仿宋" w:eastAsia="仿宋"/>
          <w:bCs/>
          <w:sz w:val="32"/>
          <w:szCs w:val="32"/>
        </w:rPr>
        <w:t>:</w:t>
      </w:r>
      <w:r>
        <w:rPr>
          <w:rStyle w:val="20"/>
          <w:rFonts w:hint="eastAsia" w:ascii="仿宋" w:hAnsi="仿宋" w:eastAsia="仿宋"/>
          <w:b w:val="0"/>
          <w:bCs/>
          <w:sz w:val="32"/>
          <w:szCs w:val="32"/>
        </w:rPr>
        <w:t>支出决算为0.18万元，完成预算100</w:t>
      </w:r>
      <w:r>
        <w:rPr>
          <w:rStyle w:val="20"/>
          <w:rFonts w:ascii="仿宋" w:hAnsi="仿宋" w:eastAsia="仿宋"/>
          <w:b w:val="0"/>
          <w:bCs/>
          <w:sz w:val="32"/>
          <w:szCs w:val="32"/>
        </w:rPr>
        <w:t>%</w:t>
      </w:r>
      <w:r>
        <w:rPr>
          <w:rStyle w:val="20"/>
          <w:rFonts w:hint="eastAsia" w:ascii="仿宋" w:hAnsi="仿宋" w:eastAsia="仿宋"/>
          <w:b w:val="0"/>
          <w:bCs/>
          <w:sz w:val="32"/>
          <w:szCs w:val="32"/>
        </w:rPr>
        <w:t>，决算数等于预算。</w:t>
      </w:r>
    </w:p>
    <w:p>
      <w:pPr>
        <w:spacing w:line="600" w:lineRule="exact"/>
        <w:ind w:firstLine="643" w:firstLineChars="200"/>
        <w:rPr>
          <w:rFonts w:ascii="仿宋" w:hAnsi="仿宋" w:eastAsia="仿宋"/>
          <w:sz w:val="32"/>
          <w:szCs w:val="32"/>
        </w:rPr>
      </w:pPr>
      <w:r>
        <w:rPr>
          <w:rStyle w:val="20"/>
          <w:rFonts w:hint="eastAsia" w:ascii="仿宋" w:hAnsi="仿宋" w:eastAsia="仿宋"/>
          <w:bCs/>
          <w:sz w:val="32"/>
          <w:szCs w:val="32"/>
        </w:rPr>
        <w:t>4</w:t>
      </w:r>
      <w:r>
        <w:rPr>
          <w:rStyle w:val="20"/>
          <w:rFonts w:ascii="仿宋" w:hAnsi="仿宋" w:eastAsia="仿宋"/>
          <w:bCs/>
          <w:sz w:val="32"/>
          <w:szCs w:val="32"/>
        </w:rPr>
        <w:t>.</w:t>
      </w:r>
      <w:r>
        <w:rPr>
          <w:rStyle w:val="20"/>
          <w:rFonts w:hint="eastAsia" w:ascii="仿宋" w:hAnsi="仿宋" w:eastAsia="仿宋"/>
          <w:bCs/>
          <w:sz w:val="32"/>
          <w:szCs w:val="32"/>
        </w:rPr>
        <w:t>住房保障支出（类）住房改革支出（款）住房公积金（项）</w:t>
      </w:r>
      <w:r>
        <w:rPr>
          <w:rStyle w:val="20"/>
          <w:rFonts w:ascii="仿宋" w:hAnsi="仿宋" w:eastAsia="仿宋"/>
          <w:bCs/>
          <w:sz w:val="32"/>
          <w:szCs w:val="32"/>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支出决算为1.07万元，完成预算100</w:t>
      </w:r>
      <w:r>
        <w:rPr>
          <w:rStyle w:val="20"/>
          <w:rFonts w:ascii="仿宋" w:hAnsi="仿宋" w:eastAsia="仿宋"/>
          <w:b w:val="0"/>
          <w:bCs/>
          <w:sz w:val="32"/>
          <w:szCs w:val="32"/>
        </w:rPr>
        <w:t>%</w:t>
      </w:r>
      <w:r>
        <w:rPr>
          <w:rStyle w:val="20"/>
          <w:rFonts w:hint="eastAsia" w:ascii="仿宋" w:hAnsi="仿宋" w:eastAsia="仿宋"/>
          <w:b w:val="0"/>
          <w:bCs/>
          <w:sz w:val="32"/>
          <w:szCs w:val="32"/>
        </w:rPr>
        <w:t>，决算数等于预算。</w:t>
      </w:r>
    </w:p>
    <w:p>
      <w:pPr>
        <w:tabs>
          <w:tab w:val="right" w:pos="8306"/>
        </w:tabs>
        <w:spacing w:line="600" w:lineRule="exact"/>
        <w:ind w:firstLine="640"/>
        <w:outlineLvl w:val="1"/>
        <w:rPr>
          <w:rStyle w:val="32"/>
        </w:rPr>
      </w:pPr>
      <w:bookmarkStart w:id="34" w:name="_Toc15377214"/>
      <w:bookmarkStart w:id="35"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2"/>
          <w:rFonts w:hint="eastAsia" w:ascii="黑体" w:hAnsi="黑体" w:eastAsia="黑体"/>
          <w:b w:val="0"/>
        </w:rPr>
        <w:t>般公共预算财政拨款基本支出决算情况说明</w:t>
      </w:r>
      <w:bookmarkEnd w:id="34"/>
      <w:bookmarkEnd w:id="35"/>
      <w:r>
        <w:rPr>
          <w:rStyle w:val="32"/>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22年一般公共预算财政拨款基本支出39.42万元，其中：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21.69万元，主要包括：基本工资、津贴补贴、奖金、伙食补助费、绩效工资、机关事业单位基本养老保险缴费、职业年金缴费、其他社会保障缴费、其他工资福利支出、医疗费补助、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公用经费17.73万元，主要包括：办公费、印刷费、邮电费、差旅费、维修（护）费、租赁费、公务接待费、劳务费、工会经费、福利费、其他交通费、其他商品和服务支出等。</w:t>
      </w:r>
    </w:p>
    <w:p>
      <w:pPr>
        <w:spacing w:line="600" w:lineRule="exact"/>
        <w:ind w:firstLine="640"/>
        <w:outlineLvl w:val="1"/>
        <w:rPr>
          <w:rStyle w:val="32"/>
          <w:rFonts w:ascii="黑体" w:hAnsi="黑体" w:eastAsia="黑体"/>
          <w:b w:val="0"/>
        </w:rPr>
      </w:pPr>
      <w:bookmarkStart w:id="36" w:name="_Toc15396609"/>
      <w:bookmarkStart w:id="37" w:name="_Toc15377215"/>
      <w:r>
        <w:rPr>
          <w:rFonts w:hint="eastAsia" w:ascii="黑体" w:eastAsia="黑体"/>
          <w:sz w:val="32"/>
          <w:szCs w:val="32"/>
        </w:rPr>
        <w:t>七、</w:t>
      </w:r>
      <w:r>
        <w:rPr>
          <w:rStyle w:val="32"/>
          <w:rFonts w:hint="eastAsia" w:ascii="黑体" w:hAnsi="黑体" w:eastAsia="黑体"/>
          <w:b w:val="0"/>
        </w:rPr>
        <w:t>财政拨款</w:t>
      </w:r>
      <w:r>
        <w:rPr>
          <w:rStyle w:val="32"/>
          <w:rFonts w:hint="eastAsia" w:ascii="黑体" w:hAnsi="黑体" w:eastAsia="黑体"/>
        </w:rPr>
        <w:t>“</w:t>
      </w:r>
      <w:r>
        <w:rPr>
          <w:rStyle w:val="32"/>
          <w:rFonts w:hint="eastAsia" w:ascii="黑体" w:hAnsi="黑体" w:eastAsia="黑体"/>
          <w:b w:val="0"/>
        </w:rPr>
        <w:t>三公”经费支出决算情况说明</w:t>
      </w:r>
      <w:bookmarkEnd w:id="36"/>
      <w:bookmarkEnd w:id="37"/>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22年“三公”经费财政拨款支出决算为0.11万元，完成预算100</w:t>
      </w:r>
      <w:r>
        <w:rPr>
          <w:rFonts w:ascii="仿宋" w:hAnsi="仿宋" w:eastAsia="仿宋"/>
          <w:sz w:val="32"/>
          <w:szCs w:val="32"/>
        </w:rPr>
        <w:t>%</w:t>
      </w:r>
      <w:r>
        <w:rPr>
          <w:rFonts w:hint="eastAsia" w:ascii="仿宋" w:hAnsi="仿宋" w:eastAsia="仿宋"/>
          <w:sz w:val="32"/>
          <w:szCs w:val="32"/>
        </w:rPr>
        <w:t>，较上年增加0.11万元，增长100%，</w:t>
      </w:r>
      <w:r>
        <w:rPr>
          <w:rFonts w:hint="eastAsia" w:ascii="仿宋" w:hAnsi="仿宋" w:eastAsia="仿宋"/>
          <w:sz w:val="32"/>
          <w:szCs w:val="32"/>
          <w:highlight w:val="yellow"/>
        </w:rPr>
        <w:drawing>
          <wp:anchor distT="0" distB="0" distL="114300" distR="114300" simplePos="0" relativeHeight="251667456" behindDoc="0" locked="0" layoutInCell="1" allowOverlap="1">
            <wp:simplePos x="0" y="0"/>
            <wp:positionH relativeFrom="column">
              <wp:posOffset>414020</wp:posOffset>
            </wp:positionH>
            <wp:positionV relativeFrom="paragraph">
              <wp:posOffset>3685540</wp:posOffset>
            </wp:positionV>
            <wp:extent cx="4794885" cy="3595370"/>
            <wp:effectExtent l="0" t="0" r="24765" b="24130"/>
            <wp:wrapNone/>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 w:hAnsi="仿宋" w:eastAsia="仿宋"/>
          <w:sz w:val="32"/>
          <w:szCs w:val="32"/>
          <w:highlight w:val="yellow"/>
        </w:rPr>
        <w:drawing>
          <wp:anchor distT="0" distB="0" distL="114300" distR="114300" simplePos="0" relativeHeight="251666432" behindDoc="0" locked="0" layoutInCell="1" allowOverlap="1">
            <wp:simplePos x="0" y="0"/>
            <wp:positionH relativeFrom="column">
              <wp:posOffset>261620</wp:posOffset>
            </wp:positionH>
            <wp:positionV relativeFrom="paragraph">
              <wp:posOffset>3533140</wp:posOffset>
            </wp:positionV>
            <wp:extent cx="4794885" cy="3595370"/>
            <wp:effectExtent l="0" t="0" r="24765" b="24130"/>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ascii="仿宋" w:hAnsi="仿宋" w:eastAsia="仿宋"/>
          <w:sz w:val="32"/>
          <w:szCs w:val="32"/>
        </w:rPr>
        <w:t>本单位属于2022年5月新成立单位，与预算数持平。</w:t>
      </w:r>
    </w:p>
    <w:p>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；公务接待费支出决算0.11万元，占100</w:t>
      </w:r>
      <w:r>
        <w:rPr>
          <w:rFonts w:ascii="仿宋" w:hAnsi="仿宋" w:eastAsia="仿宋"/>
          <w:sz w:val="32"/>
          <w:szCs w:val="32"/>
        </w:rPr>
        <w:t>%</w:t>
      </w:r>
      <w:r>
        <w:rPr>
          <w:rFonts w:hint="eastAsia" w:ascii="仿宋" w:hAnsi="仿宋" w:eastAsia="仿宋"/>
          <w:sz w:val="32"/>
          <w:szCs w:val="32"/>
        </w:rPr>
        <w:t>。具体情况如下：</w:t>
      </w:r>
    </w:p>
    <w:p>
      <w:pPr>
        <w:pStyle w:val="2"/>
        <w:numPr>
          <w:ilvl w:val="0"/>
          <w:numId w:val="0"/>
        </w:numPr>
        <w:rPr>
          <w:rFonts w:ascii="仿宋" w:hAnsi="仿宋" w:eastAsia="仿宋"/>
          <w:sz w:val="32"/>
          <w:szCs w:val="32"/>
        </w:rPr>
      </w:pPr>
      <w:r>
        <w:rPr>
          <w:rFonts w:hint="eastAsia" w:ascii="仿宋" w:hAnsi="仿宋" w:eastAsia="仿宋"/>
          <w:sz w:val="32"/>
          <w:szCs w:val="32"/>
        </w:rPr>
        <w:drawing>
          <wp:anchor distT="0" distB="0" distL="114300" distR="114300" simplePos="0" relativeHeight="251665408" behindDoc="0" locked="0" layoutInCell="1" allowOverlap="1">
            <wp:simplePos x="0" y="0"/>
            <wp:positionH relativeFrom="column">
              <wp:posOffset>99695</wp:posOffset>
            </wp:positionH>
            <wp:positionV relativeFrom="paragraph">
              <wp:posOffset>198120</wp:posOffset>
            </wp:positionV>
            <wp:extent cx="4651375" cy="2690495"/>
            <wp:effectExtent l="4445" t="4445" r="11430" b="10160"/>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pStyle w:val="2"/>
        <w:numPr>
          <w:ilvl w:val="0"/>
          <w:numId w:val="0"/>
        </w:numPr>
        <w:rPr>
          <w:rFonts w:ascii="仿宋" w:hAnsi="仿宋" w:eastAsia="仿宋"/>
          <w:sz w:val="32"/>
          <w:szCs w:val="32"/>
        </w:rPr>
      </w:pPr>
    </w:p>
    <w:p>
      <w:pPr>
        <w:pStyle w:val="2"/>
        <w:numPr>
          <w:ilvl w:val="0"/>
          <w:numId w:val="0"/>
        </w:numPr>
        <w:rPr>
          <w:rFonts w:ascii="仿宋" w:hAnsi="仿宋" w:eastAsia="仿宋"/>
          <w:sz w:val="32"/>
          <w:szCs w:val="32"/>
        </w:rPr>
      </w:pPr>
    </w:p>
    <w:p>
      <w:pPr>
        <w:pStyle w:val="2"/>
        <w:numPr>
          <w:ilvl w:val="0"/>
          <w:numId w:val="0"/>
        </w:numPr>
        <w:rPr>
          <w:rFonts w:ascii="仿宋" w:hAnsi="仿宋" w:eastAsia="仿宋"/>
          <w:sz w:val="32"/>
          <w:szCs w:val="32"/>
        </w:rPr>
      </w:pPr>
    </w:p>
    <w:p>
      <w:pPr>
        <w:pStyle w:val="2"/>
        <w:numPr>
          <w:ilvl w:val="0"/>
          <w:numId w:val="0"/>
        </w:numPr>
        <w:rPr>
          <w:rFonts w:ascii="仿宋" w:hAnsi="仿宋" w:eastAsia="仿宋"/>
          <w:sz w:val="32"/>
          <w:szCs w:val="32"/>
        </w:rPr>
      </w:pPr>
    </w:p>
    <w:p>
      <w:pPr>
        <w:pStyle w:val="2"/>
        <w:numPr>
          <w:ilvl w:val="0"/>
          <w:numId w:val="0"/>
        </w:numPr>
        <w:rPr>
          <w:rFonts w:ascii="仿宋" w:hAnsi="仿宋" w:eastAsia="仿宋"/>
          <w:sz w:val="32"/>
          <w:szCs w:val="32"/>
        </w:rPr>
      </w:pPr>
    </w:p>
    <w:p>
      <w:pPr>
        <w:pStyle w:val="2"/>
        <w:numPr>
          <w:ilvl w:val="0"/>
          <w:numId w:val="0"/>
        </w:numPr>
        <w:rPr>
          <w:rFonts w:ascii="仿宋" w:hAnsi="仿宋" w:eastAsia="仿宋"/>
          <w:sz w:val="32"/>
          <w:szCs w:val="32"/>
        </w:rPr>
      </w:pPr>
    </w:p>
    <w:p>
      <w:pPr>
        <w:pStyle w:val="2"/>
        <w:numPr>
          <w:ilvl w:val="0"/>
          <w:numId w:val="0"/>
        </w:numPr>
        <w:rPr>
          <w:rFonts w:ascii="仿宋" w:hAnsi="仿宋" w:eastAsia="仿宋"/>
          <w:sz w:val="32"/>
          <w:szCs w:val="32"/>
        </w:rPr>
      </w:pPr>
    </w:p>
    <w:p>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w:t>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0万元。</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0.11万元，</w:t>
      </w:r>
      <w:r>
        <w:rPr>
          <w:rStyle w:val="20"/>
          <w:rFonts w:hint="eastAsia" w:ascii="仿宋" w:hAnsi="仿宋" w:eastAsia="仿宋"/>
          <w:b w:val="0"/>
          <w:bCs/>
          <w:sz w:val="32"/>
          <w:szCs w:val="32"/>
        </w:rPr>
        <w:t>完成预算100</w:t>
      </w:r>
      <w:r>
        <w:rPr>
          <w:rStyle w:val="20"/>
          <w:rFonts w:ascii="仿宋" w:hAnsi="仿宋" w:eastAsia="仿宋"/>
          <w:b w:val="0"/>
          <w:bCs/>
          <w:sz w:val="32"/>
          <w:szCs w:val="32"/>
        </w:rPr>
        <w:t>%</w:t>
      </w:r>
      <w:r>
        <w:rPr>
          <w:rStyle w:val="20"/>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21年增加0.11万元，增长100</w:t>
      </w:r>
      <w:r>
        <w:rPr>
          <w:rFonts w:ascii="仿宋_GB2312" w:eastAsia="仿宋_GB2312"/>
          <w:sz w:val="32"/>
          <w:szCs w:val="32"/>
        </w:rPr>
        <w:t>%</w:t>
      </w:r>
      <w:r>
        <w:rPr>
          <w:rFonts w:hint="eastAsia" w:ascii="仿宋_GB2312" w:eastAsia="仿宋_GB2312"/>
          <w:sz w:val="32"/>
          <w:szCs w:val="32"/>
        </w:rPr>
        <w:t>。</w:t>
      </w:r>
      <w:r>
        <w:rPr>
          <w:rFonts w:hint="eastAsia" w:ascii="仿宋" w:hAnsi="仿宋" w:eastAsia="仿宋"/>
          <w:sz w:val="32"/>
          <w:szCs w:val="32"/>
        </w:rPr>
        <w:t>本单位属于2022年新纳入预算管理单位。</w:t>
      </w:r>
      <w:r>
        <w:rPr>
          <w:rFonts w:hint="eastAsia" w:ascii="仿宋_GB2312" w:eastAsia="仿宋_GB2312"/>
          <w:sz w:val="32"/>
          <w:szCs w:val="32"/>
        </w:rPr>
        <w:t>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rPr>
        <w:t>0.11</w:t>
      </w:r>
      <w:r>
        <w:rPr>
          <w:rFonts w:hint="eastAsia" w:ascii="仿宋_GB2312" w:eastAsia="仿宋_GB2312"/>
          <w:sz w:val="32"/>
          <w:szCs w:val="32"/>
        </w:rPr>
        <w:t>万元，主要用于执行公务(执行公务、开展业务活动开支的交通费、住宿费、用餐费等)。国内公务接待1批次，9人次（不包括陪同人员），共计支出0.11万元，具体内容包括：乡村振兴活动0.11万元，共计12人次。</w:t>
      </w:r>
    </w:p>
    <w:p>
      <w:pPr>
        <w:spacing w:line="600" w:lineRule="exact"/>
        <w:ind w:firstLine="640"/>
        <w:outlineLvl w:val="1"/>
        <w:rPr>
          <w:rStyle w:val="32"/>
          <w:rFonts w:ascii="黑体" w:hAnsi="黑体" w:eastAsia="黑体"/>
        </w:rPr>
      </w:pPr>
      <w:bookmarkStart w:id="40" w:name="_Toc15396610"/>
      <w:bookmarkStart w:id="41" w:name="_Toc15377218"/>
      <w:r>
        <w:rPr>
          <w:rFonts w:hint="eastAsia" w:ascii="黑体" w:eastAsia="黑体"/>
          <w:sz w:val="32"/>
          <w:szCs w:val="32"/>
        </w:rPr>
        <w:t>八、</w:t>
      </w:r>
      <w:r>
        <w:rPr>
          <w:rStyle w:val="32"/>
          <w:rFonts w:hint="eastAsia" w:ascii="黑体" w:hAnsi="黑体" w:eastAsia="黑体"/>
          <w:b w:val="0"/>
        </w:rPr>
        <w:t>政府性基金预算支出决算情况说明</w:t>
      </w:r>
      <w:bookmarkEnd w:id="40"/>
      <w:bookmarkEnd w:id="41"/>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22年政府性基金预算财政拨款支出0万元。</w:t>
      </w:r>
    </w:p>
    <w:p>
      <w:pPr>
        <w:numPr>
          <w:ilvl w:val="0"/>
          <w:numId w:val="4"/>
        </w:numPr>
        <w:spacing w:line="600" w:lineRule="exact"/>
        <w:ind w:firstLine="640"/>
        <w:outlineLvl w:val="1"/>
        <w:rPr>
          <w:rStyle w:val="32"/>
          <w:rFonts w:ascii="黑体" w:hAnsi="黑体" w:eastAsia="黑体"/>
          <w:b w:val="0"/>
        </w:rPr>
      </w:pPr>
      <w:bookmarkStart w:id="42" w:name="_Toc15396611"/>
      <w:bookmarkStart w:id="43" w:name="_Toc15377219"/>
      <w:r>
        <w:rPr>
          <w:rStyle w:val="32"/>
          <w:rFonts w:hint="eastAsia" w:ascii="黑体" w:hAnsi="黑体" w:eastAsia="黑体"/>
          <w:b w:val="0"/>
        </w:rPr>
        <w:t>国有资本经营预算支出决算情况说明</w:t>
      </w:r>
      <w:bookmarkEnd w:id="42"/>
      <w:bookmarkEnd w:id="43"/>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22年国有资本经营预算财政拨款支出0万元。</w:t>
      </w:r>
    </w:p>
    <w:p>
      <w:pPr>
        <w:numPr>
          <w:ilvl w:val="0"/>
          <w:numId w:val="4"/>
        </w:numPr>
        <w:spacing w:line="600" w:lineRule="exact"/>
        <w:ind w:firstLine="640"/>
        <w:outlineLvl w:val="1"/>
        <w:rPr>
          <w:rStyle w:val="32"/>
          <w:rFonts w:ascii="黑体" w:hAnsi="黑体" w:eastAsia="黑体"/>
          <w:b w:val="0"/>
        </w:rPr>
      </w:pPr>
      <w:bookmarkStart w:id="44" w:name="_Toc15377221"/>
      <w:bookmarkStart w:id="45" w:name="_Toc15396612"/>
      <w:r>
        <w:rPr>
          <w:rStyle w:val="32"/>
          <w:rFonts w:hint="eastAsia" w:ascii="黑体" w:hAnsi="黑体" w:eastAsia="黑体"/>
          <w:b w:val="0"/>
        </w:rPr>
        <w:t>其他重要事项的情况说明</w:t>
      </w:r>
      <w:bookmarkEnd w:id="44"/>
      <w:bookmarkEnd w:id="45"/>
    </w:p>
    <w:p>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22年，本单位运行经费支出17.73万元，比</w:t>
      </w:r>
      <w:r>
        <w:rPr>
          <w:rFonts w:ascii="仿宋_GB2312" w:eastAsia="仿宋_GB2312"/>
          <w:sz w:val="32"/>
          <w:szCs w:val="32"/>
        </w:rPr>
        <w:t>20</w:t>
      </w:r>
      <w:r>
        <w:rPr>
          <w:rFonts w:hint="eastAsia" w:ascii="仿宋_GB2312" w:eastAsia="仿宋_GB2312"/>
          <w:sz w:val="32"/>
          <w:szCs w:val="32"/>
        </w:rPr>
        <w:t>21年增加17.73万元，增长100</w:t>
      </w:r>
      <w:r>
        <w:rPr>
          <w:rFonts w:ascii="仿宋_GB2312" w:eastAsia="仿宋_GB2312"/>
          <w:sz w:val="32"/>
          <w:szCs w:val="32"/>
        </w:rPr>
        <w:t>%</w:t>
      </w:r>
      <w:r>
        <w:rPr>
          <w:rFonts w:hint="eastAsia" w:ascii="仿宋_GB2312" w:eastAsia="仿宋_GB2312"/>
          <w:sz w:val="32"/>
          <w:szCs w:val="32"/>
        </w:rPr>
        <w:t>，</w:t>
      </w:r>
      <w:r>
        <w:rPr>
          <w:rFonts w:hint="eastAsia" w:ascii="仿宋" w:hAnsi="仿宋" w:eastAsia="仿宋"/>
          <w:sz w:val="32"/>
          <w:szCs w:val="32"/>
        </w:rPr>
        <w:t>本单位属于2022年新纳入预算管理单位。</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22年，本单位政府采购支出总额0万元，其中：政府采购货物支出0万元、政府采购工程支出0万元、政府采购服务支出0万元。授予中小企业合同金额0万元，占政府采购支出总额的0</w:t>
      </w:r>
      <w:r>
        <w:rPr>
          <w:rFonts w:ascii="仿宋_GB2312" w:eastAsia="仿宋_GB2312"/>
          <w:sz w:val="32"/>
          <w:szCs w:val="32"/>
        </w:rPr>
        <w:t>%</w:t>
      </w:r>
      <w:r>
        <w:rPr>
          <w:rFonts w:hint="eastAsia" w:ascii="仿宋_GB2312" w:eastAsia="仿宋_GB2312"/>
          <w:sz w:val="32"/>
          <w:szCs w:val="32"/>
        </w:rPr>
        <w:t>，其中：授予小微企业合同金额0万元，占政府采购支出总额的0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日，本单位共有车辆0辆。</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根据预算绩效管理要求，本部门在2022年度预算编制阶段，组织对1项目（项目名称）等1个项目开展了预算事前绩效评估，对1个项目编制了绩效目标，预算执行过程中，选取1个项目开展绩效监控。</w:t>
      </w:r>
    </w:p>
    <w:p>
      <w:pPr>
        <w:pStyle w:val="16"/>
        <w:widowControl/>
        <w:shd w:val="clear" w:color="auto"/>
        <w:spacing w:beforeAutospacing="0" w:afterAutospacing="0" w:line="594" w:lineRule="atLeas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rPr>
        <w:t>组织对2022年度第一次会员代表大会经费全面开展绩效自评，形成区红十字会部门整体（含部门预算项目）绩效自评报告，区红十字会部门整体（含部门预算项目）绩效自评得分为100分，从评价情况来看本部门预算报送及时合规、财政绩效评价工作按时保质推进，基本支出、项目决策、项目管理方面等方面更加规范有序，财政资金管理严格，程序合法，效果显著，节能降耗效果较明显，内控制度按要求进行了修订完善，较好地完成了各项目标任务。</w:t>
      </w:r>
      <w:r>
        <w:rPr>
          <w:rFonts w:hint="eastAsia" w:ascii="仿宋_GB2312" w:hAnsi="仿宋_GB2312" w:eastAsia="仿宋_GB2312" w:cs="仿宋_GB2312"/>
          <w:sz w:val="32"/>
          <w:szCs w:val="32"/>
        </w:rPr>
        <w:t>本部门无专项预算项目，因此未组织开展项目支出绩效评价。</w:t>
      </w:r>
    </w:p>
    <w:p>
      <w:pPr>
        <w:pStyle w:val="16"/>
        <w:widowControl/>
        <w:shd w:val="clear" w:color="auto"/>
        <w:spacing w:beforeAutospacing="0" w:afterAutospacing="0" w:line="594" w:lineRule="atLeast"/>
        <w:ind w:firstLine="640"/>
        <w:jc w:val="both"/>
        <w:rPr>
          <w:rFonts w:hint="eastAsia" w:ascii="仿宋_GB2312" w:hAnsi="仿宋_GB2312" w:eastAsia="仿宋_GB2312" w:cs="仿宋_GB2312"/>
          <w:sz w:val="32"/>
          <w:szCs w:val="32"/>
        </w:rPr>
      </w:pPr>
    </w:p>
    <w:p>
      <w:pPr>
        <w:pStyle w:val="16"/>
        <w:widowControl/>
        <w:shd w:val="clear" w:color="auto"/>
        <w:spacing w:beforeAutospacing="0" w:afterAutospacing="0" w:line="594" w:lineRule="atLeast"/>
        <w:ind w:firstLine="640"/>
        <w:jc w:val="both"/>
        <w:rPr>
          <w:rFonts w:hint="eastAsia" w:ascii="仿宋_GB2312" w:hAnsi="仿宋_GB2312" w:eastAsia="仿宋_GB2312" w:cs="仿宋_GB2312"/>
          <w:sz w:val="32"/>
          <w:szCs w:val="32"/>
        </w:rPr>
      </w:pPr>
    </w:p>
    <w:p>
      <w:pPr>
        <w:pStyle w:val="16"/>
        <w:widowControl/>
        <w:shd w:val="clear" w:color="auto"/>
        <w:spacing w:beforeAutospacing="0" w:afterAutospacing="0" w:line="594" w:lineRule="atLeast"/>
        <w:ind w:firstLine="640"/>
        <w:jc w:val="both"/>
        <w:rPr>
          <w:rFonts w:hint="eastAsia" w:ascii="仿宋_GB2312" w:hAnsi="仿宋_GB2312" w:eastAsia="仿宋_GB2312" w:cs="仿宋_GB2312"/>
          <w:sz w:val="32"/>
          <w:szCs w:val="32"/>
        </w:rPr>
      </w:pPr>
    </w:p>
    <w:p>
      <w:pPr>
        <w:pStyle w:val="16"/>
        <w:widowControl/>
        <w:shd w:val="clear" w:color="auto"/>
        <w:spacing w:beforeAutospacing="0" w:afterAutospacing="0" w:line="594" w:lineRule="atLeast"/>
        <w:ind w:firstLine="640"/>
        <w:jc w:val="both"/>
        <w:rPr>
          <w:rFonts w:hint="eastAsia" w:ascii="仿宋_GB2312" w:hAnsi="仿宋_GB2312" w:eastAsia="仿宋_GB2312" w:cs="仿宋_GB2312"/>
          <w:sz w:val="32"/>
          <w:szCs w:val="32"/>
        </w:rPr>
      </w:pPr>
    </w:p>
    <w:p>
      <w:pPr>
        <w:pStyle w:val="16"/>
        <w:widowControl/>
        <w:shd w:val="clear" w:color="auto"/>
        <w:spacing w:beforeAutospacing="0" w:afterAutospacing="0" w:line="594" w:lineRule="atLeast"/>
        <w:ind w:firstLine="640"/>
        <w:jc w:val="both"/>
        <w:rPr>
          <w:rFonts w:hint="eastAsia" w:ascii="仿宋_GB2312" w:hAnsi="仿宋_GB2312" w:eastAsia="仿宋_GB2312" w:cs="仿宋_GB2312"/>
          <w:sz w:val="32"/>
          <w:szCs w:val="32"/>
        </w:rPr>
      </w:pPr>
    </w:p>
    <w:p>
      <w:pPr>
        <w:pStyle w:val="16"/>
        <w:widowControl/>
        <w:shd w:val="clear" w:color="auto"/>
        <w:spacing w:beforeAutospacing="0" w:afterAutospacing="0" w:line="594" w:lineRule="atLeast"/>
        <w:ind w:firstLine="640"/>
        <w:jc w:val="both"/>
        <w:rPr>
          <w:rFonts w:hint="eastAsia" w:ascii="仿宋_GB2312" w:hAnsi="仿宋_GB2312" w:eastAsia="仿宋_GB2312" w:cs="仿宋_GB2312"/>
          <w:sz w:val="32"/>
          <w:szCs w:val="32"/>
        </w:rPr>
      </w:pPr>
    </w:p>
    <w:p>
      <w:pPr>
        <w:pStyle w:val="16"/>
        <w:widowControl/>
        <w:shd w:val="clear" w:color="auto"/>
        <w:spacing w:beforeAutospacing="0" w:afterAutospacing="0" w:line="594" w:lineRule="atLeast"/>
        <w:ind w:firstLine="640"/>
        <w:jc w:val="both"/>
        <w:rPr>
          <w:rFonts w:hint="eastAsia" w:ascii="仿宋_GB2312" w:hAnsi="仿宋_GB2312" w:eastAsia="仿宋_GB2312" w:cs="仿宋_GB2312"/>
          <w:sz w:val="32"/>
          <w:szCs w:val="32"/>
        </w:rPr>
      </w:pPr>
    </w:p>
    <w:p>
      <w:pPr>
        <w:pStyle w:val="16"/>
        <w:widowControl/>
        <w:shd w:val="clear" w:color="auto"/>
        <w:spacing w:beforeAutospacing="0" w:afterAutospacing="0" w:line="594" w:lineRule="atLeast"/>
        <w:ind w:firstLine="640"/>
        <w:jc w:val="both"/>
        <w:rPr>
          <w:rFonts w:hint="eastAsia" w:ascii="仿宋_GB2312" w:hAnsi="仿宋_GB2312" w:eastAsia="仿宋_GB2312" w:cs="仿宋_GB2312"/>
          <w:sz w:val="32"/>
          <w:szCs w:val="32"/>
        </w:rPr>
      </w:pPr>
    </w:p>
    <w:p>
      <w:pPr>
        <w:pStyle w:val="16"/>
        <w:widowControl/>
        <w:shd w:val="clear" w:color="auto"/>
        <w:spacing w:beforeAutospacing="0" w:afterAutospacing="0" w:line="594" w:lineRule="atLeast"/>
        <w:ind w:firstLine="640"/>
        <w:jc w:val="both"/>
        <w:rPr>
          <w:rFonts w:hint="eastAsia" w:ascii="仿宋_GB2312" w:hAnsi="仿宋_GB2312" w:eastAsia="仿宋_GB2312" w:cs="仿宋_GB2312"/>
          <w:sz w:val="32"/>
          <w:szCs w:val="32"/>
        </w:rPr>
      </w:pPr>
    </w:p>
    <w:p>
      <w:pPr>
        <w:pStyle w:val="16"/>
        <w:widowControl/>
        <w:shd w:val="clear" w:color="auto"/>
        <w:spacing w:beforeAutospacing="0" w:afterAutospacing="0" w:line="594" w:lineRule="atLeast"/>
        <w:ind w:firstLine="640"/>
        <w:jc w:val="both"/>
        <w:rPr>
          <w:rFonts w:hint="eastAsia" w:ascii="仿宋_GB2312" w:hAnsi="仿宋_GB2312" w:eastAsia="仿宋_GB2312" w:cs="仿宋_GB2312"/>
          <w:sz w:val="32"/>
          <w:szCs w:val="32"/>
        </w:rPr>
      </w:pPr>
    </w:p>
    <w:p>
      <w:pPr>
        <w:pStyle w:val="16"/>
        <w:widowControl/>
        <w:shd w:val="clear" w:color="auto"/>
        <w:spacing w:beforeAutospacing="0" w:afterAutospacing="0" w:line="594" w:lineRule="atLeast"/>
        <w:ind w:firstLine="640"/>
        <w:jc w:val="both"/>
        <w:rPr>
          <w:rFonts w:ascii="仿宋_GB2312" w:eastAsia="仿宋_GB2312"/>
          <w:b/>
          <w:sz w:val="32"/>
          <w:szCs w:val="32"/>
        </w:rPr>
      </w:pPr>
    </w:p>
    <w:p>
      <w:pPr>
        <w:numPr>
          <w:ilvl w:val="0"/>
          <w:numId w:val="5"/>
        </w:numPr>
        <w:shd w:val="clear"/>
        <w:spacing w:line="600" w:lineRule="exact"/>
        <w:ind w:firstLine="660" w:firstLineChars="150"/>
        <w:jc w:val="center"/>
        <w:outlineLvl w:val="0"/>
        <w:rPr>
          <w:rStyle w:val="31"/>
          <w:rFonts w:ascii="黑体" w:hAnsi="黑体" w:eastAsia="黑体"/>
          <w:b w:val="0"/>
        </w:rPr>
      </w:pPr>
      <w:bookmarkStart w:id="49" w:name="_Toc15377225"/>
      <w:bookmarkStart w:id="50" w:name="_Toc15396613"/>
      <w:r>
        <w:rPr>
          <w:rFonts w:hint="eastAsia" w:ascii="黑体" w:hAnsi="黑体" w:eastAsia="黑体"/>
          <w:sz w:val="44"/>
          <w:szCs w:val="44"/>
        </w:rPr>
        <w:t>名</w:t>
      </w:r>
      <w:r>
        <w:rPr>
          <w:rStyle w:val="31"/>
          <w:rFonts w:hint="eastAsia" w:ascii="黑体" w:hAnsi="黑体" w:eastAsia="黑体"/>
          <w:b w:val="0"/>
        </w:rPr>
        <w:t>词解释</w:t>
      </w:r>
      <w:bookmarkEnd w:id="49"/>
      <w:bookmarkEnd w:id="50"/>
    </w:p>
    <w:p>
      <w:pPr>
        <w:shd w:val="clear"/>
        <w:spacing w:line="600" w:lineRule="exact"/>
        <w:jc w:val="left"/>
        <w:rPr>
          <w:rFonts w:ascii="宋体"/>
          <w:b/>
          <w:sz w:val="44"/>
          <w:szCs w:val="44"/>
        </w:rPr>
      </w:pPr>
    </w:p>
    <w:p>
      <w:pPr>
        <w:pStyle w:val="29"/>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9"/>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事业收入：指事业单位开展专业业务活动及辅助活动取得的收入。如…（二级预算单位事业收入情况）等。</w:t>
      </w:r>
    </w:p>
    <w:p>
      <w:pPr>
        <w:pStyle w:val="29"/>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经营收入：指事业单位在专业业务活动及其辅助活动之外开展非独立核算经营活动取得的收入。如…（二级预算单位经营收入情况）等。</w:t>
      </w:r>
    </w:p>
    <w:p>
      <w:pPr>
        <w:pStyle w:val="29"/>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其他收入：指单位取得的除上述收入以外的各项收入。主要是…（收入类型）等。</w:t>
      </w:r>
      <w:r>
        <w:rPr>
          <w:rFonts w:ascii="仿宋_GB2312" w:eastAsia="仿宋_GB2312"/>
          <w:color w:val="auto"/>
          <w:sz w:val="32"/>
          <w:szCs w:val="32"/>
        </w:rPr>
        <w:t xml:space="preserve"> </w:t>
      </w:r>
    </w:p>
    <w:p>
      <w:pPr>
        <w:pStyle w:val="29"/>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pPr>
        <w:pStyle w:val="29"/>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9"/>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9"/>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ind w:firstLine="640" w:firstLineChars="200"/>
        <w:rPr>
          <w:rFonts w:ascii="仿宋_GB2312" w:eastAsia="仿宋_GB2312"/>
          <w:sz w:val="32"/>
          <w:szCs w:val="32"/>
        </w:rPr>
      </w:pPr>
      <w:r>
        <w:rPr>
          <w:rFonts w:ascii="仿宋_GB2312" w:eastAsia="仿宋_GB2312"/>
          <w:sz w:val="32"/>
          <w:szCs w:val="32"/>
        </w:rPr>
        <w:t>9.</w:t>
      </w:r>
      <w:r>
        <w:rPr>
          <w:rFonts w:hint="eastAsia" w:ascii="仿宋_GB2312" w:eastAsia="仿宋_GB2312"/>
          <w:sz w:val="32"/>
          <w:szCs w:val="32"/>
        </w:rPr>
        <w:t>一般公共服务（类）群众团体事务（款）事业运行（项）：指反映各级人民团体、社会团体、群众团体事业单位的基本支出。</w:t>
      </w:r>
    </w:p>
    <w:p>
      <w:pPr>
        <w:pStyle w:val="2"/>
        <w:numPr>
          <w:ilvl w:val="0"/>
          <w:numId w:val="0"/>
        </w:numPr>
        <w:ind w:firstLine="640" w:firstLineChars="200"/>
        <w:rPr>
          <w:rFonts w:ascii="仿宋_GB2312" w:eastAsia="仿宋_GB2312"/>
          <w:sz w:val="32"/>
          <w:szCs w:val="32"/>
        </w:rPr>
      </w:pPr>
      <w:r>
        <w:rPr>
          <w:rFonts w:hint="eastAsia" w:ascii="仿宋_GB2312" w:eastAsia="仿宋_GB2312"/>
          <w:sz w:val="32"/>
          <w:szCs w:val="32"/>
        </w:rPr>
        <w:t>10</w:t>
      </w:r>
      <w:r>
        <w:rPr>
          <w:rFonts w:ascii="仿宋_GB2312" w:eastAsia="仿宋_GB2312"/>
          <w:sz w:val="32"/>
          <w:szCs w:val="32"/>
        </w:rPr>
        <w:t>.</w:t>
      </w:r>
      <w:r>
        <w:rPr>
          <w:rFonts w:hint="eastAsia" w:ascii="仿宋_GB2312" w:eastAsia="仿宋_GB2312"/>
          <w:sz w:val="32"/>
          <w:szCs w:val="32"/>
        </w:rPr>
        <w:t>一般公共服务（类）群众团体事务（款）其他群众团体事务支出（项）：指反映各级人民团体、社会团体、群众团体事业单位的除上述以外其他群众团体事务方面的支出。</w:t>
      </w:r>
    </w:p>
    <w:p>
      <w:pPr>
        <w:spacing w:line="560" w:lineRule="exact"/>
        <w:ind w:firstLine="645"/>
        <w:rPr>
          <w:rFonts w:ascii="仿宋" w:hAnsi="仿宋" w:eastAsia="仿宋" w:cs="仿宋"/>
          <w:color w:val="000000"/>
          <w:kern w:val="0"/>
          <w:sz w:val="32"/>
          <w:szCs w:val="32"/>
        </w:rPr>
      </w:pPr>
      <w:r>
        <w:rPr>
          <w:rFonts w:hint="eastAsia" w:ascii="仿宋" w:hAnsi="仿宋" w:eastAsia="仿宋" w:cs="仿宋"/>
          <w:color w:val="000000"/>
          <w:kern w:val="0"/>
          <w:sz w:val="32"/>
          <w:szCs w:val="32"/>
        </w:rPr>
        <w:t>11.社会保障和就业支出（类）行政事业单位离退休（款）机关事业单位基本养老保险缴费支出（项）：指反映机关事业单位实施养老保险制度由单位缴纳的基本养老保险费支出。</w:t>
      </w:r>
    </w:p>
    <w:p>
      <w:pPr>
        <w:spacing w:line="56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12.社会保障和就业支出（类）行政事业单位离退休（款）其他行政事业单位养老支出（项）：指反映除上述项目以外其他用于行政事业单位养老方面的支出。</w:t>
      </w:r>
    </w:p>
    <w:p>
      <w:pPr>
        <w:spacing w:line="560" w:lineRule="exact"/>
        <w:ind w:firstLine="645"/>
        <w:rPr>
          <w:rFonts w:ascii="仿宋" w:hAnsi="仿宋" w:eastAsia="仿宋" w:cs="仿宋"/>
          <w:color w:val="000000"/>
          <w:kern w:val="0"/>
          <w:sz w:val="32"/>
          <w:szCs w:val="32"/>
        </w:rPr>
      </w:pPr>
      <w:r>
        <w:rPr>
          <w:rFonts w:hint="eastAsia" w:ascii="仿宋" w:hAnsi="仿宋" w:eastAsia="仿宋" w:cs="仿宋"/>
          <w:color w:val="000000"/>
          <w:kern w:val="0"/>
          <w:sz w:val="32"/>
          <w:szCs w:val="32"/>
        </w:rPr>
        <w:t>13.社会保障和就业支出（类）抚恤（款）死亡抚恤（项）：指反映按规定用于烈士和牺牲、病故人员家属的一次性和定期抚恤金、丧葬补助费一级烈士褒扬金。</w:t>
      </w:r>
    </w:p>
    <w:p>
      <w:pPr>
        <w:pStyle w:val="8"/>
        <w:spacing w:before="93" w:line="560" w:lineRule="exact"/>
      </w:pPr>
      <w:r>
        <w:rPr>
          <w:rFonts w:hint="eastAsia"/>
        </w:rPr>
        <w:t xml:space="preserve">    </w:t>
      </w:r>
      <w:r>
        <w:rPr>
          <w:rFonts w:hint="eastAsia" w:ascii="仿宋" w:hAnsi="仿宋" w:eastAsia="仿宋" w:cs="仿宋"/>
          <w:color w:val="000000"/>
          <w:sz w:val="32"/>
          <w:szCs w:val="32"/>
        </w:rPr>
        <w:t>14.社会保障和就业支出（类）其他社会保障和就业支出（款）其他社会保障和就业支出（项）：指反映除上述项目以外其他用于社会保障和就业方面的支出。</w:t>
      </w:r>
    </w:p>
    <w:p>
      <w:pPr>
        <w:spacing w:line="560" w:lineRule="exact"/>
        <w:ind w:firstLine="645"/>
        <w:rPr>
          <w:rFonts w:ascii="仿宋" w:hAnsi="仿宋" w:eastAsia="仿宋" w:cs="仿宋"/>
          <w:color w:val="000000"/>
          <w:kern w:val="0"/>
          <w:sz w:val="32"/>
          <w:szCs w:val="32"/>
        </w:rPr>
      </w:pPr>
      <w:r>
        <w:rPr>
          <w:rFonts w:hint="eastAsia" w:ascii="仿宋" w:hAnsi="仿宋" w:eastAsia="仿宋" w:cs="仿宋"/>
          <w:color w:val="000000"/>
          <w:kern w:val="0"/>
          <w:sz w:val="32"/>
          <w:szCs w:val="32"/>
        </w:rPr>
        <w:t>15.卫生健康支出（类）行政事业单位医疗（款）行政单位医疗（项）：指反映财政部门集中安排的行政单位基本医疗保险缴费经费，未参加医疗保险的行政单位的公费医疗经费，按国家规定享受离退休人员、红军老战士待遇人员的医疗经费。</w:t>
      </w:r>
    </w:p>
    <w:p>
      <w:pPr>
        <w:spacing w:line="560" w:lineRule="exact"/>
        <w:ind w:firstLine="645"/>
        <w:rPr>
          <w:rFonts w:ascii="仿宋" w:hAnsi="仿宋" w:eastAsia="仿宋" w:cs="仿宋"/>
          <w:color w:val="000000"/>
          <w:kern w:val="0"/>
          <w:sz w:val="32"/>
          <w:szCs w:val="32"/>
        </w:rPr>
      </w:pPr>
      <w:r>
        <w:rPr>
          <w:rFonts w:hint="eastAsia" w:ascii="仿宋" w:hAnsi="仿宋" w:eastAsia="仿宋" w:cs="仿宋"/>
          <w:color w:val="000000"/>
          <w:kern w:val="0"/>
          <w:sz w:val="32"/>
          <w:szCs w:val="32"/>
        </w:rPr>
        <w:t>16.卫生健康支出（类）行政事业单位医疗（款）事业单位医疗（项）：指反映财政部门集中安排的事业单位基本医疗保险缴费经费，未参加医疗保险的事业单位的公费医疗经费，按国家规定享受离休人员待遇的医疗经费。</w:t>
      </w:r>
    </w:p>
    <w:p>
      <w:pPr>
        <w:spacing w:line="560" w:lineRule="exact"/>
        <w:ind w:firstLine="645"/>
        <w:rPr>
          <w:rFonts w:ascii="仿宋" w:hAnsi="仿宋" w:eastAsia="仿宋" w:cs="仿宋"/>
          <w:color w:val="000000"/>
          <w:kern w:val="0"/>
          <w:sz w:val="32"/>
          <w:szCs w:val="32"/>
        </w:rPr>
      </w:pPr>
      <w:r>
        <w:rPr>
          <w:rFonts w:hint="eastAsia" w:ascii="仿宋" w:hAnsi="仿宋" w:eastAsia="仿宋" w:cs="仿宋"/>
          <w:color w:val="000000"/>
          <w:kern w:val="0"/>
          <w:sz w:val="32"/>
          <w:szCs w:val="32"/>
        </w:rPr>
        <w:t>17.卫生健康支出（类）行政事业单位医疗（款）公务员医疗补助（项）：指反映财政部门集中安排的公务员医疗补助经费。</w:t>
      </w:r>
    </w:p>
    <w:p>
      <w:pPr>
        <w:spacing w:line="560" w:lineRule="exact"/>
        <w:ind w:firstLine="645"/>
        <w:rPr>
          <w:rFonts w:ascii="仿宋" w:hAnsi="仿宋" w:eastAsia="仿宋" w:cs="仿宋"/>
          <w:color w:val="000000"/>
          <w:kern w:val="0"/>
          <w:sz w:val="32"/>
          <w:szCs w:val="32"/>
        </w:rPr>
      </w:pPr>
      <w:r>
        <w:rPr>
          <w:rFonts w:hint="eastAsia" w:ascii="仿宋" w:hAnsi="仿宋" w:eastAsia="仿宋" w:cs="仿宋"/>
          <w:color w:val="000000"/>
          <w:kern w:val="0"/>
          <w:sz w:val="32"/>
          <w:szCs w:val="32"/>
        </w:rPr>
        <w:t>18.住房保障支出（类）住房改革支出（款）住房公积金（项）：指反映行政事业单位按人力资源和社会保障部、财政部规定的基本工资和津贴补贴以及规定比例为职工缴纳的住房公积金。</w:t>
      </w:r>
    </w:p>
    <w:p>
      <w:pPr>
        <w:ind w:firstLine="640" w:firstLineChars="200"/>
        <w:rPr>
          <w:rFonts w:ascii="仿宋_GB2312" w:eastAsia="仿宋_GB2312"/>
          <w:sz w:val="32"/>
          <w:szCs w:val="32"/>
        </w:rPr>
      </w:pPr>
      <w:r>
        <w:rPr>
          <w:rFonts w:hint="eastAsia" w:ascii="仿宋_GB2312" w:eastAsia="仿宋_GB2312"/>
          <w:sz w:val="32"/>
          <w:szCs w:val="32"/>
        </w:rPr>
        <w:t>19</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rPr>
        <w:t>20</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rPr>
        <w:t>21</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pPr>
        <w:pStyle w:val="29"/>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22</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9"/>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23</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31"/>
          <w:rFonts w:ascii="黑体" w:hAnsi="黑体" w:eastAsia="黑体"/>
          <w:b w:val="0"/>
        </w:rPr>
      </w:pPr>
      <w:bookmarkStart w:id="51" w:name="_Toc15377226"/>
      <w:r>
        <w:rPr>
          <w:rFonts w:ascii="宋体"/>
          <w:b/>
          <w:sz w:val="44"/>
          <w:szCs w:val="44"/>
        </w:rPr>
        <w:br w:type="page"/>
      </w:r>
      <w:bookmarkStart w:id="52" w:name="_Toc15396614"/>
      <w:r>
        <w:rPr>
          <w:rFonts w:hint="eastAsia" w:ascii="黑体" w:hAnsi="黑体" w:eastAsia="黑体"/>
          <w:sz w:val="44"/>
          <w:szCs w:val="44"/>
        </w:rPr>
        <w:t>第</w:t>
      </w:r>
      <w:r>
        <w:rPr>
          <w:rStyle w:val="31"/>
          <w:rFonts w:hint="eastAsia" w:ascii="黑体" w:hAnsi="黑体" w:eastAsia="黑体"/>
          <w:b w:val="0"/>
        </w:rPr>
        <w:t>四部分 附件</w:t>
      </w:r>
      <w:bookmarkEnd w:id="52"/>
    </w:p>
    <w:p>
      <w:pPr>
        <w:spacing w:line="572" w:lineRule="exact"/>
        <w:jc w:val="left"/>
        <w:outlineLvl w:val="0"/>
        <w:rPr>
          <w:rFonts w:ascii="黑体" w:hAnsi="黑体" w:eastAsia="黑体" w:cs="黑体"/>
          <w:sz w:val="32"/>
          <w:szCs w:val="32"/>
        </w:rPr>
      </w:pPr>
      <w:r>
        <w:rPr>
          <w:rFonts w:hint="eastAsia" w:ascii="黑体" w:hAnsi="黑体" w:eastAsia="黑体" w:cs="黑体"/>
          <w:sz w:val="32"/>
          <w:szCs w:val="32"/>
        </w:rPr>
        <w:t>附件1</w:t>
      </w:r>
    </w:p>
    <w:p>
      <w:pPr>
        <w:pStyle w:val="2"/>
        <w:numPr>
          <w:ilvl w:val="0"/>
          <w:numId w:val="0"/>
        </w:numPr>
        <w:ind w:firstLine="1760" w:firstLineChars="400"/>
      </w:pPr>
      <w:r>
        <w:rPr>
          <w:rFonts w:hint="eastAsia" w:ascii="方正小标宋简体" w:hAnsi="方正小标宋简体" w:eastAsia="方正小标宋简体" w:cs="方正小标宋简体"/>
          <w:sz w:val="44"/>
          <w:szCs w:val="44"/>
        </w:rPr>
        <w:t>遂宁市安居区红十字会</w:t>
      </w:r>
    </w:p>
    <w:p>
      <w:pPr>
        <w:spacing w:line="57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2022年部门整体绩效评价报告范本</w:t>
      </w:r>
    </w:p>
    <w:p>
      <w:pPr>
        <w:pStyle w:val="4"/>
        <w:spacing w:line="560" w:lineRule="exact"/>
        <w:ind w:firstLine="640" w:firstLineChars="200"/>
        <w:rPr>
          <w:rFonts w:ascii="黑体" w:eastAsia="黑体"/>
          <w:b w:val="0"/>
          <w:lang w:val="zh-CN"/>
        </w:rPr>
      </w:pPr>
      <w:r>
        <w:rPr>
          <w:rFonts w:hint="eastAsia" w:ascii="黑体" w:eastAsia="黑体"/>
          <w:b w:val="0"/>
        </w:rPr>
        <w:t>一、</w:t>
      </w:r>
      <w:r>
        <w:rPr>
          <w:rFonts w:hint="eastAsia" w:ascii="黑体" w:eastAsia="黑体"/>
          <w:b w:val="0"/>
          <w:lang w:val="zh-CN"/>
        </w:rPr>
        <w:t>部门（单位）概况</w:t>
      </w:r>
    </w:p>
    <w:p>
      <w:pPr>
        <w:spacing w:line="560" w:lineRule="exact"/>
        <w:ind w:firstLine="640" w:firstLineChars="200"/>
        <w:rPr>
          <w:rFonts w:ascii="楷体" w:hAnsi="楷体" w:eastAsia="楷体" w:cs="楷体"/>
          <w:bCs/>
          <w:sz w:val="32"/>
          <w:szCs w:val="32"/>
          <w:lang w:val="zh-CN" w:bidi="zh-TW"/>
        </w:rPr>
      </w:pPr>
      <w:r>
        <w:rPr>
          <w:rFonts w:hint="eastAsia" w:ascii="楷体" w:hAnsi="楷体" w:eastAsia="楷体" w:cs="楷体"/>
          <w:bCs/>
          <w:sz w:val="32"/>
          <w:szCs w:val="32"/>
          <w:lang w:val="zh-CN" w:bidi="zh-TW"/>
        </w:rPr>
        <w:t>（一）机构组成</w:t>
      </w:r>
    </w:p>
    <w:p>
      <w:pPr>
        <w:pStyle w:val="2"/>
        <w:numPr>
          <w:ilvl w:val="0"/>
          <w:numId w:val="0"/>
        </w:numPr>
        <w:spacing w:line="560" w:lineRule="exact"/>
        <w:ind w:firstLine="640" w:firstLineChars="200"/>
        <w:rPr>
          <w:lang w:val="zh-CN"/>
        </w:rPr>
      </w:pPr>
      <w:r>
        <w:rPr>
          <w:rFonts w:eastAsia="仿宋_GB2312"/>
          <w:sz w:val="32"/>
          <w:szCs w:val="32"/>
        </w:rPr>
        <w:t>遂宁市安居区</w:t>
      </w:r>
      <w:r>
        <w:rPr>
          <w:rFonts w:hint="eastAsia" w:eastAsia="仿宋_GB2312"/>
          <w:sz w:val="32"/>
          <w:szCs w:val="32"/>
        </w:rPr>
        <w:t>红十字会</w:t>
      </w:r>
      <w:r>
        <w:rPr>
          <w:rFonts w:eastAsia="仿宋_GB2312"/>
          <w:sz w:val="32"/>
          <w:szCs w:val="32"/>
        </w:rPr>
        <w:t>（以下简称区</w:t>
      </w:r>
      <w:r>
        <w:rPr>
          <w:rFonts w:hint="eastAsia" w:eastAsia="仿宋_GB2312"/>
          <w:sz w:val="32"/>
          <w:szCs w:val="32"/>
        </w:rPr>
        <w:t>红十字会</w:t>
      </w:r>
      <w:r>
        <w:rPr>
          <w:rFonts w:eastAsia="仿宋_GB2312"/>
          <w:sz w:val="32"/>
          <w:szCs w:val="32"/>
        </w:rPr>
        <w:t>）属财政一级预算单位，机关内设</w:t>
      </w:r>
      <w:r>
        <w:rPr>
          <w:rFonts w:hint="eastAsia" w:eastAsia="仿宋_GB2312"/>
          <w:sz w:val="32"/>
          <w:szCs w:val="32"/>
        </w:rPr>
        <w:t>1</w:t>
      </w:r>
      <w:r>
        <w:rPr>
          <w:rFonts w:eastAsia="仿宋_GB2312"/>
          <w:sz w:val="32"/>
          <w:szCs w:val="32"/>
        </w:rPr>
        <w:t>个内设机构：办公室。</w:t>
      </w:r>
    </w:p>
    <w:p>
      <w:pPr>
        <w:spacing w:line="560" w:lineRule="exact"/>
        <w:ind w:firstLine="640" w:firstLineChars="200"/>
        <w:rPr>
          <w:rFonts w:ascii="楷体" w:hAnsi="楷体" w:eastAsia="楷体" w:cs="楷体"/>
          <w:bCs/>
          <w:sz w:val="32"/>
          <w:szCs w:val="32"/>
          <w:lang w:val="zh-CN" w:bidi="zh-TW"/>
        </w:rPr>
      </w:pPr>
      <w:r>
        <w:rPr>
          <w:rFonts w:hint="eastAsia" w:ascii="楷体" w:hAnsi="楷体" w:eastAsia="楷体" w:cs="楷体"/>
          <w:bCs/>
          <w:sz w:val="32"/>
          <w:szCs w:val="32"/>
          <w:lang w:val="zh-CN" w:bidi="zh-TW"/>
        </w:rPr>
        <w:t>（二）机构职能</w:t>
      </w:r>
    </w:p>
    <w:p>
      <w:pPr>
        <w:spacing w:line="56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1.主要职能</w:t>
      </w:r>
    </w:p>
    <w:p>
      <w:pPr>
        <w:spacing w:line="56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（1）开展救援、救灾的相关工作，建立红十字应急救援体系。在自然灾害、事故灾难、公共卫生事件等突发事件中，对伤病人员和其他受害者提供紧急救援和人道救助；</w:t>
      </w:r>
    </w:p>
    <w:p>
      <w:pPr>
        <w:spacing w:line="56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（2）开展应急救护培训，普及应急救护、防灾避险和卫生健康知识，组织志愿者参与现场救护；</w:t>
      </w:r>
    </w:p>
    <w:p>
      <w:pPr>
        <w:spacing w:line="56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（3）参与、推动无偿献血、遗体和人体器官捐献工作，参与开展造血干细胞捐献的相关工作；</w:t>
      </w:r>
    </w:p>
    <w:p>
      <w:pPr>
        <w:spacing w:line="56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（4）组织开展红十字志愿服务、红十字青少年工作；</w:t>
      </w:r>
    </w:p>
    <w:p>
      <w:pPr>
        <w:spacing w:line="56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（5）协助人民政府开展与其职责相关的其他人道主义服务活动。</w:t>
      </w:r>
    </w:p>
    <w:p>
      <w:pPr>
        <w:spacing w:line="560" w:lineRule="exact"/>
        <w:ind w:firstLine="640" w:firstLineChars="200"/>
        <w:rPr>
          <w:rFonts w:ascii="楷体" w:hAnsi="楷体" w:eastAsia="楷体" w:cs="楷体"/>
          <w:bCs/>
          <w:sz w:val="32"/>
          <w:szCs w:val="32"/>
          <w:lang w:val="zh-CN" w:bidi="zh-TW"/>
        </w:rPr>
      </w:pPr>
      <w:r>
        <w:rPr>
          <w:rFonts w:hint="eastAsia" w:ascii="楷体" w:hAnsi="楷体" w:eastAsia="楷体" w:cs="楷体"/>
          <w:bCs/>
          <w:sz w:val="32"/>
          <w:szCs w:val="32"/>
          <w:lang w:val="zh-CN" w:bidi="zh-TW"/>
        </w:rPr>
        <w:t>（三）人员概况</w:t>
      </w:r>
    </w:p>
    <w:p>
      <w:pPr>
        <w:spacing w:line="56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区红十字会机关核定事业编制4名，会长1名(由分管区</w:t>
      </w:r>
      <w:r>
        <w:rPr>
          <w:rFonts w:eastAsia="仿宋_GB2312"/>
          <w:sz w:val="32"/>
          <w:szCs w:val="32"/>
          <w:shd w:val="clear" w:color="auto" w:fill="FFFFFF"/>
        </w:rPr>
        <w:t>级领导兼任),常务副会长1名,秘书长1名;内设机构股级职数</w:t>
      </w:r>
      <w:r>
        <w:rPr>
          <w:rFonts w:hint="eastAsia" w:eastAsia="仿宋_GB2312"/>
          <w:sz w:val="32"/>
          <w:szCs w:val="32"/>
          <w:shd w:val="clear" w:color="auto" w:fill="FFFFFF"/>
        </w:rPr>
        <w:t>1</w:t>
      </w:r>
      <w:r>
        <w:rPr>
          <w:rFonts w:eastAsia="仿宋_GB2312"/>
          <w:sz w:val="32"/>
          <w:szCs w:val="32"/>
          <w:shd w:val="clear" w:color="auto" w:fill="FFFFFF"/>
        </w:rPr>
        <w:t>名</w:t>
      </w:r>
      <w:r>
        <w:rPr>
          <w:rFonts w:hint="eastAsia" w:eastAsia="仿宋_GB2312"/>
          <w:sz w:val="32"/>
          <w:szCs w:val="32"/>
          <w:shd w:val="clear" w:color="auto" w:fill="FFFFFF"/>
        </w:rPr>
        <w:t>。</w:t>
      </w:r>
    </w:p>
    <w:p>
      <w:pPr>
        <w:pStyle w:val="4"/>
        <w:spacing w:line="560" w:lineRule="exact"/>
        <w:ind w:firstLine="640" w:firstLineChars="200"/>
        <w:rPr>
          <w:rFonts w:ascii="黑体" w:eastAsia="黑体"/>
          <w:b w:val="0"/>
        </w:rPr>
      </w:pPr>
      <w:r>
        <w:rPr>
          <w:rFonts w:hint="eastAsia" w:ascii="黑体" w:eastAsia="黑体"/>
          <w:b w:val="0"/>
        </w:rPr>
        <w:t>二、部门财政资金收支情况</w:t>
      </w:r>
    </w:p>
    <w:p/>
    <w:p>
      <w:pPr>
        <w:spacing w:line="560" w:lineRule="exact"/>
        <w:ind w:firstLine="640" w:firstLineChars="200"/>
        <w:rPr>
          <w:rFonts w:ascii="楷体" w:hAnsi="楷体" w:eastAsia="楷体" w:cs="楷体"/>
          <w:bCs/>
          <w:sz w:val="32"/>
          <w:szCs w:val="32"/>
          <w:lang w:bidi="zh-TW"/>
        </w:rPr>
      </w:pPr>
      <w:r>
        <w:rPr>
          <w:rFonts w:hint="eastAsia" w:ascii="楷体" w:hAnsi="楷体" w:eastAsia="楷体" w:cs="楷体"/>
          <w:bCs/>
          <w:sz w:val="32"/>
          <w:szCs w:val="32"/>
          <w:lang w:bidi="zh-TW"/>
        </w:rPr>
        <w:t>（一）部门财政资金收入情况</w:t>
      </w:r>
    </w:p>
    <w:p>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2022年</w:t>
      </w:r>
      <w:r>
        <w:rPr>
          <w:rFonts w:hint="eastAsia" w:eastAsia="仿宋_GB2312"/>
          <w:sz w:val="32"/>
          <w:szCs w:val="32"/>
          <w:shd w:val="clear" w:color="auto" w:fill="FFFFFF"/>
        </w:rPr>
        <w:t>本年收入合计43.42万元，其中：</w:t>
      </w:r>
      <w:r>
        <w:rPr>
          <w:rFonts w:eastAsia="仿宋_GB2312"/>
          <w:sz w:val="32"/>
          <w:szCs w:val="32"/>
          <w:shd w:val="clear" w:color="auto" w:fill="FFFFFF"/>
        </w:rPr>
        <w:t>财政预算一般公共预算财政拨款收入</w:t>
      </w:r>
      <w:r>
        <w:rPr>
          <w:rFonts w:hint="eastAsia" w:eastAsia="仿宋_GB2312"/>
          <w:sz w:val="32"/>
          <w:szCs w:val="32"/>
          <w:shd w:val="clear" w:color="auto" w:fill="FFFFFF"/>
        </w:rPr>
        <w:t>43.42</w:t>
      </w:r>
      <w:r>
        <w:rPr>
          <w:rFonts w:eastAsia="仿宋_GB2312"/>
          <w:sz w:val="32"/>
          <w:szCs w:val="32"/>
          <w:shd w:val="clear" w:color="auto" w:fill="FFFFFF"/>
        </w:rPr>
        <w:t>万元，</w:t>
      </w:r>
      <w:r>
        <w:rPr>
          <w:rFonts w:hint="eastAsia" w:eastAsia="仿宋_GB2312"/>
          <w:sz w:val="32"/>
          <w:szCs w:val="32"/>
          <w:shd w:val="clear" w:color="auto" w:fill="FFFFFF"/>
        </w:rPr>
        <w:t>占</w:t>
      </w:r>
      <w:r>
        <w:rPr>
          <w:rFonts w:eastAsia="仿宋_GB2312"/>
          <w:sz w:val="32"/>
          <w:szCs w:val="32"/>
          <w:shd w:val="clear" w:color="auto" w:fill="FFFFFF"/>
        </w:rPr>
        <w:t>比</w:t>
      </w:r>
      <w:r>
        <w:rPr>
          <w:rFonts w:hint="eastAsia" w:eastAsia="仿宋_GB2312"/>
          <w:sz w:val="32"/>
          <w:szCs w:val="32"/>
          <w:shd w:val="clear" w:color="auto" w:fill="FFFFFF"/>
        </w:rPr>
        <w:t>100</w:t>
      </w:r>
      <w:r>
        <w:rPr>
          <w:rFonts w:eastAsia="仿宋_GB2312"/>
          <w:sz w:val="32"/>
          <w:szCs w:val="32"/>
          <w:shd w:val="clear" w:color="auto" w:fill="FFFFFF"/>
        </w:rPr>
        <w:t xml:space="preserve"> %。</w:t>
      </w:r>
    </w:p>
    <w:p>
      <w:pPr>
        <w:spacing w:line="560" w:lineRule="exact"/>
        <w:ind w:firstLine="640" w:firstLineChars="200"/>
        <w:rPr>
          <w:rFonts w:ascii="楷体" w:hAnsi="楷体" w:eastAsia="楷体" w:cs="楷体"/>
          <w:bCs/>
          <w:sz w:val="32"/>
          <w:szCs w:val="32"/>
          <w:lang w:bidi="zh-TW"/>
        </w:rPr>
      </w:pPr>
      <w:r>
        <w:rPr>
          <w:rFonts w:ascii="楷体" w:hAnsi="楷体" w:eastAsia="楷体" w:cs="楷体"/>
          <w:bCs/>
          <w:sz w:val="32"/>
          <w:szCs w:val="32"/>
          <w:lang w:bidi="zh-TW"/>
        </w:rPr>
        <w:t>（二）部门财政资金支出情况</w:t>
      </w:r>
    </w:p>
    <w:p>
      <w:pPr>
        <w:pStyle w:val="8"/>
        <w:spacing w:before="93" w:line="560" w:lineRule="exact"/>
        <w:rPr>
          <w:lang w:val="zh-CN"/>
        </w:rPr>
      </w:pPr>
      <w:r>
        <w:rPr>
          <w:sz w:val="32"/>
          <w:szCs w:val="32"/>
          <w:shd w:val="clear" w:color="auto" w:fill="FFFFFF"/>
        </w:rPr>
        <w:t>2022年度财政决算公开拨款支出共计</w:t>
      </w:r>
      <w:r>
        <w:rPr>
          <w:rFonts w:hint="eastAsia"/>
          <w:sz w:val="32"/>
          <w:szCs w:val="32"/>
          <w:shd w:val="clear" w:color="auto" w:fill="FFFFFF"/>
        </w:rPr>
        <w:t>43.42</w:t>
      </w:r>
      <w:r>
        <w:rPr>
          <w:sz w:val="32"/>
          <w:szCs w:val="32"/>
          <w:shd w:val="clear" w:color="auto" w:fill="FFFFFF"/>
        </w:rPr>
        <w:t>万元，</w:t>
      </w:r>
      <w:r>
        <w:rPr>
          <w:rFonts w:hint="eastAsia" w:hAnsi="仿宋"/>
          <w:sz w:val="32"/>
          <w:szCs w:val="32"/>
        </w:rPr>
        <w:t>主要用于以下方面:一般公共服务</w:t>
      </w:r>
      <w:r>
        <w:rPr>
          <w:rFonts w:hint="eastAsia" w:hAnsi="仿宋"/>
          <w:bCs/>
          <w:sz w:val="32"/>
          <w:szCs w:val="32"/>
        </w:rPr>
        <w:t>支出</w:t>
      </w:r>
      <w:r>
        <w:rPr>
          <w:rFonts w:hint="eastAsia" w:hAnsi="仿宋"/>
          <w:sz w:val="32"/>
          <w:szCs w:val="32"/>
        </w:rPr>
        <w:t>40.03万元，占92.19%；教育支出0万元，占0%；科学技术</w:t>
      </w:r>
      <w:r>
        <w:rPr>
          <w:rFonts w:hint="eastAsia" w:hAnsi="仿宋"/>
          <w:bCs/>
          <w:sz w:val="32"/>
          <w:szCs w:val="32"/>
        </w:rPr>
        <w:t>支出</w:t>
      </w:r>
      <w:r>
        <w:rPr>
          <w:rFonts w:hint="eastAsia" w:hAnsi="仿宋"/>
          <w:sz w:val="32"/>
          <w:szCs w:val="32"/>
        </w:rPr>
        <w:t>0万元，占0%；</w:t>
      </w:r>
      <w:r>
        <w:rPr>
          <w:rFonts w:hint="eastAsia" w:hAnsi="仿宋"/>
          <w:bCs/>
          <w:sz w:val="32"/>
          <w:szCs w:val="32"/>
        </w:rPr>
        <w:t>文化旅游体育与传媒支出0万元，占0%</w:t>
      </w:r>
      <w:r>
        <w:rPr>
          <w:rFonts w:hint="eastAsia" w:hAnsi="仿宋"/>
          <w:sz w:val="32"/>
          <w:szCs w:val="32"/>
        </w:rPr>
        <w:t>；社会保障和就业</w:t>
      </w:r>
      <w:r>
        <w:rPr>
          <w:rFonts w:hint="eastAsia" w:hAnsi="仿宋"/>
          <w:bCs/>
          <w:sz w:val="32"/>
          <w:szCs w:val="32"/>
        </w:rPr>
        <w:t>支出</w:t>
      </w:r>
      <w:r>
        <w:rPr>
          <w:rFonts w:hint="eastAsia" w:hAnsi="仿宋"/>
          <w:sz w:val="32"/>
          <w:szCs w:val="32"/>
        </w:rPr>
        <w:t>1.43万元，占3.29%；</w:t>
      </w:r>
      <w:r>
        <w:rPr>
          <w:rFonts w:hint="eastAsia" w:hAnsi="仿宋"/>
          <w:bCs/>
          <w:sz w:val="32"/>
          <w:szCs w:val="32"/>
        </w:rPr>
        <w:t>卫生健康支出</w:t>
      </w:r>
      <w:r>
        <w:rPr>
          <w:rFonts w:hint="eastAsia" w:hAnsi="仿宋"/>
          <w:sz w:val="32"/>
          <w:szCs w:val="32"/>
        </w:rPr>
        <w:t>0.88万元，占2.03%；</w:t>
      </w:r>
      <w:r>
        <w:rPr>
          <w:rFonts w:hint="eastAsia" w:hAnsi="仿宋"/>
          <w:bCs/>
          <w:sz w:val="32"/>
          <w:szCs w:val="32"/>
        </w:rPr>
        <w:t>住房保障支出</w:t>
      </w:r>
      <w:r>
        <w:rPr>
          <w:rFonts w:hint="eastAsia" w:hAnsi="仿宋"/>
          <w:sz w:val="32"/>
          <w:szCs w:val="32"/>
        </w:rPr>
        <w:t>1.07万元，占2.49%。</w:t>
      </w:r>
    </w:p>
    <w:p>
      <w:pPr>
        <w:pStyle w:val="4"/>
        <w:spacing w:line="560" w:lineRule="exact"/>
        <w:ind w:firstLine="640" w:firstLineChars="200"/>
        <w:rPr>
          <w:rFonts w:ascii="黑体" w:eastAsia="黑体"/>
          <w:b w:val="0"/>
        </w:rPr>
      </w:pPr>
      <w:r>
        <w:rPr>
          <w:rFonts w:hint="eastAsia" w:ascii="黑体" w:eastAsia="黑体"/>
          <w:b w:val="0"/>
        </w:rPr>
        <w:t>三、部门整体预算绩效管理情况</w:t>
      </w:r>
    </w:p>
    <w:p>
      <w:pPr>
        <w:spacing w:line="560" w:lineRule="exact"/>
        <w:ind w:firstLine="640" w:firstLineChars="200"/>
        <w:rPr>
          <w:rFonts w:ascii="楷体" w:hAnsi="楷体" w:eastAsia="楷体" w:cs="楷体"/>
          <w:bCs/>
          <w:sz w:val="32"/>
          <w:szCs w:val="32"/>
          <w:lang w:val="zh-CN" w:bidi="zh-TW"/>
        </w:rPr>
      </w:pPr>
      <w:r>
        <w:rPr>
          <w:rFonts w:hint="eastAsia" w:ascii="楷体" w:hAnsi="楷体" w:eastAsia="楷体" w:cs="楷体"/>
          <w:bCs/>
          <w:sz w:val="32"/>
          <w:szCs w:val="32"/>
          <w:lang w:val="zh-CN" w:bidi="zh-TW"/>
        </w:rPr>
        <w:t>（一）部门预算项目绩效管理</w:t>
      </w:r>
    </w:p>
    <w:p>
      <w:pPr>
        <w:autoSpaceDE w:val="0"/>
        <w:autoSpaceDN w:val="0"/>
        <w:adjustRightInd w:val="0"/>
        <w:spacing w:line="560" w:lineRule="exact"/>
        <w:ind w:firstLine="640" w:firstLineChars="200"/>
        <w:outlineLvl w:val="2"/>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预算编制严格按照区预算编制方案科学合理编制本部门预算，提前做好情况摸底、数据收集、填报绩效目标、细化项目预算，根据定员和人员经费标准、日常公用经费定额计算确定经费预算，从严控制事业经费，按照“零增长”的原则编制“三公经费”预算，压缩接待费用。科学编制项目支出，按照“谁申请资金，谁编制目标”的要求，编制部门预算项目绩效目标。按时完成预算编制报送工作。加强预算管理和执行力度，本着“以收定支，量入为出，保证重点”的原则，本年度严格按照有关规定和工作需要，合理、科学的对资金进行有序安排，基本支出按照月度均衡原则使用资金。严格按照财务管理制度和财经纪律，实现一把手管财务，一支</w:t>
      </w:r>
      <w:bookmarkStart w:id="67" w:name="_GoBack"/>
      <w:bookmarkEnd w:id="67"/>
      <w:r>
        <w:rPr>
          <w:rFonts w:hint="eastAsia" w:ascii="仿宋_GB2312" w:hAnsi="Calibri" w:eastAsia="仿宋_GB2312" w:cs="仿宋"/>
          <w:kern w:val="0"/>
          <w:sz w:val="32"/>
          <w:szCs w:val="32"/>
          <w:lang w:val="zh-CN"/>
        </w:rPr>
        <w:t>笔签字的财务管理办法。接待费、差旅费、办公用品等按照经办人申请、分管领导审核、单位主要负责人审签的办法执行。</w:t>
      </w:r>
    </w:p>
    <w:p>
      <w:pPr>
        <w:autoSpaceDE w:val="0"/>
        <w:autoSpaceDN w:val="0"/>
        <w:adjustRightInd w:val="0"/>
        <w:spacing w:line="600" w:lineRule="exact"/>
        <w:ind w:firstLine="640" w:firstLineChars="200"/>
        <w:jc w:val="left"/>
        <w:outlineLvl w:val="2"/>
        <w:rPr>
          <w:rFonts w:ascii="楷体_GB2312" w:hAnsi="Calibri" w:eastAsia="楷体_GB2312" w:cs="仿宋"/>
          <w:kern w:val="0"/>
          <w:sz w:val="32"/>
          <w:szCs w:val="32"/>
          <w:lang w:val="zh-CN"/>
        </w:rPr>
      </w:pPr>
      <w:r>
        <w:rPr>
          <w:rFonts w:hint="eastAsia" w:ascii="楷体_GB2312" w:hAnsi="Calibri" w:eastAsia="楷体_GB2312" w:cs="仿宋"/>
          <w:kern w:val="0"/>
          <w:sz w:val="32"/>
          <w:szCs w:val="32"/>
          <w:lang w:val="zh-CN"/>
        </w:rPr>
        <w:t>1．预算编制</w:t>
      </w:r>
    </w:p>
    <w:p>
      <w:pPr>
        <w:autoSpaceDE w:val="0"/>
        <w:autoSpaceDN w:val="0"/>
        <w:adjustRightInd w:val="0"/>
        <w:spacing w:line="600" w:lineRule="exact"/>
        <w:ind w:firstLine="640" w:firstLineChars="200"/>
        <w:jc w:val="left"/>
        <w:outlineLvl w:val="2"/>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（1）目标制定</w:t>
      </w:r>
    </w:p>
    <w:p>
      <w:pPr>
        <w:autoSpaceDE w:val="0"/>
        <w:autoSpaceDN w:val="0"/>
        <w:adjustRightInd w:val="0"/>
        <w:spacing w:line="600" w:lineRule="exact"/>
        <w:ind w:firstLine="640" w:firstLineChars="200"/>
        <w:jc w:val="left"/>
        <w:outlineLvl w:val="2"/>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2022年预算编制时填写了部门整体支出绩效目标申报表和</w:t>
      </w:r>
      <w:r>
        <w:rPr>
          <w:rFonts w:hint="eastAsia" w:ascii="仿宋_GB2312" w:hAnsi="仿宋_GB2312" w:eastAsia="仿宋_GB2312" w:cs="仿宋_GB2312"/>
          <w:sz w:val="32"/>
          <w:szCs w:val="21"/>
          <w:shd w:val="clear" w:color="auto" w:fill="FFFFFF"/>
          <w:lang w:val="zh-CN"/>
        </w:rPr>
        <w:t>红十字会</w:t>
      </w:r>
      <w:r>
        <w:rPr>
          <w:rFonts w:hint="eastAsia" w:eastAsia="仿宋_GB2312"/>
          <w:sz w:val="32"/>
          <w:szCs w:val="32"/>
          <w:shd w:val="clear" w:color="auto" w:fill="FFFFFF"/>
        </w:rPr>
        <w:t>第一次会员代表大会项目</w:t>
      </w:r>
      <w:r>
        <w:rPr>
          <w:rFonts w:hint="eastAsia" w:ascii="仿宋_GB2312" w:hAnsi="Calibri" w:eastAsia="仿宋_GB2312" w:cs="仿宋"/>
          <w:kern w:val="0"/>
          <w:sz w:val="32"/>
          <w:szCs w:val="32"/>
          <w:lang w:val="zh-CN"/>
        </w:rPr>
        <w:t>1个本级预算安排项目支出绩效目标申报表。绩效目标申报表设定了年度总体目标，完善了产出、效益和满意度等指标。</w:t>
      </w:r>
    </w:p>
    <w:p>
      <w:pPr>
        <w:autoSpaceDE w:val="0"/>
        <w:autoSpaceDN w:val="0"/>
        <w:adjustRightInd w:val="0"/>
        <w:spacing w:line="600" w:lineRule="exact"/>
        <w:ind w:firstLine="640" w:firstLineChars="200"/>
        <w:jc w:val="left"/>
        <w:outlineLvl w:val="2"/>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（2）目标完成</w:t>
      </w:r>
    </w:p>
    <w:p>
      <w:pPr>
        <w:tabs>
          <w:tab w:val="left" w:pos="3885"/>
        </w:tabs>
        <w:snapToGrid w:val="0"/>
        <w:spacing w:line="600" w:lineRule="exact"/>
        <w:ind w:firstLine="640" w:firstLineChars="200"/>
        <w:jc w:val="left"/>
        <w:rPr>
          <w:rFonts w:ascii="仿宋_GB2312" w:hAnsi="Calibri" w:eastAsia="仿宋_GB2312" w:cs="仿宋"/>
          <w:kern w:val="0"/>
          <w:sz w:val="32"/>
          <w:szCs w:val="32"/>
          <w:lang w:val="zh-CN"/>
        </w:rPr>
      </w:pPr>
      <w:r>
        <w:rPr>
          <w:rFonts w:hint="eastAsia" w:ascii="仿宋_GB2312" w:hAnsi="仿宋_GB2312" w:eastAsia="仿宋_GB2312" w:cs="仿宋_GB2312"/>
          <w:sz w:val="32"/>
          <w:szCs w:val="21"/>
          <w:shd w:val="clear" w:color="auto" w:fill="FFFFFF"/>
          <w:lang w:val="zh-CN"/>
        </w:rPr>
        <w:t>区红十字会为2022年新成立部门</w:t>
      </w:r>
      <w:r>
        <w:rPr>
          <w:rFonts w:hint="eastAsia" w:eastAsia="仿宋_GB2312"/>
          <w:sz w:val="32"/>
          <w:szCs w:val="32"/>
          <w:shd w:val="clear" w:color="auto" w:fill="FFFFFF"/>
        </w:rPr>
        <w:t>，根据中共遂宁市安居区委常委会2022年5月7日第38期会议（五届46次）精神，区红十字会换届选举相关工作开展，计划申报“第一次会员代表大会”项目经费4</w:t>
      </w:r>
      <w:r>
        <w:rPr>
          <w:rFonts w:hint="eastAsia" w:ascii="仿宋_GB2312" w:hAnsi="Calibri" w:eastAsia="仿宋_GB2312" w:cs="仿宋"/>
          <w:kern w:val="0"/>
          <w:sz w:val="32"/>
          <w:szCs w:val="32"/>
          <w:lang w:val="zh-CN"/>
        </w:rPr>
        <w:t>万元。</w:t>
      </w:r>
      <w:r>
        <w:rPr>
          <w:rFonts w:ascii="仿宋_GB2312" w:hAnsi="Calibri" w:eastAsia="仿宋_GB2312" w:cs="仿宋"/>
          <w:kern w:val="0"/>
          <w:sz w:val="32"/>
          <w:szCs w:val="32"/>
          <w:lang w:val="zh-CN"/>
        </w:rPr>
        <w:t>按照年度目标，</w:t>
      </w:r>
      <w:r>
        <w:rPr>
          <w:rFonts w:hint="eastAsia" w:ascii="仿宋_GB2312" w:hAnsi="Calibri" w:eastAsia="仿宋_GB2312" w:cs="仿宋"/>
          <w:kern w:val="0"/>
          <w:sz w:val="32"/>
          <w:szCs w:val="32"/>
          <w:lang w:val="zh-CN"/>
        </w:rPr>
        <w:t>成功召开区红十字会第一次会员代表大会。</w:t>
      </w:r>
    </w:p>
    <w:p>
      <w:pPr>
        <w:autoSpaceDE w:val="0"/>
        <w:autoSpaceDN w:val="0"/>
        <w:adjustRightInd w:val="0"/>
        <w:spacing w:line="600" w:lineRule="exact"/>
        <w:ind w:firstLine="640" w:firstLineChars="200"/>
        <w:jc w:val="left"/>
        <w:outlineLvl w:val="2"/>
        <w:rPr>
          <w:rFonts w:ascii="楷体_GB2312" w:hAnsi="Calibri" w:eastAsia="楷体_GB2312" w:cs="仿宋"/>
          <w:kern w:val="0"/>
          <w:sz w:val="32"/>
          <w:szCs w:val="32"/>
          <w:lang w:val="zh-CN"/>
        </w:rPr>
      </w:pPr>
      <w:r>
        <w:rPr>
          <w:rFonts w:hint="eastAsia" w:ascii="楷体_GB2312" w:hAnsi="Calibri" w:eastAsia="楷体_GB2312" w:cs="仿宋"/>
          <w:kern w:val="0"/>
          <w:sz w:val="32"/>
          <w:szCs w:val="32"/>
          <w:lang w:val="zh-CN"/>
        </w:rPr>
        <w:t>2.预算执行</w:t>
      </w:r>
    </w:p>
    <w:p>
      <w:pPr>
        <w:autoSpaceDE w:val="0"/>
        <w:autoSpaceDN w:val="0"/>
        <w:adjustRightInd w:val="0"/>
        <w:spacing w:line="600" w:lineRule="exact"/>
        <w:ind w:firstLine="640" w:firstLineChars="200"/>
        <w:jc w:val="left"/>
        <w:outlineLvl w:val="2"/>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（1）支出控制</w:t>
      </w:r>
    </w:p>
    <w:p>
      <w:pPr>
        <w:autoSpaceDE w:val="0"/>
        <w:autoSpaceDN w:val="0"/>
        <w:adjustRightInd w:val="0"/>
        <w:spacing w:line="600" w:lineRule="exact"/>
        <w:ind w:firstLine="640" w:firstLineChars="200"/>
        <w:jc w:val="left"/>
        <w:outlineLvl w:val="2"/>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日常公用经费、项目支出中“办公费、印刷费、差旅费、会议费”等4个科目年初预算数与决算数偏差程度偏差在合理范围内。</w:t>
      </w:r>
    </w:p>
    <w:p>
      <w:pPr>
        <w:autoSpaceDE w:val="0"/>
        <w:autoSpaceDN w:val="0"/>
        <w:adjustRightInd w:val="0"/>
        <w:spacing w:line="600" w:lineRule="exact"/>
        <w:ind w:firstLine="640" w:firstLineChars="200"/>
        <w:jc w:val="left"/>
        <w:outlineLvl w:val="2"/>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（2）执行进度</w:t>
      </w:r>
    </w:p>
    <w:p>
      <w:pPr>
        <w:autoSpaceDE w:val="0"/>
        <w:autoSpaceDN w:val="0"/>
        <w:adjustRightInd w:val="0"/>
        <w:spacing w:line="600" w:lineRule="exact"/>
        <w:ind w:firstLine="640" w:firstLineChars="200"/>
        <w:jc w:val="left"/>
        <w:outlineLvl w:val="2"/>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我单位2022年9月、11月的实际支出进度情况已达到执行进度目标（9、11月目标为67.5%，82.5%），所以执行进度达标。</w:t>
      </w:r>
    </w:p>
    <w:p>
      <w:pPr>
        <w:autoSpaceDE w:val="0"/>
        <w:autoSpaceDN w:val="0"/>
        <w:adjustRightInd w:val="0"/>
        <w:spacing w:line="600" w:lineRule="exact"/>
        <w:ind w:firstLine="640" w:firstLineChars="200"/>
        <w:jc w:val="left"/>
        <w:outlineLvl w:val="2"/>
        <w:rPr>
          <w:rFonts w:ascii="楷体_GB2312" w:hAnsi="Calibri" w:eastAsia="楷体_GB2312" w:cs="仿宋"/>
          <w:kern w:val="0"/>
          <w:sz w:val="32"/>
          <w:szCs w:val="32"/>
          <w:lang w:val="zh-CN"/>
        </w:rPr>
      </w:pPr>
      <w:r>
        <w:rPr>
          <w:rFonts w:hint="eastAsia" w:ascii="楷体_GB2312" w:hAnsi="Calibri" w:eastAsia="楷体_GB2312" w:cs="仿宋"/>
          <w:kern w:val="0"/>
          <w:sz w:val="32"/>
          <w:szCs w:val="32"/>
          <w:lang w:val="zh-CN"/>
        </w:rPr>
        <w:t>3．完成结果</w:t>
      </w:r>
    </w:p>
    <w:p>
      <w:pPr>
        <w:autoSpaceDE w:val="0"/>
        <w:autoSpaceDN w:val="0"/>
        <w:adjustRightInd w:val="0"/>
        <w:spacing w:line="600" w:lineRule="exact"/>
        <w:ind w:firstLine="640" w:firstLineChars="200"/>
        <w:jc w:val="left"/>
        <w:outlineLvl w:val="2"/>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（1）预算完成</w:t>
      </w:r>
    </w:p>
    <w:p>
      <w:pPr>
        <w:autoSpaceDE w:val="0"/>
        <w:autoSpaceDN w:val="0"/>
        <w:adjustRightInd w:val="0"/>
        <w:spacing w:line="600" w:lineRule="exact"/>
        <w:ind w:firstLine="640" w:firstLineChars="200"/>
        <w:jc w:val="left"/>
        <w:outlineLvl w:val="2"/>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2022年度部门决算表中的项目收入支出决算表，项目收入4万元，实际支出4万元，结转和结余0元。2022年12月部门预算项目执行进度为100%，预算完成情况达标。</w:t>
      </w:r>
    </w:p>
    <w:p>
      <w:pPr>
        <w:autoSpaceDE w:val="0"/>
        <w:autoSpaceDN w:val="0"/>
        <w:adjustRightInd w:val="0"/>
        <w:spacing w:line="600" w:lineRule="exact"/>
        <w:ind w:firstLine="640" w:firstLineChars="200"/>
        <w:jc w:val="left"/>
        <w:outlineLvl w:val="2"/>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（2）违规记录</w:t>
      </w:r>
    </w:p>
    <w:p>
      <w:pPr>
        <w:autoSpaceDE w:val="0"/>
        <w:autoSpaceDN w:val="0"/>
        <w:adjustRightInd w:val="0"/>
        <w:spacing w:line="600" w:lineRule="exact"/>
        <w:ind w:firstLine="640" w:firstLineChars="200"/>
        <w:jc w:val="left"/>
        <w:outlineLvl w:val="2"/>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我局在2022年度未进行审计监督、财政检查等，在部门预算管理方面未发现违规违纪的问题。</w:t>
      </w:r>
    </w:p>
    <w:p>
      <w:pPr>
        <w:spacing w:line="560" w:lineRule="exact"/>
        <w:ind w:firstLine="640" w:firstLineChars="200"/>
        <w:rPr>
          <w:rFonts w:ascii="楷体" w:hAnsi="楷体" w:eastAsia="楷体" w:cs="楷体"/>
          <w:bCs/>
          <w:sz w:val="32"/>
          <w:szCs w:val="32"/>
          <w:lang w:val="zh-CN" w:bidi="zh-TW"/>
        </w:rPr>
      </w:pPr>
      <w:r>
        <w:rPr>
          <w:rFonts w:hint="eastAsia" w:ascii="楷体" w:hAnsi="楷体" w:eastAsia="楷体" w:cs="楷体"/>
          <w:bCs/>
          <w:sz w:val="32"/>
          <w:szCs w:val="32"/>
          <w:lang w:val="zh-CN" w:bidi="zh-TW"/>
        </w:rPr>
        <w:t>（</w:t>
      </w:r>
      <w:r>
        <w:rPr>
          <w:rFonts w:hint="eastAsia" w:ascii="楷体" w:hAnsi="楷体" w:eastAsia="楷体" w:cs="楷体"/>
          <w:bCs/>
          <w:sz w:val="32"/>
          <w:szCs w:val="32"/>
          <w:lang w:bidi="zh-TW"/>
        </w:rPr>
        <w:t>二</w:t>
      </w:r>
      <w:r>
        <w:rPr>
          <w:rFonts w:hint="eastAsia" w:ascii="楷体" w:hAnsi="楷体" w:eastAsia="楷体" w:cs="楷体"/>
          <w:bCs/>
          <w:sz w:val="32"/>
          <w:szCs w:val="32"/>
          <w:lang w:val="zh-CN" w:bidi="zh-TW"/>
        </w:rPr>
        <w:t>）结果应用情况</w:t>
      </w:r>
    </w:p>
    <w:p>
      <w:pPr>
        <w:snapToGrid w:val="0"/>
        <w:spacing w:line="560" w:lineRule="exact"/>
        <w:ind w:firstLine="640" w:firstLineChars="200"/>
        <w:rPr>
          <w:rFonts w:eastAsia="仿宋"/>
          <w:sz w:val="32"/>
          <w:szCs w:val="32"/>
        </w:rPr>
      </w:pPr>
      <w:r>
        <w:rPr>
          <w:rFonts w:hint="eastAsia" w:ascii="仿宋_GB2312" w:hAnsi="Calibri" w:eastAsia="仿宋_GB2312" w:cs="仿宋"/>
          <w:kern w:val="0"/>
          <w:sz w:val="32"/>
          <w:szCs w:val="32"/>
          <w:lang w:val="zh-CN"/>
        </w:rPr>
        <w:t>按时将部门的预算、决算、绩效评价情况相关信息在安居区政务网上进行了公开。2022年严格按照支出绩效评价指标体系内容开展绩效管理工作，财务状况更加公开、透明。</w:t>
      </w:r>
    </w:p>
    <w:p>
      <w:pPr>
        <w:pStyle w:val="4"/>
        <w:spacing w:line="560" w:lineRule="exact"/>
        <w:ind w:firstLine="640" w:firstLineChars="200"/>
        <w:rPr>
          <w:rFonts w:ascii="黑体" w:eastAsia="黑体"/>
          <w:b w:val="0"/>
        </w:rPr>
      </w:pPr>
      <w:r>
        <w:rPr>
          <w:rFonts w:hint="eastAsia" w:ascii="黑体" w:eastAsia="黑体"/>
          <w:b w:val="0"/>
        </w:rPr>
        <w:t>四、评价结论及建议</w:t>
      </w:r>
    </w:p>
    <w:p>
      <w:pPr>
        <w:pStyle w:val="40"/>
        <w:tabs>
          <w:tab w:val="left" w:pos="1240"/>
        </w:tabs>
        <w:spacing w:line="560" w:lineRule="exact"/>
        <w:ind w:firstLine="640" w:firstLineChars="200"/>
        <w:rPr>
          <w:rFonts w:ascii="仿宋_GB2312" w:hAnsi="Calibri" w:eastAsia="仿宋_GB2312" w:cs="仿宋"/>
          <w:kern w:val="0"/>
          <w:sz w:val="32"/>
          <w:szCs w:val="32"/>
          <w:lang w:val="zh-CN" w:eastAsia="zh-CN" w:bidi="ar-SA"/>
        </w:rPr>
      </w:pPr>
      <w:r>
        <w:rPr>
          <w:rFonts w:hint="eastAsia" w:ascii="楷体" w:hAnsi="楷体" w:eastAsia="楷体" w:cs="楷体"/>
          <w:bCs/>
          <w:sz w:val="32"/>
          <w:szCs w:val="32"/>
          <w:lang w:val="zh-CN" w:eastAsia="zh-CN"/>
        </w:rPr>
        <w:t>（一）评价结论。</w:t>
      </w:r>
      <w:r>
        <w:rPr>
          <w:rFonts w:hint="eastAsia" w:ascii="仿宋_GB2312" w:hAnsi="Calibri" w:eastAsia="仿宋_GB2312" w:cs="仿宋"/>
          <w:kern w:val="0"/>
          <w:sz w:val="32"/>
          <w:szCs w:val="32"/>
          <w:lang w:val="en-US" w:eastAsia="zh-CN" w:bidi="ar-SA"/>
        </w:rPr>
        <w:t>区红十字会</w:t>
      </w:r>
      <w:r>
        <w:rPr>
          <w:rFonts w:ascii="Times New Roman" w:hAnsi="Times New Roman" w:eastAsia="仿宋_GB2312" w:cs="Times New Roman"/>
          <w:sz w:val="32"/>
          <w:szCs w:val="32"/>
          <w:lang w:val="en-US" w:eastAsia="zh-CN"/>
        </w:rPr>
        <w:t>按照预算绩效管理要求，不断建立内部管理制度，梳理内部管理流程，部门整体支出管理水平得到提升</w:t>
      </w:r>
      <w:r>
        <w:rPr>
          <w:rFonts w:hint="eastAsia" w:ascii="Times New Roman" w:hAnsi="Times New Roman" w:eastAsia="仿宋_GB2312" w:cs="Times New Roman"/>
          <w:sz w:val="32"/>
          <w:szCs w:val="32"/>
          <w:lang w:val="en-US" w:eastAsia="zh-CN"/>
        </w:rPr>
        <w:t>。</w:t>
      </w:r>
      <w:r>
        <w:rPr>
          <w:rFonts w:hint="eastAsia" w:ascii="仿宋_GB2312" w:hAnsi="Calibri" w:eastAsia="仿宋_GB2312" w:cs="仿宋"/>
          <w:kern w:val="0"/>
          <w:sz w:val="32"/>
          <w:szCs w:val="32"/>
          <w:lang w:val="zh-CN" w:eastAsia="zh-CN" w:bidi="ar-SA"/>
        </w:rPr>
        <w:t>在预算执行管理工作中，严格按照预算确定的资金类别和用途执行，实时监控预算执行进度。2022年部门支出与年初预算基本一致，总体达到了单位预期的绩效目标，绩效目标完成情况良好，自评得分100分（详见附表）。</w:t>
      </w:r>
    </w:p>
    <w:p>
      <w:pPr>
        <w:spacing w:line="560" w:lineRule="exact"/>
        <w:ind w:firstLine="640" w:firstLineChars="200"/>
        <w:rPr>
          <w:rFonts w:ascii="仿宋_GB2312" w:hAnsi="Calibri" w:eastAsia="仿宋_GB2312" w:cs="仿宋"/>
          <w:kern w:val="0"/>
          <w:sz w:val="32"/>
          <w:szCs w:val="32"/>
          <w:lang w:val="zh-CN"/>
        </w:rPr>
      </w:pPr>
      <w:r>
        <w:rPr>
          <w:rFonts w:hint="eastAsia" w:ascii="楷体" w:hAnsi="楷体" w:eastAsia="楷体" w:cs="楷体"/>
          <w:bCs/>
          <w:sz w:val="32"/>
          <w:szCs w:val="32"/>
          <w:lang w:val="zh-CN"/>
        </w:rPr>
        <w:t>（二）存在问题。</w:t>
      </w:r>
      <w:r>
        <w:rPr>
          <w:rFonts w:hint="eastAsia" w:ascii="仿宋_GB2312" w:hAnsi="Calibri" w:eastAsia="仿宋_GB2312" w:cs="仿宋"/>
          <w:kern w:val="0"/>
          <w:sz w:val="32"/>
          <w:szCs w:val="32"/>
          <w:lang w:val="zh-CN"/>
        </w:rPr>
        <w:t>一是预算编制精不够；二是预算执行进度把控不够及时；三是业务水平有待提升。</w:t>
      </w:r>
    </w:p>
    <w:p>
      <w:pPr>
        <w:widowControl/>
        <w:ind w:firstLine="640" w:firstLineChars="200"/>
        <w:rPr>
          <w:rFonts w:ascii="仿宋_GB2312" w:hAnsi="Calibri" w:eastAsia="仿宋_GB2312" w:cs="仿宋"/>
          <w:kern w:val="0"/>
          <w:sz w:val="32"/>
          <w:szCs w:val="32"/>
        </w:rPr>
      </w:pPr>
      <w:r>
        <w:rPr>
          <w:rFonts w:hint="eastAsia" w:ascii="楷体" w:hAnsi="楷体" w:eastAsia="楷体" w:cs="楷体"/>
          <w:bCs/>
          <w:sz w:val="32"/>
          <w:szCs w:val="32"/>
          <w:lang w:val="zh-CN"/>
        </w:rPr>
        <w:t>（三）改进建议。</w:t>
      </w:r>
      <w:r>
        <w:rPr>
          <w:rFonts w:hint="eastAsia" w:ascii="仿宋_GB2312" w:hAnsi="Calibri" w:eastAsia="仿宋_GB2312" w:cs="仿宋"/>
          <w:kern w:val="0"/>
          <w:sz w:val="32"/>
          <w:szCs w:val="32"/>
        </w:rPr>
        <w:t>区红十字会将进一步</w:t>
      </w:r>
      <w:r>
        <w:rPr>
          <w:rFonts w:hint="eastAsia" w:ascii="仿宋_GB2312" w:hAnsi="Calibri" w:eastAsia="仿宋_GB2312" w:cs="仿宋"/>
          <w:kern w:val="0"/>
          <w:sz w:val="32"/>
          <w:szCs w:val="32"/>
          <w:lang w:val="zh-CN"/>
        </w:rPr>
        <w:t>加强预算编制的统筹管理，增强资金需求测算必要性、科学性，强化预算编制指导工作项目支出制度建设，</w:t>
      </w:r>
      <w:r>
        <w:rPr>
          <w:rFonts w:hint="eastAsia" w:ascii="仿宋_GB2312" w:hAnsi="Calibri" w:eastAsia="仿宋_GB2312" w:cs="仿宋"/>
          <w:kern w:val="0"/>
          <w:sz w:val="32"/>
          <w:szCs w:val="32"/>
        </w:rPr>
        <w:t>建立健全</w:t>
      </w:r>
      <w:r>
        <w:rPr>
          <w:rFonts w:hint="eastAsia" w:ascii="仿宋_GB2312" w:hAnsi="Calibri" w:eastAsia="仿宋_GB2312" w:cs="仿宋"/>
          <w:kern w:val="0"/>
          <w:sz w:val="32"/>
          <w:szCs w:val="32"/>
          <w:lang w:val="zh-CN"/>
        </w:rPr>
        <w:t>管理办法；充实完善项目库，实现真正意义的动态管理，根据财力状况及各项目在履行</w:t>
      </w:r>
      <w:r>
        <w:rPr>
          <w:rFonts w:hint="eastAsia" w:ascii="仿宋_GB2312" w:hAnsi="Calibri" w:eastAsia="仿宋_GB2312" w:cs="仿宋"/>
          <w:kern w:val="0"/>
          <w:sz w:val="32"/>
          <w:szCs w:val="32"/>
        </w:rPr>
        <w:t>单位</w:t>
      </w:r>
      <w:r>
        <w:rPr>
          <w:rFonts w:hint="eastAsia" w:ascii="仿宋_GB2312" w:hAnsi="Calibri" w:eastAsia="仿宋_GB2312" w:cs="仿宋"/>
          <w:kern w:val="0"/>
          <w:sz w:val="32"/>
          <w:szCs w:val="32"/>
          <w:lang w:val="zh-CN"/>
        </w:rPr>
        <w:t>职能方面的轻重缓急程度顺序安排预算；</w:t>
      </w:r>
      <w:r>
        <w:rPr>
          <w:rFonts w:hint="eastAsia" w:ascii="仿宋_GB2312" w:hAnsi="Calibri" w:eastAsia="仿宋_GB2312" w:cs="仿宋"/>
          <w:kern w:val="0"/>
          <w:sz w:val="32"/>
          <w:szCs w:val="32"/>
        </w:rPr>
        <w:t>积极开展</w:t>
      </w:r>
      <w:r>
        <w:rPr>
          <w:rFonts w:hint="eastAsia" w:ascii="仿宋_GB2312" w:hAnsi="Calibri" w:eastAsia="仿宋_GB2312" w:cs="仿宋"/>
          <w:kern w:val="0"/>
          <w:sz w:val="32"/>
          <w:szCs w:val="32"/>
          <w:lang w:val="zh-CN"/>
        </w:rPr>
        <w:t>资金</w:t>
      </w:r>
      <w:r>
        <w:rPr>
          <w:rFonts w:hint="eastAsia" w:ascii="仿宋_GB2312" w:hAnsi="Calibri" w:eastAsia="仿宋_GB2312" w:cs="仿宋"/>
          <w:kern w:val="0"/>
          <w:sz w:val="32"/>
          <w:szCs w:val="32"/>
        </w:rPr>
        <w:t>绩效</w:t>
      </w:r>
      <w:r>
        <w:rPr>
          <w:rFonts w:hint="eastAsia" w:ascii="仿宋_GB2312" w:hAnsi="Calibri" w:eastAsia="仿宋_GB2312" w:cs="仿宋"/>
          <w:kern w:val="0"/>
          <w:sz w:val="32"/>
          <w:szCs w:val="32"/>
          <w:lang w:val="zh-CN"/>
        </w:rPr>
        <w:t>评价，建立从事前立项审批到事后追踪问效</w:t>
      </w:r>
      <w:r>
        <w:rPr>
          <w:rFonts w:hint="eastAsia" w:ascii="仿宋_GB2312" w:hAnsi="Calibri" w:eastAsia="仿宋_GB2312" w:cs="仿宋"/>
          <w:kern w:val="0"/>
          <w:sz w:val="32"/>
          <w:szCs w:val="32"/>
        </w:rPr>
        <w:t>制度</w:t>
      </w:r>
      <w:r>
        <w:rPr>
          <w:rFonts w:hint="eastAsia" w:ascii="仿宋_GB2312" w:hAnsi="Calibri" w:eastAsia="仿宋_GB2312" w:cs="仿宋"/>
          <w:kern w:val="0"/>
          <w:sz w:val="32"/>
          <w:szCs w:val="32"/>
          <w:lang w:val="zh-CN"/>
        </w:rPr>
        <w:t>，实现资金效益最大化。</w:t>
      </w:r>
      <w:r>
        <w:rPr>
          <w:rFonts w:hint="eastAsia" w:ascii="仿宋_GB2312" w:hAnsi="Calibri" w:eastAsia="仿宋_GB2312" w:cs="仿宋"/>
          <w:kern w:val="0"/>
          <w:sz w:val="32"/>
          <w:szCs w:val="32"/>
        </w:rPr>
        <w:t>加强各项业务培训，提升执行能力。加强对绩效评价、预算执行、内控制度相关规定的学习培训，提高综合业务水平。</w:t>
      </w:r>
    </w:p>
    <w:p>
      <w:pPr>
        <w:pStyle w:val="38"/>
        <w:spacing w:after="0" w:line="560" w:lineRule="exact"/>
        <w:jc w:val="left"/>
        <w:rPr>
          <w:rFonts w:ascii="仿宋_GB2312" w:hAnsi="Calibri" w:eastAsia="仿宋_GB2312" w:cs="仿宋"/>
          <w:kern w:val="0"/>
          <w:sz w:val="32"/>
          <w:szCs w:val="32"/>
          <w:lang w:val="zh-CN" w:eastAsia="zh-CN" w:bidi="ar-SA"/>
        </w:rPr>
      </w:pPr>
    </w:p>
    <w:p>
      <w:pPr>
        <w:widowControl/>
        <w:adjustRightInd w:val="0"/>
        <w:snapToGrid w:val="0"/>
        <w:spacing w:line="62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附表1：整体支出绩效目标申报表</w:t>
      </w:r>
    </w:p>
    <w:tbl>
      <w:tblPr>
        <w:tblStyle w:val="18"/>
        <w:tblW w:w="8960" w:type="dxa"/>
        <w:tblInd w:w="93" w:type="dxa"/>
        <w:tblLayout w:type="autofit"/>
        <w:tblCellMar>
          <w:top w:w="0" w:type="dxa"/>
          <w:left w:w="108" w:type="dxa"/>
          <w:bottom w:w="0" w:type="dxa"/>
          <w:right w:w="108" w:type="dxa"/>
        </w:tblCellMar>
      </w:tblPr>
      <w:tblGrid>
        <w:gridCol w:w="691"/>
        <w:gridCol w:w="810"/>
        <w:gridCol w:w="610"/>
        <w:gridCol w:w="451"/>
        <w:gridCol w:w="959"/>
        <w:gridCol w:w="1030"/>
        <w:gridCol w:w="918"/>
        <w:gridCol w:w="1030"/>
        <w:gridCol w:w="1030"/>
        <w:gridCol w:w="656"/>
        <w:gridCol w:w="775"/>
      </w:tblGrid>
      <w:tr>
        <w:tblPrEx>
          <w:tblCellMar>
            <w:top w:w="0" w:type="dxa"/>
            <w:left w:w="108" w:type="dxa"/>
            <w:bottom w:w="0" w:type="dxa"/>
            <w:right w:w="108" w:type="dxa"/>
          </w:tblCellMar>
        </w:tblPrEx>
        <w:trPr>
          <w:trHeight w:val="287" w:hRule="atLeast"/>
        </w:trPr>
        <w:tc>
          <w:tcPr>
            <w:tcW w:w="8960"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b/>
                <w:color w:val="000000"/>
                <w:kern w:val="0"/>
                <w:sz w:val="24"/>
              </w:rPr>
            </w:pPr>
            <w:r>
              <w:rPr>
                <w:rFonts w:hint="eastAsia" w:ascii="黑体" w:hAnsi="黑体" w:eastAsia="黑体" w:cs="宋体"/>
                <w:b/>
                <w:color w:val="000000"/>
                <w:kern w:val="0"/>
                <w:sz w:val="24"/>
              </w:rPr>
              <w:t>整体支出绩效目标申报表</w:t>
            </w:r>
            <w:r>
              <w:rPr>
                <w:rFonts w:hint="eastAsia" w:ascii="宋体" w:hAnsi="宋体" w:cs="宋体"/>
                <w:b/>
                <w:color w:val="000000"/>
                <w:kern w:val="0"/>
                <w:sz w:val="24"/>
              </w:rPr>
              <w:t>（2022年度）</w:t>
            </w:r>
          </w:p>
        </w:tc>
      </w:tr>
      <w:tr>
        <w:tblPrEx>
          <w:tblCellMar>
            <w:top w:w="0" w:type="dxa"/>
            <w:left w:w="108" w:type="dxa"/>
            <w:bottom w:w="0" w:type="dxa"/>
            <w:right w:w="108" w:type="dxa"/>
          </w:tblCellMar>
        </w:tblPrEx>
        <w:trPr>
          <w:trHeight w:val="369" w:hRule="atLeast"/>
        </w:trPr>
        <w:tc>
          <w:tcPr>
            <w:tcW w:w="211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部门名称</w:t>
            </w:r>
          </w:p>
        </w:tc>
        <w:tc>
          <w:tcPr>
            <w:tcW w:w="6849"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遂宁市安居区红十字会</w:t>
            </w:r>
          </w:p>
        </w:tc>
      </w:tr>
      <w:tr>
        <w:tblPrEx>
          <w:tblCellMar>
            <w:top w:w="0" w:type="dxa"/>
            <w:left w:w="108" w:type="dxa"/>
            <w:bottom w:w="0" w:type="dxa"/>
            <w:right w:w="108" w:type="dxa"/>
          </w:tblCellMar>
        </w:tblPrEx>
        <w:trPr>
          <w:trHeight w:val="270" w:hRule="atLeast"/>
        </w:trPr>
        <w:tc>
          <w:tcPr>
            <w:tcW w:w="69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年度主要任务</w:t>
            </w:r>
          </w:p>
        </w:tc>
        <w:tc>
          <w:tcPr>
            <w:tcW w:w="14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任务名称</w:t>
            </w:r>
          </w:p>
        </w:tc>
        <w:tc>
          <w:tcPr>
            <w:tcW w:w="6849"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主要内容</w:t>
            </w:r>
          </w:p>
        </w:tc>
      </w:tr>
      <w:tr>
        <w:tblPrEx>
          <w:tblCellMar>
            <w:top w:w="0" w:type="dxa"/>
            <w:left w:w="108" w:type="dxa"/>
            <w:bottom w:w="0" w:type="dxa"/>
            <w:right w:w="108" w:type="dxa"/>
          </w:tblCellMar>
        </w:tblPrEx>
        <w:trPr>
          <w:trHeight w:val="297" w:hRule="atLeast"/>
        </w:trPr>
        <w:tc>
          <w:tcPr>
            <w:tcW w:w="69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4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人员经费支出</w:t>
            </w:r>
          </w:p>
        </w:tc>
        <w:tc>
          <w:tcPr>
            <w:tcW w:w="6849"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机关人员基本工资、津补贴、奖金等</w:t>
            </w:r>
          </w:p>
        </w:tc>
      </w:tr>
      <w:tr>
        <w:tblPrEx>
          <w:tblCellMar>
            <w:top w:w="0" w:type="dxa"/>
            <w:left w:w="108" w:type="dxa"/>
            <w:bottom w:w="0" w:type="dxa"/>
            <w:right w:w="108" w:type="dxa"/>
          </w:tblCellMar>
        </w:tblPrEx>
        <w:trPr>
          <w:trHeight w:val="569" w:hRule="atLeast"/>
        </w:trPr>
        <w:tc>
          <w:tcPr>
            <w:tcW w:w="69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4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公用经费支出</w:t>
            </w:r>
          </w:p>
        </w:tc>
        <w:tc>
          <w:tcPr>
            <w:tcW w:w="6849"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机关工作正常运转，包含办公费、水电费、邮电费、公务接待费、工会经费等</w:t>
            </w:r>
          </w:p>
        </w:tc>
      </w:tr>
      <w:tr>
        <w:tblPrEx>
          <w:tblCellMar>
            <w:top w:w="0" w:type="dxa"/>
            <w:left w:w="108" w:type="dxa"/>
            <w:bottom w:w="0" w:type="dxa"/>
            <w:right w:w="108" w:type="dxa"/>
          </w:tblCellMar>
        </w:tblPrEx>
        <w:trPr>
          <w:trHeight w:val="570" w:hRule="atLeast"/>
        </w:trPr>
        <w:tc>
          <w:tcPr>
            <w:tcW w:w="69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2830"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预算安排、执行情况</w:t>
            </w:r>
          </w:p>
        </w:tc>
        <w:tc>
          <w:tcPr>
            <w:tcW w:w="103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年初预算数</w:t>
            </w:r>
          </w:p>
        </w:tc>
        <w:tc>
          <w:tcPr>
            <w:tcW w:w="9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追加预算</w:t>
            </w:r>
          </w:p>
        </w:tc>
        <w:tc>
          <w:tcPr>
            <w:tcW w:w="103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年末决算数</w:t>
            </w:r>
          </w:p>
        </w:tc>
        <w:tc>
          <w:tcPr>
            <w:tcW w:w="103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预算支出数</w:t>
            </w:r>
          </w:p>
        </w:tc>
        <w:tc>
          <w:tcPr>
            <w:tcW w:w="1431"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预算执行率</w:t>
            </w:r>
          </w:p>
        </w:tc>
      </w:tr>
      <w:tr>
        <w:tblPrEx>
          <w:tblCellMar>
            <w:top w:w="0" w:type="dxa"/>
            <w:left w:w="108" w:type="dxa"/>
            <w:bottom w:w="0" w:type="dxa"/>
            <w:right w:w="108" w:type="dxa"/>
          </w:tblCellMar>
        </w:tblPrEx>
        <w:trPr>
          <w:trHeight w:val="570" w:hRule="atLeast"/>
        </w:trPr>
        <w:tc>
          <w:tcPr>
            <w:tcW w:w="69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283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0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43.42</w:t>
            </w: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0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43.42</w:t>
            </w:r>
          </w:p>
        </w:tc>
        <w:tc>
          <w:tcPr>
            <w:tcW w:w="10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43.42</w:t>
            </w:r>
          </w:p>
        </w:tc>
        <w:tc>
          <w:tcPr>
            <w:tcW w:w="1431"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trHeight w:val="1144" w:hRule="atLeast"/>
        </w:trPr>
        <w:tc>
          <w:tcPr>
            <w:tcW w:w="6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年度总体目标</w:t>
            </w:r>
          </w:p>
        </w:tc>
        <w:tc>
          <w:tcPr>
            <w:tcW w:w="8269" w:type="dxa"/>
            <w:gridSpan w:val="10"/>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一是围绕“三救三献”主要职能职责开展工作；二是按时完成区红十字会各项相关工作。</w:t>
            </w:r>
          </w:p>
        </w:tc>
      </w:tr>
      <w:tr>
        <w:tblPrEx>
          <w:tblCellMar>
            <w:top w:w="0" w:type="dxa"/>
            <w:left w:w="108" w:type="dxa"/>
            <w:bottom w:w="0" w:type="dxa"/>
            <w:right w:w="108" w:type="dxa"/>
          </w:tblCellMar>
        </w:tblPrEx>
        <w:trPr>
          <w:trHeight w:val="570" w:hRule="atLeast"/>
        </w:trPr>
        <w:tc>
          <w:tcPr>
            <w:tcW w:w="69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年度绩效指标</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一级指标</w:t>
            </w:r>
          </w:p>
        </w:tc>
        <w:tc>
          <w:tcPr>
            <w:tcW w:w="106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二级指标</w:t>
            </w:r>
          </w:p>
        </w:tc>
        <w:tc>
          <w:tcPr>
            <w:tcW w:w="198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三级指标</w:t>
            </w:r>
          </w:p>
        </w:tc>
        <w:tc>
          <w:tcPr>
            <w:tcW w:w="194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指标值（包含数字及文字描述）</w:t>
            </w:r>
          </w:p>
        </w:tc>
        <w:tc>
          <w:tcPr>
            <w:tcW w:w="103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完成值</w:t>
            </w:r>
          </w:p>
        </w:tc>
        <w:tc>
          <w:tcPr>
            <w:tcW w:w="6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权重</w:t>
            </w:r>
          </w:p>
        </w:tc>
        <w:tc>
          <w:tcPr>
            <w:tcW w:w="7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r>
      <w:tr>
        <w:tblPrEx>
          <w:tblCellMar>
            <w:top w:w="0" w:type="dxa"/>
            <w:left w:w="108" w:type="dxa"/>
            <w:bottom w:w="0" w:type="dxa"/>
            <w:right w:w="108" w:type="dxa"/>
          </w:tblCellMar>
        </w:tblPrEx>
        <w:trPr>
          <w:trHeight w:val="570" w:hRule="atLeast"/>
        </w:trPr>
        <w:tc>
          <w:tcPr>
            <w:tcW w:w="69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81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产出指标</w:t>
            </w:r>
          </w:p>
        </w:tc>
        <w:tc>
          <w:tcPr>
            <w:tcW w:w="106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数量指标</w:t>
            </w:r>
          </w:p>
        </w:tc>
        <w:tc>
          <w:tcPr>
            <w:tcW w:w="198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财政供养人数</w:t>
            </w:r>
          </w:p>
        </w:tc>
        <w:tc>
          <w:tcPr>
            <w:tcW w:w="194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≥4人</w:t>
            </w:r>
          </w:p>
        </w:tc>
        <w:tc>
          <w:tcPr>
            <w:tcW w:w="103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i/>
                <w:iCs/>
                <w:color w:val="000000"/>
                <w:kern w:val="0"/>
                <w:sz w:val="20"/>
                <w:szCs w:val="20"/>
              </w:rPr>
            </w:pPr>
            <w:r>
              <w:rPr>
                <w:rFonts w:hint="eastAsia" w:ascii="微软雅黑" w:hAnsi="微软雅黑" w:eastAsia="微软雅黑" w:cs="宋体"/>
                <w:i/>
                <w:iCs/>
                <w:color w:val="000000"/>
                <w:kern w:val="0"/>
                <w:sz w:val="20"/>
                <w:szCs w:val="20"/>
              </w:rPr>
              <w:t>4人</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7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r>
      <w:tr>
        <w:tblPrEx>
          <w:tblCellMar>
            <w:top w:w="0" w:type="dxa"/>
            <w:left w:w="108" w:type="dxa"/>
            <w:bottom w:w="0" w:type="dxa"/>
            <w:right w:w="108" w:type="dxa"/>
          </w:tblCellMar>
        </w:tblPrEx>
        <w:trPr>
          <w:trHeight w:val="570" w:hRule="atLeast"/>
        </w:trPr>
        <w:tc>
          <w:tcPr>
            <w:tcW w:w="69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8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06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质量指标</w:t>
            </w:r>
          </w:p>
        </w:tc>
        <w:tc>
          <w:tcPr>
            <w:tcW w:w="198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公用经费/三公经费控制度  </w:t>
            </w:r>
          </w:p>
        </w:tc>
        <w:tc>
          <w:tcPr>
            <w:tcW w:w="194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3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i/>
                <w:iCs/>
                <w:color w:val="000000"/>
                <w:kern w:val="0"/>
                <w:sz w:val="20"/>
                <w:szCs w:val="20"/>
              </w:rPr>
            </w:pPr>
            <w:r>
              <w:rPr>
                <w:rFonts w:hint="eastAsia" w:ascii="微软雅黑" w:hAnsi="微软雅黑" w:eastAsia="微软雅黑" w:cs="宋体"/>
                <w:i/>
                <w:iCs/>
                <w:color w:val="000000"/>
                <w:kern w:val="0"/>
                <w:sz w:val="20"/>
                <w:szCs w:val="20"/>
              </w:rPr>
              <w:t>≤10%</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7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r>
      <w:tr>
        <w:tblPrEx>
          <w:tblCellMar>
            <w:top w:w="0" w:type="dxa"/>
            <w:left w:w="108" w:type="dxa"/>
            <w:bottom w:w="0" w:type="dxa"/>
            <w:right w:w="108" w:type="dxa"/>
          </w:tblCellMar>
        </w:tblPrEx>
        <w:trPr>
          <w:trHeight w:val="570" w:hRule="atLeast"/>
        </w:trPr>
        <w:tc>
          <w:tcPr>
            <w:tcW w:w="69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8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06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98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年中监控取消额度及年末结余注销额度</w:t>
            </w:r>
          </w:p>
        </w:tc>
        <w:tc>
          <w:tcPr>
            <w:tcW w:w="194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3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i/>
                <w:iCs/>
                <w:color w:val="000000"/>
                <w:kern w:val="0"/>
                <w:sz w:val="20"/>
                <w:szCs w:val="20"/>
              </w:rPr>
            </w:pPr>
            <w:r>
              <w:rPr>
                <w:rFonts w:hint="eastAsia" w:ascii="微软雅黑" w:hAnsi="微软雅黑" w:eastAsia="微软雅黑" w:cs="宋体"/>
                <w:i/>
                <w:iCs/>
                <w:color w:val="000000"/>
                <w:kern w:val="0"/>
                <w:sz w:val="20"/>
                <w:szCs w:val="20"/>
              </w:rPr>
              <w:t>0%</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7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r>
      <w:tr>
        <w:tblPrEx>
          <w:tblCellMar>
            <w:top w:w="0" w:type="dxa"/>
            <w:left w:w="108" w:type="dxa"/>
            <w:bottom w:w="0" w:type="dxa"/>
            <w:right w:w="108" w:type="dxa"/>
          </w:tblCellMar>
        </w:tblPrEx>
        <w:trPr>
          <w:trHeight w:val="570" w:hRule="atLeast"/>
        </w:trPr>
        <w:tc>
          <w:tcPr>
            <w:tcW w:w="69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8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06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98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预算编制准确性   </w:t>
            </w:r>
          </w:p>
        </w:tc>
        <w:tc>
          <w:tcPr>
            <w:tcW w:w="194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103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i/>
                <w:iCs/>
                <w:color w:val="000000"/>
                <w:kern w:val="0"/>
                <w:sz w:val="20"/>
                <w:szCs w:val="20"/>
              </w:rPr>
            </w:pPr>
            <w:r>
              <w:rPr>
                <w:rFonts w:hint="eastAsia" w:ascii="微软雅黑" w:hAnsi="微软雅黑" w:eastAsia="微软雅黑" w:cs="宋体"/>
                <w:i/>
                <w:iCs/>
                <w:color w:val="000000"/>
                <w:kern w:val="0"/>
                <w:sz w:val="20"/>
                <w:szCs w:val="20"/>
              </w:rPr>
              <w:t>85%</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7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r>
      <w:tr>
        <w:tblPrEx>
          <w:tblCellMar>
            <w:top w:w="0" w:type="dxa"/>
            <w:left w:w="108" w:type="dxa"/>
            <w:bottom w:w="0" w:type="dxa"/>
            <w:right w:w="108" w:type="dxa"/>
          </w:tblCellMar>
        </w:tblPrEx>
        <w:trPr>
          <w:trHeight w:val="570" w:hRule="atLeast"/>
        </w:trPr>
        <w:tc>
          <w:tcPr>
            <w:tcW w:w="69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8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06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98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部门预算执行完成进度</w:t>
            </w:r>
          </w:p>
        </w:tc>
        <w:tc>
          <w:tcPr>
            <w:tcW w:w="194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103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i/>
                <w:iCs/>
                <w:color w:val="000000"/>
                <w:kern w:val="0"/>
                <w:sz w:val="20"/>
                <w:szCs w:val="20"/>
              </w:rPr>
            </w:pPr>
            <w:r>
              <w:rPr>
                <w:rFonts w:hint="eastAsia" w:ascii="微软雅黑" w:hAnsi="微软雅黑" w:eastAsia="微软雅黑" w:cs="宋体"/>
                <w:i/>
                <w:iCs/>
                <w:color w:val="000000"/>
                <w:kern w:val="0"/>
                <w:sz w:val="20"/>
                <w:szCs w:val="20"/>
              </w:rPr>
              <w:t>96.66%</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7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r>
      <w:tr>
        <w:tblPrEx>
          <w:tblCellMar>
            <w:top w:w="0" w:type="dxa"/>
            <w:left w:w="108" w:type="dxa"/>
            <w:bottom w:w="0" w:type="dxa"/>
            <w:right w:w="108" w:type="dxa"/>
          </w:tblCellMar>
        </w:tblPrEx>
        <w:trPr>
          <w:trHeight w:val="570" w:hRule="atLeast"/>
        </w:trPr>
        <w:tc>
          <w:tcPr>
            <w:tcW w:w="69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8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06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98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固定资产利用率</w:t>
            </w:r>
          </w:p>
        </w:tc>
        <w:tc>
          <w:tcPr>
            <w:tcW w:w="194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103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i/>
                <w:iCs/>
                <w:color w:val="000000"/>
                <w:kern w:val="0"/>
                <w:sz w:val="20"/>
                <w:szCs w:val="20"/>
              </w:rPr>
            </w:pPr>
            <w:r>
              <w:rPr>
                <w:rFonts w:hint="eastAsia" w:ascii="微软雅黑" w:hAnsi="微软雅黑" w:eastAsia="微软雅黑" w:cs="宋体"/>
                <w:i/>
                <w:iCs/>
                <w:color w:val="000000"/>
                <w:kern w:val="0"/>
                <w:sz w:val="20"/>
                <w:szCs w:val="20"/>
              </w:rPr>
              <w:t>95%</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7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r>
      <w:tr>
        <w:tblPrEx>
          <w:tblCellMar>
            <w:top w:w="0" w:type="dxa"/>
            <w:left w:w="108" w:type="dxa"/>
            <w:bottom w:w="0" w:type="dxa"/>
            <w:right w:w="108" w:type="dxa"/>
          </w:tblCellMar>
        </w:tblPrEx>
        <w:trPr>
          <w:trHeight w:val="570" w:hRule="atLeast"/>
        </w:trPr>
        <w:tc>
          <w:tcPr>
            <w:tcW w:w="69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8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06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98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项目绩效完成偏离度 </w:t>
            </w:r>
          </w:p>
        </w:tc>
        <w:tc>
          <w:tcPr>
            <w:tcW w:w="194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3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6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7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r>
      <w:tr>
        <w:tblPrEx>
          <w:tblCellMar>
            <w:top w:w="0" w:type="dxa"/>
            <w:left w:w="108" w:type="dxa"/>
            <w:bottom w:w="0" w:type="dxa"/>
            <w:right w:w="108" w:type="dxa"/>
          </w:tblCellMar>
        </w:tblPrEx>
        <w:trPr>
          <w:trHeight w:val="570" w:hRule="atLeast"/>
        </w:trPr>
        <w:tc>
          <w:tcPr>
            <w:tcW w:w="69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8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06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时效指标</w:t>
            </w:r>
          </w:p>
        </w:tc>
        <w:tc>
          <w:tcPr>
            <w:tcW w:w="198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完成时间 </w:t>
            </w:r>
          </w:p>
        </w:tc>
        <w:tc>
          <w:tcPr>
            <w:tcW w:w="194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≤2022年</w:t>
            </w:r>
          </w:p>
        </w:tc>
        <w:tc>
          <w:tcPr>
            <w:tcW w:w="103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2022年</w:t>
            </w:r>
          </w:p>
        </w:tc>
        <w:tc>
          <w:tcPr>
            <w:tcW w:w="6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7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r>
      <w:tr>
        <w:tblPrEx>
          <w:tblCellMar>
            <w:top w:w="0" w:type="dxa"/>
            <w:left w:w="108" w:type="dxa"/>
            <w:bottom w:w="0" w:type="dxa"/>
            <w:right w:w="108" w:type="dxa"/>
          </w:tblCellMar>
        </w:tblPrEx>
        <w:trPr>
          <w:trHeight w:val="570" w:hRule="atLeast"/>
        </w:trPr>
        <w:tc>
          <w:tcPr>
            <w:tcW w:w="69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8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06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成本指标</w:t>
            </w:r>
          </w:p>
        </w:tc>
        <w:tc>
          <w:tcPr>
            <w:tcW w:w="198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项目经费</w:t>
            </w:r>
          </w:p>
        </w:tc>
        <w:tc>
          <w:tcPr>
            <w:tcW w:w="194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≤5万元</w:t>
            </w:r>
          </w:p>
        </w:tc>
        <w:tc>
          <w:tcPr>
            <w:tcW w:w="103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6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7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r>
      <w:tr>
        <w:tblPrEx>
          <w:tblCellMar>
            <w:top w:w="0" w:type="dxa"/>
            <w:left w:w="108" w:type="dxa"/>
            <w:bottom w:w="0" w:type="dxa"/>
            <w:right w:w="108" w:type="dxa"/>
          </w:tblCellMar>
        </w:tblPrEx>
        <w:trPr>
          <w:trHeight w:val="570" w:hRule="atLeast"/>
        </w:trPr>
        <w:tc>
          <w:tcPr>
            <w:tcW w:w="69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8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06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98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人员经费</w:t>
            </w:r>
          </w:p>
        </w:tc>
        <w:tc>
          <w:tcPr>
            <w:tcW w:w="194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≤30万元</w:t>
            </w:r>
          </w:p>
        </w:tc>
        <w:tc>
          <w:tcPr>
            <w:tcW w:w="103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21.69</w:t>
            </w:r>
          </w:p>
        </w:tc>
        <w:tc>
          <w:tcPr>
            <w:tcW w:w="6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7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r>
      <w:tr>
        <w:tblPrEx>
          <w:tblCellMar>
            <w:top w:w="0" w:type="dxa"/>
            <w:left w:w="108" w:type="dxa"/>
            <w:bottom w:w="0" w:type="dxa"/>
            <w:right w:w="108" w:type="dxa"/>
          </w:tblCellMar>
        </w:tblPrEx>
        <w:trPr>
          <w:trHeight w:val="570" w:hRule="atLeast"/>
        </w:trPr>
        <w:tc>
          <w:tcPr>
            <w:tcW w:w="69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8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06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98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公用经费</w:t>
            </w:r>
          </w:p>
        </w:tc>
        <w:tc>
          <w:tcPr>
            <w:tcW w:w="194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≤20万元</w:t>
            </w:r>
          </w:p>
        </w:tc>
        <w:tc>
          <w:tcPr>
            <w:tcW w:w="103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17.73</w:t>
            </w:r>
          </w:p>
        </w:tc>
        <w:tc>
          <w:tcPr>
            <w:tcW w:w="6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7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r>
      <w:tr>
        <w:tblPrEx>
          <w:tblCellMar>
            <w:top w:w="0" w:type="dxa"/>
            <w:left w:w="108" w:type="dxa"/>
            <w:bottom w:w="0" w:type="dxa"/>
            <w:right w:w="108" w:type="dxa"/>
          </w:tblCellMar>
        </w:tblPrEx>
        <w:trPr>
          <w:trHeight w:val="570" w:hRule="atLeast"/>
        </w:trPr>
        <w:tc>
          <w:tcPr>
            <w:tcW w:w="69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8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效益指标</w:t>
            </w:r>
          </w:p>
        </w:tc>
        <w:tc>
          <w:tcPr>
            <w:tcW w:w="106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经济效益指标</w:t>
            </w:r>
          </w:p>
        </w:tc>
        <w:tc>
          <w:tcPr>
            <w:tcW w:w="198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保障机关工作正常运行</w:t>
            </w:r>
          </w:p>
        </w:tc>
        <w:tc>
          <w:tcPr>
            <w:tcW w:w="194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定性优良中低差</w:t>
            </w:r>
          </w:p>
        </w:tc>
        <w:tc>
          <w:tcPr>
            <w:tcW w:w="103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优</w:t>
            </w:r>
          </w:p>
        </w:tc>
        <w:tc>
          <w:tcPr>
            <w:tcW w:w="6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7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r>
      <w:tr>
        <w:tblPrEx>
          <w:tblCellMar>
            <w:top w:w="0" w:type="dxa"/>
            <w:left w:w="108" w:type="dxa"/>
            <w:bottom w:w="0" w:type="dxa"/>
            <w:right w:w="108" w:type="dxa"/>
          </w:tblCellMar>
        </w:tblPrEx>
        <w:trPr>
          <w:trHeight w:val="570" w:hRule="atLeast"/>
        </w:trPr>
        <w:tc>
          <w:tcPr>
            <w:tcW w:w="69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8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满意度指标</w:t>
            </w:r>
          </w:p>
        </w:tc>
        <w:tc>
          <w:tcPr>
            <w:tcW w:w="106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服务对象满意度指标</w:t>
            </w:r>
          </w:p>
        </w:tc>
        <w:tc>
          <w:tcPr>
            <w:tcW w:w="198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群众满意度</w:t>
            </w:r>
          </w:p>
        </w:tc>
        <w:tc>
          <w:tcPr>
            <w:tcW w:w="194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103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95%</w:t>
            </w:r>
          </w:p>
        </w:tc>
        <w:tc>
          <w:tcPr>
            <w:tcW w:w="6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7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r>
      <w:tr>
        <w:tblPrEx>
          <w:tblCellMar>
            <w:top w:w="0" w:type="dxa"/>
            <w:left w:w="108" w:type="dxa"/>
            <w:bottom w:w="0" w:type="dxa"/>
            <w:right w:w="108" w:type="dxa"/>
          </w:tblCellMar>
        </w:tblPrEx>
        <w:trPr>
          <w:trHeight w:val="270" w:hRule="atLeast"/>
        </w:trPr>
        <w:tc>
          <w:tcPr>
            <w:tcW w:w="6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838" w:type="dxa"/>
            <w:gridSpan w:val="8"/>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6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7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bl>
    <w:p>
      <w:pPr>
        <w:pStyle w:val="38"/>
        <w:spacing w:after="0" w:line="560" w:lineRule="exact"/>
        <w:jc w:val="left"/>
        <w:rPr>
          <w:rFonts w:ascii="仿宋_GB2312" w:hAnsi="Calibri" w:eastAsia="仿宋_GB2312" w:cs="仿宋"/>
          <w:kern w:val="0"/>
          <w:sz w:val="32"/>
          <w:szCs w:val="32"/>
          <w:lang w:val="zh-CN" w:eastAsia="zh-CN" w:bidi="ar-SA"/>
        </w:rPr>
      </w:pPr>
    </w:p>
    <w:p>
      <w:pPr>
        <w:pStyle w:val="38"/>
        <w:spacing w:after="0" w:line="560" w:lineRule="exact"/>
        <w:jc w:val="left"/>
        <w:rPr>
          <w:rFonts w:ascii="仿宋_GB2312" w:hAnsi="Calibri" w:eastAsia="仿宋_GB2312" w:cs="仿宋"/>
          <w:kern w:val="0"/>
          <w:sz w:val="32"/>
          <w:szCs w:val="32"/>
          <w:lang w:val="zh-CN" w:eastAsia="zh-CN" w:bidi="ar-SA"/>
        </w:rPr>
      </w:pPr>
    </w:p>
    <w:p>
      <w:pPr>
        <w:pStyle w:val="38"/>
        <w:spacing w:after="0" w:line="560" w:lineRule="exact"/>
        <w:jc w:val="left"/>
        <w:rPr>
          <w:rFonts w:ascii="仿宋_GB2312" w:hAnsi="Calibri" w:eastAsia="仿宋_GB2312" w:cs="仿宋"/>
          <w:kern w:val="0"/>
          <w:sz w:val="32"/>
          <w:szCs w:val="32"/>
          <w:lang w:val="zh-CN" w:eastAsia="zh-CN" w:bidi="ar-SA"/>
        </w:rPr>
      </w:pPr>
    </w:p>
    <w:p>
      <w:pPr>
        <w:pStyle w:val="38"/>
        <w:spacing w:after="0" w:line="560" w:lineRule="exact"/>
        <w:jc w:val="left"/>
        <w:rPr>
          <w:rFonts w:ascii="仿宋_GB2312" w:hAnsi="Calibri" w:eastAsia="仿宋_GB2312" w:cs="仿宋"/>
          <w:kern w:val="0"/>
          <w:sz w:val="32"/>
          <w:szCs w:val="32"/>
          <w:lang w:val="zh-CN" w:eastAsia="zh-CN" w:bidi="ar-SA"/>
        </w:rPr>
      </w:pPr>
    </w:p>
    <w:p>
      <w:pPr>
        <w:pStyle w:val="38"/>
        <w:spacing w:after="0" w:line="560" w:lineRule="exact"/>
        <w:jc w:val="left"/>
        <w:rPr>
          <w:rFonts w:ascii="仿宋_GB2312" w:hAnsi="Calibri" w:eastAsia="仿宋_GB2312" w:cs="仿宋"/>
          <w:kern w:val="0"/>
          <w:sz w:val="32"/>
          <w:szCs w:val="32"/>
          <w:lang w:val="zh-CN" w:eastAsia="zh-CN" w:bidi="ar-SA"/>
        </w:rPr>
      </w:pPr>
    </w:p>
    <w:p>
      <w:pPr>
        <w:pStyle w:val="38"/>
        <w:spacing w:after="0" w:line="560" w:lineRule="exact"/>
        <w:jc w:val="left"/>
        <w:rPr>
          <w:rFonts w:ascii="仿宋_GB2312" w:hAnsi="Calibri" w:eastAsia="仿宋_GB2312" w:cs="仿宋"/>
          <w:kern w:val="0"/>
          <w:sz w:val="32"/>
          <w:szCs w:val="32"/>
          <w:lang w:val="zh-CN" w:eastAsia="zh-CN" w:bidi="ar-SA"/>
        </w:rPr>
      </w:pPr>
    </w:p>
    <w:p>
      <w:pPr>
        <w:pStyle w:val="38"/>
        <w:spacing w:after="0" w:line="560" w:lineRule="exact"/>
        <w:jc w:val="left"/>
        <w:rPr>
          <w:rFonts w:ascii="仿宋_GB2312" w:hAnsi="Calibri" w:eastAsia="仿宋_GB2312" w:cs="仿宋"/>
          <w:kern w:val="0"/>
          <w:sz w:val="32"/>
          <w:szCs w:val="32"/>
          <w:lang w:val="zh-CN" w:eastAsia="zh-CN" w:bidi="ar-SA"/>
        </w:rPr>
      </w:pPr>
    </w:p>
    <w:p>
      <w:pPr>
        <w:pStyle w:val="38"/>
        <w:spacing w:after="0" w:line="560" w:lineRule="exact"/>
        <w:jc w:val="left"/>
        <w:rPr>
          <w:rFonts w:ascii="仿宋_GB2312" w:hAnsi="Calibri" w:eastAsia="仿宋_GB2312" w:cs="仿宋"/>
          <w:kern w:val="0"/>
          <w:sz w:val="32"/>
          <w:szCs w:val="32"/>
          <w:lang w:val="zh-CN" w:eastAsia="zh-CN" w:bidi="ar-SA"/>
        </w:rPr>
      </w:pPr>
    </w:p>
    <w:p>
      <w:pPr>
        <w:pStyle w:val="38"/>
        <w:spacing w:after="0" w:line="560" w:lineRule="exact"/>
        <w:jc w:val="left"/>
        <w:rPr>
          <w:rFonts w:ascii="仿宋_GB2312" w:hAnsi="Calibri" w:eastAsia="仿宋_GB2312" w:cs="仿宋"/>
          <w:kern w:val="0"/>
          <w:sz w:val="32"/>
          <w:szCs w:val="32"/>
          <w:lang w:val="en-US" w:eastAsia="zh-CN" w:bidi="ar-SA"/>
        </w:rPr>
      </w:pPr>
      <w:r>
        <w:rPr>
          <w:rFonts w:hint="eastAsia" w:ascii="仿宋_GB2312" w:hAnsi="Calibri" w:eastAsia="仿宋_GB2312" w:cs="仿宋"/>
          <w:kern w:val="0"/>
          <w:sz w:val="32"/>
          <w:szCs w:val="32"/>
          <w:lang w:val="zh-CN" w:eastAsia="zh-CN" w:bidi="ar-SA"/>
        </w:rPr>
        <w:t>附表2：</w:t>
      </w:r>
      <w:r>
        <w:rPr>
          <w:rFonts w:hint="eastAsia" w:ascii="仿宋_GB2312" w:hAnsi="Calibri" w:eastAsia="仿宋_GB2312" w:cs="仿宋"/>
          <w:kern w:val="0"/>
          <w:sz w:val="32"/>
          <w:szCs w:val="32"/>
          <w:lang w:val="en-US" w:eastAsia="zh-CN" w:bidi="ar-SA"/>
        </w:rPr>
        <w:t>部门预算项目支出绩效自评表</w:t>
      </w:r>
    </w:p>
    <w:tbl>
      <w:tblPr>
        <w:tblStyle w:val="18"/>
        <w:tblpPr w:leftFromText="180" w:rightFromText="180" w:vertAnchor="text" w:horzAnchor="page" w:tblpXSpec="center" w:tblpY="535"/>
        <w:tblOverlap w:val="never"/>
        <w:tblW w:w="5000" w:type="pct"/>
        <w:jc w:val="center"/>
        <w:tblLayout w:type="autofit"/>
        <w:tblCellMar>
          <w:top w:w="0" w:type="dxa"/>
          <w:left w:w="108" w:type="dxa"/>
          <w:bottom w:w="0" w:type="dxa"/>
          <w:right w:w="108" w:type="dxa"/>
        </w:tblCellMar>
      </w:tblPr>
      <w:tblGrid>
        <w:gridCol w:w="576"/>
        <w:gridCol w:w="1063"/>
        <w:gridCol w:w="889"/>
        <w:gridCol w:w="1187"/>
        <w:gridCol w:w="400"/>
        <w:gridCol w:w="822"/>
        <w:gridCol w:w="397"/>
        <w:gridCol w:w="849"/>
        <w:gridCol w:w="486"/>
        <w:gridCol w:w="486"/>
        <w:gridCol w:w="1367"/>
      </w:tblGrid>
      <w:tr>
        <w:tblPrEx>
          <w:tblCellMar>
            <w:top w:w="0" w:type="dxa"/>
            <w:left w:w="108" w:type="dxa"/>
            <w:bottom w:w="0" w:type="dxa"/>
            <w:right w:w="108" w:type="dxa"/>
          </w:tblCellMar>
        </w:tblPrEx>
        <w:trPr>
          <w:trHeight w:val="904"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部门预算项目支出绩效自评表（2022年度）</w:t>
            </w:r>
          </w:p>
        </w:tc>
      </w:tr>
      <w:tr>
        <w:tblPrEx>
          <w:tblCellMar>
            <w:top w:w="0" w:type="dxa"/>
            <w:left w:w="108" w:type="dxa"/>
            <w:bottom w:w="0" w:type="dxa"/>
            <w:right w:w="108" w:type="dxa"/>
          </w:tblCellMar>
        </w:tblPrEx>
        <w:trPr>
          <w:trHeight w:val="286" w:hRule="atLeast"/>
          <w:jc w:val="center"/>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51090423T000008154899-红十字会第一次会员代表大会经费</w:t>
            </w:r>
          </w:p>
        </w:tc>
      </w:tr>
      <w:tr>
        <w:tblPrEx>
          <w:tblCellMar>
            <w:top w:w="0" w:type="dxa"/>
            <w:left w:w="108" w:type="dxa"/>
            <w:bottom w:w="0" w:type="dxa"/>
            <w:right w:w="108" w:type="dxa"/>
          </w:tblCellMar>
        </w:tblPrEx>
        <w:trPr>
          <w:trHeight w:val="512" w:hRule="atLeast"/>
          <w:jc w:val="center"/>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21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遂宁市安居区红十字会部门</w:t>
            </w:r>
          </w:p>
        </w:tc>
        <w:tc>
          <w:tcPr>
            <w:tcW w:w="496" w:type="pct"/>
            <w:tcBorders>
              <w:top w:val="nil"/>
              <w:left w:val="nil"/>
              <w:bottom w:val="nil"/>
              <w:right w:val="nil"/>
            </w:tcBorders>
            <w:shd w:val="clear" w:color="auto" w:fill="auto"/>
            <w:vAlign w:val="center"/>
          </w:tcPr>
          <w:p>
            <w:pPr>
              <w:widowControl/>
              <w:jc w:val="lef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实施单位 （盖章）</w:t>
            </w:r>
          </w:p>
        </w:tc>
        <w:tc>
          <w:tcPr>
            <w:tcW w:w="137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遂宁市安居区红十字会</w:t>
            </w:r>
          </w:p>
        </w:tc>
      </w:tr>
      <w:tr>
        <w:tblPrEx>
          <w:tblCellMar>
            <w:top w:w="0" w:type="dxa"/>
            <w:left w:w="108" w:type="dxa"/>
            <w:bottom w:w="0" w:type="dxa"/>
            <w:right w:w="108" w:type="dxa"/>
          </w:tblCellMar>
        </w:tblPrEx>
        <w:trPr>
          <w:trHeight w:val="286" w:hRule="atLeast"/>
          <w:jc w:val="center"/>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6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21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186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已完成预期目标</w:t>
            </w:r>
          </w:p>
        </w:tc>
      </w:tr>
      <w:tr>
        <w:tblPrEx>
          <w:tblCellMar>
            <w:top w:w="0" w:type="dxa"/>
            <w:left w:w="108" w:type="dxa"/>
            <w:bottom w:w="0" w:type="dxa"/>
            <w:right w:w="108" w:type="dxa"/>
          </w:tblCellMar>
        </w:tblPrEx>
        <w:trPr>
          <w:trHeight w:val="708" w:hRule="atLeast"/>
          <w:jc w:val="center"/>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21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r>
              <w:rPr>
                <w:rFonts w:hint="eastAsia" w:ascii="宋体" w:hAnsi="宋体" w:cs="宋体"/>
                <w:color w:val="000000"/>
                <w:sz w:val="18"/>
                <w:szCs w:val="18"/>
              </w:rPr>
              <w:t>召开区红十字会第一次会员代表大会</w:t>
            </w:r>
          </w:p>
        </w:tc>
        <w:tc>
          <w:tcPr>
            <w:tcW w:w="186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按照年度目标，</w:t>
            </w:r>
            <w:r>
              <w:rPr>
                <w:rFonts w:hint="eastAsia" w:ascii="宋体" w:hAnsi="宋体" w:cs="宋体"/>
                <w:color w:val="000000"/>
                <w:kern w:val="0"/>
                <w:sz w:val="18"/>
                <w:szCs w:val="18"/>
                <w:lang w:bidi="ar"/>
              </w:rPr>
              <w:t>成功召开区红十字会第一次会员代表大会。2022年已完成项目预算4万元。</w:t>
            </w:r>
          </w:p>
        </w:tc>
      </w:tr>
      <w:tr>
        <w:tblPrEx>
          <w:tblCellMar>
            <w:top w:w="0" w:type="dxa"/>
            <w:left w:w="108" w:type="dxa"/>
            <w:bottom w:w="0" w:type="dxa"/>
            <w:right w:w="108" w:type="dxa"/>
          </w:tblCellMar>
        </w:tblPrEx>
        <w:trPr>
          <w:trHeight w:val="693" w:hRule="atLeast"/>
          <w:jc w:val="center"/>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r>
              <w:rPr>
                <w:rFonts w:hint="eastAsia" w:ascii="宋体" w:hAnsi="宋体" w:cs="宋体"/>
                <w:color w:val="000000"/>
                <w:sz w:val="18"/>
                <w:szCs w:val="18"/>
              </w:rPr>
              <w:t>根据中共遂宁市安居区委常委会2022年5月7日第38期会议（五届46次）精神，区红十字会换届选举相关工作开展，5月24日举行第一次会员代表大会，完成了换届选举工作。</w:t>
            </w:r>
          </w:p>
        </w:tc>
      </w:tr>
      <w:tr>
        <w:tblPrEx>
          <w:tblCellMar>
            <w:top w:w="0" w:type="dxa"/>
            <w:left w:w="108" w:type="dxa"/>
            <w:bottom w:w="0" w:type="dxa"/>
            <w:right w:w="108" w:type="dxa"/>
          </w:tblCellMar>
        </w:tblPrEx>
        <w:trPr>
          <w:trHeight w:val="361" w:hRule="atLeast"/>
          <w:jc w:val="center"/>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9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tblPrEx>
          <w:tblCellMar>
            <w:top w:w="0" w:type="dxa"/>
            <w:left w:w="108" w:type="dxa"/>
            <w:bottom w:w="0" w:type="dxa"/>
            <w:right w:w="108" w:type="dxa"/>
          </w:tblCellMar>
        </w:tblPrEx>
        <w:trPr>
          <w:trHeight w:val="387" w:hRule="atLeast"/>
          <w:jc w:val="center"/>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4.00</w:t>
            </w:r>
          </w:p>
        </w:tc>
        <w:tc>
          <w:tcPr>
            <w:tcW w:w="9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10</w:t>
            </w:r>
          </w:p>
        </w:tc>
        <w:tc>
          <w:tcPr>
            <w:tcW w:w="8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32" w:hRule="atLeast"/>
          <w:jc w:val="center"/>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4.00</w:t>
            </w:r>
          </w:p>
        </w:tc>
        <w:tc>
          <w:tcPr>
            <w:tcW w:w="9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47" w:hRule="atLeast"/>
          <w:jc w:val="center"/>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9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02" w:hRule="atLeast"/>
          <w:jc w:val="center"/>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9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379" w:hRule="atLeast"/>
          <w:jc w:val="center"/>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9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52" w:hRule="atLeast"/>
          <w:jc w:val="center"/>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r>
      <w:tr>
        <w:tblPrEx>
          <w:tblCellMar>
            <w:top w:w="0" w:type="dxa"/>
            <w:left w:w="108" w:type="dxa"/>
            <w:bottom w:w="0" w:type="dxa"/>
            <w:right w:w="108" w:type="dxa"/>
          </w:tblCellMar>
        </w:tblPrEx>
        <w:trPr>
          <w:trHeight w:val="339" w:hRule="atLeast"/>
          <w:jc w:val="center"/>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90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90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86" w:hRule="atLeast"/>
          <w:jc w:val="center"/>
        </w:trPr>
        <w:tc>
          <w:tcPr>
            <w:tcW w:w="362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r>
              <w:rPr>
                <w:rFonts w:hint="eastAsia" w:ascii="宋体" w:hAnsi="宋体" w:cs="宋体"/>
                <w:color w:val="000000"/>
                <w:sz w:val="18"/>
                <w:szCs w:val="18"/>
              </w:rPr>
              <w:t>100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603"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按照预算绩效管理要求，对2022年部门预算项目支出开展绩效自评，自评得分100分。同时区红十字会严格按照预算执行相关要求，落实经费使用管理规定，做到专款专用，定期做好预算执行分析，掌握预算执行进度，及时与财政部门衔接，做好项目有关工作经费的支出。</w:t>
            </w:r>
          </w:p>
          <w:p>
            <w:pPr>
              <w:rPr>
                <w:rFonts w:ascii="宋体" w:hAnsi="宋体" w:cs="宋体"/>
                <w:color w:val="000000"/>
                <w:sz w:val="18"/>
                <w:szCs w:val="18"/>
              </w:rPr>
            </w:pPr>
          </w:p>
        </w:tc>
      </w:tr>
      <w:tr>
        <w:tblPrEx>
          <w:tblCellMar>
            <w:top w:w="0" w:type="dxa"/>
            <w:left w:w="108" w:type="dxa"/>
            <w:bottom w:w="0" w:type="dxa"/>
            <w:right w:w="108" w:type="dxa"/>
          </w:tblCellMar>
        </w:tblPrEx>
        <w:trPr>
          <w:trHeight w:val="57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宋体" w:hAnsi="宋体" w:cs="宋体"/>
                <w:color w:val="000000"/>
                <w:sz w:val="18"/>
                <w:szCs w:val="18"/>
              </w:rPr>
              <w:t>无</w:t>
            </w:r>
          </w:p>
        </w:tc>
      </w:tr>
      <w:tr>
        <w:tblPrEx>
          <w:tblCellMar>
            <w:top w:w="0" w:type="dxa"/>
            <w:left w:w="108" w:type="dxa"/>
            <w:bottom w:w="0" w:type="dxa"/>
            <w:right w:w="108" w:type="dxa"/>
          </w:tblCellMar>
        </w:tblPrEx>
        <w:trPr>
          <w:trHeight w:val="633"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宋体" w:hAnsi="宋体" w:cs="宋体"/>
                <w:color w:val="000000"/>
                <w:sz w:val="18"/>
                <w:szCs w:val="18"/>
              </w:rPr>
              <w:t>无</w:t>
            </w:r>
          </w:p>
        </w:tc>
      </w:tr>
      <w:tr>
        <w:tblPrEx>
          <w:tblCellMar>
            <w:top w:w="0" w:type="dxa"/>
            <w:left w:w="108" w:type="dxa"/>
            <w:bottom w:w="0" w:type="dxa"/>
            <w:right w:w="108" w:type="dxa"/>
          </w:tblCellMar>
        </w:tblPrEx>
        <w:trPr>
          <w:trHeight w:val="286" w:hRule="atLeast"/>
          <w:jc w:val="center"/>
        </w:trPr>
        <w:tc>
          <w:tcPr>
            <w:tcW w:w="241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ascii="黑体" w:hAnsi="黑体" w:eastAsia="黑体" w:cs="黑体"/>
                <w:color w:val="000000"/>
                <w:kern w:val="0"/>
                <w:sz w:val="18"/>
                <w:szCs w:val="18"/>
                <w:lang w:bidi="ar"/>
              </w:rPr>
              <w:t>项目负责人：</w:t>
            </w:r>
            <w:r>
              <w:rPr>
                <w:rFonts w:hint="eastAsia" w:ascii="黑体" w:hAnsi="黑体" w:eastAsia="黑体" w:cs="黑体"/>
                <w:color w:val="000000"/>
                <w:kern w:val="0"/>
                <w:sz w:val="18"/>
                <w:szCs w:val="18"/>
                <w:lang w:bidi="ar"/>
              </w:rPr>
              <w:t>左诗琪</w:t>
            </w:r>
          </w:p>
        </w:tc>
        <w:tc>
          <w:tcPr>
            <w:tcW w:w="258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ascii="黑体" w:hAnsi="黑体" w:eastAsia="黑体" w:cs="黑体"/>
                <w:color w:val="000000"/>
                <w:kern w:val="0"/>
                <w:sz w:val="18"/>
                <w:szCs w:val="18"/>
                <w:lang w:bidi="ar"/>
              </w:rPr>
              <w:t>财务负责人：</w:t>
            </w:r>
            <w:r>
              <w:rPr>
                <w:rFonts w:hint="eastAsia" w:ascii="黑体" w:hAnsi="黑体" w:eastAsia="黑体" w:cs="黑体"/>
                <w:color w:val="000000"/>
                <w:kern w:val="0"/>
                <w:sz w:val="18"/>
                <w:szCs w:val="18"/>
                <w:lang w:bidi="ar"/>
              </w:rPr>
              <w:t>王娟</w:t>
            </w:r>
          </w:p>
        </w:tc>
      </w:tr>
      <w:tr>
        <w:tblPrEx>
          <w:tblCellMar>
            <w:top w:w="0" w:type="dxa"/>
            <w:left w:w="108" w:type="dxa"/>
            <w:bottom w:w="0" w:type="dxa"/>
            <w:right w:w="108" w:type="dxa"/>
          </w:tblCellMar>
        </w:tblPrEx>
        <w:trPr>
          <w:trHeight w:val="286" w:hRule="atLeast"/>
          <w:jc w:val="center"/>
        </w:trPr>
        <w:tc>
          <w:tcPr>
            <w:tcW w:w="337" w:type="pct"/>
            <w:tcBorders>
              <w:top w:val="nil"/>
              <w:left w:val="nil"/>
              <w:bottom w:val="nil"/>
              <w:right w:val="nil"/>
            </w:tcBorders>
            <w:shd w:val="clear" w:color="auto" w:fill="auto"/>
            <w:vAlign w:val="center"/>
          </w:tcPr>
          <w:p>
            <w:pPr>
              <w:rPr>
                <w:rFonts w:ascii="宋体" w:hAnsi="宋体" w:cs="宋体"/>
                <w:color w:val="000000"/>
                <w:sz w:val="18"/>
                <w:szCs w:val="18"/>
              </w:rPr>
            </w:pPr>
          </w:p>
        </w:tc>
        <w:tc>
          <w:tcPr>
            <w:tcW w:w="623" w:type="pct"/>
            <w:tcBorders>
              <w:top w:val="nil"/>
              <w:left w:val="nil"/>
              <w:bottom w:val="nil"/>
              <w:right w:val="nil"/>
            </w:tcBorders>
            <w:shd w:val="clear" w:color="auto" w:fill="auto"/>
            <w:vAlign w:val="center"/>
          </w:tcPr>
          <w:p>
            <w:pPr>
              <w:rPr>
                <w:rFonts w:ascii="宋体" w:hAnsi="宋体" w:cs="宋体"/>
                <w:color w:val="000000"/>
                <w:sz w:val="18"/>
                <w:szCs w:val="18"/>
              </w:rPr>
            </w:pPr>
          </w:p>
        </w:tc>
        <w:tc>
          <w:tcPr>
            <w:tcW w:w="522" w:type="pct"/>
            <w:tcBorders>
              <w:top w:val="nil"/>
              <w:left w:val="nil"/>
              <w:bottom w:val="nil"/>
              <w:right w:val="nil"/>
            </w:tcBorders>
            <w:shd w:val="clear" w:color="auto" w:fill="auto"/>
            <w:vAlign w:val="center"/>
          </w:tcPr>
          <w:p>
            <w:pPr>
              <w:rPr>
                <w:rFonts w:ascii="宋体" w:hAnsi="宋体" w:cs="宋体"/>
                <w:color w:val="000000"/>
                <w:sz w:val="18"/>
                <w:szCs w:val="18"/>
              </w:rPr>
            </w:pPr>
          </w:p>
        </w:tc>
        <w:tc>
          <w:tcPr>
            <w:tcW w:w="697" w:type="pct"/>
            <w:tcBorders>
              <w:top w:val="nil"/>
              <w:left w:val="nil"/>
              <w:bottom w:val="nil"/>
              <w:right w:val="nil"/>
            </w:tcBorders>
            <w:shd w:val="clear" w:color="auto" w:fill="auto"/>
            <w:vAlign w:val="center"/>
          </w:tcPr>
          <w:p>
            <w:pPr>
              <w:rPr>
                <w:rFonts w:ascii="宋体" w:hAnsi="宋体" w:cs="宋体"/>
                <w:color w:val="000000"/>
                <w:sz w:val="18"/>
                <w:szCs w:val="18"/>
              </w:rPr>
            </w:pPr>
          </w:p>
        </w:tc>
        <w:tc>
          <w:tcPr>
            <w:tcW w:w="234" w:type="pct"/>
            <w:tcBorders>
              <w:top w:val="nil"/>
              <w:left w:val="nil"/>
              <w:bottom w:val="nil"/>
              <w:right w:val="nil"/>
            </w:tcBorders>
            <w:shd w:val="clear" w:color="auto" w:fill="auto"/>
            <w:vAlign w:val="center"/>
          </w:tcPr>
          <w:p>
            <w:pPr>
              <w:rPr>
                <w:rFonts w:ascii="宋体" w:hAnsi="宋体" w:cs="宋体"/>
                <w:color w:val="000000"/>
                <w:sz w:val="18"/>
                <w:szCs w:val="18"/>
              </w:rPr>
            </w:pPr>
          </w:p>
        </w:tc>
        <w:tc>
          <w:tcPr>
            <w:tcW w:w="482" w:type="pct"/>
            <w:tcBorders>
              <w:top w:val="nil"/>
              <w:left w:val="nil"/>
              <w:bottom w:val="nil"/>
              <w:right w:val="nil"/>
            </w:tcBorders>
            <w:shd w:val="clear" w:color="auto" w:fill="auto"/>
            <w:vAlign w:val="center"/>
          </w:tcPr>
          <w:p>
            <w:pPr>
              <w:rPr>
                <w:rFonts w:ascii="宋体" w:hAnsi="宋体" w:cs="宋体"/>
                <w:color w:val="000000"/>
                <w:sz w:val="18"/>
                <w:szCs w:val="18"/>
              </w:rPr>
            </w:pPr>
          </w:p>
        </w:tc>
        <w:tc>
          <w:tcPr>
            <w:tcW w:w="232" w:type="pct"/>
            <w:tcBorders>
              <w:top w:val="nil"/>
              <w:left w:val="nil"/>
              <w:bottom w:val="nil"/>
              <w:right w:val="nil"/>
            </w:tcBorders>
            <w:shd w:val="clear" w:color="auto" w:fill="auto"/>
            <w:vAlign w:val="center"/>
          </w:tcPr>
          <w:p>
            <w:pPr>
              <w:rPr>
                <w:rFonts w:ascii="宋体" w:hAnsi="宋体" w:cs="宋体"/>
                <w:color w:val="000000"/>
                <w:sz w:val="18"/>
                <w:szCs w:val="18"/>
              </w:rPr>
            </w:pPr>
          </w:p>
        </w:tc>
        <w:tc>
          <w:tcPr>
            <w:tcW w:w="496" w:type="pct"/>
            <w:tcBorders>
              <w:top w:val="nil"/>
              <w:left w:val="nil"/>
              <w:bottom w:val="nil"/>
              <w:right w:val="nil"/>
            </w:tcBorders>
            <w:shd w:val="clear" w:color="auto" w:fill="auto"/>
            <w:vAlign w:val="center"/>
          </w:tcPr>
          <w:p>
            <w:pPr>
              <w:rPr>
                <w:rFonts w:ascii="宋体" w:hAnsi="宋体" w:cs="宋体"/>
                <w:color w:val="000000"/>
                <w:sz w:val="18"/>
                <w:szCs w:val="18"/>
              </w:rPr>
            </w:pPr>
          </w:p>
        </w:tc>
        <w:tc>
          <w:tcPr>
            <w:tcW w:w="285" w:type="pct"/>
            <w:tcBorders>
              <w:top w:val="nil"/>
              <w:left w:val="nil"/>
              <w:bottom w:val="nil"/>
              <w:right w:val="nil"/>
            </w:tcBorders>
            <w:shd w:val="clear" w:color="auto" w:fill="auto"/>
            <w:vAlign w:val="center"/>
          </w:tcPr>
          <w:p>
            <w:pPr>
              <w:rPr>
                <w:rFonts w:ascii="宋体" w:hAnsi="宋体" w:cs="宋体"/>
                <w:color w:val="000000"/>
                <w:sz w:val="18"/>
                <w:szCs w:val="18"/>
              </w:rPr>
            </w:pPr>
          </w:p>
        </w:tc>
        <w:tc>
          <w:tcPr>
            <w:tcW w:w="285" w:type="pct"/>
            <w:tcBorders>
              <w:top w:val="nil"/>
              <w:left w:val="nil"/>
              <w:bottom w:val="nil"/>
              <w:right w:val="nil"/>
            </w:tcBorders>
            <w:shd w:val="clear" w:color="auto" w:fill="auto"/>
            <w:vAlign w:val="center"/>
          </w:tcPr>
          <w:p>
            <w:pPr>
              <w:rPr>
                <w:rFonts w:ascii="宋体" w:hAnsi="宋体" w:cs="宋体"/>
                <w:color w:val="000000"/>
                <w:sz w:val="18"/>
                <w:szCs w:val="18"/>
              </w:rPr>
            </w:pPr>
          </w:p>
        </w:tc>
        <w:tc>
          <w:tcPr>
            <w:tcW w:w="802" w:type="pct"/>
            <w:tcBorders>
              <w:top w:val="nil"/>
              <w:left w:val="nil"/>
              <w:bottom w:val="nil"/>
              <w:right w:val="nil"/>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286" w:hRule="atLeast"/>
          <w:jc w:val="center"/>
        </w:trPr>
        <w:tc>
          <w:tcPr>
            <w:tcW w:w="5000" w:type="pct"/>
            <w:gridSpan w:val="11"/>
            <w:tcBorders>
              <w:top w:val="nil"/>
              <w:left w:val="nil"/>
              <w:bottom w:val="nil"/>
              <w:right w:val="nil"/>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1、报表说明:该报表查询项目信息、绩效目标信息、预算及执行情况，用于预算单位查询导出开展项目自评。</w:t>
            </w:r>
          </w:p>
        </w:tc>
      </w:tr>
      <w:tr>
        <w:tblPrEx>
          <w:tblCellMar>
            <w:top w:w="0" w:type="dxa"/>
            <w:left w:w="108" w:type="dxa"/>
            <w:bottom w:w="0" w:type="dxa"/>
            <w:right w:w="108" w:type="dxa"/>
          </w:tblCellMar>
        </w:tblPrEx>
        <w:trPr>
          <w:trHeight w:val="286" w:hRule="atLeast"/>
          <w:jc w:val="center"/>
        </w:trPr>
        <w:tc>
          <w:tcPr>
            <w:tcW w:w="5000" w:type="pct"/>
            <w:gridSpan w:val="11"/>
            <w:tcBorders>
              <w:top w:val="nil"/>
              <w:left w:val="nil"/>
              <w:bottom w:val="nil"/>
              <w:right w:val="nil"/>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2、取数口径：部门项目绩效目标表信息，包括年初预算、追加预算、结转预算和调整预算的绩效目标（以项目的最终绩效目标为准）。</w:t>
            </w:r>
          </w:p>
        </w:tc>
      </w:tr>
      <w:tr>
        <w:tblPrEx>
          <w:tblCellMar>
            <w:top w:w="0" w:type="dxa"/>
            <w:left w:w="108" w:type="dxa"/>
            <w:bottom w:w="0" w:type="dxa"/>
            <w:right w:w="108" w:type="dxa"/>
          </w:tblCellMar>
        </w:tblPrEx>
        <w:trPr>
          <w:trHeight w:val="286" w:hRule="atLeast"/>
          <w:jc w:val="center"/>
        </w:trPr>
        <w:tc>
          <w:tcPr>
            <w:tcW w:w="5000" w:type="pct"/>
            <w:gridSpan w:val="11"/>
            <w:tcBorders>
              <w:top w:val="nil"/>
              <w:left w:val="nil"/>
              <w:bottom w:val="nil"/>
              <w:right w:val="nil"/>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适用地区：全省范围</w:t>
            </w:r>
          </w:p>
        </w:tc>
      </w:tr>
      <w:tr>
        <w:tblPrEx>
          <w:tblCellMar>
            <w:top w:w="0" w:type="dxa"/>
            <w:left w:w="108" w:type="dxa"/>
            <w:bottom w:w="0" w:type="dxa"/>
            <w:right w:w="108" w:type="dxa"/>
          </w:tblCellMar>
        </w:tblPrEx>
        <w:trPr>
          <w:trHeight w:val="286" w:hRule="atLeast"/>
          <w:jc w:val="center"/>
        </w:trPr>
        <w:tc>
          <w:tcPr>
            <w:tcW w:w="5000" w:type="pct"/>
            <w:gridSpan w:val="11"/>
            <w:tcBorders>
              <w:top w:val="nil"/>
              <w:left w:val="nil"/>
              <w:bottom w:val="nil"/>
              <w:right w:val="nil"/>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适用用户：部门用户、单位用户</w:t>
            </w:r>
          </w:p>
        </w:tc>
      </w:tr>
    </w:tbl>
    <w:p>
      <w:pPr>
        <w:pStyle w:val="38"/>
        <w:spacing w:after="0" w:line="560" w:lineRule="exact"/>
        <w:jc w:val="left"/>
        <w:rPr>
          <w:rFonts w:ascii="仿宋_GB2312" w:hAnsi="Calibri" w:eastAsia="仿宋_GB2312" w:cs="仿宋"/>
          <w:kern w:val="0"/>
          <w:sz w:val="32"/>
          <w:szCs w:val="32"/>
          <w:lang w:val="en-US" w:eastAsia="zh-CN" w:bidi="ar-SA"/>
        </w:rPr>
      </w:pPr>
    </w:p>
    <w:p>
      <w:pPr>
        <w:pStyle w:val="38"/>
        <w:spacing w:after="0" w:line="560" w:lineRule="exact"/>
        <w:jc w:val="left"/>
        <w:rPr>
          <w:rFonts w:ascii="仿宋_GB2312" w:hAnsi="Calibri" w:eastAsia="仿宋_GB2312" w:cs="仿宋"/>
          <w:kern w:val="0"/>
          <w:sz w:val="32"/>
          <w:szCs w:val="32"/>
          <w:lang w:val="en-US" w:eastAsia="zh-CN" w:bidi="ar-SA"/>
        </w:rPr>
      </w:pPr>
    </w:p>
    <w:p>
      <w:pPr>
        <w:pStyle w:val="7"/>
        <w:wordWrap w:val="0"/>
        <w:spacing w:line="560" w:lineRule="exact"/>
        <w:ind w:firstLine="4800" w:firstLineChars="1500"/>
        <w:rPr>
          <w:rFonts w:eastAsia="仿宋_GB2312"/>
          <w:sz w:val="32"/>
          <w:szCs w:val="32"/>
        </w:rPr>
      </w:pPr>
    </w:p>
    <w:p>
      <w:pPr>
        <w:pStyle w:val="6"/>
        <w:rPr>
          <w:rFonts w:hAnsi="宋体" w:cs="宋体"/>
          <w:kern w:val="0"/>
          <w:sz w:val="32"/>
          <w:szCs w:val="32"/>
          <w:shd w:val="clear" w:color="auto" w:fill="FFFFFF"/>
          <w:lang w:val="zh-CN"/>
        </w:rPr>
      </w:pPr>
    </w:p>
    <w:p>
      <w:pPr>
        <w:rPr>
          <w:rFonts w:hAnsi="宋体" w:cs="宋体"/>
          <w:kern w:val="0"/>
          <w:sz w:val="32"/>
          <w:szCs w:val="32"/>
          <w:shd w:val="clear" w:color="auto" w:fill="FFFFFF"/>
          <w:lang w:val="zh-CN"/>
        </w:rPr>
      </w:pPr>
    </w:p>
    <w:p>
      <w:pPr>
        <w:pStyle w:val="2"/>
        <w:numPr>
          <w:ilvl w:val="0"/>
          <w:numId w:val="0"/>
        </w:numPr>
        <w:rPr>
          <w:rFonts w:hAnsi="宋体" w:cs="宋体"/>
          <w:kern w:val="0"/>
          <w:sz w:val="32"/>
          <w:szCs w:val="32"/>
          <w:shd w:val="clear" w:color="auto" w:fill="FFFFFF"/>
          <w:lang w:val="zh-CN"/>
        </w:rPr>
      </w:pPr>
    </w:p>
    <w:p>
      <w:pPr>
        <w:pStyle w:val="2"/>
        <w:numPr>
          <w:ilvl w:val="0"/>
          <w:numId w:val="0"/>
        </w:numPr>
        <w:rPr>
          <w:rFonts w:hAnsi="宋体" w:cs="宋体"/>
          <w:kern w:val="0"/>
          <w:sz w:val="32"/>
          <w:szCs w:val="32"/>
          <w:shd w:val="clear" w:color="auto" w:fill="FFFFFF"/>
          <w:lang w:val="zh-CN"/>
        </w:rPr>
      </w:pPr>
    </w:p>
    <w:p>
      <w:pPr>
        <w:pStyle w:val="2"/>
        <w:numPr>
          <w:ilvl w:val="0"/>
          <w:numId w:val="0"/>
        </w:numPr>
        <w:rPr>
          <w:rFonts w:hAnsi="宋体" w:cs="宋体"/>
          <w:kern w:val="0"/>
          <w:sz w:val="32"/>
          <w:szCs w:val="32"/>
          <w:shd w:val="clear" w:color="auto" w:fill="FFFFFF"/>
          <w:lang w:val="zh-CN"/>
        </w:rPr>
      </w:pPr>
    </w:p>
    <w:p>
      <w:pPr>
        <w:pStyle w:val="2"/>
        <w:numPr>
          <w:ilvl w:val="0"/>
          <w:numId w:val="0"/>
        </w:numPr>
        <w:rPr>
          <w:rFonts w:hAnsi="宋体" w:cs="宋体"/>
          <w:kern w:val="0"/>
          <w:sz w:val="32"/>
          <w:szCs w:val="32"/>
          <w:shd w:val="clear" w:color="auto" w:fill="FFFFFF"/>
          <w:lang w:val="zh-CN"/>
        </w:rPr>
      </w:pPr>
    </w:p>
    <w:p>
      <w:pPr>
        <w:pStyle w:val="2"/>
        <w:numPr>
          <w:ilvl w:val="0"/>
          <w:numId w:val="0"/>
        </w:numPr>
        <w:rPr>
          <w:rFonts w:hAnsi="宋体" w:cs="宋体"/>
          <w:kern w:val="0"/>
          <w:sz w:val="32"/>
          <w:szCs w:val="32"/>
          <w:shd w:val="clear" w:color="auto" w:fill="FFFFFF"/>
          <w:lang w:val="zh-CN"/>
        </w:rPr>
      </w:pPr>
    </w:p>
    <w:p>
      <w:pPr>
        <w:pStyle w:val="2"/>
        <w:numPr>
          <w:ilvl w:val="0"/>
          <w:numId w:val="0"/>
        </w:numPr>
        <w:rPr>
          <w:rFonts w:hAnsi="宋体" w:cs="宋体"/>
          <w:kern w:val="0"/>
          <w:sz w:val="32"/>
          <w:szCs w:val="32"/>
          <w:shd w:val="clear" w:color="auto" w:fill="FFFFFF"/>
          <w:lang w:val="zh-CN"/>
        </w:rPr>
      </w:pPr>
    </w:p>
    <w:p>
      <w:pPr>
        <w:pStyle w:val="2"/>
        <w:numPr>
          <w:ilvl w:val="0"/>
          <w:numId w:val="0"/>
        </w:numPr>
        <w:rPr>
          <w:rFonts w:hAnsi="宋体" w:cs="宋体"/>
          <w:kern w:val="0"/>
          <w:sz w:val="32"/>
          <w:szCs w:val="32"/>
          <w:shd w:val="clear" w:color="auto" w:fill="FFFFFF"/>
          <w:lang w:val="zh-CN"/>
        </w:rPr>
      </w:pPr>
    </w:p>
    <w:p>
      <w:pPr>
        <w:pStyle w:val="2"/>
        <w:numPr>
          <w:ilvl w:val="0"/>
          <w:numId w:val="0"/>
        </w:numPr>
        <w:rPr>
          <w:rFonts w:hAnsi="宋体" w:cs="宋体"/>
          <w:kern w:val="0"/>
          <w:sz w:val="32"/>
          <w:szCs w:val="32"/>
          <w:shd w:val="clear" w:color="auto" w:fill="FFFFFF"/>
          <w:lang w:val="zh-CN"/>
        </w:rPr>
      </w:pPr>
    </w:p>
    <w:p>
      <w:pPr>
        <w:pStyle w:val="2"/>
        <w:numPr>
          <w:ilvl w:val="0"/>
          <w:numId w:val="0"/>
        </w:numPr>
        <w:rPr>
          <w:rFonts w:hAnsi="宋体" w:cs="宋体"/>
          <w:kern w:val="0"/>
          <w:sz w:val="32"/>
          <w:szCs w:val="32"/>
          <w:shd w:val="clear" w:color="auto" w:fill="FFFFFF"/>
          <w:lang w:val="zh-CN"/>
        </w:rPr>
      </w:pPr>
    </w:p>
    <w:p>
      <w:pPr>
        <w:pStyle w:val="2"/>
        <w:numPr>
          <w:ilvl w:val="0"/>
          <w:numId w:val="0"/>
        </w:numPr>
        <w:rPr>
          <w:rFonts w:hAnsi="宋体" w:cs="宋体"/>
          <w:kern w:val="0"/>
          <w:sz w:val="32"/>
          <w:szCs w:val="32"/>
          <w:shd w:val="clear" w:color="auto" w:fill="FFFFFF"/>
          <w:lang w:val="zh-CN"/>
        </w:rPr>
      </w:pPr>
    </w:p>
    <w:p>
      <w:pPr>
        <w:pStyle w:val="2"/>
        <w:numPr>
          <w:ilvl w:val="0"/>
          <w:numId w:val="0"/>
        </w:numPr>
        <w:rPr>
          <w:rFonts w:hAnsi="宋体" w:cs="宋体"/>
          <w:kern w:val="0"/>
          <w:sz w:val="32"/>
          <w:szCs w:val="32"/>
          <w:shd w:val="clear" w:color="auto" w:fill="FFFFFF"/>
          <w:lang w:val="zh-CN"/>
        </w:rPr>
      </w:pPr>
    </w:p>
    <w:p>
      <w:pPr>
        <w:pStyle w:val="2"/>
        <w:numPr>
          <w:ilvl w:val="0"/>
          <w:numId w:val="0"/>
        </w:numPr>
        <w:rPr>
          <w:rFonts w:hAnsi="宋体" w:cs="宋体"/>
          <w:kern w:val="0"/>
          <w:sz w:val="32"/>
          <w:szCs w:val="32"/>
          <w:shd w:val="clear" w:color="auto" w:fill="FFFFFF"/>
          <w:lang w:val="zh-CN"/>
        </w:rPr>
      </w:pPr>
    </w:p>
    <w:p>
      <w:pPr>
        <w:pStyle w:val="2"/>
        <w:numPr>
          <w:ilvl w:val="0"/>
          <w:numId w:val="0"/>
        </w:numPr>
        <w:rPr>
          <w:rFonts w:hAnsi="宋体" w:cs="宋体"/>
          <w:kern w:val="0"/>
          <w:sz w:val="32"/>
          <w:szCs w:val="32"/>
          <w:shd w:val="clear" w:color="auto" w:fill="FFFFFF"/>
          <w:lang w:val="zh-CN"/>
        </w:rPr>
      </w:pPr>
    </w:p>
    <w:p>
      <w:pPr>
        <w:pStyle w:val="2"/>
        <w:numPr>
          <w:ilvl w:val="0"/>
          <w:numId w:val="0"/>
        </w:numPr>
        <w:rPr>
          <w:rFonts w:hAnsi="宋体" w:cs="宋体"/>
          <w:kern w:val="0"/>
          <w:sz w:val="32"/>
          <w:szCs w:val="32"/>
          <w:shd w:val="clear" w:color="auto" w:fill="FFFFFF"/>
          <w:lang w:val="zh-CN"/>
        </w:rPr>
      </w:pPr>
    </w:p>
    <w:p>
      <w:pPr>
        <w:spacing w:line="600" w:lineRule="exact"/>
        <w:jc w:val="center"/>
        <w:outlineLvl w:val="0"/>
        <w:rPr>
          <w:rFonts w:ascii="仿宋" w:hAnsi="仿宋" w:eastAsia="仿宋"/>
        </w:rPr>
      </w:pPr>
      <w:bookmarkStart w:id="53" w:name="_Toc15396618"/>
      <w:r>
        <w:rPr>
          <w:rFonts w:hint="eastAsia" w:ascii="黑体" w:hAnsi="黑体" w:eastAsia="黑体"/>
          <w:sz w:val="44"/>
          <w:szCs w:val="44"/>
        </w:rPr>
        <w:t>第</w:t>
      </w:r>
      <w:r>
        <w:rPr>
          <w:rStyle w:val="31"/>
          <w:rFonts w:hint="eastAsia" w:ascii="黑体" w:hAnsi="黑体" w:eastAsia="黑体"/>
          <w:b w:val="0"/>
        </w:rPr>
        <w:t>五部分 附表</w:t>
      </w:r>
      <w:bookmarkEnd w:id="51"/>
      <w:bookmarkEnd w:id="53"/>
      <w:bookmarkStart w:id="54" w:name="_Toc15396619"/>
    </w:p>
    <w:p>
      <w:pPr>
        <w:pStyle w:val="4"/>
        <w:rPr>
          <w:rFonts w:ascii="仿宋" w:hAnsi="仿宋" w:eastAsia="仿宋"/>
        </w:rPr>
      </w:pPr>
      <w:r>
        <w:rPr>
          <w:rFonts w:hint="eastAsia" w:ascii="仿宋" w:hAnsi="仿宋" w:eastAsia="仿宋"/>
          <w:b w:val="0"/>
        </w:rPr>
        <w:t>一、收</w:t>
      </w:r>
      <w:r>
        <w:rPr>
          <w:rStyle w:val="32"/>
          <w:rFonts w:hint="eastAsia" w:ascii="仿宋" w:hAnsi="仿宋" w:eastAsia="仿宋"/>
          <w:b w:val="0"/>
          <w:bCs w:val="0"/>
        </w:rPr>
        <w:t>入支出决算总表</w:t>
      </w:r>
      <w:bookmarkEnd w:id="54"/>
    </w:p>
    <w:p>
      <w:pPr>
        <w:pStyle w:val="4"/>
        <w:rPr>
          <w:rFonts w:ascii="仿宋" w:hAnsi="仿宋" w:eastAsia="仿宋"/>
        </w:rPr>
      </w:pPr>
      <w:bookmarkStart w:id="55" w:name="_Toc15396620"/>
      <w:r>
        <w:rPr>
          <w:rFonts w:hint="eastAsia" w:ascii="仿宋" w:hAnsi="仿宋" w:eastAsia="仿宋"/>
          <w:b w:val="0"/>
        </w:rPr>
        <w:t>二、收</w:t>
      </w:r>
      <w:r>
        <w:rPr>
          <w:rStyle w:val="32"/>
          <w:rFonts w:hint="eastAsia" w:ascii="仿宋" w:hAnsi="仿宋" w:eastAsia="仿宋"/>
          <w:b w:val="0"/>
          <w:bCs w:val="0"/>
        </w:rPr>
        <w:t>入决算表</w:t>
      </w:r>
      <w:bookmarkEnd w:id="55"/>
    </w:p>
    <w:p>
      <w:pPr>
        <w:pStyle w:val="4"/>
        <w:rPr>
          <w:rFonts w:ascii="仿宋" w:hAnsi="仿宋" w:eastAsia="仿宋"/>
        </w:rPr>
      </w:pPr>
      <w:bookmarkStart w:id="56" w:name="_Toc15396621"/>
      <w:r>
        <w:rPr>
          <w:rStyle w:val="32"/>
          <w:rFonts w:hint="eastAsia" w:ascii="仿宋" w:hAnsi="仿宋" w:eastAsia="仿宋"/>
          <w:b w:val="0"/>
          <w:bCs w:val="0"/>
        </w:rPr>
        <w:t>三、</w:t>
      </w:r>
      <w:r>
        <w:rPr>
          <w:rFonts w:hint="eastAsia" w:ascii="仿宋" w:hAnsi="仿宋" w:eastAsia="仿宋"/>
          <w:b w:val="0"/>
        </w:rPr>
        <w:t>支</w:t>
      </w:r>
      <w:r>
        <w:rPr>
          <w:rStyle w:val="32"/>
          <w:rFonts w:hint="eastAsia" w:ascii="仿宋" w:hAnsi="仿宋" w:eastAsia="仿宋"/>
          <w:b w:val="0"/>
          <w:bCs w:val="0"/>
        </w:rPr>
        <w:t>出决算表</w:t>
      </w:r>
      <w:bookmarkEnd w:id="56"/>
    </w:p>
    <w:p>
      <w:pPr>
        <w:pStyle w:val="4"/>
        <w:rPr>
          <w:rFonts w:ascii="仿宋" w:hAnsi="仿宋" w:eastAsia="仿宋"/>
          <w:b w:val="0"/>
        </w:rPr>
      </w:pPr>
      <w:bookmarkStart w:id="57" w:name="_Toc15396622"/>
      <w:r>
        <w:rPr>
          <w:rStyle w:val="32"/>
          <w:rFonts w:hint="eastAsia" w:ascii="仿宋" w:hAnsi="仿宋" w:eastAsia="仿宋"/>
          <w:b w:val="0"/>
          <w:bCs w:val="0"/>
        </w:rPr>
        <w:t>四、</w:t>
      </w:r>
      <w:r>
        <w:rPr>
          <w:rFonts w:hint="eastAsia" w:ascii="仿宋" w:hAnsi="仿宋" w:eastAsia="仿宋"/>
          <w:b w:val="0"/>
        </w:rPr>
        <w:t>财</w:t>
      </w:r>
      <w:r>
        <w:rPr>
          <w:rStyle w:val="32"/>
          <w:rFonts w:hint="eastAsia" w:ascii="仿宋" w:hAnsi="仿宋" w:eastAsia="仿宋"/>
          <w:b w:val="0"/>
          <w:bCs w:val="0"/>
        </w:rPr>
        <w:t>政拨款收入支出决算总表</w:t>
      </w:r>
      <w:bookmarkEnd w:id="57"/>
    </w:p>
    <w:p>
      <w:pPr>
        <w:pStyle w:val="4"/>
        <w:rPr>
          <w:rStyle w:val="32"/>
          <w:rFonts w:ascii="仿宋" w:hAnsi="仿宋" w:eastAsia="仿宋"/>
          <w:b w:val="0"/>
          <w:bCs w:val="0"/>
        </w:rPr>
      </w:pPr>
      <w:bookmarkStart w:id="58" w:name="_Toc15396623"/>
      <w:r>
        <w:rPr>
          <w:rStyle w:val="32"/>
          <w:rFonts w:hint="eastAsia" w:ascii="仿宋" w:hAnsi="仿宋" w:eastAsia="仿宋"/>
          <w:b w:val="0"/>
          <w:bCs w:val="0"/>
        </w:rPr>
        <w:t>五、</w:t>
      </w:r>
      <w:r>
        <w:rPr>
          <w:rFonts w:hint="eastAsia" w:ascii="仿宋" w:hAnsi="仿宋" w:eastAsia="仿宋"/>
          <w:b w:val="0"/>
        </w:rPr>
        <w:t>财</w:t>
      </w:r>
      <w:r>
        <w:rPr>
          <w:rStyle w:val="32"/>
          <w:rFonts w:hint="eastAsia" w:ascii="仿宋" w:hAnsi="仿宋" w:eastAsia="仿宋"/>
          <w:b w:val="0"/>
          <w:bCs w:val="0"/>
        </w:rPr>
        <w:t>政拨款支出决算明细表</w:t>
      </w:r>
      <w:bookmarkEnd w:id="58"/>
      <w:bookmarkStart w:id="59" w:name="_Toc15396624"/>
    </w:p>
    <w:p>
      <w:pPr>
        <w:pStyle w:val="4"/>
        <w:rPr>
          <w:rFonts w:ascii="仿宋" w:hAnsi="仿宋" w:eastAsia="仿宋"/>
        </w:rPr>
      </w:pPr>
      <w:r>
        <w:rPr>
          <w:rStyle w:val="32"/>
          <w:rFonts w:hint="eastAsia" w:ascii="仿宋" w:hAnsi="仿宋" w:eastAsia="仿宋"/>
          <w:b w:val="0"/>
          <w:bCs w:val="0"/>
        </w:rPr>
        <w:t>六、</w:t>
      </w:r>
      <w:r>
        <w:rPr>
          <w:rFonts w:hint="eastAsia" w:ascii="仿宋" w:hAnsi="仿宋" w:eastAsia="仿宋"/>
          <w:b w:val="0"/>
        </w:rPr>
        <w:t>一</w:t>
      </w:r>
      <w:r>
        <w:rPr>
          <w:rStyle w:val="32"/>
          <w:rFonts w:hint="eastAsia" w:ascii="仿宋" w:hAnsi="仿宋" w:eastAsia="仿宋"/>
          <w:b w:val="0"/>
          <w:bCs w:val="0"/>
        </w:rPr>
        <w:t>般公共预算财政拨款支出决算表</w:t>
      </w:r>
      <w:bookmarkEnd w:id="59"/>
    </w:p>
    <w:p>
      <w:pPr>
        <w:pStyle w:val="4"/>
        <w:rPr>
          <w:rFonts w:ascii="仿宋" w:hAnsi="仿宋" w:eastAsia="仿宋"/>
        </w:rPr>
      </w:pPr>
      <w:bookmarkStart w:id="60" w:name="_Toc15396625"/>
      <w:r>
        <w:rPr>
          <w:rStyle w:val="32"/>
          <w:rFonts w:hint="eastAsia" w:ascii="仿宋" w:hAnsi="仿宋" w:eastAsia="仿宋"/>
          <w:b w:val="0"/>
          <w:bCs w:val="0"/>
        </w:rPr>
        <w:t>七、</w:t>
      </w:r>
      <w:r>
        <w:rPr>
          <w:rFonts w:hint="eastAsia" w:ascii="仿宋" w:hAnsi="仿宋" w:eastAsia="仿宋"/>
          <w:b w:val="0"/>
        </w:rPr>
        <w:t>一</w:t>
      </w:r>
      <w:r>
        <w:rPr>
          <w:rStyle w:val="32"/>
          <w:rFonts w:hint="eastAsia" w:ascii="仿宋" w:hAnsi="仿宋" w:eastAsia="仿宋"/>
          <w:b w:val="0"/>
          <w:bCs w:val="0"/>
        </w:rPr>
        <w:t>般公共预算财政拨款支出决算明细表</w:t>
      </w:r>
      <w:bookmarkEnd w:id="60"/>
    </w:p>
    <w:p>
      <w:pPr>
        <w:pStyle w:val="4"/>
        <w:rPr>
          <w:rFonts w:ascii="仿宋" w:hAnsi="仿宋" w:eastAsia="仿宋"/>
        </w:rPr>
      </w:pPr>
      <w:bookmarkStart w:id="61" w:name="_Toc15396626"/>
      <w:r>
        <w:rPr>
          <w:rStyle w:val="32"/>
          <w:rFonts w:hint="eastAsia" w:ascii="仿宋" w:hAnsi="仿宋" w:eastAsia="仿宋"/>
          <w:b w:val="0"/>
          <w:bCs w:val="0"/>
        </w:rPr>
        <w:t>八、</w:t>
      </w:r>
      <w:r>
        <w:rPr>
          <w:rFonts w:hint="eastAsia" w:ascii="仿宋" w:hAnsi="仿宋" w:eastAsia="仿宋"/>
          <w:b w:val="0"/>
        </w:rPr>
        <w:t>一</w:t>
      </w:r>
      <w:r>
        <w:rPr>
          <w:rStyle w:val="32"/>
          <w:rFonts w:hint="eastAsia" w:ascii="仿宋" w:hAnsi="仿宋" w:eastAsia="仿宋"/>
          <w:b w:val="0"/>
          <w:bCs w:val="0"/>
        </w:rPr>
        <w:t>般公共预算财政拨款基本支出决算表</w:t>
      </w:r>
      <w:bookmarkEnd w:id="61"/>
    </w:p>
    <w:p>
      <w:pPr>
        <w:pStyle w:val="4"/>
        <w:rPr>
          <w:rFonts w:ascii="仿宋" w:hAnsi="仿宋" w:eastAsia="仿宋"/>
        </w:rPr>
      </w:pPr>
      <w:bookmarkStart w:id="62" w:name="_Toc15396627"/>
      <w:r>
        <w:rPr>
          <w:rStyle w:val="32"/>
          <w:rFonts w:hint="eastAsia" w:ascii="仿宋" w:hAnsi="仿宋" w:eastAsia="仿宋"/>
          <w:b w:val="0"/>
          <w:bCs w:val="0"/>
        </w:rPr>
        <w:t>九、</w:t>
      </w:r>
      <w:r>
        <w:rPr>
          <w:rFonts w:hint="eastAsia" w:ascii="仿宋" w:hAnsi="仿宋" w:eastAsia="仿宋"/>
          <w:b w:val="0"/>
        </w:rPr>
        <w:t>一</w:t>
      </w:r>
      <w:r>
        <w:rPr>
          <w:rStyle w:val="32"/>
          <w:rFonts w:hint="eastAsia" w:ascii="仿宋" w:hAnsi="仿宋" w:eastAsia="仿宋"/>
          <w:b w:val="0"/>
          <w:bCs w:val="0"/>
        </w:rPr>
        <w:t>般公共预算财政拨款项目支出决算表</w:t>
      </w:r>
      <w:bookmarkEnd w:id="62"/>
    </w:p>
    <w:p>
      <w:pPr>
        <w:pStyle w:val="4"/>
        <w:rPr>
          <w:rFonts w:ascii="仿宋" w:hAnsi="仿宋" w:eastAsia="仿宋"/>
        </w:rPr>
      </w:pPr>
      <w:bookmarkStart w:id="63" w:name="_Toc15396628"/>
      <w:r>
        <w:rPr>
          <w:rStyle w:val="32"/>
          <w:rFonts w:hint="eastAsia" w:ascii="仿宋" w:hAnsi="仿宋" w:eastAsia="仿宋"/>
          <w:b w:val="0"/>
          <w:bCs w:val="0"/>
        </w:rPr>
        <w:t>十、</w:t>
      </w:r>
      <w:bookmarkEnd w:id="63"/>
      <w:r>
        <w:rPr>
          <w:rFonts w:hint="eastAsia" w:ascii="仿宋" w:hAnsi="仿宋" w:eastAsia="仿宋"/>
          <w:b w:val="0"/>
        </w:rPr>
        <w:t>政</w:t>
      </w:r>
      <w:r>
        <w:rPr>
          <w:rStyle w:val="32"/>
          <w:rFonts w:hint="eastAsia" w:ascii="仿宋" w:hAnsi="仿宋" w:eastAsia="仿宋"/>
          <w:b w:val="0"/>
          <w:bCs w:val="0"/>
        </w:rPr>
        <w:t>府性基金预算财政拨款收入支出决算表</w:t>
      </w:r>
    </w:p>
    <w:p>
      <w:pPr>
        <w:pStyle w:val="4"/>
        <w:rPr>
          <w:rFonts w:ascii="仿宋" w:hAnsi="仿宋" w:eastAsia="仿宋"/>
        </w:rPr>
      </w:pPr>
      <w:bookmarkStart w:id="64" w:name="_Toc15396629"/>
      <w:r>
        <w:rPr>
          <w:rStyle w:val="32"/>
          <w:rFonts w:hint="eastAsia" w:ascii="仿宋" w:hAnsi="仿宋" w:eastAsia="仿宋"/>
          <w:b w:val="0"/>
          <w:bCs w:val="0"/>
        </w:rPr>
        <w:t>十一、</w:t>
      </w:r>
      <w:bookmarkEnd w:id="64"/>
      <w:r>
        <w:rPr>
          <w:rFonts w:hint="eastAsia" w:ascii="仿宋" w:hAnsi="仿宋" w:eastAsia="仿宋"/>
          <w:b w:val="0"/>
        </w:rPr>
        <w:t>国</w:t>
      </w:r>
      <w:r>
        <w:rPr>
          <w:rStyle w:val="32"/>
          <w:rFonts w:hint="eastAsia" w:ascii="仿宋" w:hAnsi="仿宋" w:eastAsia="仿宋"/>
          <w:b w:val="0"/>
          <w:bCs w:val="0"/>
        </w:rPr>
        <w:t>有资本经营预算财政拨款收入支出决算表</w:t>
      </w:r>
    </w:p>
    <w:p>
      <w:pPr>
        <w:pStyle w:val="4"/>
        <w:rPr>
          <w:rFonts w:ascii="仿宋" w:hAnsi="仿宋" w:eastAsia="仿宋"/>
        </w:rPr>
      </w:pPr>
      <w:bookmarkStart w:id="65" w:name="_Toc15396630"/>
      <w:r>
        <w:rPr>
          <w:rStyle w:val="32"/>
          <w:rFonts w:hint="eastAsia" w:ascii="仿宋" w:hAnsi="仿宋" w:eastAsia="仿宋"/>
          <w:b w:val="0"/>
          <w:bCs w:val="0"/>
        </w:rPr>
        <w:t>十二、</w:t>
      </w:r>
      <w:bookmarkEnd w:id="65"/>
      <w:r>
        <w:rPr>
          <w:rStyle w:val="32"/>
          <w:rFonts w:hint="eastAsia" w:ascii="仿宋" w:hAnsi="仿宋" w:eastAsia="仿宋"/>
          <w:b w:val="0"/>
          <w:bCs w:val="0"/>
        </w:rPr>
        <w:t>国有资本经营预算财政拨款支出决算表</w:t>
      </w:r>
    </w:p>
    <w:p>
      <w:pPr>
        <w:pStyle w:val="4"/>
        <w:rPr>
          <w:rFonts w:eastAsia="仿宋"/>
        </w:rPr>
      </w:pPr>
      <w:bookmarkStart w:id="66" w:name="_Toc15396631"/>
      <w:r>
        <w:rPr>
          <w:rStyle w:val="32"/>
          <w:rFonts w:hint="eastAsia" w:ascii="仿宋" w:hAnsi="仿宋" w:eastAsia="仿宋"/>
          <w:b w:val="0"/>
          <w:bCs w:val="0"/>
        </w:rPr>
        <w:t>十三、</w:t>
      </w:r>
      <w:bookmarkEnd w:id="66"/>
      <w:r>
        <w:rPr>
          <w:rStyle w:val="32"/>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BAD832D-432C-4D2B-AD88-0843B82F1E3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7DADEEE1-75E0-4E93-B20B-866390D0AC1A}"/>
  </w:font>
  <w:font w:name="Cambria">
    <w:panose1 w:val="02040503050406030204"/>
    <w:charset w:val="00"/>
    <w:family w:val="roman"/>
    <w:pitch w:val="default"/>
    <w:sig w:usb0="E00002FF" w:usb1="400004FF" w:usb2="00000000" w:usb3="00000000" w:csb0="2000019F" w:csb1="00000000"/>
    <w:embedRegular r:id="rId3" w:fontKey="{4F398304-85D9-47C1-9D72-DAA512166F7E}"/>
  </w:font>
  <w:font w:name="仿宋_GB2312">
    <w:altName w:val="仿宋"/>
    <w:panose1 w:val="02010609030101010101"/>
    <w:charset w:val="86"/>
    <w:family w:val="modern"/>
    <w:pitch w:val="default"/>
    <w:sig w:usb0="00000000" w:usb1="00000000" w:usb2="00000010" w:usb3="00000000" w:csb0="00040000" w:csb1="00000000"/>
    <w:embedRegular r:id="rId4" w:fontKey="{1DADAC33-5DB8-4B39-88A0-F8F16FB83E7D}"/>
  </w:font>
  <w:font w:name="仿宋">
    <w:panose1 w:val="02010609060101010101"/>
    <w:charset w:val="86"/>
    <w:family w:val="modern"/>
    <w:pitch w:val="default"/>
    <w:sig w:usb0="800002BF" w:usb1="38CF7CFA" w:usb2="00000016" w:usb3="00000000" w:csb0="00040001" w:csb1="00000000"/>
    <w:embedRegular r:id="rId5" w:fontKey="{FA28B6B7-E3BF-41B3-8833-2DE929C5211B}"/>
  </w:font>
  <w:font w:name="??">
    <w:altName w:val="Times New Roman"/>
    <w:panose1 w:val="00000000000000000000"/>
    <w:charset w:val="00"/>
    <w:family w:val="roman"/>
    <w:pitch w:val="default"/>
    <w:sig w:usb0="00000000" w:usb1="00000000" w:usb2="00000000" w:usb3="00000000" w:csb0="00040001" w:csb1="00000000"/>
  </w:font>
  <w:font w:name="方正小标宋简体">
    <w:panose1 w:val="02000000000000000000"/>
    <w:charset w:val="86"/>
    <w:family w:val="script"/>
    <w:pitch w:val="default"/>
    <w:sig w:usb0="00000001" w:usb1="080E0000" w:usb2="00000000" w:usb3="00000000" w:csb0="00040000" w:csb1="00000000"/>
    <w:embedRegular r:id="rId6" w:fontKey="{090A8D5A-BAB4-41B5-B688-90A9000F8189}"/>
  </w:font>
  <w:font w:name="楷体">
    <w:panose1 w:val="02010609060101010101"/>
    <w:charset w:val="86"/>
    <w:family w:val="modern"/>
    <w:pitch w:val="default"/>
    <w:sig w:usb0="800002BF" w:usb1="38CF7CFA" w:usb2="00000016" w:usb3="00000000" w:csb0="00040001" w:csb1="00000000"/>
    <w:embedRegular r:id="rId7" w:fontKey="{5F34CCE3-ADB7-4F82-A4F8-A12FA6C2CF4C}"/>
  </w:font>
  <w:font w:name="楷体_GB2312">
    <w:altName w:val="楷体"/>
    <w:panose1 w:val="02010609030101010101"/>
    <w:charset w:val="86"/>
    <w:family w:val="modern"/>
    <w:pitch w:val="default"/>
    <w:sig w:usb0="00000000" w:usb1="00000000" w:usb2="00000010" w:usb3="00000000" w:csb0="00040000" w:csb1="00000000"/>
    <w:embedRegular r:id="rId8" w:fontKey="{07BFA3A5-3AD2-4F43-9C66-3D97C60CB488}"/>
  </w:font>
  <w:font w:name="微软雅黑">
    <w:panose1 w:val="020B0503020204020204"/>
    <w:charset w:val="86"/>
    <w:family w:val="swiss"/>
    <w:pitch w:val="default"/>
    <w:sig w:usb0="80000287" w:usb1="280F3C52" w:usb2="00000016" w:usb3="00000000" w:csb0="0004001F" w:csb1="00000000"/>
    <w:embedRegular r:id="rId9" w:fontKey="{E4E2EE7C-9BF3-48C7-B919-2D5947247CB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12"/>
          <w:jc w:val="center"/>
        </w:pPr>
        <w:r>
          <w:fldChar w:fldCharType="begin"/>
        </w:r>
        <w:r>
          <w:instrText xml:space="preserve">PAGE   \* MERGEFORMAT</w:instrText>
        </w:r>
        <w:r>
          <w:fldChar w:fldCharType="separate"/>
        </w:r>
        <w:r>
          <w:rPr>
            <w:lang w:val="zh-CN"/>
          </w:rPr>
          <w:t>3</w:t>
        </w:r>
        <w:r>
          <w:fldChar w:fldCharType="end"/>
        </w:r>
      </w:p>
    </w:sdtContent>
  </w:sdt>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9988F3"/>
    <w:multiLevelType w:val="singleLevel"/>
    <w:tmpl w:val="969988F3"/>
    <w:lvl w:ilvl="0" w:tentative="0">
      <w:start w:val="1"/>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3819B88"/>
    <w:multiLevelType w:val="singleLevel"/>
    <w:tmpl w:val="33819B88"/>
    <w:lvl w:ilvl="0" w:tentative="0">
      <w:start w:val="1"/>
      <w:numFmt w:val="decimal"/>
      <w:pStyle w:val="2"/>
      <w:lvlText w:val="%1."/>
      <w:lvlJc w:val="left"/>
      <w:pPr>
        <w:tabs>
          <w:tab w:val="left" w:pos="360"/>
        </w:tabs>
        <w:ind w:left="360" w:hanging="36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xZjQzM2ZkZDE1MjYyOTgyYTc4YjE1YjNmZWI3NG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08C"/>
    <w:rsid w:val="000B6FF3"/>
    <w:rsid w:val="000C3467"/>
    <w:rsid w:val="000C3CA6"/>
    <w:rsid w:val="000D1267"/>
    <w:rsid w:val="000D1D50"/>
    <w:rsid w:val="000D5782"/>
    <w:rsid w:val="000E6613"/>
    <w:rsid w:val="000E7119"/>
    <w:rsid w:val="00102745"/>
    <w:rsid w:val="00114E9B"/>
    <w:rsid w:val="00142216"/>
    <w:rsid w:val="00144D6A"/>
    <w:rsid w:val="0014729F"/>
    <w:rsid w:val="00157BAB"/>
    <w:rsid w:val="001654D1"/>
    <w:rsid w:val="00174518"/>
    <w:rsid w:val="0018106D"/>
    <w:rsid w:val="001877A7"/>
    <w:rsid w:val="00191536"/>
    <w:rsid w:val="00196687"/>
    <w:rsid w:val="001C0962"/>
    <w:rsid w:val="001C5462"/>
    <w:rsid w:val="001D7531"/>
    <w:rsid w:val="001E737D"/>
    <w:rsid w:val="001F0592"/>
    <w:rsid w:val="001F7506"/>
    <w:rsid w:val="002006CD"/>
    <w:rsid w:val="00202B36"/>
    <w:rsid w:val="00204B7A"/>
    <w:rsid w:val="00204CDE"/>
    <w:rsid w:val="0021101A"/>
    <w:rsid w:val="00220536"/>
    <w:rsid w:val="00235629"/>
    <w:rsid w:val="00253737"/>
    <w:rsid w:val="00260C38"/>
    <w:rsid w:val="002616C0"/>
    <w:rsid w:val="00265372"/>
    <w:rsid w:val="002662AA"/>
    <w:rsid w:val="00280496"/>
    <w:rsid w:val="00294DC9"/>
    <w:rsid w:val="00295495"/>
    <w:rsid w:val="002A31DE"/>
    <w:rsid w:val="002B2613"/>
    <w:rsid w:val="002D6D05"/>
    <w:rsid w:val="002F1818"/>
    <w:rsid w:val="002F567B"/>
    <w:rsid w:val="002F7986"/>
    <w:rsid w:val="003216A9"/>
    <w:rsid w:val="003347D3"/>
    <w:rsid w:val="00335A74"/>
    <w:rsid w:val="0036561B"/>
    <w:rsid w:val="0037013F"/>
    <w:rsid w:val="00370FDC"/>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51A0A"/>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35D87"/>
    <w:rsid w:val="005664BB"/>
    <w:rsid w:val="00566FFA"/>
    <w:rsid w:val="0057481D"/>
    <w:rsid w:val="0058486E"/>
    <w:rsid w:val="00585B33"/>
    <w:rsid w:val="00586C8C"/>
    <w:rsid w:val="0059014D"/>
    <w:rsid w:val="005B5C64"/>
    <w:rsid w:val="005C5337"/>
    <w:rsid w:val="005C6BD0"/>
    <w:rsid w:val="005D1C8B"/>
    <w:rsid w:val="005D468D"/>
    <w:rsid w:val="005D5CED"/>
    <w:rsid w:val="005F1A4C"/>
    <w:rsid w:val="005F747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712"/>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C4987"/>
    <w:rsid w:val="007D1682"/>
    <w:rsid w:val="007D312A"/>
    <w:rsid w:val="007D3F19"/>
    <w:rsid w:val="007D5963"/>
    <w:rsid w:val="007E23B0"/>
    <w:rsid w:val="007E23E5"/>
    <w:rsid w:val="007F1991"/>
    <w:rsid w:val="007F2C2F"/>
    <w:rsid w:val="007F55FC"/>
    <w:rsid w:val="007F5665"/>
    <w:rsid w:val="00800112"/>
    <w:rsid w:val="00813348"/>
    <w:rsid w:val="008253BB"/>
    <w:rsid w:val="00833848"/>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1C7F"/>
    <w:rsid w:val="00954C49"/>
    <w:rsid w:val="00955E37"/>
    <w:rsid w:val="0097099F"/>
    <w:rsid w:val="00971997"/>
    <w:rsid w:val="00971FFC"/>
    <w:rsid w:val="0098660A"/>
    <w:rsid w:val="009931C3"/>
    <w:rsid w:val="009A1A00"/>
    <w:rsid w:val="009B2C43"/>
    <w:rsid w:val="009B4EAE"/>
    <w:rsid w:val="009B7573"/>
    <w:rsid w:val="009C22F4"/>
    <w:rsid w:val="009C2A4B"/>
    <w:rsid w:val="009C2E98"/>
    <w:rsid w:val="009D3447"/>
    <w:rsid w:val="009D4711"/>
    <w:rsid w:val="009F1185"/>
    <w:rsid w:val="009F18CD"/>
    <w:rsid w:val="009F2A13"/>
    <w:rsid w:val="009F7527"/>
    <w:rsid w:val="00A04EB0"/>
    <w:rsid w:val="00A13054"/>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762E4"/>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22675"/>
    <w:rsid w:val="00B310B9"/>
    <w:rsid w:val="00B35F3F"/>
    <w:rsid w:val="00B36CBB"/>
    <w:rsid w:val="00B425E0"/>
    <w:rsid w:val="00B440AA"/>
    <w:rsid w:val="00B44B70"/>
    <w:rsid w:val="00B53C56"/>
    <w:rsid w:val="00B57DAF"/>
    <w:rsid w:val="00B77EA6"/>
    <w:rsid w:val="00B81598"/>
    <w:rsid w:val="00B83797"/>
    <w:rsid w:val="00B841F1"/>
    <w:rsid w:val="00B912F5"/>
    <w:rsid w:val="00B944D6"/>
    <w:rsid w:val="00BA377A"/>
    <w:rsid w:val="00BB4DF0"/>
    <w:rsid w:val="00BC289F"/>
    <w:rsid w:val="00BC2D50"/>
    <w:rsid w:val="00BC5361"/>
    <w:rsid w:val="00BC5460"/>
    <w:rsid w:val="00BC6B50"/>
    <w:rsid w:val="00BD0E25"/>
    <w:rsid w:val="00BE53BE"/>
    <w:rsid w:val="00BF5BD6"/>
    <w:rsid w:val="00C02DC1"/>
    <w:rsid w:val="00C03E31"/>
    <w:rsid w:val="00C33E72"/>
    <w:rsid w:val="00C354B2"/>
    <w:rsid w:val="00C35554"/>
    <w:rsid w:val="00C42709"/>
    <w:rsid w:val="00C533CC"/>
    <w:rsid w:val="00C5751C"/>
    <w:rsid w:val="00C61BFC"/>
    <w:rsid w:val="00C62B85"/>
    <w:rsid w:val="00C65438"/>
    <w:rsid w:val="00C81A13"/>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47E66"/>
    <w:rsid w:val="00D51276"/>
    <w:rsid w:val="00D54593"/>
    <w:rsid w:val="00D7035F"/>
    <w:rsid w:val="00DA3196"/>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143E91"/>
    <w:rsid w:val="066E0107"/>
    <w:rsid w:val="069A65B0"/>
    <w:rsid w:val="07996F6E"/>
    <w:rsid w:val="097E3F67"/>
    <w:rsid w:val="0A2032A3"/>
    <w:rsid w:val="0AAC240E"/>
    <w:rsid w:val="0B852C60"/>
    <w:rsid w:val="0BB60DE0"/>
    <w:rsid w:val="0D701D97"/>
    <w:rsid w:val="0EA23614"/>
    <w:rsid w:val="0F98263C"/>
    <w:rsid w:val="101860EC"/>
    <w:rsid w:val="10BF041C"/>
    <w:rsid w:val="10C055FF"/>
    <w:rsid w:val="10FB40F0"/>
    <w:rsid w:val="118107EC"/>
    <w:rsid w:val="13D50BC4"/>
    <w:rsid w:val="14922675"/>
    <w:rsid w:val="16BB723D"/>
    <w:rsid w:val="16F72C63"/>
    <w:rsid w:val="181C317B"/>
    <w:rsid w:val="1A330456"/>
    <w:rsid w:val="1ADFCCDA"/>
    <w:rsid w:val="1BE8440E"/>
    <w:rsid w:val="1C4C3A51"/>
    <w:rsid w:val="1D155CEE"/>
    <w:rsid w:val="1FF35744"/>
    <w:rsid w:val="20BD316F"/>
    <w:rsid w:val="227417CB"/>
    <w:rsid w:val="22FF7A6F"/>
    <w:rsid w:val="23860B96"/>
    <w:rsid w:val="240371BF"/>
    <w:rsid w:val="258B383C"/>
    <w:rsid w:val="288822B5"/>
    <w:rsid w:val="29FD04D3"/>
    <w:rsid w:val="2A094D30"/>
    <w:rsid w:val="2C155C0E"/>
    <w:rsid w:val="2C815051"/>
    <w:rsid w:val="2C8A61B5"/>
    <w:rsid w:val="2DA972EB"/>
    <w:rsid w:val="2DF04E50"/>
    <w:rsid w:val="2E114AFB"/>
    <w:rsid w:val="2E5956C2"/>
    <w:rsid w:val="2F040D46"/>
    <w:rsid w:val="31745184"/>
    <w:rsid w:val="319F7F4E"/>
    <w:rsid w:val="3202017D"/>
    <w:rsid w:val="3304709D"/>
    <w:rsid w:val="36AA5135"/>
    <w:rsid w:val="376D39B2"/>
    <w:rsid w:val="37E16F03"/>
    <w:rsid w:val="38044D88"/>
    <w:rsid w:val="386A68D5"/>
    <w:rsid w:val="38D469F0"/>
    <w:rsid w:val="391E1E7A"/>
    <w:rsid w:val="39EF693E"/>
    <w:rsid w:val="3D98207C"/>
    <w:rsid w:val="3DEB862A"/>
    <w:rsid w:val="3E2919ED"/>
    <w:rsid w:val="3E78745D"/>
    <w:rsid w:val="3E9FB80C"/>
    <w:rsid w:val="3F7F6A10"/>
    <w:rsid w:val="3FF45D2C"/>
    <w:rsid w:val="40FA4E7B"/>
    <w:rsid w:val="4226071D"/>
    <w:rsid w:val="44A678F3"/>
    <w:rsid w:val="44E268DA"/>
    <w:rsid w:val="45AFC0D3"/>
    <w:rsid w:val="48D24C1A"/>
    <w:rsid w:val="4A627F82"/>
    <w:rsid w:val="4AFD0A86"/>
    <w:rsid w:val="4B0E749A"/>
    <w:rsid w:val="4B4F25DA"/>
    <w:rsid w:val="4BE068DB"/>
    <w:rsid w:val="4D196FC1"/>
    <w:rsid w:val="4D577224"/>
    <w:rsid w:val="4EAB630A"/>
    <w:rsid w:val="4ECE2238"/>
    <w:rsid w:val="507C775A"/>
    <w:rsid w:val="51EE6435"/>
    <w:rsid w:val="5285323E"/>
    <w:rsid w:val="537E6D0A"/>
    <w:rsid w:val="552A3C28"/>
    <w:rsid w:val="556F5ADF"/>
    <w:rsid w:val="55A41C2D"/>
    <w:rsid w:val="55E99009"/>
    <w:rsid w:val="573214BA"/>
    <w:rsid w:val="586C5C38"/>
    <w:rsid w:val="5AF92295"/>
    <w:rsid w:val="5CD71FC4"/>
    <w:rsid w:val="5FFFAC0C"/>
    <w:rsid w:val="6094289E"/>
    <w:rsid w:val="61C80A51"/>
    <w:rsid w:val="65982E30"/>
    <w:rsid w:val="660109D5"/>
    <w:rsid w:val="67485088"/>
    <w:rsid w:val="67CF790E"/>
    <w:rsid w:val="699B4B47"/>
    <w:rsid w:val="69D54FE0"/>
    <w:rsid w:val="6A615167"/>
    <w:rsid w:val="6C4A05C8"/>
    <w:rsid w:val="6D323B6A"/>
    <w:rsid w:val="6D57E6E8"/>
    <w:rsid w:val="6E7E3605"/>
    <w:rsid w:val="6EE113A4"/>
    <w:rsid w:val="6FBD7F1F"/>
    <w:rsid w:val="6FDE2064"/>
    <w:rsid w:val="6FF5CC65"/>
    <w:rsid w:val="715C0E4B"/>
    <w:rsid w:val="72623483"/>
    <w:rsid w:val="72734D90"/>
    <w:rsid w:val="73243F55"/>
    <w:rsid w:val="735D66DC"/>
    <w:rsid w:val="73AD73D5"/>
    <w:rsid w:val="73B6EB34"/>
    <w:rsid w:val="74371C48"/>
    <w:rsid w:val="744731E5"/>
    <w:rsid w:val="763F344D"/>
    <w:rsid w:val="76E3355F"/>
    <w:rsid w:val="778769C8"/>
    <w:rsid w:val="78E11280"/>
    <w:rsid w:val="79EE5BA4"/>
    <w:rsid w:val="7A894339"/>
    <w:rsid w:val="7A97325F"/>
    <w:rsid w:val="7B75C560"/>
    <w:rsid w:val="7B7E7411"/>
    <w:rsid w:val="7CB4634A"/>
    <w:rsid w:val="7E10589B"/>
    <w:rsid w:val="7EEF11D3"/>
    <w:rsid w:val="7EFC0E77"/>
    <w:rsid w:val="7F1E9BC2"/>
    <w:rsid w:val="7F5F041E"/>
    <w:rsid w:val="7FA30C79"/>
    <w:rsid w:val="7FB14DC3"/>
    <w:rsid w:val="7FB7269E"/>
    <w:rsid w:val="7FC96657"/>
    <w:rsid w:val="7FFF05B9"/>
    <w:rsid w:val="7FFFED6B"/>
    <w:rsid w:val="9BDEFD15"/>
    <w:rsid w:val="BEED7A23"/>
    <w:rsid w:val="C7DD3336"/>
    <w:rsid w:val="C7DFCA7B"/>
    <w:rsid w:val="CF7F2C0B"/>
    <w:rsid w:val="CFDF1C6B"/>
    <w:rsid w:val="CFF7FB67"/>
    <w:rsid w:val="D3F7552F"/>
    <w:rsid w:val="D6FF8703"/>
    <w:rsid w:val="D8D6DB89"/>
    <w:rsid w:val="DB6F4CAB"/>
    <w:rsid w:val="DF6F9789"/>
    <w:rsid w:val="DFD291FC"/>
    <w:rsid w:val="DFDF0BEC"/>
    <w:rsid w:val="DFFF592C"/>
    <w:rsid w:val="F2FFFD0D"/>
    <w:rsid w:val="F7B728D1"/>
    <w:rsid w:val="FA9B25E5"/>
    <w:rsid w:val="FCEFC22E"/>
    <w:rsid w:val="FDDD56F1"/>
    <w:rsid w:val="FFBA8089"/>
    <w:rsid w:val="FFFFD62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2">
    <w:name w:val="List Number"/>
    <w:basedOn w:val="1"/>
    <w:unhideWhenUsed/>
    <w:qFormat/>
    <w:uiPriority w:val="99"/>
    <w:pPr>
      <w:numPr>
        <w:ilvl w:val="0"/>
        <w:numId w:val="1"/>
      </w:numPr>
    </w:pPr>
  </w:style>
  <w:style w:type="paragraph" w:styleId="6">
    <w:name w:val="index 8"/>
    <w:basedOn w:val="1"/>
    <w:next w:val="1"/>
    <w:unhideWhenUsed/>
    <w:qFormat/>
    <w:uiPriority w:val="99"/>
    <w:pPr>
      <w:ind w:left="2940"/>
    </w:pPr>
  </w:style>
  <w:style w:type="paragraph" w:styleId="7">
    <w:name w:val="Salutation"/>
    <w:basedOn w:val="1"/>
    <w:next w:val="1"/>
    <w:qFormat/>
    <w:uiPriority w:val="0"/>
  </w:style>
  <w:style w:type="paragraph" w:styleId="8">
    <w:name w:val="Body Text"/>
    <w:basedOn w:val="1"/>
    <w:next w:val="6"/>
    <w:link w:val="28"/>
    <w:qFormat/>
    <w:uiPriority w:val="99"/>
    <w:pPr>
      <w:spacing w:beforeLines="30"/>
    </w:pPr>
    <w:rPr>
      <w:rFonts w:ascii="仿宋_GB2312" w:eastAsia="仿宋_GB2312"/>
      <w:kern w:val="0"/>
      <w:sz w:val="30"/>
    </w:rPr>
  </w:style>
  <w:style w:type="paragraph" w:styleId="9">
    <w:name w:val="Body Text Indent"/>
    <w:basedOn w:val="1"/>
    <w:qFormat/>
    <w:uiPriority w:val="0"/>
    <w:pPr>
      <w:spacing w:after="120"/>
      <w:ind w:left="200" w:leftChars="200"/>
    </w:pPr>
    <w:rPr>
      <w:rFonts w:ascii="仿宋_GB2312"/>
      <w:szCs w:val="32"/>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4"/>
    <w:semiHidden/>
    <w:unhideWhenUsed/>
    <w:qFormat/>
    <w:uiPriority w:val="99"/>
    <w:rPr>
      <w:sz w:val="18"/>
      <w:szCs w:val="18"/>
    </w:rPr>
  </w:style>
  <w:style w:type="paragraph" w:styleId="12">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semiHidden/>
    <w:unhideWhenUsed/>
    <w:uiPriority w:val="99"/>
    <w:pPr>
      <w:spacing w:beforeAutospacing="1" w:afterAutospacing="1"/>
      <w:jc w:val="left"/>
    </w:pPr>
    <w:rPr>
      <w:kern w:val="0"/>
      <w:sz w:val="24"/>
    </w:rPr>
  </w:style>
  <w:style w:type="paragraph" w:styleId="17">
    <w:name w:val="Body Text First Indent 2"/>
    <w:basedOn w:val="9"/>
    <w:unhideWhenUsed/>
    <w:qFormat/>
    <w:uiPriority w:val="99"/>
    <w:pPr>
      <w:ind w:firstLine="420" w:firstLineChars="200"/>
    </w:p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3">
    <w:name w:val="Header Char"/>
    <w:basedOn w:val="19"/>
    <w:semiHidden/>
    <w:qFormat/>
    <w:uiPriority w:val="99"/>
    <w:rPr>
      <w:rFonts w:ascii="Times New Roman" w:hAnsi="Times New Roman"/>
      <w:sz w:val="18"/>
      <w:szCs w:val="18"/>
    </w:rPr>
  </w:style>
  <w:style w:type="character" w:customStyle="1" w:styleId="24">
    <w:name w:val="页眉 Char"/>
    <w:link w:val="13"/>
    <w:semiHidden/>
    <w:qFormat/>
    <w:locked/>
    <w:uiPriority w:val="99"/>
    <w:rPr>
      <w:sz w:val="18"/>
    </w:rPr>
  </w:style>
  <w:style w:type="character" w:customStyle="1" w:styleId="25">
    <w:name w:val="Footer Char"/>
    <w:basedOn w:val="19"/>
    <w:semiHidden/>
    <w:qFormat/>
    <w:uiPriority w:val="99"/>
    <w:rPr>
      <w:rFonts w:ascii="Times New Roman" w:hAnsi="Times New Roman"/>
      <w:sz w:val="18"/>
      <w:szCs w:val="18"/>
    </w:rPr>
  </w:style>
  <w:style w:type="character" w:customStyle="1" w:styleId="26">
    <w:name w:val="页脚 Char"/>
    <w:link w:val="12"/>
    <w:qFormat/>
    <w:locked/>
    <w:uiPriority w:val="99"/>
    <w:rPr>
      <w:sz w:val="18"/>
    </w:rPr>
  </w:style>
  <w:style w:type="character" w:customStyle="1" w:styleId="27">
    <w:name w:val="Body Text Char"/>
    <w:basedOn w:val="19"/>
    <w:semiHidden/>
    <w:qFormat/>
    <w:uiPriority w:val="99"/>
    <w:rPr>
      <w:rFonts w:ascii="Times New Roman" w:hAnsi="Times New Roman"/>
      <w:szCs w:val="24"/>
    </w:rPr>
  </w:style>
  <w:style w:type="character" w:customStyle="1" w:styleId="28">
    <w:name w:val="正文文本 Char"/>
    <w:link w:val="8"/>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Char"/>
    <w:basedOn w:val="19"/>
    <w:link w:val="3"/>
    <w:qFormat/>
    <w:uiPriority w:val="9"/>
    <w:rPr>
      <w:rFonts w:ascii="Times New Roman" w:hAnsi="Times New Roman"/>
      <w:b/>
      <w:bCs/>
      <w:kern w:val="44"/>
      <w:sz w:val="44"/>
      <w:szCs w:val="44"/>
    </w:rPr>
  </w:style>
  <w:style w:type="character" w:customStyle="1" w:styleId="32">
    <w:name w:val="标题 2 Char"/>
    <w:basedOn w:val="19"/>
    <w:link w:val="4"/>
    <w:qFormat/>
    <w:uiPriority w:val="9"/>
    <w:rPr>
      <w:rFonts w:asciiTheme="majorHAnsi" w:hAnsiTheme="majorHAnsi" w:eastAsiaTheme="majorEastAsia" w:cstheme="majorBidi"/>
      <w:b/>
      <w:bCs/>
      <w:kern w:val="2"/>
      <w:sz w:val="32"/>
      <w:szCs w:val="32"/>
    </w:rPr>
  </w:style>
  <w:style w:type="paragraph" w:customStyle="1" w:styleId="33">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9"/>
    <w:link w:val="11"/>
    <w:semiHidden/>
    <w:qFormat/>
    <w:uiPriority w:val="99"/>
    <w:rPr>
      <w:rFonts w:ascii="Times New Roman" w:hAnsi="Times New Roman"/>
      <w:kern w:val="2"/>
      <w:sz w:val="18"/>
      <w:szCs w:val="18"/>
    </w:rPr>
  </w:style>
  <w:style w:type="character" w:customStyle="1" w:styleId="35">
    <w:name w:val="标题 3 Char"/>
    <w:basedOn w:val="19"/>
    <w:link w:val="5"/>
    <w:qFormat/>
    <w:uiPriority w:val="9"/>
    <w:rPr>
      <w:rFonts w:ascii="Times New Roman" w:hAnsi="Times New Roman"/>
      <w:b/>
      <w:bCs/>
      <w:kern w:val="2"/>
      <w:sz w:val="32"/>
      <w:szCs w:val="32"/>
    </w:rPr>
  </w:style>
  <w:style w:type="paragraph" w:customStyle="1" w:styleId="36">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color w:val="000000"/>
      <w:kern w:val="0"/>
      <w:sz w:val="28"/>
      <w:szCs w:val="21"/>
      <w:lang w:val="zh-CN"/>
    </w:rPr>
  </w:style>
  <w:style w:type="paragraph" w:customStyle="1" w:styleId="38">
    <w:name w:val="Body text|2"/>
    <w:basedOn w:val="1"/>
    <w:qFormat/>
    <w:uiPriority w:val="0"/>
    <w:pPr>
      <w:spacing w:after="30"/>
    </w:pPr>
    <w:rPr>
      <w:rFonts w:ascii="宋体" w:hAnsi="宋体" w:cs="宋体"/>
      <w:sz w:val="22"/>
      <w:szCs w:val="22"/>
      <w:lang w:val="zh-TW" w:eastAsia="zh-TW" w:bidi="zh-TW"/>
    </w:rPr>
  </w:style>
  <w:style w:type="paragraph" w:customStyle="1" w:styleId="39">
    <w:name w:val="_Style 1"/>
    <w:qFormat/>
    <w:uiPriority w:val="0"/>
    <w:pPr>
      <w:widowControl w:val="0"/>
      <w:jc w:val="both"/>
    </w:pPr>
    <w:rPr>
      <w:rFonts w:ascii="仿宋" w:hAnsi="仿宋" w:eastAsia="仿宋" w:cs="Times New Roman"/>
      <w:kern w:val="2"/>
      <w:sz w:val="21"/>
      <w:szCs w:val="22"/>
      <w:lang w:val="en-US" w:eastAsia="zh-CN" w:bidi="ar-SA"/>
    </w:rPr>
  </w:style>
  <w:style w:type="paragraph" w:customStyle="1" w:styleId="40">
    <w:name w:val="Body text|1"/>
    <w:basedOn w:val="1"/>
    <w:qFormat/>
    <w:uiPriority w:val="0"/>
    <w:pPr>
      <w:spacing w:line="418" w:lineRule="auto"/>
      <w:ind w:firstLine="400"/>
    </w:pPr>
    <w:rPr>
      <w:rFonts w:ascii="宋体" w:hAnsi="宋体" w:cs="宋体"/>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收、支决算总计变动情况图</a:t>
            </a:r>
            <a:endParaRPr lang="zh-CN" altLang="en-US"/>
          </a:p>
        </c:rich>
      </c:tx>
      <c:layout>
        <c:manualLayout>
          <c:xMode val="edge"/>
          <c:yMode val="edge"/>
          <c:x val="0.248851939825812"/>
          <c:y val="0.00661084178052005"/>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2022</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43.42</c:v>
                </c:pt>
                <c:pt idx="1">
                  <c:v>43.42</c:v>
                </c:pt>
              </c:numCache>
            </c:numRef>
          </c:val>
        </c:ser>
        <c:dLbls>
          <c:showLegendKey val="0"/>
          <c:showVal val="0"/>
          <c:showCatName val="0"/>
          <c:showSerName val="0"/>
          <c:showPercent val="0"/>
          <c:showBubbleSize val="0"/>
        </c:dLbls>
        <c:gapWidth val="219"/>
        <c:overlap val="-27"/>
        <c:axId val="345285760"/>
        <c:axId val="345287296"/>
      </c:barChart>
      <c:catAx>
        <c:axId val="345285760"/>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5287296"/>
        <c:crosses val="autoZero"/>
        <c:auto val="1"/>
        <c:lblAlgn val="ctr"/>
        <c:lblOffset val="100"/>
        <c:noMultiLvlLbl val="0"/>
      </c:catAx>
      <c:valAx>
        <c:axId val="34528729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528576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13823529411765"/>
          <c:y val="0.00675523530736321"/>
        </c:manualLayout>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2185"/>
          <c:y val="0.106483309826046"/>
          <c:w val="0.695"/>
          <c:h val="0.926666666666667"/>
        </c:manualLayout>
      </c:layout>
      <c:pieChart>
        <c:varyColors val="1"/>
        <c:ser>
          <c:idx val="0"/>
          <c:order val="0"/>
          <c:tx>
            <c:strRef>
              <c:f>Sheet1!$B$1</c:f>
              <c:strCache>
                <c:ptCount val="1"/>
                <c:pt idx="0">
                  <c:v>收入决算结构图</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Lbl>
              <c:idx val="0"/>
              <c:layout>
                <c:manualLayout>
                  <c:x val="-0.203676470588235"/>
                  <c:y val="-0.203084763382834"/>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27"/>
                  <c:y val="0.429891607343158"/>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2575"/>
                  <c:y val="0.022233701117151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295"/>
                  <c:y val="0.3241555701165"/>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22"/>
                  <c:y val="0.0307846251235521"/>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5"/>
              <c:layout>
                <c:manualLayout>
                  <c:x val="-0.3225"/>
                  <c:y val="0.179007252090668"/>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6"/>
              <c:layout>
                <c:manualLayout>
                  <c:x val="0.1925"/>
                  <c:y val="0.253633708339349"/>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eparator>
</c:separator>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prstDash val="solid"/>
                      <a:round/>
                    </a:ln>
                    <a:effectLst/>
                  </c:spPr>
                </c15:leaderLines>
              </c:ext>
            </c:extLst>
          </c:dLbls>
          <c:cat>
            <c:strRef>
              <c:f>Sheet1!$A$2:$A$8</c:f>
              <c:strCache>
                <c:ptCount val="7"/>
                <c:pt idx="0">
                  <c:v>一般公共预算财政拨款收入</c:v>
                </c:pt>
                <c:pt idx="1">
                  <c:v>政府性基金预算财政拨款收入</c:v>
                </c:pt>
                <c:pt idx="2">
                  <c:v>上级补助收入</c:v>
                </c:pt>
                <c:pt idx="3">
                  <c:v>事业收入</c:v>
                </c:pt>
                <c:pt idx="4">
                  <c:v>经营收入</c:v>
                </c:pt>
                <c:pt idx="5">
                  <c:v>附属单位上缴收</c:v>
                </c:pt>
                <c:pt idx="6">
                  <c:v>其他收入</c:v>
                </c:pt>
              </c:strCache>
            </c:strRef>
          </c:cat>
          <c:val>
            <c:numRef>
              <c:f>Sheet1!$B$2:$B$8</c:f>
              <c:numCache>
                <c:formatCode>#,##0.00_ </c:formatCode>
                <c:ptCount val="7"/>
                <c:pt idx="0">
                  <c:v>186.86</c:v>
                </c:pt>
                <c:pt idx="1">
                  <c:v>0</c:v>
                </c:pt>
                <c:pt idx="2" c:formatCode="General">
                  <c:v>0</c:v>
                </c:pt>
                <c:pt idx="3" c:formatCode="General">
                  <c:v>0</c:v>
                </c:pt>
                <c:pt idx="4" c:formatCode="General">
                  <c:v>0</c:v>
                </c:pt>
                <c:pt idx="5" c:formatCode="General">
                  <c:v>0</c:v>
                </c:pt>
                <c:pt idx="6" c:formatCode="General">
                  <c:v>0</c:v>
                </c:pt>
              </c:numCache>
            </c:numRef>
          </c:val>
        </c:ser>
        <c:dLbls>
          <c:showLegendKey val="0"/>
          <c:showVal val="0"/>
          <c:showCatName val="0"/>
          <c:showSerName val="0"/>
          <c:showPercent val="1"/>
          <c:showBubbleSize val="0"/>
          <c:showLeaderLines val="0"/>
        </c:dLbls>
        <c:firstSliceAng val="0"/>
      </c:pieChart>
      <c:spPr>
        <a:noFill/>
        <a:ln>
          <a:noFill/>
        </a:ln>
        <a:effectLst/>
      </c:spPr>
    </c:plotArea>
    <c:legend>
      <c:legendPos val="b"/>
      <c:layout>
        <c:manualLayout>
          <c:xMode val="edge"/>
          <c:yMode val="edge"/>
          <c:x val="0.0414705882352941"/>
          <c:y val="0.807560137457045"/>
          <c:w val="0.830735294117647"/>
          <c:h val="0.185567010309278"/>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0"/>
              <c:layout>
                <c:manualLayout>
                  <c:x val="-0.226285211274971"/>
                  <c:y val="0.00541461952640998"/>
                </c:manualLayout>
              </c:layout>
              <c:dLblPos val="bestFit"/>
              <c:showLegendKey val="0"/>
              <c:showVal val="1"/>
              <c:showCatName val="1"/>
              <c:showSerName val="0"/>
              <c:showPercent val="0"/>
              <c:showBubbleSize val="0"/>
              <c:extLst>
                <c:ext xmlns:c15="http://schemas.microsoft.com/office/drawing/2012/chart" uri="{CE6537A1-D6FC-4f65-9D91-7224C49458BB}">
                  <c15:layout>
                    <c:manualLayout>
                      <c:w val="0.305915492957746"/>
                      <c:h val="0.131612903225806"/>
                    </c:manualLayout>
                  </c15:layout>
                </c:ext>
              </c:extLst>
            </c:dLbl>
            <c:dLbl>
              <c:idx val="1"/>
              <c:layout>
                <c:manualLayout>
                  <c:x val="0.309623238476729"/>
                  <c:y val="0.0114671050848639"/>
                </c:manualLayout>
              </c:layout>
              <c:dLblPos val="bestFit"/>
              <c:showLegendKey val="0"/>
              <c:showVal val="1"/>
              <c:showCatName val="1"/>
              <c:showSerName val="0"/>
              <c:showPercent val="0"/>
              <c:showBubbleSize val="0"/>
              <c:extLst>
                <c:ext xmlns:c15="http://schemas.microsoft.com/office/drawing/2012/chart" uri="{CE6537A1-D6FC-4f65-9D91-7224C49458BB}">
                  <c15:layout>
                    <c:manualLayout>
                      <c:w val="0.319577464788732"/>
                      <c:h val="0.0883870967741936"/>
                    </c:manualLayout>
                  </c15:layout>
                </c:ext>
              </c:extLst>
            </c:dLbl>
            <c:numFmt formatCode="#,##0.00_ &quot;万&quot;&quot;元&quot;" sourceLinked="0"/>
            <c:spPr>
              <a:solidFill>
                <a:schemeClr val="lt1"/>
              </a:solidFill>
              <a:ln w="12700" cap="flat" cmpd="sng" algn="ctr">
                <a:noFill/>
                <a:prstDash val="sysDot"/>
              </a:ln>
              <a:effectLst/>
              <a:sp3d>
                <a:extrusionClr>
                  <a:srgbClr val="FFFFFF"/>
                </a:extrusionClr>
                <a:contourClr>
                  <a:srgbClr val="FFFFFF"/>
                </a:contourClr>
              </a:sp3d>
            </c:spPr>
            <c:txPr>
              <a:bodyPr rot="0" spcFirstLastPara="0" vertOverflow="ellipsis" vert="horz" wrap="square" lIns="38100" tIns="19050" rIns="38100" bIns="19050" anchor="ctr" anchorCtr="1"/>
              <a:lstStyle/>
              <a:p>
                <a:pPr>
                  <a:defRPr lang="zh-CN" sz="900" b="0" i="0" u="none" strike="noStrike" kern="1200" baseline="0">
                    <a:ln>
                      <a:noFill/>
                    </a:ln>
                    <a:solidFill>
                      <a:schemeClr val="dk1"/>
                    </a:solidFill>
                    <a:latin typeface="+mn-lt"/>
                    <a:ea typeface="+mn-ea"/>
                    <a:cs typeface="+mn-cs"/>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39.42</c:v>
                </c:pt>
                <c:pt idx="1" c:formatCode="0.00_ ">
                  <c:v>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收、支决算总计变动情况图</a:t>
            </a:r>
            <a:endParaRPr lang="zh-CN" altLang="en-US"/>
          </a:p>
        </c:rich>
      </c:tx>
      <c:layout>
        <c:manualLayout>
          <c:xMode val="edge"/>
          <c:yMode val="edge"/>
          <c:x val="0.31065012278661"/>
          <c:y val="0.0304761904761905"/>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2022</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43.42</c:v>
                </c:pt>
                <c:pt idx="1">
                  <c:v>43.42</c:v>
                </c:pt>
              </c:numCache>
            </c:numRef>
          </c:val>
        </c:ser>
        <c:dLbls>
          <c:showLegendKey val="0"/>
          <c:showVal val="1"/>
          <c:showCatName val="0"/>
          <c:showSerName val="0"/>
          <c:showPercent val="0"/>
          <c:showBubbleSize val="0"/>
        </c:dLbls>
        <c:gapWidth val="219"/>
        <c:overlap val="-27"/>
        <c:axId val="345903104"/>
        <c:axId val="345905792"/>
      </c:barChart>
      <c:catAx>
        <c:axId val="34590310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5905792"/>
        <c:crosses val="autoZero"/>
        <c:auto val="1"/>
        <c:lblAlgn val="ctr"/>
        <c:lblOffset val="100"/>
        <c:noMultiLvlLbl val="0"/>
      </c:catAx>
      <c:valAx>
        <c:axId val="34590579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590310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85075"/>
          <c:y val="0.172166666666667"/>
          <c:w val="0.905175"/>
          <c:h val="0.7169"/>
        </c:manualLayout>
      </c:layout>
      <c:barChart>
        <c:barDir val="col"/>
        <c:grouping val="clustered"/>
        <c:varyColors val="0"/>
        <c:ser>
          <c:idx val="0"/>
          <c:order val="0"/>
          <c:tx>
            <c:strRef>
              <c:f>Sheet1!$B$1</c:f>
              <c:strCache>
                <c:ptCount val="1"/>
                <c:pt idx="0">
                  <c:v>一般公共预算财政拨款支出决算变动情况</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Sheet1!$A$2</c:f>
              <c:numCache>
                <c:formatCode>General</c:formatCode>
                <c:ptCount val="1"/>
                <c:pt idx="0">
                  <c:v>2022</c:v>
                </c:pt>
              </c:numCache>
            </c:numRef>
          </c:cat>
          <c:val>
            <c:numRef>
              <c:f>Sheet1!$B$2</c:f>
              <c:numCache>
                <c:formatCode>General</c:formatCode>
                <c:ptCount val="1"/>
                <c:pt idx="0">
                  <c:v>43.42</c:v>
                </c:pt>
              </c:numCache>
            </c:numRef>
          </c:val>
        </c:ser>
        <c:dLbls>
          <c:showLegendKey val="0"/>
          <c:showVal val="1"/>
          <c:showCatName val="0"/>
          <c:showSerName val="0"/>
          <c:showPercent val="0"/>
          <c:showBubbleSize val="0"/>
        </c:dLbls>
        <c:gapWidth val="219"/>
        <c:overlap val="-27"/>
        <c:axId val="345950080"/>
        <c:axId val="345158400"/>
      </c:barChart>
      <c:catAx>
        <c:axId val="345950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5158400"/>
        <c:crosses val="autoZero"/>
        <c:auto val="1"/>
        <c:lblAlgn val="ctr"/>
        <c:lblOffset val="100"/>
        <c:noMultiLvlLbl val="0"/>
      </c:catAx>
      <c:valAx>
        <c:axId val="34515840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_ &quot;万&quot;&quot;元&quot;" sourceLinked="0"/>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5950080"/>
        <c:crosses val="autoZero"/>
        <c:crossBetween val="between"/>
      </c:valAx>
      <c:spPr>
        <a:noFill/>
        <a:ln>
          <a:noFill/>
        </a:ln>
        <a:effectLst/>
      </c:spPr>
    </c:plotArea>
    <c:legend>
      <c:legendPos val="b"/>
      <c:layout>
        <c:manualLayout>
          <c:xMode val="edge"/>
          <c:yMode val="edge"/>
          <c:x val="0.266625"/>
          <c:y val="0.9395"/>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一般公式预算财政拨款支出决算结构图</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zh-CN" altLang="en-US"/>
                      <a:t>一般公共服务支出</a:t>
                    </a:r>
                    <a:r>
                      <a:rPr lang="en-US" altLang="zh-CN"/>
                      <a:t>92.19%</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manualLayout>
                      <c:w val="0.394125"/>
                      <c:h val="0.0463333333333333"/>
                    </c:manualLayout>
                  </c15:layout>
                </c:ext>
              </c:extLst>
            </c:dLbl>
            <c:dLbl>
              <c:idx val="1"/>
              <c:layout>
                <c:manualLayout>
                  <c:x val="-0.150440545160308"/>
                  <c:y val="-0.0069061210682166"/>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zh-CN" altLang="en-US"/>
                      <a:t>社会保障和就业支出</a:t>
                    </a:r>
                    <a:r>
                      <a:rPr lang="en-US" altLang="zh-CN"/>
                      <a:t>3.29%</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manualLayout>
                      <c:w val="0.316375"/>
                      <c:h val="0.0463333333333333"/>
                    </c:manualLayout>
                  </c15:layout>
                </c:ext>
              </c:extLst>
            </c:dLbl>
            <c:dLbl>
              <c:idx val="2"/>
              <c:layout>
                <c:manualLayout>
                  <c:x val="0.0693013018731821"/>
                  <c:y val="-0.0318149882253574"/>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zh-CN" altLang="en-US"/>
                      <a:t>卫生健康支出</a:t>
                    </a:r>
                    <a:r>
                      <a:rPr lang="en-US" altLang="zh-CN"/>
                      <a:t>2.03%</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manualLayout>
                      <c:w val="0.275460203946497"/>
                      <c:h val="0.0489226421759096"/>
                    </c:manualLayout>
                  </c15:layout>
                </c:ext>
              </c:extLst>
            </c:dLbl>
            <c:dLbl>
              <c:idx val="3"/>
              <c:layout>
                <c:manualLayout>
                  <c:x val="0.220000958874734"/>
                  <c:y val="0.0305568394452503"/>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zh-CN" altLang="en-US"/>
                      <a:t>住房保障支出</a:t>
                    </a:r>
                    <a:r>
                      <a:rPr lang="en-US" altLang="zh-CN"/>
                      <a:t>2.49%</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manualLayout>
                      <c:w val="0.245375"/>
                      <c:h val="0.0463333333333333"/>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0.00%</c:formatCode>
                <c:ptCount val="4"/>
                <c:pt idx="0">
                  <c:v>0.9219</c:v>
                </c:pt>
                <c:pt idx="1">
                  <c:v>0.0329</c:v>
                </c:pt>
                <c:pt idx="2">
                  <c:v>0.0203</c:v>
                </c:pt>
                <c:pt idx="3">
                  <c:v>0.0249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一般公式预算财政拨款支出决算结构图</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zh-CN" altLang="en-US"/>
                      <a:t>一般公共服务支出</a:t>
                    </a:r>
                    <a:r>
                      <a:rPr lang="en-US" altLang="zh-CN"/>
                      <a:t>92.19%</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manualLayout>
                      <c:w val="0.394125"/>
                      <c:h val="0.0463333333333333"/>
                    </c:manualLayout>
                  </c15:layout>
                </c:ext>
              </c:extLst>
            </c:dLbl>
            <c:dLbl>
              <c:idx val="1"/>
              <c:layout>
                <c:manualLayout>
                  <c:x val="-0.150440545160308"/>
                  <c:y val="-0.0069061210682166"/>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zh-CN" altLang="en-US"/>
                      <a:t>社会保障和就业支出</a:t>
                    </a:r>
                    <a:r>
                      <a:rPr lang="en-US" altLang="zh-CN"/>
                      <a:t>3.29%</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manualLayout>
                      <c:w val="0.316375"/>
                      <c:h val="0.0463333333333333"/>
                    </c:manualLayout>
                  </c15:layout>
                </c:ext>
              </c:extLst>
            </c:dLbl>
            <c:dLbl>
              <c:idx val="2"/>
              <c:layout>
                <c:manualLayout>
                  <c:x val="0.0693013018731821"/>
                  <c:y val="-0.0318149882253574"/>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zh-CN" altLang="en-US"/>
                      <a:t>卫生健康支出</a:t>
                    </a:r>
                    <a:r>
                      <a:rPr lang="en-US" altLang="zh-CN"/>
                      <a:t>2.03%</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manualLayout>
                      <c:w val="0.275460203946497"/>
                      <c:h val="0.0489226421759096"/>
                    </c:manualLayout>
                  </c15:layout>
                </c:ext>
              </c:extLst>
            </c:dLbl>
            <c:dLbl>
              <c:idx val="3"/>
              <c:layout>
                <c:manualLayout>
                  <c:x val="0.220000958874734"/>
                  <c:y val="0.0305568394452503"/>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zh-CN" altLang="en-US"/>
                      <a:t>住房保障支出</a:t>
                    </a:r>
                    <a:r>
                      <a:rPr lang="en-US" altLang="zh-CN"/>
                      <a:t>2.49%</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manualLayout>
                      <c:w val="0.245375"/>
                      <c:h val="0.0463333333333333"/>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0.00%</c:formatCode>
                <c:ptCount val="4"/>
                <c:pt idx="0">
                  <c:v>0.9219</c:v>
                </c:pt>
                <c:pt idx="1">
                  <c:v>0.0329</c:v>
                </c:pt>
                <c:pt idx="2">
                  <c:v>0.0203</c:v>
                </c:pt>
                <c:pt idx="3">
                  <c:v>0.0249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一般公式预算财政拨款支出决算结构图</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zh-CN" altLang="en-US"/>
                      <a:t>一般公共服务支出</a:t>
                    </a:r>
                    <a:r>
                      <a:rPr lang="en-US" altLang="zh-CN"/>
                      <a:t>92.19%</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manualLayout>
                      <c:w val="0.394125"/>
                      <c:h val="0.0463333333333333"/>
                    </c:manualLayout>
                  </c15:layout>
                </c:ext>
              </c:extLst>
            </c:dLbl>
            <c:dLbl>
              <c:idx val="1"/>
              <c:layout>
                <c:manualLayout>
                  <c:x val="-0.150440545160308"/>
                  <c:y val="-0.0069061210682166"/>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zh-CN" altLang="en-US"/>
                      <a:t>社会保障和就业支出</a:t>
                    </a:r>
                    <a:r>
                      <a:rPr lang="en-US" altLang="zh-CN"/>
                      <a:t>3.29%</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manualLayout>
                      <c:w val="0.316375"/>
                      <c:h val="0.0463333333333333"/>
                    </c:manualLayout>
                  </c15:layout>
                </c:ext>
              </c:extLst>
            </c:dLbl>
            <c:dLbl>
              <c:idx val="2"/>
              <c:layout>
                <c:manualLayout>
                  <c:x val="0.0693013018731821"/>
                  <c:y val="-0.0318149882253574"/>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zh-CN" altLang="en-US"/>
                      <a:t>卫生健康支出</a:t>
                    </a:r>
                    <a:r>
                      <a:rPr lang="en-US" altLang="zh-CN"/>
                      <a:t>2.03%</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manualLayout>
                      <c:w val="0.275460203946497"/>
                      <c:h val="0.0489226421759096"/>
                    </c:manualLayout>
                  </c15:layout>
                </c:ext>
              </c:extLst>
            </c:dLbl>
            <c:dLbl>
              <c:idx val="3"/>
              <c:layout>
                <c:manualLayout>
                  <c:x val="0.220000958874734"/>
                  <c:y val="0.0305568394452503"/>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zh-CN" altLang="en-US"/>
                      <a:t>住房保障支出</a:t>
                    </a:r>
                    <a:r>
                      <a:rPr lang="en-US" altLang="zh-CN"/>
                      <a:t>2.49%</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manualLayout>
                      <c:w val="0.245375"/>
                      <c:h val="0.0463333333333333"/>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0.00%</c:formatCode>
                <c:ptCount val="4"/>
                <c:pt idx="0">
                  <c:v>0.9219</c:v>
                </c:pt>
                <c:pt idx="1">
                  <c:v>0.0329</c:v>
                </c:pt>
                <c:pt idx="2">
                  <c:v>0.0203</c:v>
                </c:pt>
                <c:pt idx="3">
                  <c:v>0.0249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“三公”经费财政拨款支出结构图</c:v>
                </c:pt>
              </c:strCache>
            </c:strRef>
          </c:tx>
          <c:explosion val="0"/>
          <c:dPt>
            <c:idx val="0"/>
            <c:bubble3D val="0"/>
            <c:spPr>
              <a:solidFill>
                <a:schemeClr val="accent1"/>
              </a:solidFill>
              <a:ln w="19050">
                <a:solidFill>
                  <a:schemeClr val="lt1"/>
                </a:solidFill>
              </a:ln>
              <a:effectLst/>
            </c:spPr>
          </c:dPt>
          <c:dLbls>
            <c:dLbl>
              <c:idx val="0"/>
              <c:layout>
                <c:manualLayout>
                  <c:x val="-0.0682600273402022"/>
                  <c:y val="-0.0853532447417939"/>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zh-CN" altLang="en-US"/>
                      <a:t>国内公务接待支出</a:t>
                    </a:r>
                    <a:r>
                      <a:rPr lang="en-US" altLang="zh-CN"/>
                      <a:t>100%</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manualLayout>
                      <c:w val="0.345529010238908"/>
                      <c:h val="0.065612461647392"/>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公务接待费支出</c:v>
                </c:pt>
              </c:strCache>
            </c:strRef>
          </c:cat>
          <c:val>
            <c:numRef>
              <c:f>Sheet1!$B$2</c:f>
              <c:numCache>
                <c:formatCode>0%</c:formatCode>
                <c:ptCount val="1"/>
                <c:pt idx="0">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5E401-C7FC-40E8-A09F-7B0A29BE7B4F}">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26</Pages>
  <Words>8065</Words>
  <Characters>10893</Characters>
  <Lines>81</Lines>
  <Paragraphs>23</Paragraphs>
  <TotalTime>146</TotalTime>
  <ScaleCrop>false</ScaleCrop>
  <LinksUpToDate>false</LinksUpToDate>
  <CharactersWithSpaces>10930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2020-08-06T01:49:00Z</dcterms:created>
  <dc:creator>曹颖</dc:creator>
  <cp:lastModifiedBy>惠</cp:lastModifiedBy>
  <cp:lastPrinted>2023-08-01T02:35:00Z</cp:lastPrinted>
  <dcterms:modified xsi:type="dcterms:W3CDTF">2023-08-25T07:32:35Z</dcterms:modified>
  <dc:title>四川省***</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A3D82B06649646E7B4F24F9568A8F3D5_12</vt:lpwstr>
  </property>
</Properties>
</file>