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8441"/>
      <w:bookmarkStart w:id="3" w:name="_Toc15377193"/>
      <w:bookmarkStart w:id="4" w:name="_Toc15396475"/>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End w:id="6"/>
      <w:bookmarkEnd w:id="7"/>
      <w:bookmarkEnd w:id="8"/>
      <w:bookmarkEnd w:id="9"/>
      <w:bookmarkEnd w:id="10"/>
      <w:r>
        <w:rPr>
          <w:rFonts w:hint="eastAsia" w:ascii="方正小标宋简体" w:hAnsi="宋体" w:eastAsia="方正小标宋简体"/>
          <w:color w:val="000000"/>
          <w:sz w:val="72"/>
          <w:szCs w:val="72"/>
        </w:rPr>
        <w:t>遂宁市安居区拦江镇</w:t>
      </w:r>
      <w:r>
        <w:rPr>
          <w:rFonts w:hint="eastAsia" w:ascii="方正小标宋简体" w:hAnsi="宋体" w:eastAsia="方正小标宋简体"/>
          <w:color w:val="000000"/>
          <w:sz w:val="72"/>
          <w:szCs w:val="72"/>
          <w:lang w:eastAsia="zh-CN"/>
        </w:rPr>
        <w:t>九年义务教育</w:t>
      </w:r>
      <w:r>
        <w:rPr>
          <w:rFonts w:hint="eastAsia" w:ascii="方正小标宋简体" w:hAnsi="宋体" w:eastAsia="方正小标宋简体"/>
          <w:color w:val="000000"/>
          <w:sz w:val="72"/>
          <w:szCs w:val="72"/>
        </w:rPr>
        <w:t>学校</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08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0"/>
        <w:adjustRightInd w:val="0"/>
        <w:snapToGrid w:val="0"/>
        <w:spacing w:before="0" w:line="440" w:lineRule="exact"/>
        <w:jc w:val="distribute"/>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sz w:val="24"/>
          <w:lang w:eastAsia="zh-CN"/>
        </w:rPr>
        <w:t>………………………………………………………</w:t>
      </w:r>
      <w:r>
        <w:rPr>
          <w:rFonts w:hint="eastAsia"/>
          <w:sz w:val="24"/>
          <w:lang w:val="en-US" w:eastAsia="zh-CN"/>
        </w:rPr>
        <w:t>4</w:t>
      </w:r>
    </w:p>
    <w:p>
      <w:pPr>
        <w:pStyle w:val="11"/>
        <w:adjustRightInd w:val="0"/>
        <w:snapToGrid w:val="0"/>
        <w:spacing w:line="440" w:lineRule="exact"/>
        <w:jc w:val="distribute"/>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r>
        <w:rPr>
          <w:rFonts w:hint="eastAsia"/>
          <w:sz w:val="24"/>
          <w:lang w:eastAsia="zh-CN"/>
        </w:rPr>
        <w:t>………………………………………………………</w:t>
      </w:r>
      <w:r>
        <w:rPr>
          <w:rFonts w:hint="eastAsia"/>
          <w:sz w:val="24"/>
          <w:lang w:val="en-US" w:eastAsia="zh-CN"/>
        </w:rPr>
        <w:t>4</w:t>
      </w:r>
    </w:p>
    <w:p>
      <w:pPr>
        <w:pStyle w:val="11"/>
        <w:adjustRightInd w:val="0"/>
        <w:snapToGrid w:val="0"/>
        <w:spacing w:line="440" w:lineRule="exact"/>
        <w:jc w:val="distribute"/>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sz w:val="24"/>
          <w:lang w:eastAsia="zh-CN"/>
        </w:rPr>
        <w:t>………………………………………………………</w:t>
      </w:r>
      <w:r>
        <w:rPr>
          <w:rFonts w:hint="eastAsia"/>
          <w:sz w:val="24"/>
          <w:lang w:val="en-US" w:eastAsia="zh-CN"/>
        </w:rPr>
        <w:t>4</w:t>
      </w:r>
    </w:p>
    <w:p>
      <w:pPr>
        <w:pStyle w:val="10"/>
        <w:adjustRightInd w:val="0"/>
        <w:snapToGrid w:val="0"/>
        <w:spacing w:before="0" w:line="440" w:lineRule="exact"/>
        <w:jc w:val="distribute"/>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一、收入支出决算总体情况说明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二、收入决算情况说明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hint="eastAsia"/>
          <w:sz w:val="24"/>
          <w:lang w:val="en-US" w:eastAsia="zh-CN"/>
        </w:rPr>
      </w:pPr>
      <w:r>
        <w:rPr>
          <w:rFonts w:hint="eastAsia"/>
          <w:color w:val="auto"/>
          <w:sz w:val="24"/>
          <w:highlight w:val="none"/>
        </w:rPr>
        <w:t>三、支出决算情况说明</w:t>
      </w:r>
      <w:r>
        <w:rPr>
          <w:rFonts w:hint="eastAsia"/>
          <w:sz w:val="24"/>
          <w:lang w:eastAsia="zh-CN"/>
        </w:rPr>
        <w:t>…………………………………………</w:t>
      </w:r>
      <w:r>
        <w:rPr>
          <w:rFonts w:hint="eastAsia"/>
          <w:sz w:val="24"/>
          <w:lang w:val="en-US" w:eastAsia="zh-CN"/>
        </w:rPr>
        <w:t>6</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sz w:val="24"/>
          <w:lang w:eastAsia="zh-CN"/>
        </w:rPr>
        <w:t>……………………………………</w:t>
      </w:r>
      <w:r>
        <w:rPr>
          <w:rFonts w:hint="eastAsia"/>
          <w:sz w:val="24"/>
          <w:lang w:val="en-US" w:eastAsia="zh-CN"/>
        </w:rPr>
        <w:t>7</w:t>
      </w:r>
    </w:p>
    <w:p>
      <w:pPr>
        <w:pStyle w:val="11"/>
        <w:adjustRightInd w:val="0"/>
        <w:snapToGrid w:val="0"/>
        <w:spacing w:line="440" w:lineRule="exact"/>
        <w:jc w:val="distribute"/>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sz w:val="24"/>
          <w:lang w:eastAsia="zh-CN"/>
        </w:rPr>
        <w:t>………………………………</w:t>
      </w:r>
      <w:r>
        <w:rPr>
          <w:rFonts w:hint="eastAsia"/>
          <w:sz w:val="24"/>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sz w:val="24"/>
          <w:lang w:eastAsia="zh-CN"/>
        </w:rPr>
        <w:t>…………………………</w:t>
      </w:r>
      <w:r>
        <w:rPr>
          <w:rFonts w:hint="eastAsia"/>
          <w:sz w:val="24"/>
          <w:lang w:val="en-US" w:eastAsia="zh-CN"/>
        </w:rPr>
        <w:t>10</w:t>
      </w: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sz w:val="24"/>
          <w:lang w:eastAsia="zh-CN"/>
        </w:rPr>
        <w:t>………………………………</w:t>
      </w:r>
      <w:r>
        <w:rPr>
          <w:rFonts w:hint="eastAsia"/>
          <w:sz w:val="24"/>
          <w:lang w:val="en-US" w:eastAsia="zh-CN"/>
        </w:rPr>
        <w:t>11</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八、政府性基金预算支出决算情况说明</w:t>
      </w:r>
      <w:r>
        <w:rPr>
          <w:rFonts w:hint="eastAsia"/>
          <w:sz w:val="24"/>
          <w:lang w:eastAsia="zh-CN"/>
        </w:rPr>
        <w:t>………………………………</w:t>
      </w:r>
      <w:r>
        <w:rPr>
          <w:rFonts w:hint="eastAsia"/>
          <w:sz w:val="24"/>
          <w:lang w:val="en-US" w:eastAsia="zh-CN"/>
        </w:rPr>
        <w:t>11</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九、国有资本经营预算支出决算情况说明</w:t>
      </w:r>
      <w:r>
        <w:rPr>
          <w:rFonts w:hint="eastAsia"/>
          <w:sz w:val="24"/>
          <w:lang w:eastAsia="zh-CN"/>
        </w:rPr>
        <w:t>………………………………</w:t>
      </w:r>
      <w:r>
        <w:rPr>
          <w:rFonts w:hint="eastAsia"/>
          <w:sz w:val="24"/>
          <w:lang w:val="en-US" w:eastAsia="zh-CN"/>
        </w:rPr>
        <w:t>11</w:t>
      </w:r>
    </w:p>
    <w:p>
      <w:pPr>
        <w:pStyle w:val="11"/>
        <w:adjustRightInd w:val="0"/>
        <w:snapToGrid w:val="0"/>
        <w:spacing w:line="440" w:lineRule="exact"/>
        <w:jc w:val="distribute"/>
        <w:rPr>
          <w:rFonts w:hint="eastAsia"/>
          <w:color w:val="auto"/>
          <w:sz w:val="24"/>
          <w:highlight w:val="none"/>
          <w:lang w:eastAsia="zh-CN"/>
        </w:rPr>
      </w:pPr>
      <w:r>
        <w:rPr>
          <w:rFonts w:hint="eastAsia"/>
          <w:color w:val="auto"/>
          <w:sz w:val="24"/>
          <w:highlight w:val="none"/>
        </w:rPr>
        <w:t>十、其他重要事项的情况说明</w:t>
      </w:r>
      <w:r>
        <w:rPr>
          <w:rFonts w:hint="eastAsia"/>
          <w:sz w:val="24"/>
          <w:lang w:eastAsia="zh-CN"/>
        </w:rPr>
        <w:t>………………………………</w:t>
      </w:r>
      <w:r>
        <w:rPr>
          <w:rFonts w:hint="eastAsia"/>
          <w:sz w:val="24"/>
          <w:lang w:val="en-US" w:eastAsia="zh-CN"/>
        </w:rPr>
        <w:t>11</w:t>
      </w:r>
    </w:p>
    <w:p>
      <w:pPr>
        <w:pStyle w:val="10"/>
        <w:adjustRightInd w:val="0"/>
        <w:snapToGrid w:val="0"/>
        <w:spacing w:before="0" w:line="440" w:lineRule="exact"/>
        <w:jc w:val="distribute"/>
        <w:rPr>
          <w:rFonts w:hint="eastAsia"/>
          <w:sz w:val="24"/>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sz w:val="24"/>
          <w:lang w:eastAsia="zh-CN"/>
        </w:rPr>
        <w:t>……………………………………………………………</w:t>
      </w:r>
      <w:r>
        <w:rPr>
          <w:rFonts w:hint="eastAsia"/>
          <w:sz w:val="24"/>
          <w:lang w:val="en-US" w:eastAsia="zh-CN"/>
        </w:rPr>
        <w:t>13</w:t>
      </w:r>
    </w:p>
    <w:p>
      <w:pPr>
        <w:pStyle w:val="10"/>
        <w:adjustRightInd w:val="0"/>
        <w:snapToGrid w:val="0"/>
        <w:spacing w:before="0" w:line="440" w:lineRule="exact"/>
        <w:jc w:val="distribute"/>
        <w:rPr>
          <w:rFonts w:hint="default"/>
          <w:sz w:val="24"/>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sz w:val="24"/>
          <w:lang w:eastAsia="zh-CN"/>
        </w:rPr>
        <w:t>……………………………………………………………</w:t>
      </w:r>
      <w:r>
        <w:rPr>
          <w:rFonts w:hint="eastAsia"/>
          <w:sz w:val="24"/>
          <w:lang w:val="en-US" w:eastAsia="zh-CN"/>
        </w:rPr>
        <w:t>17</w:t>
      </w:r>
    </w:p>
    <w:p>
      <w:pPr>
        <w:pStyle w:val="10"/>
        <w:adjustRightInd w:val="0"/>
        <w:snapToGrid w:val="0"/>
        <w:spacing w:before="0" w:line="440" w:lineRule="exact"/>
        <w:jc w:val="distribute"/>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一、收入支出决算总表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二、收入决算表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三、支出决算表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四、财政拨款收入支出决算总表</w:t>
      </w:r>
      <w:r>
        <w:rPr>
          <w:rFonts w:hint="eastAsia"/>
          <w:sz w:val="24"/>
          <w:lang w:eastAsia="zh-CN"/>
        </w:rPr>
        <w:t>………………………………………………</w:t>
      </w:r>
      <w:r>
        <w:rPr>
          <w:rFonts w:hint="eastAsia"/>
          <w:sz w:val="24"/>
          <w:lang w:val="en-US" w:eastAsia="zh-CN"/>
        </w:rPr>
        <w:t>19</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六、一般公共预算财政拨款支出决算表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七、一般公共预算财政拨款支出决算明细表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九、一般公共预算财政拨款项目支出决算表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十、政府性基金预算财政拨款收入支出决算表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十一、国有资本经营预算财政拨款收入支出决算表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十三、财政拨款“三公”经费支出决算表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left"/>
        <w:rPr>
          <w:rFonts w:hint="eastAsia"/>
          <w:color w:val="auto"/>
          <w:sz w:val="24"/>
          <w:highlight w:val="none"/>
        </w:rPr>
      </w:pPr>
    </w:p>
    <w:p>
      <w:pPr>
        <w:widowControl/>
        <w:spacing w:line="440" w:lineRule="exact"/>
        <w:jc w:val="left"/>
        <w:rPr>
          <w:rFonts w:ascii="仿宋" w:hAnsi="仿宋" w:eastAsia="仿宋"/>
          <w:bCs/>
          <w:color w:val="auto"/>
          <w:kern w:val="44"/>
          <w:sz w:val="24"/>
          <w:highlight w:val="none"/>
        </w:rPr>
      </w:pPr>
      <w:bookmarkStart w:id="11" w:name="_Toc15377196"/>
      <w:bookmarkStart w:id="12"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1"/>
      <w:bookmarkEnd w:id="12"/>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13" w:name="_Toc15377197"/>
      <w:bookmarkStart w:id="14" w:name="_Toc15396600"/>
      <w:r>
        <w:rPr>
          <w:rStyle w:val="25"/>
          <w:rFonts w:hint="eastAsia" w:ascii="黑体" w:hAnsi="黑体" w:eastAsia="黑体"/>
          <w:b w:val="0"/>
          <w:bCs w:val="0"/>
          <w:color w:val="auto"/>
          <w:highlight w:val="none"/>
          <w:lang w:eastAsia="zh-CN"/>
        </w:rPr>
        <w:t>主要职责</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拦江镇九年义务教育学</w:t>
      </w:r>
      <w:r>
        <w:rPr>
          <w:rFonts w:hint="eastAsia" w:ascii="仿宋_GB2312" w:hAnsi="仿宋" w:eastAsia="仿宋_GB2312"/>
          <w:sz w:val="32"/>
          <w:szCs w:val="32"/>
        </w:rPr>
        <w:t>校地处遂遂宁市安居区</w:t>
      </w:r>
      <w:r>
        <w:rPr>
          <w:rFonts w:hint="eastAsia" w:ascii="仿宋_GB2312" w:hAnsi="仿宋" w:eastAsia="仿宋_GB2312"/>
          <w:sz w:val="32"/>
          <w:szCs w:val="32"/>
          <w:lang w:eastAsia="zh-CN"/>
        </w:rPr>
        <w:t>拦江镇东平街</w:t>
      </w:r>
      <w:r>
        <w:rPr>
          <w:rFonts w:hint="eastAsia" w:ascii="仿宋_GB2312" w:hAnsi="仿宋" w:eastAsia="仿宋_GB2312"/>
          <w:sz w:val="32"/>
          <w:szCs w:val="32"/>
          <w:lang w:val="en-US" w:eastAsia="zh-CN"/>
        </w:rPr>
        <w:t>444号</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19447.2</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拦江镇拦江片</w:t>
      </w:r>
      <w:r>
        <w:rPr>
          <w:rFonts w:ascii="仿宋_GB2312" w:hAnsi="仿宋" w:eastAsia="仿宋_GB2312"/>
          <w:sz w:val="32"/>
          <w:szCs w:val="32"/>
        </w:rPr>
        <w:t>区</w:t>
      </w:r>
      <w:r>
        <w:rPr>
          <w:rFonts w:hint="eastAsia" w:ascii="仿宋_GB2312" w:hAnsi="仿宋" w:eastAsia="仿宋_GB2312"/>
          <w:sz w:val="32"/>
          <w:szCs w:val="32"/>
        </w:rPr>
        <w:t>所辖行政区及附近区域</w:t>
      </w:r>
      <w:r>
        <w:rPr>
          <w:rFonts w:hint="eastAsia" w:ascii="仿宋_GB2312" w:hAnsi="仿宋" w:eastAsia="仿宋_GB2312"/>
          <w:sz w:val="32"/>
          <w:szCs w:val="32"/>
          <w:lang w:eastAsia="zh-CN"/>
        </w:rPr>
        <w:t>。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全面发展。做好安全防范，保证学生的人</w:t>
      </w:r>
      <w:r>
        <w:rPr>
          <w:rFonts w:hint="eastAsia" w:ascii="仿宋_GB2312" w:hAnsi="仿宋" w:eastAsia="仿宋_GB2312"/>
          <w:sz w:val="32"/>
          <w:szCs w:val="32"/>
          <w:lang w:val="en-US" w:eastAsia="zh-CN"/>
        </w:rPr>
        <w:t>身</w:t>
      </w:r>
      <w:bookmarkStart w:id="66" w:name="_GoBack"/>
      <w:bookmarkEnd w:id="66"/>
      <w:r>
        <w:rPr>
          <w:rFonts w:hint="eastAsia" w:ascii="仿宋_GB2312" w:hAnsi="仿宋" w:eastAsia="仿宋_GB2312"/>
          <w:sz w:val="32"/>
          <w:szCs w:val="32"/>
          <w:lang w:eastAsia="zh-CN"/>
        </w:rPr>
        <w:t>安全。</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121</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ascii="仿宋_GB2312" w:hAnsi="仿宋" w:eastAsia="仿宋_GB2312"/>
          <w:sz w:val="32"/>
          <w:szCs w:val="32"/>
          <w:lang w:val="en-US" w:eastAsia="zh-CN"/>
        </w:rPr>
        <w:t>74人，离岗民师0人</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2162</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p>
    <w:p>
      <w:pPr>
        <w:rPr>
          <w:rFonts w:hint="eastAsia"/>
          <w:lang w:val="en-US" w:eastAsia="zh-CN"/>
        </w:rPr>
      </w:pPr>
    </w:p>
    <w:bookmarkEnd w:id="13"/>
    <w:bookmarkEnd w:id="14"/>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5" w:name="_Toc15377204"/>
      <w:bookmarkStart w:id="16"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5"/>
      <w:bookmarkEnd w:id="16"/>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7" w:name="_Toc15396603"/>
      <w:bookmarkStart w:id="18"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7"/>
      <w:bookmarkEnd w:id="1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，支出总计</w:t>
      </w:r>
      <w:r>
        <w:rPr>
          <w:rFonts w:hint="eastAsia" w:ascii="仿宋" w:hAnsi="仿宋" w:eastAsia="仿宋"/>
          <w:color w:val="auto"/>
          <w:sz w:val="32"/>
          <w:szCs w:val="32"/>
          <w:highlight w:val="none"/>
          <w:lang w:val="en-US" w:eastAsia="zh-CN"/>
        </w:rPr>
        <w:t>2583.14万元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人员经费、工资福利增长、学生资助。</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
      </w:pP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9" w:name="_Toc15377206"/>
      <w:bookmarkStart w:id="20"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19"/>
      <w:bookmarkEnd w:id="20"/>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
      </w:pPr>
      <w:r>
        <w:drawing>
          <wp:inline distT="0" distB="0" distL="114300" distR="114300">
            <wp:extent cx="4027805" cy="2800985"/>
            <wp:effectExtent l="4445" t="4445" r="6350" b="13970"/>
            <wp:docPr id="107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1" w:name="_Toc15377207"/>
      <w:bookmarkStart w:id="22"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1"/>
      <w:bookmarkEnd w:id="22"/>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2540.80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42.34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2"/>
        <w:rPr>
          <w:rFonts w:hint="eastAsia"/>
        </w:rPr>
      </w:pPr>
    </w:p>
    <w:p>
      <w:pPr>
        <w:pStyle w:val="2"/>
      </w:pPr>
      <w:r>
        <w:drawing>
          <wp:inline distT="0" distB="0" distL="114300" distR="114300">
            <wp:extent cx="5271770" cy="2682875"/>
            <wp:effectExtent l="4445" t="4445" r="19685" b="17780"/>
            <wp:docPr id="107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hint="eastAsia" w:ascii="黑体" w:hAnsi="黑体" w:eastAsia="黑体"/>
          <w:color w:val="auto"/>
          <w:sz w:val="32"/>
          <w:szCs w:val="32"/>
          <w:highlight w:val="none"/>
        </w:rPr>
      </w:pPr>
      <w:bookmarkStart w:id="23" w:name="_Toc15396606"/>
      <w:bookmarkStart w:id="24" w:name="_Toc15377208"/>
    </w:p>
    <w:p>
      <w:pPr>
        <w:spacing w:line="600" w:lineRule="exact"/>
        <w:ind w:firstLine="640" w:firstLineChars="200"/>
        <w:outlineLvl w:val="1"/>
        <w:rPr>
          <w:rStyle w:val="25"/>
          <w:rFonts w:ascii="黑体" w:hAnsi="黑体" w:eastAsia="黑体"/>
          <w:b w:val="0"/>
          <w:color w:val="auto"/>
          <w:highlight w:val="none"/>
        </w:rPr>
      </w:pPr>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3"/>
      <w:bookmarkEnd w:id="2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，支出总计</w:t>
      </w:r>
      <w:r>
        <w:rPr>
          <w:rFonts w:hint="eastAsia" w:ascii="仿宋" w:hAnsi="仿宋" w:eastAsia="仿宋"/>
          <w:color w:val="auto"/>
          <w:sz w:val="32"/>
          <w:szCs w:val="32"/>
          <w:highlight w:val="none"/>
          <w:lang w:val="en-US" w:eastAsia="zh-CN"/>
        </w:rPr>
        <w:t>2583.14万元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人员经费、工资福利增长、学生资助。</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pPr>
    </w:p>
    <w:p>
      <w:pPr>
        <w:spacing w:line="600" w:lineRule="exact"/>
        <w:outlineLvl w:val="1"/>
        <w:rPr>
          <w:rStyle w:val="25"/>
          <w:rFonts w:ascii="黑体" w:hAnsi="黑体" w:eastAsia="黑体"/>
          <w:b w:val="0"/>
          <w:color w:val="auto"/>
          <w:highlight w:val="none"/>
        </w:rPr>
      </w:pPr>
      <w:bookmarkStart w:id="25" w:name="_Toc15377209"/>
      <w:bookmarkStart w:id="2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5"/>
      <w:bookmarkEnd w:id="26"/>
    </w:p>
    <w:p>
      <w:pPr>
        <w:spacing w:line="600" w:lineRule="exact"/>
        <w:ind w:firstLine="643" w:firstLineChars="200"/>
        <w:outlineLvl w:val="2"/>
        <w:rPr>
          <w:rFonts w:ascii="仿宋" w:hAnsi="仿宋" w:eastAsia="仿宋"/>
          <w:b/>
          <w:color w:val="auto"/>
          <w:sz w:val="32"/>
          <w:szCs w:val="32"/>
          <w:highlight w:val="none"/>
        </w:rPr>
      </w:pPr>
      <w:bookmarkStart w:id="27" w:name="_Toc15377210"/>
      <w:r>
        <w:rPr>
          <w:rFonts w:hint="eastAsia" w:ascii="仿宋" w:hAnsi="仿宋" w:eastAsia="仿宋"/>
          <w:b/>
          <w:color w:val="auto"/>
          <w:sz w:val="32"/>
          <w:szCs w:val="32"/>
          <w:highlight w:val="none"/>
        </w:rPr>
        <w:t>（一）一般公共预算财政拨款支出决算总体情况</w:t>
      </w:r>
      <w:bookmarkEnd w:id="27"/>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207.27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人员经费、工资福利增长、学生资助。</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2"/>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8" w:name="_Toc15377211"/>
    </w:p>
    <w:p>
      <w:pPr>
        <w:pStyle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8"/>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2095.74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202.10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95.88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189.42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59264" behindDoc="0" locked="0" layoutInCell="1" allowOverlap="1">
            <wp:simplePos x="0" y="0"/>
            <wp:positionH relativeFrom="column">
              <wp:posOffset>156845</wp:posOffset>
            </wp:positionH>
            <wp:positionV relativeFrom="paragraph">
              <wp:posOffset>842645</wp:posOffset>
            </wp:positionV>
            <wp:extent cx="5270500" cy="2598420"/>
            <wp:effectExtent l="4445" t="4445" r="20955" b="6985"/>
            <wp:wrapTopAndBottom/>
            <wp:docPr id="1079"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hint="eastAsia" w:ascii="仿宋" w:hAnsi="仿宋" w:eastAsia="仿宋"/>
          <w:b/>
          <w:color w:val="auto"/>
          <w:sz w:val="32"/>
          <w:szCs w:val="32"/>
          <w:highlight w:val="none"/>
        </w:rPr>
      </w:pPr>
      <w:bookmarkStart w:id="29"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29"/>
    </w:p>
    <w:p>
      <w:pPr>
        <w:spacing w:line="600" w:lineRule="exact"/>
        <w:ind w:firstLine="643" w:firstLineChars="200"/>
        <w:outlineLvl w:val="2"/>
        <w:rPr>
          <w:rFonts w:ascii="仿宋" w:hAnsi="仿宋" w:eastAsia="仿宋"/>
          <w:color w:val="auto"/>
          <w:sz w:val="32"/>
          <w:szCs w:val="32"/>
          <w:highlight w:val="none"/>
        </w:rPr>
      </w:pPr>
      <w:bookmarkStart w:id="30" w:name="_Toc15377444"/>
      <w:bookmarkStart w:id="31" w:name="_Toc15378460"/>
      <w:bookmarkStart w:id="32"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2583.14万元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0"/>
      <w:bookmarkEnd w:id="31"/>
      <w:bookmarkEnd w:id="32"/>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val="en-US" w:eastAsia="zh-CN"/>
        </w:rPr>
        <w:t>205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2095.74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02小学教育</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1782.56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主要用于人员工资、福利支出、</w:t>
      </w:r>
      <w:r>
        <w:rPr>
          <w:rFonts w:hint="eastAsia" w:ascii="仿宋_GB2312" w:hAnsi="仿宋" w:eastAsia="仿宋_GB2312" w:cs="仿宋"/>
          <w:color w:val="000000"/>
          <w:sz w:val="32"/>
          <w:szCs w:val="32"/>
          <w:lang w:val="en-US" w:eastAsia="zh-CN"/>
        </w:rPr>
        <w:t>驻村工作队生活补助、义务教育贫困生生活补助、退休人员公用经费</w:t>
      </w:r>
      <w:r>
        <w:rPr>
          <w:rStyle w:val="14"/>
          <w:rFonts w:hint="eastAsia" w:ascii="仿宋" w:hAnsi="仿宋" w:eastAsia="仿宋"/>
          <w:b w:val="0"/>
          <w:bCs/>
          <w:color w:val="000000"/>
          <w:sz w:val="32"/>
          <w:szCs w:val="32"/>
          <w:lang w:eastAsia="zh-CN"/>
        </w:rPr>
        <w:t>等</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2）教育支出205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99其他普通教育支出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311.19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主要用于义务教育学生生活困难资助、</w:t>
      </w:r>
      <w:r>
        <w:rPr>
          <w:rFonts w:hint="eastAsia" w:ascii="仿宋_GB2312" w:hAnsi="仿宋" w:eastAsia="仿宋_GB2312" w:cs="仿宋"/>
          <w:color w:val="000000"/>
          <w:sz w:val="32"/>
          <w:szCs w:val="32"/>
          <w:lang w:val="en-US" w:eastAsia="zh-CN"/>
        </w:rPr>
        <w:t>2022年农村中小学被辞退民师定额养老困难补助资金、免作业本费、</w:t>
      </w:r>
      <w:r>
        <w:rPr>
          <w:rStyle w:val="14"/>
          <w:rFonts w:hint="eastAsia" w:ascii="仿宋" w:hAnsi="仿宋" w:eastAsia="仿宋"/>
          <w:b w:val="0"/>
          <w:bCs/>
          <w:color w:val="000000"/>
          <w:sz w:val="32"/>
          <w:szCs w:val="32"/>
          <w:lang w:eastAsia="zh-CN"/>
        </w:rPr>
        <w:t>办公支出等</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3）教育支出205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99其他普通教育支出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主要是</w:t>
      </w:r>
      <w:r>
        <w:rPr>
          <w:rFonts w:hint="eastAsia" w:ascii="仿宋_GB2312" w:hAnsi="仿宋" w:eastAsia="仿宋_GB2312" w:cs="仿宋"/>
          <w:color w:val="000000"/>
          <w:sz w:val="32"/>
          <w:szCs w:val="32"/>
          <w:lang w:val="en-US" w:eastAsia="zh-CN"/>
        </w:rPr>
        <w:t>一次性追加教体局2021年驻脱贫村及乡村振兴重点工作队经费</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202.10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05事业单位基本养老保险缴费支出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190.23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主要用于购买</w:t>
      </w:r>
      <w:r>
        <w:rPr>
          <w:rStyle w:val="14"/>
          <w:rFonts w:hint="eastAsia" w:ascii="仿宋" w:hAnsi="仿宋" w:eastAsia="仿宋"/>
          <w:b w:val="0"/>
          <w:bCs/>
          <w:color w:val="000000"/>
          <w:sz w:val="32"/>
          <w:szCs w:val="32"/>
          <w:lang w:val="en-US" w:eastAsia="zh-CN"/>
        </w:rPr>
        <w:t>基本养老保险。</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2）</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99其他社会保障和就业支出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11.87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，主要用于遗属人员生活补助</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95.88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11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02事业单位医疗</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95.88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，主要用于单位医疗生育等保险支出</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189.42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01住房公积金</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189.42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，主要用于单位住房公积金保险支出</w:t>
      </w:r>
      <w:r>
        <w:rPr>
          <w:rStyle w:val="14"/>
          <w:rFonts w:hint="eastAsia" w:ascii="仿宋" w:hAnsi="仿宋" w:eastAsia="仿宋"/>
          <w:b w:val="0"/>
          <w:bCs/>
          <w:color w:val="000000"/>
          <w:sz w:val="32"/>
          <w:szCs w:val="32"/>
          <w:lang w:val="en-US" w:eastAsia="zh-CN"/>
        </w:rPr>
        <w:t>。</w:t>
      </w:r>
    </w:p>
    <w:p>
      <w:pPr>
        <w:tabs>
          <w:tab w:val="right" w:pos="8306"/>
        </w:tabs>
        <w:spacing w:line="600" w:lineRule="exact"/>
        <w:ind w:firstLine="640"/>
        <w:outlineLvl w:val="1"/>
        <w:rPr>
          <w:rStyle w:val="25"/>
          <w:color w:val="auto"/>
          <w:highlight w:val="none"/>
        </w:rPr>
      </w:pPr>
      <w:bookmarkStart w:id="33" w:name="_Toc15396608"/>
      <w:bookmarkStart w:id="3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3"/>
      <w:bookmarkEnd w:id="34"/>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2583.14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2293.66</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万元，主要包括：基本工资、津贴补贴、绩效工资、机关事业单位基本养老保险缴费、职业年金缴费、其他社会保障缴费、其他工资福利支出、</w:t>
      </w:r>
      <w:r>
        <w:rPr>
          <w:rFonts w:hint="eastAsia" w:ascii="仿宋" w:hAnsi="仿宋" w:eastAsia="仿宋"/>
          <w:color w:val="auto"/>
          <w:sz w:val="32"/>
          <w:szCs w:val="32"/>
          <w:highlight w:val="none"/>
          <w:lang w:eastAsia="zh-CN"/>
        </w:rPr>
        <w:t>离岗民师生活补助</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遗属</w:t>
      </w:r>
      <w:r>
        <w:rPr>
          <w:rFonts w:hint="eastAsia" w:ascii="仿宋" w:hAnsi="仿宋" w:eastAsia="仿宋"/>
          <w:color w:val="auto"/>
          <w:sz w:val="32"/>
          <w:szCs w:val="32"/>
          <w:highlight w:val="none"/>
        </w:rPr>
        <w:t>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247.14</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劳务费、工会经费、福利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color w:val="auto"/>
          <w:highlight w:val="none"/>
        </w:rPr>
      </w:pPr>
      <w:bookmarkStart w:id="35" w:name="_Toc15396609"/>
      <w:bookmarkStart w:id="36"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5"/>
      <w:bookmarkEnd w:id="36"/>
    </w:p>
    <w:p>
      <w:pPr>
        <w:spacing w:line="600" w:lineRule="exact"/>
        <w:ind w:firstLine="640"/>
        <w:outlineLvl w:val="2"/>
        <w:rPr>
          <w:rFonts w:ascii="仿宋" w:hAnsi="仿宋" w:eastAsia="仿宋"/>
          <w:b/>
          <w:color w:val="auto"/>
          <w:sz w:val="32"/>
          <w:szCs w:val="32"/>
          <w:highlight w:val="none"/>
        </w:rPr>
      </w:pPr>
      <w:bookmarkStart w:id="37" w:name="_Toc15377216"/>
      <w:r>
        <w:rPr>
          <w:rFonts w:hint="eastAsia" w:ascii="仿宋" w:hAnsi="仿宋" w:eastAsia="仿宋"/>
          <w:b/>
          <w:color w:val="auto"/>
          <w:sz w:val="32"/>
          <w:szCs w:val="32"/>
          <w:highlight w:val="none"/>
        </w:rPr>
        <w:t>（一）“三公”经费财政拨款支出决算总体情况说明</w:t>
      </w:r>
      <w:bookmarkEnd w:id="37"/>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拦江九义校</w:t>
      </w:r>
      <w:r>
        <w:rPr>
          <w:rFonts w:hint="eastAsia" w:ascii="仿宋_GB2312" w:eastAsia="仿宋_GB2312" w:cs="Times New Roman"/>
          <w:color w:val="000000"/>
          <w:sz w:val="32"/>
          <w:szCs w:val="32"/>
          <w:lang w:val="en-US"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pPr>
        <w:spacing w:line="600" w:lineRule="exact"/>
        <w:ind w:firstLine="640"/>
        <w:outlineLvl w:val="2"/>
        <w:rPr>
          <w:rFonts w:ascii="仿宋" w:hAnsi="仿宋" w:eastAsia="仿宋"/>
          <w:b/>
          <w:color w:val="auto"/>
          <w:sz w:val="32"/>
          <w:szCs w:val="32"/>
          <w:highlight w:val="none"/>
        </w:rPr>
      </w:pPr>
      <w:bookmarkStart w:id="38" w:name="_Toc15377217"/>
      <w:r>
        <w:rPr>
          <w:rFonts w:hint="eastAsia" w:ascii="仿宋" w:hAnsi="仿宋" w:eastAsia="仿宋"/>
          <w:b/>
          <w:color w:val="auto"/>
          <w:sz w:val="32"/>
          <w:szCs w:val="32"/>
          <w:highlight w:val="none"/>
        </w:rPr>
        <w:t>（二）“三公”经费财政拨款支出决算具体情况说明</w:t>
      </w:r>
      <w:bookmarkEnd w:id="38"/>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拦江九义校</w:t>
      </w:r>
      <w:r>
        <w:rPr>
          <w:rFonts w:hint="eastAsia" w:ascii="仿宋_GB2312" w:eastAsia="仿宋_GB2312" w:cs="Times New Roman"/>
          <w:color w:val="000000"/>
          <w:sz w:val="32"/>
          <w:szCs w:val="32"/>
          <w:lang w:val="en-US"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pPr>
        <w:spacing w:line="600" w:lineRule="exact"/>
        <w:ind w:firstLine="640"/>
        <w:outlineLvl w:val="1"/>
        <w:rPr>
          <w:rStyle w:val="25"/>
          <w:rFonts w:ascii="黑体" w:hAnsi="黑体" w:eastAsia="黑体"/>
          <w:color w:val="auto"/>
          <w:highlight w:val="none"/>
        </w:rPr>
      </w:pPr>
      <w:bookmarkStart w:id="39" w:name="_Toc15396610"/>
      <w:bookmarkStart w:id="40"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39"/>
      <w:bookmarkEnd w:id="4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41" w:name="_Toc15377219"/>
      <w:bookmarkStart w:id="42" w:name="_Toc15396611"/>
      <w:r>
        <w:rPr>
          <w:rStyle w:val="25"/>
          <w:rFonts w:hint="eastAsia" w:ascii="黑体" w:hAnsi="黑体" w:eastAsia="黑体"/>
          <w:b w:val="0"/>
          <w:color w:val="auto"/>
          <w:highlight w:val="none"/>
        </w:rPr>
        <w:t>国有资本经营预算支出决算情况说明</w:t>
      </w:r>
      <w:bookmarkEnd w:id="41"/>
      <w:bookmarkEnd w:id="4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3" w:name="_Toc15377221"/>
      <w:bookmarkStart w:id="44" w:name="_Toc15396612"/>
      <w:r>
        <w:rPr>
          <w:rStyle w:val="25"/>
          <w:rFonts w:hint="eastAsia" w:ascii="黑体" w:hAnsi="黑体" w:eastAsia="黑体"/>
          <w:b w:val="0"/>
          <w:color w:val="auto"/>
          <w:highlight w:val="none"/>
        </w:rPr>
        <w:t>其他重要事项的情况说明</w:t>
      </w:r>
      <w:bookmarkEnd w:id="43"/>
      <w:bookmarkEnd w:id="44"/>
    </w:p>
    <w:p>
      <w:pPr>
        <w:spacing w:line="600" w:lineRule="exact"/>
        <w:ind w:firstLine="643" w:firstLineChars="200"/>
        <w:outlineLvl w:val="2"/>
        <w:rPr>
          <w:rFonts w:ascii="仿宋" w:hAnsi="仿宋" w:eastAsia="仿宋"/>
          <w:color w:val="auto"/>
          <w:sz w:val="32"/>
          <w:szCs w:val="32"/>
          <w:highlight w:val="none"/>
        </w:rPr>
      </w:pPr>
      <w:bookmarkStart w:id="45" w:name="_Toc15377222"/>
      <w:r>
        <w:rPr>
          <w:rFonts w:hint="eastAsia" w:ascii="仿宋" w:hAnsi="仿宋" w:eastAsia="仿宋"/>
          <w:b/>
          <w:color w:val="auto"/>
          <w:sz w:val="32"/>
          <w:szCs w:val="32"/>
          <w:highlight w:val="none"/>
        </w:rPr>
        <w:t>（一）机关运行经费支出情况</w:t>
      </w:r>
      <w:bookmarkEnd w:id="45"/>
    </w:p>
    <w:p>
      <w:pPr>
        <w:spacing w:line="600" w:lineRule="exact"/>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color w:val="auto"/>
          <w:sz w:val="32"/>
          <w:szCs w:val="32"/>
          <w:highlight w:val="none"/>
          <w:lang w:eastAsia="zh-CN"/>
        </w:rPr>
        <w:t>拦江九义校</w:t>
      </w:r>
      <w:r>
        <w:rPr>
          <w:rFonts w:hint="eastAsia" w:ascii="仿宋_GB2312" w:eastAsia="仿宋_GB2312" w:cs="Times New Roman"/>
          <w:color w:val="000000"/>
          <w:sz w:val="32"/>
          <w:szCs w:val="32"/>
          <w:lang w:val="en-US" w:eastAsia="zh-CN"/>
        </w:rPr>
        <w:t>无机关运行经费支出情况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6" w:name="_Toc15377223"/>
      <w:r>
        <w:rPr>
          <w:rFonts w:hint="eastAsia" w:ascii="仿宋" w:hAnsi="仿宋" w:eastAsia="仿宋"/>
          <w:b/>
          <w:color w:val="auto"/>
          <w:sz w:val="32"/>
          <w:szCs w:val="32"/>
          <w:highlight w:val="none"/>
        </w:rPr>
        <w:t>（二）政府采购支出情况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color w:val="auto"/>
          <w:sz w:val="32"/>
          <w:szCs w:val="32"/>
          <w:highlight w:val="none"/>
          <w:lang w:eastAsia="zh-CN"/>
        </w:rPr>
        <w:t>拦江九义校</w:t>
      </w:r>
      <w:r>
        <w:rPr>
          <w:rFonts w:hint="eastAsia" w:ascii="仿宋_GB2312" w:eastAsia="仿宋_GB2312" w:cs="Times New Roman"/>
          <w:color w:val="000000"/>
          <w:sz w:val="32"/>
          <w:szCs w:val="32"/>
          <w:lang w:val="en-US" w:eastAsia="zh-CN"/>
        </w:rPr>
        <w:t>无</w:t>
      </w:r>
      <w:r>
        <w:rPr>
          <w:rFonts w:hint="eastAsia" w:ascii="仿宋_GB2312" w:eastAsia="仿宋_GB2312"/>
          <w:color w:val="auto"/>
          <w:sz w:val="32"/>
          <w:szCs w:val="32"/>
          <w:highlight w:val="none"/>
        </w:rPr>
        <w:t>政府采购支出。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4"/>
      <w:r>
        <w:rPr>
          <w:rFonts w:hint="eastAsia" w:ascii="仿宋" w:hAnsi="仿宋" w:eastAsia="仿宋"/>
          <w:b/>
          <w:color w:val="auto"/>
          <w:sz w:val="32"/>
          <w:szCs w:val="32"/>
          <w:highlight w:val="none"/>
        </w:rPr>
        <w:t>（三）国有资产占有使用情况</w:t>
      </w:r>
      <w:bookmarkEnd w:id="4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本单位工资福利、社会保障和就业支出、卫生健康支出</w:t>
      </w:r>
      <w:r>
        <w:rPr>
          <w:rFonts w:hint="eastAsia" w:hAnsi="仿宋_GB2312" w:cs="仿宋_GB2312"/>
          <w:sz w:val="32"/>
          <w:szCs w:val="32"/>
          <w:lang w:eastAsia="zh-CN"/>
        </w:rPr>
        <w:t>、住房公积金</w:t>
      </w:r>
      <w:r>
        <w:rPr>
          <w:rFonts w:hint="eastAsia" w:ascii="仿宋_GB2312" w:hAnsi="仿宋_GB2312" w:eastAsia="仿宋_GB2312" w:cs="仿宋_GB2312"/>
          <w:sz w:val="32"/>
          <w:szCs w:val="32"/>
        </w:rPr>
        <w:t>项目</w:t>
      </w:r>
      <w:r>
        <w:rPr>
          <w:rFonts w:hint="eastAsia" w:hAnsi="仿宋_GB2312" w:cs="仿宋_GB2312"/>
          <w:sz w:val="32"/>
          <w:szCs w:val="32"/>
          <w:lang w:eastAsia="zh-CN"/>
        </w:rPr>
        <w:t>等</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r>
        <w:rPr>
          <w:rFonts w:hint="eastAsia" w:hAnsi="仿宋_GB2312" w:cs="仿宋_GB2312"/>
          <w:sz w:val="32"/>
          <w:szCs w:val="32"/>
          <w:lang w:eastAsia="zh-CN"/>
        </w:rPr>
        <w:t>，</w:t>
      </w:r>
      <w:r>
        <w:rPr>
          <w:rFonts w:hint="eastAsia" w:ascii="仿宋_GB2312" w:hAnsi="仿宋_GB2312" w:eastAsia="仿宋_GB2312" w:cs="仿宋_GB2312"/>
          <w:color w:val="auto"/>
          <w:sz w:val="32"/>
          <w:szCs w:val="32"/>
          <w:highlight w:val="none"/>
        </w:rPr>
        <w:t>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48" w:name="_Toc15377225"/>
      <w:bookmarkStart w:id="49"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8"/>
      <w:bookmarkEnd w:id="49"/>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 w:hAnsi="仿宋" w:eastAsia="仿宋"/>
          <w:sz w:val="32"/>
          <w:szCs w:val="32"/>
        </w:rPr>
        <w:t>学前教育保教费收入</w:t>
      </w:r>
      <w:r>
        <w:rPr>
          <w:rFonts w:hint="eastAsia" w:ascii="仿宋_GB2312" w:eastAsia="仿宋_GB2312"/>
          <w:color w:val="auto"/>
          <w:sz w:val="32"/>
          <w:szCs w:val="32"/>
          <w:highlight w:val="none"/>
        </w:rPr>
        <w:t>等。</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 w:hAnsi="仿宋" w:eastAsia="仿宋"/>
          <w:sz w:val="32"/>
          <w:szCs w:val="32"/>
        </w:rPr>
        <w:t>主要是利息收入、捐赠收入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 w:hAnsi="仿宋" w:eastAsia="仿宋"/>
          <w:sz w:val="32"/>
          <w:szCs w:val="32"/>
        </w:rPr>
        <w:t>一般公共服务（201类）政府办公厅（室）及相关机构事务（03款）其他政府办公厅（室）及相关机构事务支出（99项）</w:t>
      </w:r>
      <w:r>
        <w:rPr>
          <w:rFonts w:ascii="仿宋" w:hAnsi="仿宋" w:eastAsia="仿宋"/>
          <w:sz w:val="32"/>
          <w:szCs w:val="32"/>
        </w:rPr>
        <w:t xml:space="preserve">: </w:t>
      </w:r>
      <w:r>
        <w:rPr>
          <w:rFonts w:hint="eastAsia" w:ascii="仿宋" w:hAnsi="仿宋" w:eastAsia="仿宋"/>
          <w:sz w:val="32"/>
          <w:szCs w:val="32"/>
        </w:rPr>
        <w:t>反映除上述项目以外的其它政府办公厅（室）及相关机构事务支出。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10.</w:t>
      </w:r>
      <w:r>
        <w:rPr>
          <w:rFonts w:hint="eastAsia" w:ascii="仿宋" w:hAnsi="仿宋" w:eastAsia="仿宋"/>
          <w:sz w:val="32"/>
          <w:szCs w:val="32"/>
        </w:rPr>
        <w:t>一般公共服务（201类）知识产权事务（14款）专利试点和产业化推进（06项）</w:t>
      </w:r>
      <w:r>
        <w:rPr>
          <w:rFonts w:ascii="仿宋" w:hAnsi="仿宋" w:eastAsia="仿宋"/>
          <w:sz w:val="32"/>
          <w:szCs w:val="32"/>
        </w:rPr>
        <w:t xml:space="preserve">: </w:t>
      </w:r>
      <w:r>
        <w:rPr>
          <w:rFonts w:hint="eastAsia" w:ascii="仿宋" w:hAnsi="仿宋" w:eastAsia="仿宋"/>
          <w:sz w:val="32"/>
          <w:szCs w:val="32"/>
        </w:rPr>
        <w:t>反映专利分类试点以及实施国家专利产业化工程、扶植拥有自主知识产权的新技术及其产业化等方面的支出。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11.</w:t>
      </w:r>
      <w:r>
        <w:rPr>
          <w:rFonts w:hint="eastAsia" w:ascii="仿宋" w:hAnsi="仿宋" w:eastAsia="仿宋"/>
          <w:sz w:val="32"/>
          <w:szCs w:val="32"/>
        </w:rPr>
        <w:t>教育（205类）教育管理事务（01款）行政运行（01项）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反映行政单位（包括实行公务员管理的事业单位）的基本支出。</w:t>
      </w:r>
    </w:p>
    <w:p>
      <w:pPr>
        <w:ind w:firstLine="640" w:firstLineChars="200"/>
        <w:rPr>
          <w:rFonts w:hint="eastAsia" w:ascii="仿宋" w:hAnsi="仿宋" w:eastAsia="仿宋"/>
          <w:sz w:val="32"/>
          <w:szCs w:val="32"/>
        </w:rPr>
      </w:pPr>
      <w:r>
        <w:rPr>
          <w:rFonts w:ascii="仿宋_GB2312" w:eastAsia="仿宋_GB2312"/>
          <w:color w:val="auto"/>
          <w:sz w:val="32"/>
          <w:szCs w:val="32"/>
          <w:highlight w:val="none"/>
        </w:rPr>
        <w:t>12.</w:t>
      </w:r>
      <w:r>
        <w:rPr>
          <w:rFonts w:hint="eastAsia" w:ascii="仿宋" w:hAnsi="仿宋" w:eastAsia="仿宋"/>
          <w:sz w:val="32"/>
          <w:szCs w:val="32"/>
        </w:rPr>
        <w:t>教育（205类）教育管理事务（01款）一般行政管理事务（02项）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反映行政单位（包括实行公务员管理的事业单位）未单独设置项级科目的其它项目支出。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13.</w:t>
      </w:r>
      <w:r>
        <w:rPr>
          <w:rFonts w:hint="eastAsia" w:ascii="仿宋" w:hAnsi="仿宋" w:eastAsia="仿宋"/>
          <w:sz w:val="32"/>
          <w:szCs w:val="32"/>
        </w:rPr>
        <w:t>教育（205类）教育管理事务（01款）其他教育管理事务支出（99项）</w:t>
      </w:r>
      <w:r>
        <w:rPr>
          <w:rFonts w:ascii="仿宋" w:hAnsi="仿宋" w:eastAsia="仿宋"/>
          <w:sz w:val="32"/>
          <w:szCs w:val="32"/>
        </w:rPr>
        <w:t xml:space="preserve">: </w:t>
      </w:r>
      <w:r>
        <w:rPr>
          <w:rFonts w:hint="eastAsia" w:ascii="仿宋" w:hAnsi="仿宋" w:eastAsia="仿宋"/>
          <w:sz w:val="32"/>
          <w:szCs w:val="32"/>
        </w:rPr>
        <w:t>反映除上述项目以外其它用于教育管理事务方面的支出。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14.</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15.</w:t>
      </w:r>
      <w:r>
        <w:rPr>
          <w:rFonts w:hint="eastAsia" w:ascii="仿宋" w:hAnsi="仿宋" w:eastAsia="仿宋"/>
          <w:sz w:val="32"/>
          <w:szCs w:val="32"/>
        </w:rPr>
        <w:t>教育（205类）普通教育（02款）小学教育（02项）</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16.</w:t>
      </w:r>
      <w:r>
        <w:rPr>
          <w:rFonts w:hint="eastAsia" w:ascii="仿宋" w:hAnsi="仿宋" w:eastAsia="仿宋"/>
          <w:sz w:val="32"/>
          <w:szCs w:val="32"/>
        </w:rPr>
        <w:t>教育（205类）普通教育（02款）其他普通教育支出（99项）</w:t>
      </w:r>
      <w:r>
        <w:rPr>
          <w:rFonts w:ascii="仿宋" w:hAnsi="仿宋" w:eastAsia="仿宋"/>
          <w:sz w:val="32"/>
          <w:szCs w:val="32"/>
        </w:rPr>
        <w:t xml:space="preserve">: </w:t>
      </w:r>
      <w:r>
        <w:rPr>
          <w:rFonts w:hint="eastAsia" w:ascii="仿宋" w:hAnsi="仿宋" w:eastAsia="仿宋"/>
          <w:sz w:val="32"/>
          <w:szCs w:val="32"/>
        </w:rPr>
        <w:t>反映除上述项目以外其它用于普通教育方面的支出。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17.</w:t>
      </w:r>
      <w:r>
        <w:rPr>
          <w:rFonts w:hint="eastAsia" w:ascii="仿宋" w:hAnsi="仿宋" w:eastAsia="仿宋"/>
          <w:sz w:val="32"/>
          <w:szCs w:val="32"/>
        </w:rPr>
        <w:t>教育（205类）其他教育支出（99款）其他教育支出（99项）</w:t>
      </w:r>
      <w:r>
        <w:rPr>
          <w:rFonts w:ascii="仿宋" w:hAnsi="仿宋" w:eastAsia="仿宋"/>
          <w:sz w:val="32"/>
          <w:szCs w:val="32"/>
        </w:rPr>
        <w:t xml:space="preserve">: </w:t>
      </w:r>
      <w:r>
        <w:rPr>
          <w:rFonts w:hint="eastAsia" w:ascii="仿宋" w:hAnsi="仿宋" w:eastAsia="仿宋"/>
          <w:sz w:val="32"/>
          <w:szCs w:val="32"/>
        </w:rPr>
        <w:t>反映除上述项目以外其它教育方面的支出。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18.</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19.</w:t>
      </w:r>
      <w:r>
        <w:rPr>
          <w:rFonts w:hint="eastAsia" w:ascii="仿宋" w:hAnsi="仿宋" w:eastAsia="仿宋"/>
          <w:sz w:val="32"/>
          <w:szCs w:val="32"/>
        </w:rPr>
        <w:t>社会保障和就业（208类）抚恤（08款）死亡抚恤（01项）</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20.</w:t>
      </w:r>
      <w:r>
        <w:rPr>
          <w:rFonts w:hint="eastAsia" w:ascii="仿宋" w:hAnsi="仿宋" w:eastAsia="仿宋"/>
          <w:sz w:val="32"/>
          <w:szCs w:val="32"/>
        </w:rPr>
        <w:t>社会保障和就业（208类）其他社会保障和就业支出（99款）其他社会保障和就业支出（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21.</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22.</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ind w:firstLine="640" w:firstLineChars="200"/>
        <w:rPr>
          <w:rFonts w:ascii="仿宋" w:hAnsi="仿宋" w:eastAsia="仿宋"/>
          <w:sz w:val="32"/>
          <w:szCs w:val="32"/>
        </w:rPr>
      </w:pPr>
      <w:bookmarkStart w:id="50" w:name="_Toc15396614"/>
      <w:bookmarkStart w:id="51" w:name="_Toc15377226"/>
      <w:r>
        <w:rPr>
          <w:rFonts w:hint="eastAsia" w:ascii="仿宋" w:hAnsi="仿宋" w:eastAsia="仿宋"/>
          <w:sz w:val="32"/>
          <w:szCs w:val="32"/>
          <w:lang w:val="en-US" w:eastAsia="zh-CN"/>
        </w:rPr>
        <w:t>28</w:t>
      </w:r>
      <w:r>
        <w:rPr>
          <w:rFonts w:hint="eastAsia" w:ascii="仿宋" w:hAnsi="仿宋" w:eastAsia="仿宋"/>
          <w:sz w:val="32"/>
          <w:szCs w:val="32"/>
        </w:rPr>
        <w:t>.工资福利：反映单位开支的在职职工和编制外长期聘用人员的各类劳动报酬，以及为上述人员缴纳的各项社会保险费等。</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29</w:t>
      </w:r>
      <w:r>
        <w:rPr>
          <w:rFonts w:hint="eastAsia" w:ascii="仿宋" w:hAnsi="仿宋" w:eastAsia="仿宋"/>
          <w:sz w:val="32"/>
          <w:szCs w:val="32"/>
        </w:rPr>
        <w:t>.商品和服务：反映单位购买商品和服务的支出，不包括用于购置固定资产、战略性和应急性物资储备等资本支出。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30</w:t>
      </w:r>
      <w:r>
        <w:rPr>
          <w:rFonts w:hint="eastAsia" w:ascii="仿宋" w:hAnsi="仿宋" w:eastAsia="仿宋"/>
          <w:sz w:val="32"/>
          <w:szCs w:val="32"/>
        </w:rPr>
        <w:t>.对个人和家庭的补助：反映政府用于对个和家庭的补助支出。</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US" w:eastAsia="zh-CN"/>
        </w:rPr>
        <w:t>31</w:t>
      </w:r>
      <w:r>
        <w:rPr>
          <w:rFonts w:hint="eastAsia" w:ascii="仿宋" w:hAnsi="仿宋" w:eastAsia="仿宋"/>
          <w:sz w:val="32"/>
          <w:szCs w:val="32"/>
        </w:rPr>
        <w:t>.资本性支出：反映各单位安排的资本性支出。切块由发展改革部门安排的基本建设支出不在此科目反映。</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4"/>
          <w:rFonts w:ascii="黑体" w:hAnsi="黑体" w:eastAsia="黑体"/>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0"/>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2" w:name="_Toc15396618"/>
      <w:r>
        <w:rPr>
          <w:rFonts w:hint="eastAsia" w:ascii="宋体" w:hAnsi="宋体" w:eastAsia="宋体" w:cs="宋体"/>
          <w:color w:val="auto"/>
          <w:kern w:val="0"/>
          <w:sz w:val="32"/>
          <w:szCs w:val="32"/>
          <w:highlight w:val="none"/>
          <w:lang w:val="en-US" w:eastAsia="zh-CN" w:bidi="ar-SA"/>
        </w:rPr>
        <w:t>部门预算项目支出绩效自评表（2022年度）</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5"/>
        <w:gridCol w:w="893"/>
        <w:gridCol w:w="1190"/>
        <w:gridCol w:w="396"/>
        <w:gridCol w:w="824"/>
        <w:gridCol w:w="396"/>
        <w:gridCol w:w="847"/>
        <w:gridCol w:w="487"/>
        <w:gridCol w:w="487"/>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w:t>
            </w:r>
            <w:r>
              <w:rPr>
                <w:rFonts w:hint="eastAsia" w:ascii="宋体" w:hAnsi="宋体" w:cs="宋体"/>
                <w:i w:val="0"/>
                <w:iCs w:val="0"/>
                <w:color w:val="000000"/>
                <w:kern w:val="0"/>
                <w:sz w:val="18"/>
                <w:szCs w:val="18"/>
                <w:u w:val="none"/>
                <w:lang w:val="en-US" w:eastAsia="zh-CN" w:bidi="ar"/>
              </w:rPr>
              <w:t>九年义务教育</w:t>
            </w:r>
            <w:r>
              <w:rPr>
                <w:rFonts w:ascii="宋体" w:hAnsi="宋体" w:eastAsia="宋体" w:cs="宋体"/>
                <w:i w:val="0"/>
                <w:iCs w:val="0"/>
                <w:color w:val="000000"/>
                <w:kern w:val="0"/>
                <w:sz w:val="18"/>
                <w:szCs w:val="18"/>
                <w:u w:val="none"/>
                <w:lang w:val="en-US" w:eastAsia="zh-CN" w:bidi="ar"/>
              </w:rPr>
              <w:t>学校部门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遂宁市安居区拦江镇</w:t>
            </w:r>
            <w:r>
              <w:rPr>
                <w:rFonts w:hint="eastAsia" w:ascii="宋体" w:hAnsi="宋体" w:cs="宋体"/>
                <w:i w:val="0"/>
                <w:iCs w:val="0"/>
                <w:color w:val="000000"/>
                <w:kern w:val="0"/>
                <w:sz w:val="18"/>
                <w:szCs w:val="18"/>
                <w:u w:val="none"/>
                <w:lang w:val="en-US" w:eastAsia="zh-CN" w:bidi="ar"/>
              </w:rPr>
              <w:t>九年义务教育</w:t>
            </w:r>
            <w:r>
              <w:rPr>
                <w:rFonts w:ascii="宋体" w:hAnsi="宋体" w:eastAsia="宋体" w:cs="宋体"/>
                <w:i w:val="0"/>
                <w:iCs w:val="0"/>
                <w:color w:val="000000"/>
                <w:kern w:val="0"/>
                <w:sz w:val="18"/>
                <w:szCs w:val="18"/>
                <w:u w:val="none"/>
                <w:lang w:val="en-US" w:eastAsia="zh-CN" w:bidi="ar"/>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保障了学校家庭经济困难学生正常入学，减轻其家庭经济负担。</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600" w:lineRule="exact"/>
              <w:ind w:firstLine="720"/>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zh-CN" w:eastAsia="zh-CN" w:bidi="ar"/>
              </w:rPr>
              <w:t>我校加强民生资金专项管理，提高民生资金使用效益，确保专款专用，按程序及时兑现给学生（或监护人），及时报送资助政策落实情况及相关资料，该项目资金符合资金管理办法的相关规定。该项目在项目资金下达后已按程序及时兑现给学生（或监护人），及时报送资助政策落实情况及相关资料。由区财政直接下达指标到学校，转入区资助中心，由一卡通系统发到学生（或监护人）。</w:t>
            </w:r>
            <w:r>
              <w:rPr>
                <w:rFonts w:hint="eastAsia" w:ascii="黑体" w:hAnsi="黑体" w:eastAsia="黑体" w:cs="黑体"/>
                <w:i w:val="0"/>
                <w:iCs w:val="0"/>
                <w:color w:val="000000"/>
                <w:kern w:val="0"/>
                <w:sz w:val="24"/>
                <w:szCs w:val="24"/>
                <w:u w:val="none"/>
                <w:lang w:val="en-US" w:eastAsia="zh-CN" w:bidi="ar"/>
              </w:rPr>
              <w:t>所有</w:t>
            </w:r>
            <w:r>
              <w:rPr>
                <w:rFonts w:hint="eastAsia" w:ascii="黑体" w:hAnsi="黑体" w:eastAsia="黑体" w:cs="黑体"/>
                <w:i w:val="0"/>
                <w:iCs w:val="0"/>
                <w:color w:val="000000"/>
                <w:kern w:val="0"/>
                <w:sz w:val="24"/>
                <w:szCs w:val="24"/>
                <w:u w:val="none"/>
                <w:lang w:val="zh-CN" w:eastAsia="zh-CN" w:bidi="ar"/>
              </w:rPr>
              <w:t>资金都按计划及时到位并</w:t>
            </w:r>
            <w:r>
              <w:rPr>
                <w:rFonts w:hint="eastAsia" w:ascii="黑体" w:hAnsi="黑体" w:eastAsia="黑体" w:cs="黑体"/>
                <w:i w:val="0"/>
                <w:iCs w:val="0"/>
                <w:color w:val="000000"/>
                <w:kern w:val="0"/>
                <w:sz w:val="24"/>
                <w:szCs w:val="24"/>
                <w:u w:val="none"/>
                <w:lang w:val="en-US" w:eastAsia="zh-CN" w:bidi="ar"/>
              </w:rPr>
              <w:t>由区一卡通系统发放到位。</w:t>
            </w:r>
            <w:r>
              <w:rPr>
                <w:rFonts w:hint="eastAsia" w:ascii="黑体" w:hAnsi="黑体" w:eastAsia="黑体" w:cs="黑体"/>
                <w:i w:val="0"/>
                <w:iCs w:val="0"/>
                <w:color w:val="000000"/>
                <w:kern w:val="0"/>
                <w:sz w:val="24"/>
                <w:szCs w:val="24"/>
                <w:u w:val="none"/>
                <w:lang w:val="zh-CN" w:eastAsia="zh-CN" w:bidi="ar"/>
              </w:rPr>
              <w:t>该项目我校严格按照上级规定，首先给家庭经济困难学生发放申请表，请各自的社区或村主任签字、盖章进行审核、确认后，到各班时行由班主任审核、确认，然后由学校审核、确认，最后对享受资助的学生进行公示，无异议后通过银行上卡发放给学生（或监护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学生资助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21"/>
                <w:szCs w:val="21"/>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zh-CN" w:eastAsia="zh-CN" w:bidi="ar"/>
              </w:rPr>
              <w:t>学校在收到财政局下达的计划指标后，转入区资助中心，由一卡通系统发到学生（或监护人）。</w:t>
            </w:r>
            <w:r>
              <w:rPr>
                <w:rFonts w:hint="eastAsia" w:ascii="宋体" w:hAnsi="宋体" w:eastAsia="宋体" w:cs="宋体"/>
                <w:i w:val="0"/>
                <w:iCs w:val="0"/>
                <w:color w:val="000000"/>
                <w:kern w:val="0"/>
                <w:sz w:val="22"/>
                <w:szCs w:val="22"/>
                <w:u w:val="none"/>
                <w:lang w:val="en-US" w:eastAsia="zh-CN" w:bidi="ar"/>
              </w:rPr>
              <w:t>所有</w:t>
            </w:r>
            <w:r>
              <w:rPr>
                <w:rFonts w:hint="eastAsia" w:ascii="宋体" w:hAnsi="宋体" w:eastAsia="宋体" w:cs="宋体"/>
                <w:i w:val="0"/>
                <w:iCs w:val="0"/>
                <w:color w:val="000000"/>
                <w:kern w:val="0"/>
                <w:sz w:val="22"/>
                <w:szCs w:val="22"/>
                <w:u w:val="none"/>
                <w:lang w:val="zh-CN" w:eastAsia="zh-CN" w:bidi="ar"/>
              </w:rPr>
              <w:t>资金都按计划及时到位并</w:t>
            </w:r>
            <w:r>
              <w:rPr>
                <w:rFonts w:hint="eastAsia" w:ascii="宋体" w:hAnsi="宋体" w:eastAsia="宋体" w:cs="宋体"/>
                <w:i w:val="0"/>
                <w:iCs w:val="0"/>
                <w:color w:val="000000"/>
                <w:kern w:val="0"/>
                <w:sz w:val="22"/>
                <w:szCs w:val="22"/>
                <w:u w:val="none"/>
                <w:lang w:val="en-US" w:eastAsia="zh-CN" w:bidi="ar"/>
              </w:rPr>
              <w:t>由区一卡通系统发放到位。</w:t>
            </w:r>
            <w:r>
              <w:rPr>
                <w:rFonts w:hint="eastAsia" w:ascii="宋体" w:hAnsi="宋体" w:eastAsia="宋体" w:cs="宋体"/>
                <w:i w:val="0"/>
                <w:iCs w:val="0"/>
                <w:color w:val="000000"/>
                <w:kern w:val="0"/>
                <w:sz w:val="22"/>
                <w:szCs w:val="22"/>
                <w:u w:val="none"/>
                <w:lang w:val="zh-CN" w:eastAsia="zh-CN" w:bidi="ar"/>
              </w:rPr>
              <w:t>认真落实义务教育“两免一补”、贫困家庭资助政策，把建档立卡家庭经济困难学生作为脱贫攻坚重点对象，特别是把残疾儿童、残疾人子女作为重中之重，优先帮扶，完善不能到校学习的重度残疾儿童送教上门制度，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微软雅黑" w:hAnsi="微软雅黑" w:eastAsia="微软雅黑" w:cs="微软雅黑"/>
                <w:i/>
                <w:iCs/>
                <w:color w:val="000000"/>
                <w:sz w:val="21"/>
                <w:szCs w:val="21"/>
                <w:u w:val="none"/>
              </w:rPr>
            </w:pPr>
            <w:r>
              <w:rPr>
                <w:rFonts w:hint="eastAsia" w:ascii="宋体" w:hAnsi="宋体" w:eastAsia="宋体" w:cs="宋体"/>
                <w:i w:val="0"/>
                <w:iCs w:val="0"/>
                <w:color w:val="000000"/>
                <w:kern w:val="0"/>
                <w:sz w:val="22"/>
                <w:szCs w:val="22"/>
                <w:u w:val="none"/>
                <w:lang w:val="zh-CN" w:eastAsia="zh-CN" w:bidi="ar"/>
              </w:rPr>
              <w:t>因留守儿童多，父母外出务工，爷爷奶奶对银行卡记录不熟习，对少数家长和群众对教育资助政策不甚了解，对自己孩子享有的助学金额不清楚。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微软雅黑" w:hAnsi="微软雅黑" w:eastAsia="微软雅黑" w:cs="微软雅黑"/>
                <w:i/>
                <w:iCs/>
                <w:color w:val="000000"/>
                <w:sz w:val="21"/>
                <w:szCs w:val="21"/>
                <w:u w:val="none"/>
              </w:rPr>
            </w:pPr>
            <w:r>
              <w:rPr>
                <w:rFonts w:hint="eastAsia" w:ascii="宋体" w:hAnsi="宋体" w:eastAsia="宋体" w:cs="宋体"/>
                <w:i w:val="0"/>
                <w:iCs w:val="0"/>
                <w:color w:val="000000"/>
                <w:kern w:val="0"/>
                <w:sz w:val="22"/>
                <w:szCs w:val="22"/>
                <w:u w:val="none"/>
                <w:lang w:val="zh-CN" w:eastAsia="zh-CN" w:bidi="ar"/>
              </w:rPr>
              <w:t>少数家长和群众对教育资助政策不甚了解，对自己孩子享有的助学金额不清楚。学校应进一步加强教育资助政策宣传及资助情况的反馈公示。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r>
              <w:rPr>
                <w:rFonts w:hint="eastAsia" w:ascii="叶根友毛笔行书2.0版" w:hAnsi="叶根友毛笔行书2.0版" w:eastAsia="叶根友毛笔行书2.0版" w:cs="叶根友毛笔行书2.0版"/>
                <w:i w:val="0"/>
                <w:iCs w:val="0"/>
                <w:color w:val="000000"/>
                <w:kern w:val="0"/>
                <w:sz w:val="21"/>
                <w:szCs w:val="21"/>
                <w:u w:val="none"/>
                <w:lang w:val="en-US" w:eastAsia="zh-CN" w:bidi="ar"/>
              </w:rPr>
              <w:t>曾毅</w:t>
            </w:r>
          </w:p>
        </w:tc>
        <w:tc>
          <w:tcPr>
            <w:tcW w:w="25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r>
              <w:rPr>
                <w:rFonts w:hint="eastAsia" w:ascii="叶根友毛笔行书2.0版" w:hAnsi="叶根友毛笔行书2.0版" w:eastAsia="叶根友毛笔行书2.0版" w:cs="叶根友毛笔行书2.0版"/>
                <w:i w:val="0"/>
                <w:iCs w:val="0"/>
                <w:color w:val="000000"/>
                <w:kern w:val="0"/>
                <w:sz w:val="21"/>
                <w:szCs w:val="21"/>
                <w:u w:val="none"/>
                <w:lang w:val="en-US" w:eastAsia="zh-CN" w:bidi="ar"/>
              </w:rPr>
              <w:t>卢勇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2"/>
      <w:bookmarkStart w:id="53"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3"/>
    </w:p>
    <w:p>
      <w:pPr>
        <w:pStyle w:val="4"/>
        <w:rPr>
          <w:rFonts w:ascii="仿宋" w:hAnsi="仿宋" w:eastAsia="仿宋"/>
          <w:color w:val="auto"/>
          <w:highlight w:val="none"/>
        </w:rPr>
      </w:pPr>
      <w:bookmarkStart w:id="54"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4"/>
    </w:p>
    <w:p>
      <w:pPr>
        <w:pStyle w:val="4"/>
        <w:rPr>
          <w:rFonts w:ascii="仿宋" w:hAnsi="仿宋" w:eastAsia="仿宋"/>
          <w:color w:val="auto"/>
          <w:highlight w:val="none"/>
        </w:rPr>
      </w:pPr>
      <w:bookmarkStart w:id="55"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5"/>
    </w:p>
    <w:p>
      <w:pPr>
        <w:pStyle w:val="4"/>
        <w:rPr>
          <w:rFonts w:ascii="仿宋" w:hAnsi="仿宋" w:eastAsia="仿宋"/>
          <w:b w:val="0"/>
          <w:color w:val="auto"/>
          <w:highlight w:val="none"/>
        </w:rPr>
      </w:pPr>
      <w:bookmarkStart w:id="56"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6"/>
    </w:p>
    <w:p>
      <w:pPr>
        <w:pStyle w:val="4"/>
        <w:rPr>
          <w:rStyle w:val="25"/>
          <w:rFonts w:ascii="仿宋" w:hAnsi="仿宋" w:eastAsia="仿宋"/>
          <w:b w:val="0"/>
          <w:bCs w:val="0"/>
          <w:color w:val="auto"/>
          <w:highlight w:val="none"/>
        </w:rPr>
      </w:pPr>
      <w:bookmarkStart w:id="57"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7"/>
      <w:bookmarkStart w:id="58"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8"/>
    </w:p>
    <w:p>
      <w:pPr>
        <w:pStyle w:val="4"/>
        <w:rPr>
          <w:rFonts w:ascii="仿宋" w:hAnsi="仿宋" w:eastAsia="仿宋"/>
          <w:color w:val="auto"/>
          <w:highlight w:val="none"/>
        </w:rPr>
      </w:pPr>
      <w:bookmarkStart w:id="59"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59"/>
    </w:p>
    <w:p>
      <w:pPr>
        <w:pStyle w:val="4"/>
        <w:rPr>
          <w:rFonts w:ascii="仿宋" w:hAnsi="仿宋" w:eastAsia="仿宋"/>
          <w:color w:val="auto"/>
          <w:highlight w:val="none"/>
        </w:rPr>
      </w:pPr>
      <w:bookmarkStart w:id="60"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0"/>
    </w:p>
    <w:p>
      <w:pPr>
        <w:pStyle w:val="4"/>
        <w:rPr>
          <w:rFonts w:ascii="仿宋" w:hAnsi="仿宋" w:eastAsia="仿宋"/>
          <w:color w:val="auto"/>
          <w:highlight w:val="none"/>
        </w:rPr>
      </w:pPr>
      <w:bookmarkStart w:id="61"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1"/>
    </w:p>
    <w:p>
      <w:pPr>
        <w:pStyle w:val="4"/>
        <w:rPr>
          <w:rFonts w:ascii="仿宋" w:hAnsi="仿宋" w:eastAsia="仿宋"/>
          <w:color w:val="auto"/>
          <w:highlight w:val="none"/>
        </w:rPr>
      </w:pPr>
      <w:bookmarkStart w:id="62" w:name="_Toc15396628"/>
      <w:r>
        <w:rPr>
          <w:rStyle w:val="25"/>
          <w:rFonts w:hint="eastAsia" w:ascii="仿宋" w:hAnsi="仿宋" w:eastAsia="仿宋"/>
          <w:b w:val="0"/>
          <w:bCs w:val="0"/>
          <w:color w:val="auto"/>
          <w:highlight w:val="none"/>
        </w:rPr>
        <w:t>十、</w:t>
      </w:r>
      <w:bookmarkEnd w:id="62"/>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3" w:name="_Toc15396629"/>
      <w:r>
        <w:rPr>
          <w:rStyle w:val="25"/>
          <w:rFonts w:hint="eastAsia" w:ascii="仿宋" w:hAnsi="仿宋" w:eastAsia="仿宋"/>
          <w:b w:val="0"/>
          <w:bCs w:val="0"/>
          <w:color w:val="auto"/>
          <w:highlight w:val="none"/>
        </w:rPr>
        <w:t>十一、</w:t>
      </w:r>
      <w:bookmarkEnd w:id="63"/>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4" w:name="_Toc15396630"/>
      <w:r>
        <w:rPr>
          <w:rStyle w:val="25"/>
          <w:rFonts w:hint="eastAsia" w:ascii="仿宋" w:hAnsi="仿宋" w:eastAsia="仿宋"/>
          <w:b w:val="0"/>
          <w:bCs w:val="0"/>
          <w:color w:val="auto"/>
          <w:highlight w:val="none"/>
        </w:rPr>
        <w:t>十二、</w:t>
      </w:r>
      <w:bookmarkEnd w:id="64"/>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5" w:name="_Toc15396631"/>
      <w:r>
        <w:rPr>
          <w:rStyle w:val="25"/>
          <w:rFonts w:hint="eastAsia" w:ascii="仿宋" w:hAnsi="仿宋" w:eastAsia="仿宋"/>
          <w:b w:val="0"/>
          <w:bCs w:val="0"/>
          <w:color w:val="auto"/>
          <w:highlight w:val="none"/>
        </w:rPr>
        <w:t>十三、</w:t>
      </w:r>
      <w:bookmarkEnd w:id="65"/>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gyOTA1YzcyY2YxZmEzNjM3MTliODZiNjgzM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8A7DCE"/>
    <w:rsid w:val="11DD6519"/>
    <w:rsid w:val="16BB723D"/>
    <w:rsid w:val="18015F3F"/>
    <w:rsid w:val="1BE8440E"/>
    <w:rsid w:val="1D155CEE"/>
    <w:rsid w:val="20992B3F"/>
    <w:rsid w:val="20F57F95"/>
    <w:rsid w:val="240371BF"/>
    <w:rsid w:val="25131851"/>
    <w:rsid w:val="25711CC6"/>
    <w:rsid w:val="25C741E6"/>
    <w:rsid w:val="27842671"/>
    <w:rsid w:val="29FD04D3"/>
    <w:rsid w:val="2ABE7A3E"/>
    <w:rsid w:val="2CA234A8"/>
    <w:rsid w:val="2CB6261C"/>
    <w:rsid w:val="2D9F3643"/>
    <w:rsid w:val="2EFA178C"/>
    <w:rsid w:val="30B46D73"/>
    <w:rsid w:val="319F7F4E"/>
    <w:rsid w:val="358911A2"/>
    <w:rsid w:val="37815E37"/>
    <w:rsid w:val="383D272C"/>
    <w:rsid w:val="39AE70AB"/>
    <w:rsid w:val="3BE867F9"/>
    <w:rsid w:val="3C0C0783"/>
    <w:rsid w:val="3F1C15A5"/>
    <w:rsid w:val="3F9F3A96"/>
    <w:rsid w:val="453739F4"/>
    <w:rsid w:val="48BF60AB"/>
    <w:rsid w:val="493C27E9"/>
    <w:rsid w:val="496F39ED"/>
    <w:rsid w:val="49FF41D3"/>
    <w:rsid w:val="4BE068DB"/>
    <w:rsid w:val="4BF6002B"/>
    <w:rsid w:val="4BF66B72"/>
    <w:rsid w:val="4ECE2238"/>
    <w:rsid w:val="50055E16"/>
    <w:rsid w:val="50802A03"/>
    <w:rsid w:val="51DB4B86"/>
    <w:rsid w:val="524B4048"/>
    <w:rsid w:val="533255FF"/>
    <w:rsid w:val="55333C3E"/>
    <w:rsid w:val="5CBE2F18"/>
    <w:rsid w:val="63C44BF5"/>
    <w:rsid w:val="64CA39A1"/>
    <w:rsid w:val="663646ED"/>
    <w:rsid w:val="69630ADE"/>
    <w:rsid w:val="6AE2733A"/>
    <w:rsid w:val="6B4300E3"/>
    <w:rsid w:val="6C4A05C8"/>
    <w:rsid w:val="6D3B1A89"/>
    <w:rsid w:val="71BF4EC2"/>
    <w:rsid w:val="71C34D91"/>
    <w:rsid w:val="72734D90"/>
    <w:rsid w:val="7412278C"/>
    <w:rsid w:val="7746003F"/>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5253;&#34920;\&#20915;&#31639;\&#20915;&#31639;&#20844;&#24320;\&#24037;&#20316;&#31807;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5253;&#34920;\&#20915;&#31639;\&#20915;&#31639;&#20844;&#24320;\&#24037;&#20316;&#31807;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5253;&#34920;\&#20915;&#31639;\&#20915;&#31639;&#20844;&#24320;\&#24037;&#20316;&#31807;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2022年、2021年收入支出总计变动情况图</a:t>
            </a:r>
          </a:p>
        </c:rich>
      </c:tx>
      <c:layout/>
      <c:overlay val="0"/>
      <c:spPr>
        <a:noFill/>
        <a:ln>
          <a:noFill/>
        </a:ln>
        <a:effectLst/>
      </c:spPr>
    </c:title>
    <c:autoTitleDeleted val="0"/>
    <c:plotArea>
      <c:layout>
        <c:manualLayout>
          <c:layoutTarget val="inner"/>
          <c:xMode val="edge"/>
          <c:yMode val="edge"/>
          <c:x val="0.0853611111111111"/>
          <c:y val="0.180555555555556"/>
          <c:w val="0.882"/>
          <c:h val="0.71097222222222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(2).xls]Sheet1'!$A$2:$A$5</c:f>
              <c:strCache>
                <c:ptCount val="4"/>
                <c:pt idx="0">
                  <c:v>2021年收入</c:v>
                </c:pt>
                <c:pt idx="1">
                  <c:v>2022年收入</c:v>
                </c:pt>
                <c:pt idx="2">
                  <c:v>2021年支出</c:v>
                </c:pt>
                <c:pt idx="3">
                  <c:v>2022年支出</c:v>
                </c:pt>
              </c:strCache>
            </c:strRef>
          </c:cat>
          <c:val>
            <c:numRef>
              <c:f>'[新建 XLS 工作表 (2).xls]Sheet1'!$B$2:$B$5</c:f>
              <c:numCache>
                <c:formatCode>General</c:formatCode>
                <c:ptCount val="4"/>
                <c:pt idx="0">
                  <c:v>2375.87</c:v>
                </c:pt>
                <c:pt idx="1">
                  <c:v>2583.14</c:v>
                </c:pt>
                <c:pt idx="2">
                  <c:v>2375.87</c:v>
                </c:pt>
                <c:pt idx="3">
                  <c:v>2583.14</c:v>
                </c:pt>
              </c:numCache>
            </c:numRef>
          </c:val>
        </c:ser>
        <c:dLbls>
          <c:showLegendKey val="0"/>
          <c:showVal val="1"/>
          <c:showCatName val="0"/>
          <c:showSerName val="0"/>
          <c:showPercent val="0"/>
          <c:showBubbleSize val="0"/>
        </c:dLbls>
        <c:gapWidth val="219"/>
        <c:overlap val="-27"/>
        <c:axId val="811338201"/>
        <c:axId val="109704072"/>
      </c:barChart>
      <c:catAx>
        <c:axId val="8113382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704072"/>
        <c:crosses val="autoZero"/>
        <c:auto val="1"/>
        <c:lblAlgn val="ctr"/>
        <c:lblOffset val="100"/>
        <c:noMultiLvlLbl val="0"/>
      </c:catAx>
      <c:valAx>
        <c:axId val="109704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3382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2022年收入决算结构图</a:t>
            </a:r>
          </a:p>
        </c:rich>
      </c:tx>
      <c:layout/>
      <c:overlay val="0"/>
    </c:title>
    <c:autoTitleDeleted val="0"/>
    <c:plotArea>
      <c:layout/>
      <c:pieChart>
        <c:varyColors val="1"/>
        <c:ser>
          <c:idx val="0"/>
          <c:order val="0"/>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multiLvlStrRef>
              <c:f>[工作簿1.xls]Sheet1!$A$15:$B$16</c:f>
              <c:multiLvlStrCache>
                <c:ptCount val="2"/>
                <c:lvl>
                  <c:pt idx="0">
                    <c:v>一般公共预算财政拨款收入</c:v>
                  </c:pt>
                  <c:pt idx="1">
                    <c:v>政府性基金预算财政拨款收入</c:v>
                  </c:pt>
                </c:lvl>
                <c:lvl>
                  <c:pt idx="0">
                    <c:v>2022年收入决算结构图</c:v>
                  </c:pt>
                </c:lvl>
              </c:multiLvlStrCache>
            </c:multiLvlStrRef>
          </c:cat>
          <c:val>
            <c:numRef>
              <c:f>[工作簿1.xls]Sheet1!$A$17:$B$17</c:f>
              <c:numCache>
                <c:formatCode>General</c:formatCode>
                <c:ptCount val="2"/>
                <c:pt idx="0">
                  <c:v>456.11</c:v>
                </c:pt>
                <c:pt idx="1">
                  <c:v>0</c:v>
                </c:pt>
              </c:numCache>
            </c:numRef>
          </c:val>
        </c:ser>
        <c:ser>
          <c:idx val="1"/>
          <c:order val="1"/>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multiLvlStrRef>
              <c:f>[工作簿1.xls]Sheet1!$A$15:$B$16</c:f>
              <c:multiLvlStrCache>
                <c:ptCount val="2"/>
                <c:lvl>
                  <c:pt idx="0">
                    <c:v>一般公共预算财政拨款收入</c:v>
                  </c:pt>
                  <c:pt idx="1">
                    <c:v>政府性基金预算财政拨款收入</c:v>
                  </c:pt>
                </c:lvl>
                <c:lvl>
                  <c:pt idx="0">
                    <c:v>2022年收入决算结构图</c:v>
                  </c:pt>
                </c:lvl>
              </c:multiLvlStrCache>
            </c:multiLvlStrRef>
          </c:cat>
          <c:val>
            <c:numRef>
              <c:f>[工作簿1.xls]Sheet1!$A$18:$B$18</c:f>
              <c:numCache>
                <c:formatCode>General</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202</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年支出决算结构图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98.36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1.64</a:t>
                    </a:r>
                    <a:r>
                      <a:t>%</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[工作簿1.xls]Sheet1!$A$21:$A$23</c:f>
              <c:strCache>
                <c:ptCount val="3"/>
                <c:pt idx="0">
                  <c:v>2022年支出决算结构图</c:v>
                </c:pt>
                <c:pt idx="1">
                  <c:v>基本支出</c:v>
                </c:pt>
                <c:pt idx="2">
                  <c:v>项目支出</c:v>
                </c:pt>
              </c:strCache>
            </c:strRef>
          </c:cat>
          <c:val>
            <c:numRef>
              <c:f>[工作簿1.xls]Sheet1!$B$21:$B$23</c:f>
              <c:numCache>
                <c:formatCode>General</c:formatCode>
                <c:ptCount val="3"/>
                <c:pt idx="1">
                  <c:v>444.03</c:v>
                </c:pt>
                <c:pt idx="2">
                  <c:v>12.08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2022年、2021年财政拨款收入支出决算总计变动情况图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(2).xls]Sheet1'!$A$2:$A$5</c:f>
              <c:strCache>
                <c:ptCount val="4"/>
                <c:pt idx="0">
                  <c:v>2021年收入</c:v>
                </c:pt>
                <c:pt idx="1">
                  <c:v>2022年收入</c:v>
                </c:pt>
                <c:pt idx="2">
                  <c:v>2021年支出</c:v>
                </c:pt>
                <c:pt idx="3">
                  <c:v>2022年支出</c:v>
                </c:pt>
              </c:strCache>
            </c:strRef>
          </c:cat>
          <c:val>
            <c:numRef>
              <c:f>'[新建 XLS 工作表 (2).xls]Sheet1'!$B$2:$B$5</c:f>
              <c:numCache>
                <c:formatCode>General</c:formatCode>
                <c:ptCount val="4"/>
                <c:pt idx="0">
                  <c:v>2375.87</c:v>
                </c:pt>
                <c:pt idx="1">
                  <c:v>2583.14</c:v>
                </c:pt>
                <c:pt idx="2">
                  <c:v>2375.87</c:v>
                </c:pt>
                <c:pt idx="3">
                  <c:v>2583.14</c:v>
                </c:pt>
              </c:numCache>
            </c:numRef>
          </c:val>
        </c:ser>
        <c:dLbls>
          <c:showLegendKey val="0"/>
          <c:showVal val="1"/>
          <c:showCatName val="0"/>
          <c:showSerName val="0"/>
          <c:showPercent val="0"/>
          <c:showBubbleSize val="0"/>
        </c:dLbls>
        <c:gapWidth val="219"/>
        <c:overlap val="-27"/>
        <c:axId val="490221133"/>
        <c:axId val="980941486"/>
      </c:barChart>
      <c:catAx>
        <c:axId val="4902211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941486"/>
        <c:crosses val="autoZero"/>
        <c:auto val="1"/>
        <c:lblAlgn val="ctr"/>
        <c:lblOffset val="100"/>
        <c:noMultiLvlLbl val="0"/>
      </c:catAx>
      <c:valAx>
        <c:axId val="9809414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2211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2022年、2021年一般公共预算财政拨款支出决算变动情况图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(2).xls]Sheet1'!$A$4:$A$5</c:f>
              <c:strCache>
                <c:ptCount val="2"/>
                <c:pt idx="0">
                  <c:v>2021年支出</c:v>
                </c:pt>
                <c:pt idx="1">
                  <c:v>2022年支出</c:v>
                </c:pt>
              </c:strCache>
            </c:strRef>
          </c:cat>
          <c:val>
            <c:numRef>
              <c:f>'[新建 XLS 工作表 (2).xls]Sheet1'!$B$4:$B$5</c:f>
              <c:numCache>
                <c:formatCode>General</c:formatCode>
                <c:ptCount val="2"/>
                <c:pt idx="0">
                  <c:v>2375.87</c:v>
                </c:pt>
                <c:pt idx="1">
                  <c:v>2583.14</c:v>
                </c:pt>
              </c:numCache>
            </c:numRef>
          </c:val>
        </c:ser>
        <c:dLbls>
          <c:showLegendKey val="0"/>
          <c:showVal val="1"/>
          <c:showCatName val="0"/>
          <c:showSerName val="0"/>
          <c:showPercent val="0"/>
          <c:showBubbleSize val="0"/>
        </c:dLbls>
        <c:gapWidth val="219"/>
        <c:overlap val="-27"/>
        <c:axId val="160265870"/>
        <c:axId val="662087959"/>
      </c:barChart>
      <c:catAx>
        <c:axId val="1602658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087959"/>
        <c:crosses val="autoZero"/>
        <c:auto val="1"/>
        <c:lblAlgn val="ctr"/>
        <c:lblOffset val="100"/>
        <c:noMultiLvlLbl val="0"/>
      </c:catAx>
      <c:valAx>
        <c:axId val="662087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2658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202</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年一般公共预算财政拨款支出结构图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[工作簿1.xls]Sheet1!$B$53:$B$54</c:f>
              <c:strCache>
                <c:ptCount val="1"/>
                <c:pt idx="0">
                  <c:v>2021年一般公共预算财政拨款支出结构图 支出</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0577202402583342"/>
                  <c:y val="-0.087255294757723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81.13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7.82</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manualLayout>
                  <c:x val="-0.00200592952684919"/>
                  <c:y val="0.026345361764678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71</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08622859553371"/>
                  <c:y val="0.012505578253145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7.33</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[工作簿1.xls]Sheet1!$A$55:$A$58</c:f>
              <c:strCache>
                <c:ptCount val="4"/>
                <c:pt idx="0">
                  <c:v>教育支出</c:v>
                </c:pt>
                <c:pt idx="1">
                  <c:v>社会保障和就业</c:v>
                </c:pt>
                <c:pt idx="2">
                  <c:v>卫生健康支出</c:v>
                </c:pt>
                <c:pt idx="3">
                  <c:v>住房保障支出</c:v>
                </c:pt>
              </c:strCache>
            </c:strRef>
          </c:cat>
          <c:val>
            <c:numRef>
              <c:f>[工作簿1.xls]Sheet1!$B$55:$B$58</c:f>
              <c:numCache>
                <c:formatCode>General</c:formatCode>
                <c:ptCount val="4"/>
                <c:pt idx="0">
                  <c:v>373</c:v>
                </c:pt>
                <c:pt idx="1">
                  <c:v>36.58</c:v>
                </c:pt>
                <c:pt idx="2">
                  <c:v>15.32</c:v>
                </c:pt>
                <c:pt idx="3">
                  <c:v>31.21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6670</Words>
  <Characters>7350</Characters>
  <Lines>61</Lines>
  <Paragraphs>17</Paragraphs>
  <TotalTime>1164</TotalTime>
  <ScaleCrop>false</ScaleCrop>
  <LinksUpToDate>false</LinksUpToDate>
  <CharactersWithSpaces>7385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余生～更好</cp:lastModifiedBy>
  <cp:lastPrinted>2023-07-31T02:35:00Z</cp:lastPrinted>
  <dcterms:modified xsi:type="dcterms:W3CDTF">2023-08-25T08:40:23Z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4C75AE1416244C30A2636EBA46D35320_12</vt:lpwstr>
  </property>
</Properties>
</file>