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77193"/>
      <w:bookmarkStart w:id="3" w:name="_Toc15378441"/>
      <w:bookmarkStart w:id="4" w:name="_Toc15396597"/>
      <w:bookmarkStart w:id="5" w:name="_Toc153774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194"/>
      <w:bookmarkStart w:id="7" w:name="_Toc15378442"/>
      <w:bookmarkStart w:id="8" w:name="_Toc15396598"/>
      <w:bookmarkStart w:id="9" w:name="_Toc15396476"/>
      <w:bookmarkStart w:id="10" w:name="_Toc15377426"/>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遂宁市安居区分水镇中心幼儿园</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pStyle w:val="2"/>
        <w:jc w:val="center"/>
        <w:rPr>
          <w:rFonts w:hint="eastAsia" w:eastAsia="方正小标宋简体"/>
          <w:sz w:val="36"/>
          <w:szCs w:val="32"/>
          <w:lang w:val="en-US" w:eastAsia="zh-CN"/>
        </w:rPr>
      </w:pPr>
      <w:r>
        <w:rPr>
          <w:rFonts w:hint="eastAsia" w:eastAsia="方正小标宋简体"/>
          <w:sz w:val="36"/>
          <w:szCs w:val="32"/>
          <w:lang w:val="en-US" w:eastAsia="zh-CN"/>
        </w:rPr>
        <w:t>（单位公开范本）</w:t>
      </w: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bookmarkStart w:id="12" w:name="_Toc15377196"/>
      <w:bookmarkStart w:id="13" w:name="_Toc15396599"/>
      <w:r>
        <w:rPr>
          <w:rFonts w:hint="eastAsia" w:ascii="Times New Roman" w:hAnsi="Times New Roman" w:eastAsia="宋体" w:cs="Times New Roman"/>
          <w:color w:val="auto"/>
          <w:kern w:val="2"/>
          <w:sz w:val="24"/>
          <w:szCs w:val="24"/>
          <w:highlight w:val="none"/>
          <w:lang w:val="en-US" w:eastAsia="zh-CN" w:bidi="ar-SA"/>
        </w:rPr>
        <w:t>第一部分 单位概况</w:t>
      </w:r>
      <w:r>
        <w:rPr>
          <w:rFonts w:hint="eastAsia"/>
          <w:color w:val="auto"/>
          <w:sz w:val="24"/>
          <w:highlight w:val="none"/>
          <w:lang w:eastAsia="zh-CN"/>
        </w:rPr>
        <w:t>…………………………………………………………</w:t>
      </w:r>
      <w:r>
        <w:rPr>
          <w:rFonts w:hint="eastAsia"/>
          <w:color w:val="auto"/>
          <w:sz w:val="24"/>
          <w:highlight w:val="none"/>
          <w:lang w:val="en-US" w:eastAsia="zh-CN"/>
        </w:rPr>
        <w:t>4</w:t>
      </w:r>
    </w:p>
    <w:p>
      <w:pPr>
        <w:pStyle w:val="11"/>
        <w:adjustRightInd w:val="0"/>
        <w:snapToGrid w:val="0"/>
        <w:spacing w:line="440" w:lineRule="exact"/>
        <w:jc w:val="left"/>
        <w:rPr>
          <w:rFonts w:hint="eastAsia" w:eastAsia="宋体"/>
          <w:color w:val="auto"/>
          <w:sz w:val="24"/>
          <w:highlight w:val="none"/>
          <w:lang w:eastAsia="zh-CN"/>
        </w:rPr>
      </w:pPr>
      <w:r>
        <w:rPr>
          <w:rFonts w:hint="eastAsia"/>
          <w:color w:val="auto"/>
          <w:sz w:val="24"/>
          <w:highlight w:val="none"/>
        </w:rPr>
        <w:t>一、</w:t>
      </w:r>
      <w:r>
        <w:rPr>
          <w:rFonts w:hint="eastAsia"/>
          <w:color w:val="auto"/>
          <w:sz w:val="24"/>
          <w:highlight w:val="none"/>
          <w:lang w:eastAsia="zh-CN"/>
        </w:rPr>
        <w:t>主要职责</w:t>
      </w:r>
    </w:p>
    <w:p>
      <w:pPr>
        <w:pStyle w:val="11"/>
        <w:adjustRightInd w:val="0"/>
        <w:snapToGrid w:val="0"/>
        <w:spacing w:line="440" w:lineRule="exact"/>
        <w:jc w:val="left"/>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p>
    <w:p>
      <w:pPr>
        <w:pStyle w:val="10"/>
        <w:adjustRightInd w:val="0"/>
        <w:snapToGrid w:val="0"/>
        <w:spacing w:before="0" w:line="440" w:lineRule="exact"/>
        <w:jc w:val="left"/>
        <w:rPr>
          <w:rFonts w:hint="default"/>
          <w:color w:val="auto"/>
          <w:sz w:val="24"/>
          <w:szCs w:val="24"/>
          <w:highlight w:val="none"/>
          <w:lang w:val="en-US"/>
        </w:rPr>
      </w:pPr>
      <w:r>
        <w:rPr>
          <w:rFonts w:hint="eastAsia" w:ascii="Times New Roman" w:hAnsi="Times New Roman" w:eastAsia="宋体" w:cs="Times New Roman"/>
          <w:color w:val="auto"/>
          <w:kern w:val="2"/>
          <w:sz w:val="24"/>
          <w:szCs w:val="24"/>
          <w:highlight w:val="none"/>
          <w:lang w:val="en-US" w:eastAsia="zh-CN" w:bidi="ar-SA"/>
        </w:rPr>
        <w:t>第二部分 2022年度单位决算情况说明</w:t>
      </w:r>
      <w:r>
        <w:rPr>
          <w:rFonts w:hint="eastAsia"/>
          <w:color w:val="auto"/>
          <w:sz w:val="24"/>
          <w:highlight w:val="none"/>
          <w:lang w:eastAsia="zh-CN"/>
        </w:rPr>
        <w:t>…………………………………</w:t>
      </w:r>
      <w:r>
        <w:rPr>
          <w:rFonts w:hint="eastAsia"/>
          <w:color w:val="auto"/>
          <w:sz w:val="24"/>
          <w:highlight w:val="none"/>
          <w:lang w:val="en-US" w:eastAsia="zh-CN"/>
        </w:rPr>
        <w:t xml:space="preserve"> 6</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color w:val="auto"/>
          <w:sz w:val="24"/>
          <w:highlight w:val="none"/>
          <w:lang w:eastAsia="zh-CN"/>
        </w:rPr>
        <w:t>…………………………</w:t>
      </w:r>
      <w:r>
        <w:rPr>
          <w:rFonts w:hint="eastAsia"/>
          <w:color w:val="auto"/>
          <w:sz w:val="24"/>
          <w:highlight w:val="none"/>
          <w:lang w:val="en-US" w:eastAsia="zh-CN"/>
        </w:rPr>
        <w:t xml:space="preserve"> 7</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color w:val="auto"/>
          <w:sz w:val="24"/>
          <w:highlight w:val="none"/>
          <w:lang w:eastAsia="zh-CN"/>
        </w:rPr>
        <w:t>……………………</w:t>
      </w:r>
      <w:r>
        <w:rPr>
          <w:rFonts w:hint="eastAsia"/>
          <w:color w:val="auto"/>
          <w:sz w:val="24"/>
          <w:highlight w:val="none"/>
          <w:lang w:val="en-US" w:eastAsia="zh-CN"/>
        </w:rPr>
        <w:t xml:space="preserve"> 10</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color w:val="auto"/>
          <w:sz w:val="24"/>
          <w:highlight w:val="none"/>
          <w:lang w:eastAsia="zh-CN"/>
        </w:rPr>
        <w:t>………………</w:t>
      </w:r>
      <w:r>
        <w:rPr>
          <w:rFonts w:hint="eastAsia"/>
          <w:color w:val="auto"/>
          <w:sz w:val="24"/>
          <w:highlight w:val="none"/>
          <w:lang w:val="en-US" w:eastAsia="zh-CN"/>
        </w:rPr>
        <w:t xml:space="preserve"> 11</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eastAsia="zh-CN"/>
        </w:rPr>
        <w:t>……………………</w:t>
      </w:r>
      <w:r>
        <w:rPr>
          <w:rFonts w:hint="eastAsia"/>
          <w:color w:val="auto"/>
          <w:sz w:val="24"/>
          <w:highlight w:val="none"/>
          <w:lang w:val="en-US" w:eastAsia="zh-CN"/>
        </w:rPr>
        <w:t xml:space="preserve"> 12</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color w:val="auto"/>
          <w:sz w:val="24"/>
          <w:highlight w:val="none"/>
          <w:lang w:eastAsia="zh-CN"/>
        </w:rPr>
        <w:t>……………………………</w:t>
      </w:r>
      <w:r>
        <w:rPr>
          <w:rFonts w:hint="eastAsia"/>
          <w:color w:val="auto"/>
          <w:sz w:val="24"/>
          <w:highlight w:val="none"/>
          <w:lang w:val="en-US" w:eastAsia="zh-CN"/>
        </w:rPr>
        <w:t xml:space="preserve"> 13</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color w:val="auto"/>
          <w:sz w:val="24"/>
          <w:highlight w:val="none"/>
          <w:lang w:eastAsia="zh-CN"/>
        </w:rPr>
        <w:t>…………………………</w:t>
      </w:r>
      <w:r>
        <w:rPr>
          <w:rFonts w:hint="eastAsia"/>
          <w:color w:val="auto"/>
          <w:sz w:val="24"/>
          <w:highlight w:val="none"/>
          <w:lang w:val="en-US" w:eastAsia="zh-CN"/>
        </w:rPr>
        <w:t xml:space="preserve"> 13</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eastAsia="zh-CN"/>
        </w:rPr>
        <w:t>………………………………………</w:t>
      </w:r>
      <w:r>
        <w:rPr>
          <w:rFonts w:hint="eastAsia"/>
          <w:color w:val="auto"/>
          <w:sz w:val="24"/>
          <w:highlight w:val="none"/>
          <w:lang w:val="en-US" w:eastAsia="zh-CN"/>
        </w:rPr>
        <w:t xml:space="preserve"> 13</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eastAsia="zh-CN"/>
        </w:rPr>
        <w:t>………………………………………………………</w:t>
      </w:r>
      <w:r>
        <w:rPr>
          <w:rFonts w:hint="eastAsia"/>
          <w:color w:val="auto"/>
          <w:sz w:val="24"/>
          <w:highlight w:val="none"/>
          <w:lang w:val="en-US" w:eastAsia="zh-CN"/>
        </w:rPr>
        <w:t xml:space="preserve"> 15</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eastAsia="zh-CN"/>
        </w:rPr>
        <w:t>……………………………………………………………</w:t>
      </w:r>
      <w:r>
        <w:rPr>
          <w:rFonts w:hint="eastAsia"/>
          <w:color w:val="auto"/>
          <w:sz w:val="24"/>
          <w:highlight w:val="none"/>
          <w:lang w:val="en-US" w:eastAsia="zh-CN"/>
        </w:rPr>
        <w:t xml:space="preserve"> 16</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eastAsia="zh-CN"/>
        </w:rPr>
        <w:t>……………………………………………………………</w:t>
      </w:r>
      <w:r>
        <w:rPr>
          <w:rFonts w:hint="eastAsia"/>
          <w:color w:val="auto"/>
          <w:sz w:val="24"/>
          <w:highlight w:val="none"/>
          <w:lang w:val="en-US" w:eastAsia="zh-CN"/>
        </w:rPr>
        <w:t xml:space="preserve"> 21</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ascii="仿宋" w:hAnsi="仿宋" w:eastAsia="仿宋"/>
          <w:color w:val="auto"/>
          <w:sz w:val="24"/>
          <w:highlight w:val="none"/>
        </w:rPr>
        <w:t>)</w:t>
      </w:r>
    </w:p>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widowControl/>
        <w:spacing w:line="440" w:lineRule="exact"/>
        <w:jc w:val="left"/>
        <w:rPr>
          <w:rFonts w:ascii="仿宋" w:hAnsi="仿宋" w:eastAsia="仿宋"/>
          <w:bCs/>
          <w:color w:val="auto"/>
          <w:kern w:val="44"/>
          <w:sz w:val="24"/>
          <w:highlight w:val="none"/>
        </w:rPr>
      </w:pPr>
    </w:p>
    <w:p>
      <w:pPr>
        <w:pStyle w:val="3"/>
        <w:jc w:val="center"/>
        <w:rPr>
          <w:rStyle w:val="24"/>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numPr>
          <w:ilvl w:val="0"/>
          <w:numId w:val="1"/>
        </w:numPr>
        <w:rPr>
          <w:rStyle w:val="25"/>
          <w:rFonts w:hint="eastAsia" w:ascii="黑体" w:hAnsi="黑体" w:eastAsia="黑体"/>
          <w:b w:val="0"/>
          <w:bCs w:val="0"/>
          <w:color w:val="auto"/>
          <w:highlight w:val="none"/>
          <w:lang w:eastAsia="zh-CN"/>
        </w:rPr>
      </w:pPr>
      <w:bookmarkStart w:id="14" w:name="_Toc15377197"/>
      <w:bookmarkStart w:id="15" w:name="_Toc15396600"/>
      <w:r>
        <w:rPr>
          <w:rStyle w:val="25"/>
          <w:rFonts w:hint="eastAsia" w:ascii="黑体" w:hAnsi="黑体" w:eastAsia="黑体"/>
          <w:b w:val="0"/>
          <w:bCs w:val="0"/>
          <w:color w:val="auto"/>
          <w:highlight w:val="none"/>
        </w:rPr>
        <w:t>职</w:t>
      </w:r>
      <w:r>
        <w:rPr>
          <w:rStyle w:val="25"/>
          <w:rFonts w:hint="eastAsia" w:ascii="黑体" w:hAnsi="黑体" w:eastAsia="黑体"/>
          <w:b w:val="0"/>
          <w:bCs w:val="0"/>
          <w:color w:val="auto"/>
          <w:highlight w:val="none"/>
          <w:lang w:val="en-US" w:eastAsia="zh-CN"/>
        </w:rPr>
        <w:t>责</w:t>
      </w:r>
      <w:r>
        <w:rPr>
          <w:rStyle w:val="25"/>
          <w:rFonts w:hint="eastAsia" w:ascii="黑体" w:hAnsi="黑体" w:eastAsia="黑体"/>
          <w:b w:val="0"/>
          <w:bCs w:val="0"/>
          <w:color w:val="auto"/>
          <w:highlight w:val="none"/>
          <w:lang w:eastAsia="zh-CN"/>
        </w:rPr>
        <w:t>简介</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分水幼儿园主要职能是为3-6周岁学龄前儿童提供保育和教育服务，提高前</w:t>
      </w:r>
      <w:r>
        <w:rPr>
          <w:rFonts w:hint="eastAsia" w:ascii="仿宋" w:hAnsi="仿宋" w:eastAsia="仿宋"/>
          <w:bCs/>
          <w:color w:val="000000"/>
          <w:sz w:val="32"/>
          <w:szCs w:val="32"/>
        </w:rPr>
        <w:t>教育</w:t>
      </w:r>
      <w:r>
        <w:rPr>
          <w:rFonts w:hint="eastAsia" w:ascii="仿宋" w:hAnsi="仿宋" w:eastAsia="仿宋"/>
          <w:bCs/>
          <w:color w:val="000000"/>
          <w:sz w:val="32"/>
          <w:szCs w:val="32"/>
          <w:lang w:val="en-US" w:eastAsia="zh-CN"/>
        </w:rPr>
        <w:t>质量</w:t>
      </w:r>
      <w:r>
        <w:rPr>
          <w:rFonts w:hint="eastAsia" w:ascii="仿宋" w:hAnsi="仿宋" w:eastAsia="仿宋"/>
          <w:bCs/>
          <w:color w:val="000000"/>
          <w:sz w:val="32"/>
          <w:szCs w:val="32"/>
        </w:rPr>
        <w:t>，</w:t>
      </w:r>
      <w:r>
        <w:rPr>
          <w:rFonts w:hint="eastAsia" w:ascii="仿宋" w:hAnsi="仿宋" w:eastAsia="仿宋"/>
          <w:bCs/>
          <w:color w:val="000000"/>
          <w:sz w:val="32"/>
          <w:szCs w:val="32"/>
          <w:lang w:val="en-US" w:eastAsia="zh-CN"/>
        </w:rPr>
        <w:t>保证适龄儿童享受到优质的教育资源。</w:t>
      </w:r>
    </w:p>
    <w:p>
      <w:pPr>
        <w:pStyle w:val="2"/>
        <w:adjustRightInd w:val="0"/>
        <w:snapToGrid w:val="0"/>
        <w:spacing w:before="93" w:afterLines="0" w:line="600" w:lineRule="exact"/>
        <w:ind w:firstLine="672" w:firstLineChars="210"/>
        <w:outlineLvl w:val="2"/>
        <w:rPr>
          <w:rFonts w:hint="eastAsia"/>
        </w:rPr>
      </w:pPr>
      <w:r>
        <w:rPr>
          <w:rFonts w:hint="eastAsia" w:ascii="仿宋" w:hAnsi="仿宋" w:eastAsia="仿宋"/>
          <w:sz w:val="32"/>
          <w:szCs w:val="24"/>
          <w:lang w:val="en-US" w:eastAsia="zh-CN"/>
        </w:rPr>
        <w:t>努力</w:t>
      </w:r>
      <w:r>
        <w:rPr>
          <w:rFonts w:hint="eastAsia" w:ascii="仿宋" w:hAnsi="仿宋" w:eastAsia="仿宋"/>
          <w:sz w:val="32"/>
          <w:szCs w:val="24"/>
        </w:rPr>
        <w:t>改善办园条件，优化育人环境。2022年我们投入</w:t>
      </w:r>
      <w:r>
        <w:rPr>
          <w:rFonts w:hint="eastAsia" w:ascii="仿宋" w:hAnsi="仿宋" w:eastAsia="仿宋"/>
          <w:sz w:val="32"/>
          <w:szCs w:val="24"/>
          <w:lang w:val="en-US" w:eastAsia="zh-CN"/>
        </w:rPr>
        <w:t>10</w:t>
      </w:r>
      <w:r>
        <w:rPr>
          <w:rFonts w:hint="eastAsia" w:ascii="仿宋" w:hAnsi="仿宋" w:eastAsia="仿宋"/>
          <w:sz w:val="32"/>
          <w:szCs w:val="24"/>
        </w:rPr>
        <w:t>余万元聘请保育、门卫等后勤保障人员，30多万元</w:t>
      </w:r>
      <w:r>
        <w:rPr>
          <w:rFonts w:hint="eastAsia" w:ascii="仿宋" w:hAnsi="仿宋" w:eastAsia="仿宋"/>
          <w:sz w:val="32"/>
          <w:szCs w:val="24"/>
          <w:lang w:val="en-US" w:eastAsia="zh-CN"/>
        </w:rPr>
        <w:t>对小小操场校门进行了改造省级。</w:t>
      </w:r>
      <w:r>
        <w:rPr>
          <w:rFonts w:hint="eastAsia" w:ascii="仿宋" w:hAnsi="仿宋" w:eastAsia="仿宋"/>
          <w:sz w:val="32"/>
          <w:szCs w:val="24"/>
        </w:rPr>
        <w:t>强化科学管理，确保办园方向。做到了党建为魂、安全为稳、工会为梁、教研为基、学习为本、创建为先。开展丰富活动，创建园本特色。</w:t>
      </w:r>
    </w:p>
    <w:p>
      <w:pPr>
        <w:pStyle w:val="4"/>
        <w:numPr>
          <w:ilvl w:val="0"/>
          <w:numId w:val="0"/>
        </w:numPr>
        <w:rPr>
          <w:rFonts w:hint="default" w:ascii="黑体" w:hAnsi="黑体" w:eastAsia="黑体"/>
          <w:b w:val="0"/>
          <w:color w:val="auto"/>
          <w:highlight w:val="none"/>
          <w:lang w:val="en-US"/>
        </w:rPr>
      </w:pPr>
      <w:r>
        <w:rPr>
          <w:rFonts w:hint="eastAsia" w:ascii="黑体" w:hAnsi="黑体" w:eastAsia="黑体"/>
          <w:b w:val="0"/>
          <w:color w:val="auto"/>
          <w:highlight w:val="none"/>
          <w:lang w:val="en-US" w:eastAsia="zh-CN"/>
        </w:rPr>
        <w:t>二、</w:t>
      </w:r>
      <w:bookmarkEnd w:id="14"/>
      <w:bookmarkEnd w:id="15"/>
      <w:r>
        <w:rPr>
          <w:rFonts w:hint="eastAsia" w:ascii="黑体" w:hAnsi="黑体" w:eastAsia="黑体"/>
          <w:b w:val="0"/>
          <w:color w:val="auto"/>
          <w:highlight w:val="none"/>
          <w:lang w:val="en-US" w:eastAsia="zh-CN"/>
        </w:rPr>
        <w:t>机构设置</w:t>
      </w:r>
    </w:p>
    <w:p>
      <w:pPr>
        <w:widowControl/>
        <w:ind w:firstLine="640" w:firstLineChars="200"/>
        <w:jc w:val="left"/>
        <w:rPr>
          <w:rFonts w:ascii="仿宋" w:hAnsi="仿宋" w:eastAsia="仿宋"/>
          <w:color w:val="auto"/>
          <w:kern w:val="0"/>
          <w:sz w:val="32"/>
          <w:szCs w:val="32"/>
          <w:highlight w:val="none"/>
        </w:rPr>
      </w:pPr>
      <w:r>
        <w:rPr>
          <w:rFonts w:hint="eastAsia" w:ascii="仿宋" w:hAnsi="仿宋" w:eastAsia="仿宋"/>
          <w:bCs/>
          <w:color w:val="000000"/>
          <w:sz w:val="32"/>
          <w:szCs w:val="32"/>
          <w:lang w:val="en-US" w:eastAsia="zh-CN"/>
        </w:rPr>
        <w:t>遂宁市安居区分水镇中心幼儿园为遂宁市安居区教育和体育局下属事业单位，为二级预算单位。</w:t>
      </w: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lang w:val="en-US" w:eastAsia="zh-CN"/>
        </w:rPr>
        <w:t xml:space="preserve"> </w:t>
      </w: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16"/>
      <w:bookmarkEnd w:id="17"/>
    </w:p>
    <w:p>
      <w:pPr>
        <w:rPr>
          <w:color w:val="auto"/>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val="en-US" w:eastAsia="zh-CN"/>
        </w:rPr>
        <w:t>入</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345.04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支出345.04万元</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val="en-US" w:eastAsia="zh-CN"/>
        </w:rPr>
        <w:t>入增加102.85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增加42.5%</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支出增加74.54万元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增长27.56%</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教师基本工资增加五险两金标准增高及项目增加。</w:t>
      </w:r>
    </w:p>
    <w:p>
      <w:pPr>
        <w:pStyle w:val="2"/>
        <w:rPr>
          <w:rFonts w:hint="eastAsia" w:ascii="仿宋" w:hAnsi="仿宋" w:eastAsia="仿宋"/>
          <w:color w:val="auto"/>
          <w:sz w:val="32"/>
          <w:szCs w:val="32"/>
          <w:highlight w:val="none"/>
        </w:rPr>
      </w:pPr>
      <w:r>
        <w:object>
          <v:shape id="_x0000_i1025" o:spt="75" type="#_x0000_t75" style="height:186.8pt;width:425.8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345.04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345.04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spacing w:line="600" w:lineRule="exact"/>
        <w:ind w:firstLine="643" w:firstLineChars="2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28"/>
          <w:szCs w:val="28"/>
          <w:highlight w:val="none"/>
        </w:rPr>
        <w:t>注：数据来源于财决</w:t>
      </w:r>
      <w:r>
        <w:rPr>
          <w:rFonts w:ascii="仿宋" w:hAnsi="仿宋" w:eastAsia="仿宋"/>
          <w:b/>
          <w:color w:val="auto"/>
          <w:sz w:val="28"/>
          <w:szCs w:val="28"/>
          <w:highlight w:val="none"/>
        </w:rPr>
        <w:t>01表</w:t>
      </w:r>
      <w:r>
        <w:rPr>
          <w:rFonts w:hint="eastAsia" w:ascii="仿宋" w:hAnsi="仿宋" w:eastAsia="仿宋"/>
          <w:b/>
          <w:color w:val="auto"/>
          <w:sz w:val="28"/>
          <w:szCs w:val="28"/>
          <w:highlight w:val="none"/>
          <w:lang w:eastAsia="zh-CN"/>
        </w:rPr>
        <w:t>，仅罗列本单位涉及的收入。</w:t>
      </w:r>
      <w:r>
        <w:rPr>
          <w:rFonts w:ascii="仿宋" w:hAnsi="仿宋" w:eastAsia="仿宋"/>
          <w:b/>
          <w:color w:val="auto"/>
          <w:sz w:val="32"/>
          <w:szCs w:val="32"/>
          <w:highlight w:val="none"/>
        </w:rPr>
        <w:t>）</w:t>
      </w:r>
    </w:p>
    <w:p>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000000"/>
          <w:sz w:val="32"/>
          <w:szCs w:val="32"/>
          <w:shd w:val="pct10" w:color="auto" w:fill="FFFFFF"/>
        </w:rPr>
        <w:pict>
          <v:shape id="_x0000_s1028" o:spid="_x0000_s1028" o:spt="75" type="#_x0000_t75" style="position:absolute;left:0pt;margin-left:71.75pt;margin-top:0.85pt;height:184.85pt;width:202.7pt;z-index:251660288;mso-width-relative:page;mso-height-relative:page;" o:ole="t" filled="f" o:preferrelative="t" stroked="f" coordsize="21600,21600">
            <v:path/>
            <v:fill on="f" focussize="0,0"/>
            <v:stroke on="f"/>
            <v:imagedata r:id="rId9" o:title=""/>
            <o:lock v:ext="edit" aspectratio="t"/>
          </v:shape>
          <o:OLEObject Type="Embed" ProgID="Excel.Chart.8" ShapeID="_x0000_s1028" DrawAspect="Content" ObjectID="_1468075726" r:id="rId8">
            <o:LockedField>false</o:LockedField>
          </o:OLEObject>
        </w:pict>
      </w: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345.04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281.62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81.62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63.42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18.38</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无</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无</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无</w:t>
      </w:r>
      <w:r>
        <w:rPr>
          <w:rFonts w:hint="eastAsia" w:ascii="仿宋" w:hAnsi="仿宋" w:eastAsia="仿宋"/>
          <w:color w:val="auto"/>
          <w:sz w:val="32"/>
          <w:szCs w:val="32"/>
          <w:highlight w:val="none"/>
        </w:rPr>
        <w:t>。</w:t>
      </w:r>
    </w:p>
    <w:p>
      <w:pPr>
        <w:spacing w:line="600" w:lineRule="exact"/>
        <w:ind w:firstLine="643" w:firstLineChars="2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，仅罗列本单位涉及的支出。</w:t>
      </w:r>
      <w:r>
        <w:rPr>
          <w:rFonts w:hint="eastAsia" w:ascii="仿宋" w:hAnsi="仿宋" w:eastAsia="仿宋"/>
          <w:b/>
          <w:color w:val="auto"/>
          <w:sz w:val="32"/>
          <w:szCs w:val="32"/>
          <w:highlight w:val="none"/>
        </w:rPr>
        <w:t>）</w:t>
      </w:r>
    </w:p>
    <w:p>
      <w:pPr>
        <w:spacing w:line="600" w:lineRule="exact"/>
        <w:ind w:firstLine="640"/>
        <w:rPr>
          <w:rFonts w:ascii="仿宋" w:hAnsi="仿宋" w:eastAsia="仿宋"/>
          <w:color w:val="auto"/>
          <w:sz w:val="32"/>
          <w:szCs w:val="32"/>
          <w:highlight w:val="none"/>
          <w:shd w:val="pct10" w:color="auto" w:fill="FFFFFF"/>
        </w:rPr>
      </w:pPr>
      <w:r>
        <w:rPr>
          <w:rFonts w:hint="eastAsia" w:ascii="仿宋" w:hAnsi="仿宋" w:eastAsia="仿宋"/>
          <w:color w:val="000000"/>
          <w:sz w:val="32"/>
          <w:szCs w:val="32"/>
          <w:shd w:val="pct10" w:color="auto" w:fill="FFFFFF"/>
        </w:rPr>
        <w:pict>
          <v:shape id="_x0000_s1027" o:spid="_x0000_s1027" o:spt="75" type="#_x0000_t75" style="position:absolute;left:0pt;margin-left:80.75pt;margin-top:7.95pt;height:184.85pt;width:202.7pt;z-index:251659264;mso-width-relative:page;mso-height-relative:page;" o:ole="t" filled="f" o:preferrelative="t" stroked="f" coordsize="21600,21600">
            <v:path/>
            <v:fill on="f" focussize="0,0"/>
            <v:stroke on="f"/>
            <v:imagedata r:id="rId11" o:title=""/>
            <o:lock v:ext="edit" aspectratio="t"/>
          </v:shape>
          <o:OLEObject Type="Embed" ProgID="Excel.Chart.8" ShapeID="_x0000_s1027" DrawAspect="Content" ObjectID="_1468075727" r:id="rId10">
            <o:LockedField>false</o:LockedField>
          </o:OLEObject>
        </w:pict>
      </w:r>
    </w:p>
    <w:p>
      <w:pPr>
        <w:pStyle w:val="2"/>
        <w:rPr>
          <w:rFonts w:ascii="仿宋" w:hAnsi="仿宋" w:eastAsia="仿宋"/>
          <w:color w:val="auto"/>
          <w:sz w:val="32"/>
          <w:szCs w:val="32"/>
          <w:highlight w:val="none"/>
          <w:shd w:val="pct10" w:color="auto" w:fill="FFFFFF"/>
        </w:rPr>
      </w:pPr>
    </w:p>
    <w:p>
      <w:pPr>
        <w:pStyle w:val="2"/>
        <w:rPr>
          <w:rFonts w:ascii="仿宋" w:hAnsi="仿宋" w:eastAsia="仿宋"/>
          <w:color w:val="auto"/>
          <w:sz w:val="32"/>
          <w:szCs w:val="32"/>
          <w:highlight w:val="none"/>
          <w:shd w:val="pct10" w:color="auto" w:fill="FFFFFF"/>
        </w:rPr>
      </w:pPr>
    </w:p>
    <w:p>
      <w:pPr>
        <w:pStyle w:val="2"/>
        <w:rPr>
          <w:rFonts w:ascii="仿宋" w:hAnsi="仿宋" w:eastAsia="仿宋"/>
          <w:color w:val="auto"/>
          <w:sz w:val="32"/>
          <w:szCs w:val="32"/>
          <w:highlight w:val="none"/>
          <w:shd w:val="pct10" w:color="auto" w:fill="FFFFFF"/>
        </w:rPr>
      </w:pPr>
    </w:p>
    <w:p>
      <w:pPr>
        <w:pStyle w:val="2"/>
        <w:rPr>
          <w:rFonts w:ascii="仿宋" w:hAnsi="仿宋" w:eastAsia="仿宋"/>
          <w:color w:val="auto"/>
          <w:sz w:val="32"/>
          <w:szCs w:val="32"/>
          <w:highlight w:val="none"/>
          <w:shd w:val="pct10" w:color="auto" w:fill="FFFFFF"/>
        </w:rPr>
      </w:pPr>
    </w:p>
    <w:p>
      <w:pPr>
        <w:pStyle w:val="2"/>
        <w:rPr>
          <w:rFonts w:ascii="仿宋" w:hAnsi="仿宋" w:eastAsia="仿宋"/>
          <w:color w:val="auto"/>
          <w:sz w:val="32"/>
          <w:szCs w:val="32"/>
          <w:highlight w:val="none"/>
          <w:shd w:val="pct10" w:color="auto" w:fill="FFFFFF"/>
        </w:rPr>
      </w:pP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rPr>
          <w:rFonts w:ascii="仿宋_GB2312" w:eastAsia="仿宋_GB2312"/>
          <w:color w:val="auto"/>
          <w:sz w:val="32"/>
          <w:szCs w:val="32"/>
          <w:highlight w:val="none"/>
        </w:rPr>
      </w:pPr>
    </w:p>
    <w:p>
      <w:pPr>
        <w:numPr>
          <w:ilvl w:val="0"/>
          <w:numId w:val="2"/>
        </w:numPr>
        <w:spacing w:line="600" w:lineRule="exact"/>
        <w:ind w:left="1360" w:leftChars="0" w:hanging="720" w:firstLineChars="0"/>
        <w:outlineLvl w:val="1"/>
        <w:rPr>
          <w:rStyle w:val="25"/>
          <w:rFonts w:hint="eastAsia"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财</w:t>
      </w:r>
      <w:r>
        <w:rPr>
          <w:rStyle w:val="25"/>
          <w:rFonts w:hint="eastAsia" w:ascii="黑体" w:hAnsi="黑体" w:eastAsia="黑体"/>
          <w:b w:val="0"/>
          <w:color w:val="auto"/>
          <w:highlight w:val="none"/>
        </w:rPr>
        <w:t>政拨款收入支出决算总体情况说明</w:t>
      </w:r>
      <w:bookmarkEnd w:id="24"/>
      <w:bookmarkEnd w:id="25"/>
    </w:p>
    <w:p>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w:t>
      </w:r>
      <w:r>
        <w:rPr>
          <w:rFonts w:hint="eastAsia" w:ascii="仿宋" w:hAnsi="仿宋" w:eastAsia="仿宋"/>
          <w:color w:val="auto"/>
          <w:sz w:val="32"/>
          <w:szCs w:val="32"/>
          <w:highlight w:val="none"/>
          <w:lang w:val="en-US" w:eastAsia="zh-CN"/>
        </w:rPr>
        <w:t>入345.04</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w:t>
      </w:r>
      <w:r>
        <w:rPr>
          <w:rFonts w:hint="eastAsia" w:ascii="仿宋" w:hAnsi="仿宋" w:eastAsia="仿宋"/>
          <w:color w:val="auto"/>
          <w:sz w:val="32"/>
          <w:szCs w:val="32"/>
          <w:highlight w:val="none"/>
          <w:lang w:val="en-US" w:eastAsia="zh-CN"/>
        </w:rPr>
        <w:t>入增加102.85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增加42.5</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支出345.04万元，与2021年相比增加74.54万元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增长27.56%。</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教师基本工资增加五险两金标准增高及项目增加。</w:t>
      </w:r>
    </w:p>
    <w:p>
      <w:pPr>
        <w:spacing w:line="600" w:lineRule="exact"/>
        <w:ind w:firstLine="1616" w:firstLineChars="503"/>
        <w:rPr>
          <w:rFonts w:hint="eastAsia" w:ascii="仿宋" w:hAnsi="仿宋" w:eastAsia="仿宋"/>
          <w:b/>
          <w:color w:val="auto"/>
          <w:sz w:val="32"/>
          <w:szCs w:val="32"/>
          <w:highlight w:val="none"/>
        </w:rPr>
      </w:pPr>
    </w:p>
    <w:p>
      <w:pPr>
        <w:spacing w:line="600" w:lineRule="exact"/>
        <w:ind w:firstLine="1616" w:firstLineChars="503"/>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pPr>
        <w:spacing w:line="600" w:lineRule="exact"/>
        <w:rPr>
          <w:rFonts w:ascii="仿宋" w:hAnsi="仿宋" w:eastAsia="仿宋"/>
          <w:color w:val="auto"/>
          <w:sz w:val="32"/>
          <w:szCs w:val="32"/>
          <w:highlight w:val="none"/>
        </w:rPr>
      </w:pPr>
    </w:p>
    <w:p>
      <w:pPr>
        <w:pStyle w:val="2"/>
        <w:rPr>
          <w:rFonts w:hint="eastAsia" w:ascii="仿宋" w:hAnsi="仿宋" w:eastAsia="仿宋"/>
          <w:color w:val="auto"/>
          <w:sz w:val="32"/>
          <w:szCs w:val="32"/>
          <w:highlight w:val="none"/>
        </w:rPr>
      </w:pPr>
      <w:r>
        <w:object>
          <v:shape id="_x0000_i1026" o:spt="75" type="#_x0000_t75" style="height:186.8pt;width:421.2pt;" o:ole="t" filled="f" o:preferrelative="t" stroked="f" coordsize="21600,21600">
            <v:path/>
            <v:fill on="f" focussize="0,0"/>
            <v:stroke on="f"/>
            <v:imagedata r:id="rId13" o:title=""/>
            <o:lock v:ext="edit" aspectratio="t"/>
            <w10:wrap type="none"/>
            <w10:anchorlock/>
          </v:shape>
          <o:OLEObject Type="Embed" ProgID="Excel.Chart.8" ShapeID="_x0000_i1026" DrawAspect="Content" ObjectID="_1468075728" r:id="rId12">
            <o:LockedField>false</o:LockedField>
          </o:OLEObject>
        </w:object>
      </w:r>
    </w:p>
    <w:p>
      <w:pPr>
        <w:spacing w:line="600" w:lineRule="exact"/>
        <w:ind w:firstLine="320" w:firstLineChars="1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345.04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74.54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27.56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项目建设增加、人员经费增加。</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000000"/>
          <w:sz w:val="32"/>
          <w:szCs w:val="32"/>
          <w:lang w:eastAsia="zh-CN"/>
        </w:rPr>
        <w:pict>
          <v:shape id="Object 14" o:spid="_x0000_s1029" o:spt="75" type="#_x0000_t75" style="position:absolute;left:0pt;margin-left:6.5pt;margin-top:29.8pt;height:243.6pt;width:419.5pt;mso-wrap-distance-bottom:0pt;mso-wrap-distance-left:9pt;mso-wrap-distance-right:9pt;mso-wrap-distance-top:0pt;z-index:251661312;mso-width-relative:page;mso-height-relative:page;" o:ole="t" filled="f" o:preferrelative="t" stroked="f" coordsize="21600,21600">
            <v:path/>
            <v:fill on="f" focussize="0,0"/>
            <v:stroke on="f"/>
            <v:imagedata r:id="rId15" o:title=""/>
            <o:lock v:ext="edit" aspectratio="t"/>
            <w10:wrap type="square"/>
          </v:shape>
          <o:OLEObject Type="Embed" ProgID="Excel.Chart.8" ShapeID="Object 14" DrawAspect="Content" ObjectID="_1468075729" r:id="rId14">
            <o:LockedField>false</o:LockedField>
          </o:OLEObject>
        </w:pict>
      </w:r>
    </w:p>
    <w:p>
      <w:pPr>
        <w:spacing w:line="60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（图5：一般公共预算财政拨款支出决算变动情况）（柱状图）</w:t>
      </w:r>
    </w:p>
    <w:p>
      <w:pPr>
        <w:pStyle w:val="2"/>
      </w:pP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345.04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无</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教育支出（类）</w:t>
      </w:r>
      <w:r>
        <w:rPr>
          <w:rFonts w:hint="eastAsia" w:ascii="仿宋" w:hAnsi="仿宋" w:eastAsia="仿宋"/>
          <w:color w:val="auto"/>
          <w:sz w:val="32"/>
          <w:szCs w:val="32"/>
          <w:highlight w:val="none"/>
          <w:lang w:val="en-US" w:eastAsia="zh-CN"/>
        </w:rPr>
        <w:t>297.64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86.26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无</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文化旅游体育与传媒（类）支出</w:t>
      </w:r>
      <w:r>
        <w:rPr>
          <w:rFonts w:hint="eastAsia" w:ascii="仿宋" w:hAnsi="仿宋" w:eastAsia="仿宋"/>
          <w:b/>
          <w:bCs/>
          <w:color w:val="auto"/>
          <w:sz w:val="32"/>
          <w:szCs w:val="32"/>
          <w:highlight w:val="none"/>
          <w:lang w:val="en-US" w:eastAsia="zh-CN"/>
        </w:rPr>
        <w:t>无</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19.21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9.16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2.65</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19.03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全部功能分类科目，至类级。）</w:t>
      </w:r>
    </w:p>
    <w:p>
      <w:pPr>
        <w:pStyle w:val="2"/>
      </w:pPr>
    </w:p>
    <w:p>
      <w:pPr>
        <w:pStyle w:val="2"/>
        <w:jc w:val="center"/>
        <w:rPr>
          <w:rFonts w:hint="eastAsia" w:ascii="仿宋" w:hAnsi="仿宋" w:eastAsia="仿宋"/>
          <w:color w:val="000000"/>
          <w:sz w:val="32"/>
          <w:szCs w:val="32"/>
        </w:rPr>
      </w:pPr>
      <w:r>
        <w:rPr>
          <w:rFonts w:hint="eastAsia" w:ascii="仿宋" w:hAnsi="仿宋" w:eastAsia="仿宋"/>
          <w:color w:val="000000"/>
          <w:sz w:val="32"/>
          <w:szCs w:val="32"/>
        </w:rPr>
        <w:object>
          <v:shape id="_x0000_i1027" o:spt="75" type="#_x0000_t75" style="height:229.45pt;width:348.45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30" r:id="rId16">
            <o:LockedField>false</o:LockedField>
          </o:OLEObject>
        </w:object>
      </w:r>
    </w:p>
    <w:p>
      <w:pPr>
        <w:pStyle w:val="2"/>
        <w:jc w:val="center"/>
        <w:rPr>
          <w:rFonts w:hint="eastAsia" w:ascii="仿宋" w:hAnsi="仿宋" w:eastAsia="仿宋"/>
          <w:color w:val="000000"/>
          <w:sz w:val="32"/>
          <w:szCs w:val="32"/>
        </w:rPr>
      </w:pPr>
    </w:p>
    <w:p>
      <w:pPr>
        <w:spacing w:line="6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7213"/>
      <w:bookmarkStart w:id="32" w:name="_Toc15377444"/>
      <w:bookmarkStart w:id="3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345.04</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31"/>
      <w:bookmarkEnd w:id="32"/>
      <w:bookmarkEnd w:id="33"/>
    </w:p>
    <w:p>
      <w:pPr>
        <w:numPr>
          <w:ilvl w:val="0"/>
          <w:numId w:val="3"/>
        </w:numPr>
        <w:spacing w:line="600" w:lineRule="exact"/>
        <w:ind w:firstLine="643" w:firstLineChars="200"/>
        <w:rPr>
          <w:rStyle w:val="14"/>
          <w:rFonts w:hint="eastAsia" w:ascii="仿宋" w:hAnsi="仿宋" w:eastAsia="仿宋"/>
          <w:bCs/>
          <w:color w:val="auto"/>
          <w:sz w:val="32"/>
          <w:szCs w:val="32"/>
          <w:highlight w:val="none"/>
          <w:lang w:val="en-US" w:eastAsia="zh-CN"/>
        </w:rPr>
      </w:pPr>
      <w:r>
        <w:rPr>
          <w:rStyle w:val="14"/>
          <w:rFonts w:hint="eastAsia" w:ascii="仿宋" w:hAnsi="仿宋" w:eastAsia="仿宋"/>
          <w:bCs/>
          <w:color w:val="auto"/>
          <w:sz w:val="32"/>
          <w:szCs w:val="32"/>
          <w:highlight w:val="none"/>
        </w:rPr>
        <w:t>一般公共服务</w:t>
      </w:r>
      <w:r>
        <w:rPr>
          <w:rStyle w:val="14"/>
          <w:rFonts w:hint="eastAsia" w:ascii="仿宋" w:hAnsi="仿宋" w:eastAsia="仿宋"/>
          <w:bCs/>
          <w:color w:val="auto"/>
          <w:sz w:val="32"/>
          <w:szCs w:val="32"/>
          <w:highlight w:val="none"/>
          <w:lang w:val="en-US" w:eastAsia="zh-CN"/>
        </w:rPr>
        <w:t>支出无</w:t>
      </w:r>
    </w:p>
    <w:p>
      <w:pPr>
        <w:numPr>
          <w:ilvl w:val="0"/>
          <w:numId w:val="0"/>
        </w:num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2.</w:t>
      </w:r>
      <w:r>
        <w:rPr>
          <w:rStyle w:val="14"/>
          <w:rFonts w:hint="eastAsia" w:ascii="仿宋" w:hAnsi="仿宋" w:eastAsia="仿宋"/>
          <w:b w:val="0"/>
          <w:bCs/>
          <w:color w:val="auto"/>
          <w:sz w:val="32"/>
          <w:szCs w:val="32"/>
          <w:highlight w:val="none"/>
          <w:lang w:val="en-US" w:eastAsia="zh-CN"/>
        </w:rPr>
        <w:t>学前教育、其他普通教育支出、其他教育附加安排的支出</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297.64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w:t>
      </w:r>
    </w:p>
    <w:p>
      <w:pPr>
        <w:spacing w:line="600" w:lineRule="exact"/>
        <w:ind w:firstLine="643" w:firstLineChars="200"/>
        <w:rPr>
          <w:rStyle w:val="14"/>
          <w:rFonts w:hint="eastAsia" w:ascii="仿宋" w:hAnsi="仿宋" w:eastAsia="仿宋"/>
          <w:bCs/>
          <w:color w:val="auto"/>
          <w:sz w:val="32"/>
          <w:szCs w:val="32"/>
          <w:highlight w:val="none"/>
          <w:lang w:val="en-US" w:eastAsia="zh-CN"/>
        </w:rPr>
      </w:pPr>
      <w:r>
        <w:rPr>
          <w:rStyle w:val="14"/>
          <w:rFonts w:ascii="仿宋" w:hAnsi="仿宋" w:eastAsia="仿宋"/>
          <w:bCs/>
          <w:color w:val="auto"/>
          <w:sz w:val="32"/>
          <w:szCs w:val="32"/>
          <w:highlight w:val="none"/>
        </w:rPr>
        <w:t>3.</w:t>
      </w:r>
      <w:r>
        <w:rPr>
          <w:rStyle w:val="14"/>
          <w:rFonts w:hint="eastAsia" w:ascii="仿宋" w:hAnsi="仿宋" w:eastAsia="仿宋"/>
          <w:bCs/>
          <w:color w:val="auto"/>
          <w:sz w:val="32"/>
          <w:szCs w:val="32"/>
          <w:highlight w:val="none"/>
        </w:rPr>
        <w:t>科学技术</w:t>
      </w:r>
      <w:r>
        <w:rPr>
          <w:rStyle w:val="14"/>
          <w:rFonts w:hint="eastAsia" w:ascii="仿宋" w:hAnsi="仿宋" w:eastAsia="仿宋"/>
          <w:bCs/>
          <w:color w:val="auto"/>
          <w:sz w:val="32"/>
          <w:szCs w:val="32"/>
          <w:highlight w:val="none"/>
          <w:lang w:val="en-US" w:eastAsia="zh-CN"/>
        </w:rPr>
        <w:t>支出无</w:t>
      </w:r>
    </w:p>
    <w:p>
      <w:pPr>
        <w:spacing w:line="600" w:lineRule="exact"/>
        <w:ind w:firstLine="643" w:firstLineChars="200"/>
        <w:rPr>
          <w:rStyle w:val="14"/>
          <w:rFonts w:hint="eastAsia" w:ascii="仿宋" w:hAnsi="仿宋" w:eastAsia="仿宋"/>
          <w:bCs/>
          <w:color w:val="auto"/>
          <w:sz w:val="32"/>
          <w:szCs w:val="32"/>
          <w:highlight w:val="none"/>
          <w:lang w:val="en-US" w:eastAsia="zh-CN"/>
        </w:rPr>
      </w:pPr>
      <w:r>
        <w:rPr>
          <w:rStyle w:val="14"/>
          <w:rFonts w:ascii="仿宋" w:hAnsi="仿宋" w:eastAsia="仿宋"/>
          <w:bCs/>
          <w:color w:val="auto"/>
          <w:sz w:val="32"/>
          <w:szCs w:val="32"/>
          <w:highlight w:val="none"/>
        </w:rPr>
        <w:t>4.</w:t>
      </w:r>
      <w:r>
        <w:rPr>
          <w:rStyle w:val="14"/>
          <w:rFonts w:hint="eastAsia" w:ascii="仿宋" w:hAnsi="仿宋" w:eastAsia="仿宋"/>
          <w:bCs/>
          <w:color w:val="auto"/>
          <w:sz w:val="32"/>
          <w:szCs w:val="32"/>
          <w:highlight w:val="none"/>
        </w:rPr>
        <w:t>文化旅游体育与传媒</w:t>
      </w:r>
      <w:r>
        <w:rPr>
          <w:rStyle w:val="14"/>
          <w:rFonts w:hint="eastAsia" w:ascii="仿宋" w:hAnsi="仿宋" w:eastAsia="仿宋"/>
          <w:bCs/>
          <w:color w:val="auto"/>
          <w:sz w:val="32"/>
          <w:szCs w:val="32"/>
          <w:highlight w:val="none"/>
          <w:lang w:val="en-US" w:eastAsia="zh-CN"/>
        </w:rPr>
        <w:t>支出无</w:t>
      </w:r>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5.</w:t>
      </w:r>
      <w:r>
        <w:rPr>
          <w:rStyle w:val="14"/>
          <w:rFonts w:hint="eastAsia" w:ascii="仿宋" w:hAnsi="仿宋" w:eastAsia="仿宋"/>
          <w:bCs/>
          <w:color w:val="auto"/>
          <w:sz w:val="32"/>
          <w:szCs w:val="32"/>
          <w:highlight w:val="none"/>
        </w:rPr>
        <w:t>机关事业单位基本养老保险缴费支出</w:t>
      </w:r>
      <w:r>
        <w:rPr>
          <w:rStyle w:val="14"/>
          <w:rFonts w:hint="eastAsia" w:ascii="仿宋" w:hAnsi="仿宋" w:eastAsia="仿宋"/>
          <w:bCs/>
          <w:color w:val="auto"/>
          <w:sz w:val="32"/>
          <w:szCs w:val="32"/>
          <w:highlight w:val="none"/>
          <w:lang w:eastAsia="zh-CN"/>
        </w:rPr>
        <w:t>、</w:t>
      </w:r>
      <w:r>
        <w:rPr>
          <w:rStyle w:val="14"/>
          <w:rFonts w:hint="eastAsia" w:ascii="仿宋" w:hAnsi="仿宋" w:eastAsia="仿宋"/>
          <w:bCs/>
          <w:color w:val="auto"/>
          <w:sz w:val="32"/>
          <w:szCs w:val="32"/>
          <w:highlight w:val="none"/>
        </w:rPr>
        <w:t>其他社会保障和就业支出</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19.21</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6.</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事业单位医疗</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9.16</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hint="default" w:ascii="仿宋" w:hAnsi="仿宋" w:eastAsia="仿宋" w:cstheme="minorBidi"/>
          <w:b w:val="0"/>
          <w:bCs/>
          <w:color w:val="auto"/>
          <w:sz w:val="32"/>
          <w:szCs w:val="32"/>
          <w:highlight w:val="none"/>
          <w:lang w:val="en-US" w:eastAsia="zh-CN"/>
        </w:rPr>
      </w:pPr>
      <w:r>
        <w:rPr>
          <w:rFonts w:hint="eastAsia" w:ascii="仿宋" w:hAnsi="仿宋" w:eastAsia="仿宋"/>
          <w:b/>
          <w:bCs/>
          <w:color w:val="000000"/>
          <w:sz w:val="32"/>
          <w:szCs w:val="32"/>
          <w:lang w:val="en-US" w:eastAsia="zh-CN"/>
        </w:rPr>
        <w:t>7.</w:t>
      </w:r>
      <w:r>
        <w:rPr>
          <w:rFonts w:hint="eastAsia" w:ascii="仿宋" w:hAnsi="仿宋" w:eastAsia="仿宋"/>
          <w:b/>
          <w:bCs/>
          <w:color w:val="000000"/>
          <w:sz w:val="32"/>
          <w:szCs w:val="32"/>
        </w:rPr>
        <w:t>住房保障</w:t>
      </w:r>
      <w:r>
        <w:rPr>
          <w:rFonts w:hint="eastAsia" w:ascii="仿宋" w:hAnsi="仿宋" w:eastAsia="仿宋"/>
          <w:b/>
          <w:bCs/>
          <w:color w:val="000000"/>
          <w:sz w:val="32"/>
          <w:szCs w:val="32"/>
          <w:lang w:val="en-US" w:eastAsia="zh-CN"/>
        </w:rPr>
        <w:t>住房公积金：</w:t>
      </w:r>
      <w:bookmarkStart w:id="54" w:name="_GoBack"/>
      <w:bookmarkEnd w:id="54"/>
      <w:r>
        <w:rPr>
          <w:rStyle w:val="14"/>
          <w:rFonts w:hint="eastAsia" w:ascii="仿宋" w:hAnsi="仿宋" w:eastAsia="仿宋" w:cstheme="minorBidi"/>
          <w:b w:val="0"/>
          <w:bCs/>
          <w:color w:val="auto"/>
          <w:sz w:val="32"/>
          <w:szCs w:val="32"/>
          <w:highlight w:val="none"/>
          <w:lang w:val="en-US" w:eastAsia="zh-CN"/>
        </w:rPr>
        <w:t>支出决算为19.03万元，完成预算100%.</w:t>
      </w:r>
    </w:p>
    <w:p>
      <w:pPr>
        <w:spacing w:line="600" w:lineRule="exact"/>
        <w:ind w:firstLine="643" w:firstLineChars="20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至项级。上述“预算”口径为调整预算数。增减变动原因为决算数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和调整预算数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比较，与预算数持平可以不写原因。）</w:t>
      </w: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34"/>
      <w:bookmarkEnd w:id="35"/>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345.04</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232.29</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49.34</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pPr>
        <w:spacing w:line="600" w:lineRule="exact"/>
        <w:ind w:firstLine="640"/>
        <w:rPr>
          <w:rFonts w:ascii="仿宋" w:hAnsi="仿宋" w:eastAsia="仿宋"/>
          <w:b/>
          <w:color w:val="auto"/>
          <w:sz w:val="32"/>
          <w:szCs w:val="32"/>
          <w:highlight w:val="none"/>
        </w:rPr>
      </w:pPr>
    </w:p>
    <w:p>
      <w:pPr>
        <w:pStyle w:val="2"/>
        <w:rPr>
          <w:rFonts w:ascii="仿宋" w:hAnsi="仿宋" w:eastAsia="仿宋"/>
          <w:b/>
          <w:color w:val="auto"/>
          <w:sz w:val="32"/>
          <w:szCs w:val="32"/>
          <w:highlight w:val="none"/>
        </w:rPr>
      </w:pPr>
    </w:p>
    <w:p>
      <w:pPr>
        <w:pStyle w:val="2"/>
        <w:rPr>
          <w:rFonts w:ascii="仿宋" w:hAnsi="仿宋" w:eastAsia="仿宋"/>
          <w:b/>
          <w:color w:val="auto"/>
          <w:sz w:val="32"/>
          <w:szCs w:val="32"/>
          <w:highlight w:val="none"/>
        </w:rPr>
      </w:pPr>
    </w:p>
    <w:p>
      <w:pPr>
        <w:pStyle w:val="2"/>
        <w:rPr>
          <w:rFonts w:ascii="仿宋" w:hAnsi="仿宋" w:eastAsia="仿宋"/>
          <w:b/>
          <w:color w:val="auto"/>
          <w:sz w:val="32"/>
          <w:szCs w:val="32"/>
          <w:highlight w:val="none"/>
        </w:rPr>
      </w:pPr>
    </w:p>
    <w:p>
      <w:pPr>
        <w:pStyle w:val="2"/>
        <w:rPr>
          <w:rFonts w:ascii="仿宋" w:hAnsi="仿宋" w:eastAsia="仿宋"/>
          <w:b/>
          <w:color w:val="auto"/>
          <w:sz w:val="32"/>
          <w:szCs w:val="32"/>
          <w:highlight w:val="none"/>
        </w:rPr>
      </w:pPr>
    </w:p>
    <w:p>
      <w:pPr>
        <w:spacing w:line="600" w:lineRule="exact"/>
        <w:ind w:firstLine="640"/>
        <w:outlineLvl w:val="1"/>
        <w:rPr>
          <w:rStyle w:val="25"/>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无</w:t>
      </w:r>
      <w:r>
        <w:rPr>
          <w:rFonts w:hint="eastAsia" w:ascii="仿宋" w:hAnsi="仿宋" w:eastAsia="仿宋"/>
          <w:color w:val="auto"/>
          <w:sz w:val="32"/>
          <w:szCs w:val="32"/>
          <w:highlight w:val="none"/>
        </w:rPr>
        <w:t>“三公”经费财政拨款支出</w:t>
      </w:r>
      <w:r>
        <w:rPr>
          <w:rFonts w:hint="eastAsia" w:ascii="仿宋" w:hAnsi="仿宋" w:eastAsia="仿宋"/>
          <w:color w:val="auto"/>
          <w:sz w:val="32"/>
          <w:szCs w:val="32"/>
          <w:highlight w:val="none"/>
          <w:lang w:eastAsia="zh-CN"/>
        </w:rPr>
        <w:t>。</w:t>
      </w:r>
    </w:p>
    <w:p>
      <w:pPr>
        <w:spacing w:line="600" w:lineRule="exact"/>
        <w:ind w:firstLine="640"/>
        <w:outlineLvl w:val="1"/>
        <w:rPr>
          <w:rFonts w:ascii="黑体" w:eastAsia="黑体"/>
          <w:color w:val="auto"/>
          <w:sz w:val="32"/>
          <w:szCs w:val="32"/>
          <w:highlight w:val="none"/>
        </w:rPr>
      </w:pPr>
      <w:bookmarkStart w:id="39" w:name="_Toc15396610"/>
      <w:bookmarkStart w:id="40" w:name="_Toc15377218"/>
    </w:p>
    <w:p>
      <w:pPr>
        <w:spacing w:line="600" w:lineRule="exact"/>
        <w:ind w:firstLine="640"/>
        <w:outlineLvl w:val="1"/>
        <w:rPr>
          <w:rStyle w:val="25"/>
          <w:rFonts w:ascii="黑体" w:hAnsi="黑体" w:eastAsia="黑体"/>
          <w:color w:val="auto"/>
          <w:highlight w:val="none"/>
        </w:rPr>
      </w:pPr>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39"/>
      <w:bookmarkEnd w:id="40"/>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p>
    <w:p>
      <w:pPr>
        <w:spacing w:line="600" w:lineRule="exact"/>
        <w:ind w:firstLine="640"/>
        <w:rPr>
          <w:rFonts w:ascii="仿宋_GB2312" w:eastAsia="仿宋_GB2312"/>
          <w:color w:val="auto"/>
          <w:sz w:val="32"/>
          <w:szCs w:val="32"/>
          <w:highlight w:val="none"/>
        </w:rPr>
      </w:pPr>
    </w:p>
    <w:p>
      <w:pPr>
        <w:numPr>
          <w:ilvl w:val="0"/>
          <w:numId w:val="4"/>
        </w:numPr>
        <w:spacing w:line="600" w:lineRule="exact"/>
        <w:ind w:firstLine="640"/>
        <w:outlineLvl w:val="1"/>
        <w:rPr>
          <w:rStyle w:val="25"/>
          <w:rFonts w:ascii="黑体" w:hAnsi="黑体" w:eastAsia="黑体"/>
          <w:b w:val="0"/>
          <w:color w:val="auto"/>
          <w:highlight w:val="none"/>
        </w:rPr>
      </w:pPr>
      <w:bookmarkStart w:id="41" w:name="_Toc15377219"/>
      <w:bookmarkStart w:id="42" w:name="_Toc15396611"/>
      <w:r>
        <w:rPr>
          <w:rStyle w:val="25"/>
          <w:rFonts w:hint="eastAsia" w:ascii="黑体" w:hAnsi="黑体" w:eastAsia="黑体"/>
          <w:b w:val="0"/>
          <w:color w:val="auto"/>
          <w:highlight w:val="none"/>
        </w:rPr>
        <w:t>国有资本经营预算支出决算情况说明</w:t>
      </w:r>
      <w:bookmarkEnd w:id="41"/>
      <w:bookmarkEnd w:id="42"/>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4"/>
        </w:numPr>
        <w:spacing w:line="600" w:lineRule="exact"/>
        <w:ind w:firstLine="640"/>
        <w:outlineLvl w:val="1"/>
        <w:rPr>
          <w:rStyle w:val="25"/>
          <w:rFonts w:hint="eastAsia" w:ascii="黑体" w:hAnsi="黑体" w:eastAsia="黑体"/>
          <w:b w:val="0"/>
          <w:color w:val="auto"/>
          <w:highlight w:val="none"/>
        </w:rPr>
      </w:pPr>
      <w:bookmarkStart w:id="43" w:name="_Toc15396612"/>
      <w:bookmarkStart w:id="44" w:name="_Toc15377221"/>
      <w:r>
        <w:rPr>
          <w:rStyle w:val="25"/>
          <w:rFonts w:hint="eastAsia" w:ascii="黑体" w:hAnsi="黑体" w:eastAsia="黑体"/>
          <w:b w:val="0"/>
          <w:color w:val="auto"/>
          <w:highlight w:val="none"/>
        </w:rPr>
        <w:t>其他重要事项的情况说明</w:t>
      </w:r>
      <w:bookmarkEnd w:id="43"/>
      <w:bookmarkEnd w:id="44"/>
    </w:p>
    <w:p>
      <w:pPr>
        <w:spacing w:line="600" w:lineRule="exact"/>
        <w:ind w:firstLine="643" w:firstLineChars="200"/>
        <w:outlineLvl w:val="2"/>
        <w:rPr>
          <w:rFonts w:ascii="仿宋" w:hAnsi="仿宋" w:eastAsia="仿宋"/>
          <w:color w:val="auto"/>
          <w:sz w:val="32"/>
          <w:szCs w:val="32"/>
          <w:highlight w:val="none"/>
        </w:rPr>
      </w:pPr>
      <w:bookmarkStart w:id="45" w:name="_Toc15377222"/>
      <w:r>
        <w:rPr>
          <w:rFonts w:hint="eastAsia" w:ascii="仿宋" w:hAnsi="仿宋" w:eastAsia="仿宋"/>
          <w:b/>
          <w:color w:val="auto"/>
          <w:sz w:val="32"/>
          <w:szCs w:val="32"/>
          <w:highlight w:val="none"/>
        </w:rPr>
        <w:t>（一）机关运行经费支出情况</w:t>
      </w:r>
      <w:bookmarkEnd w:id="45"/>
    </w:p>
    <w:p>
      <w:pPr>
        <w:spacing w:line="600" w:lineRule="exact"/>
        <w:ind w:firstLine="643" w:firstLineChars="200"/>
        <w:rPr>
          <w:rFonts w:hint="eastAsia" w:ascii="仿宋" w:hAnsi="仿宋" w:eastAsia="仿宋"/>
          <w:b/>
          <w:color w:val="auto"/>
          <w:sz w:val="32"/>
          <w:szCs w:val="32"/>
          <w:lang w:eastAsia="zh-CN"/>
        </w:rPr>
      </w:pPr>
      <w:r>
        <w:rPr>
          <w:rFonts w:hint="eastAsia" w:ascii="仿宋" w:hAnsi="仿宋" w:eastAsia="仿宋"/>
          <w:b/>
          <w:color w:val="auto"/>
          <w:sz w:val="32"/>
          <w:szCs w:val="32"/>
        </w:rPr>
        <w:t>本单位为事业单位，无机关运行经费支出</w:t>
      </w:r>
      <w:r>
        <w:rPr>
          <w:rFonts w:hint="eastAsia" w:ascii="仿宋" w:hAnsi="仿宋" w:eastAsia="仿宋"/>
          <w:b/>
          <w:color w:val="auto"/>
          <w:sz w:val="32"/>
          <w:szCs w:val="32"/>
          <w:lang w:eastAsia="zh-CN"/>
        </w:rPr>
        <w:t>。</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6" w:name="_Toc15377223"/>
      <w:r>
        <w:rPr>
          <w:rFonts w:hint="eastAsia" w:ascii="仿宋" w:hAnsi="仿宋" w:eastAsia="仿宋"/>
          <w:b/>
          <w:color w:val="auto"/>
          <w:sz w:val="32"/>
          <w:szCs w:val="32"/>
          <w:highlight w:val="none"/>
        </w:rPr>
        <w:t>（二）政府采购支出情况</w:t>
      </w:r>
      <w:bookmarkEnd w:id="4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政府采购支出。</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4"/>
      <w:r>
        <w:rPr>
          <w:rFonts w:hint="eastAsia" w:ascii="仿宋" w:hAnsi="仿宋" w:eastAsia="仿宋"/>
          <w:b/>
          <w:color w:val="auto"/>
          <w:sz w:val="32"/>
          <w:szCs w:val="32"/>
          <w:highlight w:val="none"/>
        </w:rPr>
        <w:t>（三）国有资产占有使用情况</w:t>
      </w:r>
      <w:bookmarkEnd w:id="47"/>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无</w:t>
      </w:r>
    </w:p>
    <w:p>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决算报表填报数据罗列车辆情况。）</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76" w:lineRule="exact"/>
        <w:ind w:firstLine="643"/>
        <w:jc w:val="both"/>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根据预算绩效管理要求，本单位在20</w:t>
      </w:r>
      <w:r>
        <w:rPr>
          <w:rFonts w:hint="eastAsia" w:ascii="仿宋_GB2312" w:hAnsi="仿宋_GB2312" w:eastAsia="仿宋_GB2312"/>
          <w:color w:val="auto"/>
          <w:kern w:val="2"/>
          <w:sz w:val="32"/>
          <w:szCs w:val="24"/>
          <w:lang w:val="en-US" w:eastAsia="zh-CN"/>
        </w:rPr>
        <w:t>22</w:t>
      </w:r>
      <w:r>
        <w:rPr>
          <w:rFonts w:hint="eastAsia" w:ascii="仿宋_GB2312" w:hAnsi="仿宋_GB2312" w:eastAsia="仿宋_GB2312"/>
          <w:color w:val="auto"/>
          <w:kern w:val="2"/>
          <w:sz w:val="32"/>
          <w:szCs w:val="24"/>
          <w:lang w:val="en-US"/>
        </w:rPr>
        <w:t>年度预算编制阶段，组织对51090421R000000028492-工资性支出-事业项目等</w:t>
      </w:r>
      <w:r>
        <w:rPr>
          <w:rFonts w:hint="eastAsia" w:ascii="仿宋_GB2312" w:hAnsi="仿宋_GB2312" w:eastAsia="仿宋_GB2312"/>
          <w:color w:val="auto"/>
          <w:kern w:val="2"/>
          <w:sz w:val="32"/>
          <w:szCs w:val="24"/>
          <w:lang w:val="en-US" w:eastAsia="zh-CN"/>
        </w:rPr>
        <w:t>14</w:t>
      </w:r>
      <w:r>
        <w:rPr>
          <w:rFonts w:hint="eastAsia" w:ascii="仿宋_GB2312" w:hAnsi="仿宋_GB2312" w:eastAsia="仿宋_GB2312"/>
          <w:color w:val="auto"/>
          <w:kern w:val="2"/>
          <w:sz w:val="32"/>
          <w:szCs w:val="24"/>
          <w:lang w:val="en-US"/>
        </w:rPr>
        <w:t>个项目开展了预算事前绩效评估，对</w:t>
      </w:r>
      <w:r>
        <w:rPr>
          <w:rFonts w:hint="eastAsia" w:ascii="仿宋_GB2312" w:hAnsi="仿宋_GB2312" w:eastAsia="仿宋_GB2312"/>
          <w:color w:val="auto"/>
          <w:kern w:val="2"/>
          <w:sz w:val="32"/>
          <w:szCs w:val="24"/>
          <w:lang w:val="en-US" w:eastAsia="zh-CN"/>
        </w:rPr>
        <w:t>14</w:t>
      </w:r>
      <w:r>
        <w:rPr>
          <w:rFonts w:hint="eastAsia" w:ascii="仿宋_GB2312" w:hAnsi="仿宋_GB2312" w:eastAsia="仿宋_GB2312"/>
          <w:color w:val="auto"/>
          <w:kern w:val="2"/>
          <w:sz w:val="32"/>
          <w:szCs w:val="24"/>
          <w:lang w:val="en-US"/>
        </w:rPr>
        <w:t>个项目编制了绩效目标，预算执行过程中，选取</w:t>
      </w:r>
      <w:r>
        <w:rPr>
          <w:rFonts w:hint="eastAsia" w:ascii="仿宋_GB2312" w:hAnsi="仿宋_GB2312" w:eastAsia="仿宋_GB2312"/>
          <w:color w:val="auto"/>
          <w:kern w:val="2"/>
          <w:sz w:val="32"/>
          <w:szCs w:val="24"/>
          <w:lang w:val="en-US" w:eastAsia="zh-CN"/>
        </w:rPr>
        <w:t>5</w:t>
      </w:r>
      <w:r>
        <w:rPr>
          <w:rFonts w:hint="eastAsia" w:ascii="仿宋_GB2312" w:hAnsi="仿宋_GB2312" w:eastAsia="仿宋_GB2312"/>
          <w:color w:val="auto"/>
          <w:kern w:val="2"/>
          <w:sz w:val="32"/>
          <w:szCs w:val="24"/>
          <w:lang w:val="en-US"/>
        </w:rPr>
        <w:t>个项目开展绩效监控，组织对</w:t>
      </w:r>
      <w:r>
        <w:rPr>
          <w:rFonts w:hint="eastAsia" w:ascii="仿宋_GB2312" w:hAnsi="仿宋_GB2312" w:eastAsia="仿宋_GB2312"/>
          <w:color w:val="auto"/>
          <w:kern w:val="2"/>
          <w:sz w:val="32"/>
          <w:szCs w:val="24"/>
          <w:lang w:val="en-US" w:eastAsia="zh-CN"/>
        </w:rPr>
        <w:t>5</w:t>
      </w:r>
      <w:r>
        <w:rPr>
          <w:rFonts w:hint="eastAsia" w:ascii="仿宋_GB2312" w:hAnsi="仿宋_GB2312" w:eastAsia="仿宋_GB2312"/>
          <w:color w:val="auto"/>
          <w:kern w:val="2"/>
          <w:sz w:val="32"/>
          <w:szCs w:val="24"/>
          <w:lang w:val="en-US"/>
        </w:rPr>
        <w:t>个项目开展绩效自评，绩效自评表详见第四部分附件。</w:t>
      </w: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5"/>
        </w:numPr>
        <w:spacing w:line="600" w:lineRule="exact"/>
        <w:ind w:firstLine="660" w:firstLineChars="150"/>
        <w:jc w:val="center"/>
        <w:outlineLvl w:val="0"/>
        <w:rPr>
          <w:rStyle w:val="24"/>
          <w:rFonts w:ascii="黑体" w:hAnsi="黑体" w:eastAsia="黑体"/>
          <w:b w:val="0"/>
          <w:color w:val="auto"/>
          <w:highlight w:val="none"/>
        </w:rPr>
      </w:pPr>
      <w:bookmarkStart w:id="48" w:name="_Toc15396613"/>
      <w:bookmarkStart w:id="49" w:name="_Toc1537722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48"/>
      <w:bookmarkEnd w:id="49"/>
    </w:p>
    <w:p>
      <w:pPr>
        <w:spacing w:line="600" w:lineRule="exact"/>
        <w:jc w:val="left"/>
        <w:rPr>
          <w:rFonts w:ascii="宋体"/>
          <w:b/>
          <w:color w:val="auto"/>
          <w:sz w:val="44"/>
          <w:szCs w:val="44"/>
          <w:highlight w:val="none"/>
        </w:rPr>
      </w:pP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教育（</w:t>
      </w:r>
      <w:r>
        <w:rPr>
          <w:rFonts w:hint="eastAsia" w:ascii="仿宋_GB2312" w:eastAsia="仿宋_GB2312"/>
          <w:color w:val="auto"/>
          <w:sz w:val="32"/>
          <w:szCs w:val="32"/>
          <w:highlight w:val="none"/>
          <w:lang w:val="en-US" w:eastAsia="zh-CN"/>
        </w:rPr>
        <w:t>205</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普通教育</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学前教育支出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反应用于学前教育的工资、绩效、津补贴、工会经费、福利费、资助、公用经费、保教费、迁建项目设施设备采购、教师周转房改扩建及设备采购安装等支出。</w:t>
      </w:r>
    </w:p>
    <w:p>
      <w:pPr>
        <w:pStyle w:val="2"/>
        <w:ind w:firstLine="640" w:firstLineChars="200"/>
        <w:rPr>
          <w:rFonts w:hint="default" w:ascii="仿宋_GB2312" w:hAnsi="Times New Roman" w:eastAsia="仿宋_GB2312"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3</w:t>
      </w:r>
      <w:r>
        <w:rPr>
          <w:rFonts w:hint="eastAsia" w:ascii="仿宋_GB2312" w:hAnsi="Times New Roman" w:eastAsia="仿宋_GB2312" w:cs="Times New Roman"/>
          <w:color w:val="auto"/>
          <w:kern w:val="2"/>
          <w:sz w:val="32"/>
          <w:szCs w:val="32"/>
          <w:highlight w:val="none"/>
          <w:lang w:val="en-US" w:eastAsia="zh-CN" w:bidi="ar-SA"/>
        </w:rPr>
        <w:t>.教育(205类) 普通教育(02款)其他普通教育支出(99项) :反映用于学前教育的绩效、津补贴、保教费及校舍新建的2021年追加支出。</w:t>
      </w:r>
    </w:p>
    <w:p>
      <w:pPr>
        <w:ind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hAnsi="Times New Roman" w:eastAsia="仿宋_GB2312" w:cs="Times New Roman"/>
          <w:color w:val="auto"/>
          <w:kern w:val="2"/>
          <w:sz w:val="32"/>
          <w:szCs w:val="32"/>
          <w:highlight w:val="none"/>
          <w:lang w:val="en-US" w:eastAsia="zh-CN" w:bidi="ar-SA"/>
        </w:rPr>
        <w:t>教育(205类) 教育费附加安排的支出(09款)其他教育费附加安排的支出(99项) :反映用于迁建项目建设的债券资金支出。</w:t>
      </w:r>
    </w:p>
    <w:p>
      <w:pPr>
        <w:pStyle w:val="2"/>
        <w:ind w:firstLine="640" w:firstLineChars="200"/>
        <w:rPr>
          <w:rFonts w:ascii="仿宋_GB2312" w:hAnsi="Times New Roman" w:eastAsia="仿宋_GB2312"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5</w:t>
      </w:r>
      <w:r>
        <w:rPr>
          <w:rFonts w:ascii="仿宋_GB2312" w:hAnsi="Times New Roman" w:eastAsia="仿宋_GB2312" w:cs="Times New Roman"/>
          <w:color w:val="auto"/>
          <w:kern w:val="2"/>
          <w:sz w:val="32"/>
          <w:szCs w:val="32"/>
          <w:highlight w:val="none"/>
          <w:lang w:val="en-US" w:eastAsia="zh-CN" w:bidi="ar-SA"/>
        </w:rPr>
        <w:t>.社会保障和就业(208类) 行政事业单位养老支出(05款) 机关事业单位基本养老保险费支出(05项) :反映用于本单位职工基本养老保险单位缴费支出。</w:t>
      </w:r>
      <w:r>
        <w:rPr>
          <w:rFonts w:ascii="仿宋_GB2312" w:hAnsi="Times New Roman" w:eastAsia="仿宋_GB2312" w:cs="Times New Roman"/>
          <w:color w:val="auto"/>
          <w:kern w:val="2"/>
          <w:sz w:val="32"/>
          <w:szCs w:val="32"/>
          <w:highlight w:val="none"/>
          <w:lang w:val="en-US" w:eastAsia="zh-CN" w:bidi="ar-SA"/>
        </w:rPr>
        <w:br w:type="textWrapping"/>
      </w:r>
      <w:r>
        <w:rPr>
          <w:rFonts w:hint="eastAsia" w:cs="Times New Roman"/>
          <w:color w:val="auto"/>
          <w:kern w:val="2"/>
          <w:sz w:val="32"/>
          <w:szCs w:val="32"/>
          <w:highlight w:val="none"/>
          <w:lang w:val="en-US" w:eastAsia="zh-CN" w:bidi="ar-SA"/>
        </w:rPr>
        <w:t xml:space="preserve">   6</w:t>
      </w:r>
      <w:r>
        <w:rPr>
          <w:rFonts w:ascii="仿宋_GB2312" w:hAnsi="Times New Roman" w:eastAsia="仿宋_GB2312" w:cs="Times New Roman"/>
          <w:color w:val="auto"/>
          <w:kern w:val="2"/>
          <w:sz w:val="32"/>
          <w:szCs w:val="32"/>
          <w:highlight w:val="none"/>
          <w:lang w:val="en-US" w:eastAsia="zh-CN" w:bidi="ar-SA"/>
        </w:rPr>
        <w:t>.社会保障和就业(208类) 其他社会保障和就业支出(99款) 其他社会保障和就业支出(99项) :反映用于本单位职工工伤及失业保险单位缴费支出。</w:t>
      </w:r>
    </w:p>
    <w:p>
      <w:pPr>
        <w:pStyle w:val="2"/>
        <w:ind w:firstLine="640" w:firstLineChars="200"/>
        <w:rPr>
          <w:rFonts w:hint="default" w:ascii="仿宋_GB2312" w:hAnsi="Times New Roman" w:eastAsia="仿宋_GB2312"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7</w:t>
      </w:r>
      <w:r>
        <w:rPr>
          <w:rFonts w:ascii="仿宋_GB2312" w:hAnsi="Times New Roman" w:eastAsia="仿宋_GB2312" w:cs="Times New Roman"/>
          <w:color w:val="auto"/>
          <w:kern w:val="2"/>
          <w:sz w:val="32"/>
          <w:szCs w:val="32"/>
          <w:highlight w:val="none"/>
          <w:lang w:val="en-US" w:eastAsia="zh-CN" w:bidi="ar-SA"/>
        </w:rPr>
        <w:t>.卫生健康(210类) 行政事业单位医疗(11款)事业单位医疗(02项) :反映用于本单位职工基本医疗保险及住院补充医疗保险单位缴费支出。</w:t>
      </w:r>
      <w:r>
        <w:rPr>
          <w:rFonts w:ascii="仿宋_GB2312" w:hAnsi="Times New Roman" w:eastAsia="仿宋_GB2312" w:cs="Times New Roman"/>
          <w:color w:val="auto"/>
          <w:kern w:val="2"/>
          <w:sz w:val="32"/>
          <w:szCs w:val="32"/>
          <w:highlight w:val="none"/>
          <w:lang w:val="en-US" w:eastAsia="zh-CN" w:bidi="ar-SA"/>
        </w:rPr>
        <w:br w:type="textWrapping"/>
      </w:r>
      <w:r>
        <w:rPr>
          <w:rFonts w:hint="eastAsia" w:cs="Times New Roman"/>
          <w:color w:val="auto"/>
          <w:kern w:val="2"/>
          <w:sz w:val="32"/>
          <w:szCs w:val="32"/>
          <w:highlight w:val="none"/>
          <w:lang w:val="en-US" w:eastAsia="zh-CN" w:bidi="ar-SA"/>
        </w:rPr>
        <w:t xml:space="preserve">   8.住房保障（221类）住房改革支出（02）款住房公积金（01）项：反应用于本单位职工住房公积金单位缴费支出。</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基本支出：指为保障机构正常运转、完成热场工作任务而发生的人员支出和公用支出。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项目支出：指在基本支出之外为完成特定行政任务和事业发展目标所发生的支出。</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不涉及的科目请自行删除。</w:t>
      </w:r>
      <w:r>
        <w:rPr>
          <w:rFonts w:hint="eastAsia" w:ascii="仿宋" w:hAnsi="仿宋" w:eastAsia="仿宋"/>
          <w:b/>
          <w:color w:val="auto"/>
          <w:sz w:val="32"/>
          <w:szCs w:val="32"/>
          <w:highlight w:val="none"/>
        </w:rPr>
        <w:t>请参照《</w:t>
      </w:r>
      <w:r>
        <w:rPr>
          <w:rFonts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年政府收支分类科目》增减内容。）</w:t>
      </w:r>
    </w:p>
    <w:p>
      <w:pPr>
        <w:spacing w:line="600" w:lineRule="exact"/>
        <w:jc w:val="center"/>
        <w:outlineLvl w:val="0"/>
        <w:rPr>
          <w:rStyle w:val="24"/>
          <w:rFonts w:ascii="黑体" w:hAnsi="黑体" w:eastAsia="黑体"/>
          <w:b w:val="0"/>
          <w:color w:val="auto"/>
          <w:highlight w:val="none"/>
        </w:rPr>
      </w:pPr>
      <w:bookmarkStart w:id="50" w:name="_Toc15377226"/>
      <w:r>
        <w:rPr>
          <w:rFonts w:ascii="宋体"/>
          <w:b/>
          <w:color w:val="auto"/>
          <w:sz w:val="44"/>
          <w:szCs w:val="44"/>
          <w:highlight w:val="none"/>
        </w:rPr>
        <w:br w:type="page"/>
      </w:r>
      <w:bookmarkStart w:id="51"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51"/>
    </w:p>
    <w:tbl>
      <w:tblPr>
        <w:tblStyle w:val="12"/>
        <w:tblpPr w:leftFromText="180" w:rightFromText="180" w:vertAnchor="text" w:horzAnchor="page" w:tblpXSpec="center" w:tblpY="1604"/>
        <w:tblOverlap w:val="never"/>
        <w:tblW w:w="47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56"/>
        <w:gridCol w:w="894"/>
        <w:gridCol w:w="1093"/>
        <w:gridCol w:w="399"/>
        <w:gridCol w:w="782"/>
        <w:gridCol w:w="396"/>
        <w:gridCol w:w="847"/>
        <w:gridCol w:w="576"/>
        <w:gridCol w:w="396"/>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51090421R000000028492-工资性支出-事业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遂宁市安居区分水镇中心幼儿园部门</w:t>
            </w:r>
          </w:p>
        </w:tc>
        <w:tc>
          <w:tcPr>
            <w:tcW w:w="51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严格执行相关政策保障工资及时、足额发放，科学合理编制预算减少结余。</w:t>
            </w:r>
          </w:p>
        </w:tc>
        <w:tc>
          <w:tcPr>
            <w:tcW w:w="1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黑体" w:hAnsi="黑体" w:eastAsia="黑体" w:cs="Times New Roman"/>
                <w:color w:val="000000"/>
                <w:kern w:val="2"/>
                <w:sz w:val="15"/>
                <w:szCs w:val="24"/>
                <w:lang w:val="en-US" w:eastAsia="zh-CN" w:bidi="ar-SA"/>
              </w:rPr>
            </w:pPr>
            <w:r>
              <w:rPr>
                <w:rFonts w:hint="eastAsia" w:ascii="黑体" w:hAnsi="黑体" w:eastAsia="黑体"/>
                <w:color w:val="000000"/>
                <w:sz w:val="15"/>
                <w:szCs w:val="24"/>
                <w:lang w:val="en-US" w:eastAsia="zh-CN"/>
              </w:rPr>
              <w:t>依照相关政策，每月保障工资及时足额发放，效果好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每月足额及时发放教师工资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120.11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184.88</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184.88</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lang w:val="en-US"/>
              </w:rPr>
            </w:pPr>
            <w:r>
              <w:rPr>
                <w:rFonts w:hint="eastAsia" w:ascii="黑体" w:hAnsi="黑体" w:eastAsia="黑体" w:cs="黑体"/>
                <w:i/>
                <w:iCs/>
                <w:color w:val="000000"/>
                <w:kern w:val="0"/>
                <w:sz w:val="18"/>
                <w:szCs w:val="18"/>
                <w:u w:val="none"/>
                <w:lang w:val="en-US" w:eastAsia="zh-CN" w:bidi="ar"/>
              </w:rPr>
              <w:t>因工资调整增加预算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120.11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184.88</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184.88</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3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i/>
                <w:color w:val="000000"/>
                <w:sz w:val="13"/>
                <w:szCs w:val="24"/>
                <w:lang w:val="en-US" w:eastAsia="zh-CN"/>
              </w:rPr>
              <w:t>依照相关政策，每月保障养老保险足额申报交纳，预算编制科学合理，减少结余资金，效果好。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项目负责人：奉冬梅</w:t>
            </w:r>
          </w:p>
        </w:tc>
        <w:tc>
          <w:tcPr>
            <w:tcW w:w="26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财务负责人：奉冬梅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5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0" w:type="pct"/>
            <w:tcBorders>
              <w:top w:val="nil"/>
              <w:left w:val="nil"/>
              <w:bottom w:val="nil"/>
              <w:right w:val="nil"/>
            </w:tcBorders>
            <w:shd w:val="clear" w:color="auto" w:fill="auto"/>
            <w:vAlign w:val="center"/>
          </w:tcPr>
          <w:p>
            <w:pPr>
              <w:rPr>
                <w:rFonts w:hint="eastAsia"/>
              </w:rPr>
            </w:pPr>
          </w:p>
          <w:p>
            <w:pPr>
              <w:pStyle w:val="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51090421R000000028508-单位缴费-养老保险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遂宁市安居区分水镇中心幼儿园部门</w:t>
            </w:r>
          </w:p>
        </w:tc>
        <w:tc>
          <w:tcPr>
            <w:tcW w:w="51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w:t>
            </w:r>
            <w:r>
              <w:rPr>
                <w:rFonts w:hint="eastAsia" w:ascii="宋体" w:hAnsi="宋体" w:eastAsia="宋体" w:cs="宋体"/>
                <w:i w:val="0"/>
                <w:iCs w:val="0"/>
                <w:color w:val="000000"/>
                <w:kern w:val="0"/>
                <w:sz w:val="18"/>
                <w:szCs w:val="18"/>
                <w:u w:val="none"/>
                <w:lang w:val="en-US" w:eastAsia="zh-CN" w:bidi="ar"/>
              </w:rPr>
              <w:t>施单位 （盖章）</w:t>
            </w:r>
          </w:p>
        </w:tc>
        <w:tc>
          <w:tcPr>
            <w:tcW w:w="13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1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严格执行相关政策，保障</w:t>
            </w:r>
            <w:r>
              <w:rPr>
                <w:rFonts w:hint="eastAsia" w:ascii="宋体" w:hAnsi="宋体" w:cs="宋体"/>
                <w:i w:val="0"/>
                <w:iCs w:val="0"/>
                <w:color w:val="000000"/>
                <w:kern w:val="0"/>
                <w:sz w:val="16"/>
                <w:szCs w:val="16"/>
                <w:u w:val="none"/>
                <w:lang w:val="en-US" w:eastAsia="zh-CN" w:bidi="ar"/>
              </w:rPr>
              <w:t>养老保险足额缴纳</w:t>
            </w:r>
            <w:r>
              <w:rPr>
                <w:rFonts w:ascii="宋体" w:hAnsi="宋体" w:eastAsia="宋体" w:cs="宋体"/>
                <w:i w:val="0"/>
                <w:iCs w:val="0"/>
                <w:color w:val="000000"/>
                <w:kern w:val="0"/>
                <w:sz w:val="16"/>
                <w:szCs w:val="16"/>
                <w:u w:val="none"/>
                <w:lang w:val="en-US" w:eastAsia="zh-CN" w:bidi="ar"/>
              </w:rPr>
              <w:t>，预算编制科学合理，减少结余资金</w:t>
            </w:r>
          </w:p>
        </w:tc>
        <w:tc>
          <w:tcPr>
            <w:tcW w:w="1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i w:val="0"/>
                <w:iCs w:val="0"/>
                <w:color w:val="000000"/>
                <w:sz w:val="16"/>
                <w:szCs w:val="16"/>
                <w:u w:val="none"/>
              </w:rPr>
            </w:pPr>
            <w:r>
              <w:rPr>
                <w:rFonts w:hint="eastAsia" w:ascii="黑体" w:hAnsi="黑体" w:eastAsia="黑体"/>
                <w:color w:val="000000"/>
                <w:sz w:val="13"/>
                <w:szCs w:val="22"/>
                <w:lang w:val="en-US" w:eastAsia="zh-CN"/>
              </w:rPr>
              <w:t>依照相关政策，每月保障养老保险足额申报交纳，预算编制科学合理，减少结余资金，效果好。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0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每月按时足额缴纳养老保险确保教师权益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18.32</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18.32</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3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依据政策每月按时申报养老保险并及时足额缴纳确保教师权益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项目负责人：奉冬梅</w:t>
            </w:r>
          </w:p>
        </w:tc>
        <w:tc>
          <w:tcPr>
            <w:tcW w:w="26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财务负责人：奉冬梅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5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51090421R000000028512-单位缴费-事业医保（含生育和大额补充医保）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遂宁市安居区分水镇中心幼儿园部门</w:t>
            </w:r>
          </w:p>
        </w:tc>
        <w:tc>
          <w:tcPr>
            <w:tcW w:w="51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1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严格执行相关政策，保障</w:t>
            </w:r>
            <w:r>
              <w:rPr>
                <w:rFonts w:hint="eastAsia" w:ascii="宋体" w:hAnsi="宋体" w:cs="宋体"/>
                <w:i w:val="0"/>
                <w:iCs w:val="0"/>
                <w:color w:val="000000"/>
                <w:kern w:val="0"/>
                <w:sz w:val="15"/>
                <w:szCs w:val="15"/>
                <w:u w:val="none"/>
                <w:lang w:val="en-US" w:eastAsia="zh-CN" w:bidi="ar"/>
              </w:rPr>
              <w:t>医疗保险足额缴纳</w:t>
            </w:r>
            <w:r>
              <w:rPr>
                <w:rFonts w:ascii="宋体" w:hAnsi="宋体" w:eastAsia="宋体" w:cs="宋体"/>
                <w:i w:val="0"/>
                <w:iCs w:val="0"/>
                <w:color w:val="000000"/>
                <w:kern w:val="0"/>
                <w:sz w:val="15"/>
                <w:szCs w:val="15"/>
                <w:u w:val="none"/>
                <w:lang w:val="en-US" w:eastAsia="zh-CN" w:bidi="ar"/>
              </w:rPr>
              <w:t>预算编制科学合理，减少结余资金</w:t>
            </w:r>
          </w:p>
        </w:tc>
        <w:tc>
          <w:tcPr>
            <w:tcW w:w="1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依照相关政策，每月保障医疗保险足额申报交纳，预算编制科学合理，减少结余资金，效果好。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40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3"/>
                <w:szCs w:val="13"/>
                <w:u w:val="none"/>
                <w:lang w:val="en-US" w:eastAsia="zh-CN" w:bidi="ar-SA"/>
              </w:rPr>
            </w:pPr>
            <w:r>
              <w:rPr>
                <w:rFonts w:hint="eastAsia" w:ascii="宋体" w:hAnsi="宋体" w:cs="宋体"/>
                <w:i w:val="0"/>
                <w:iCs w:val="0"/>
                <w:color w:val="000000"/>
                <w:sz w:val="13"/>
                <w:szCs w:val="13"/>
                <w:u w:val="none"/>
                <w:lang w:val="en-US" w:eastAsia="zh-CN"/>
              </w:rPr>
              <w:t>每月按时足额缴纳医疗保险确保教师权益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9.40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8.86</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8.86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6"/>
                <w:szCs w:val="16"/>
                <w:u w:val="none"/>
                <w:lang w:val="en-US" w:eastAsia="zh-CN"/>
              </w:rPr>
            </w:pPr>
            <w:r>
              <w:rPr>
                <w:rFonts w:hint="eastAsia" w:ascii="黑体" w:hAnsi="黑体" w:eastAsia="黑体" w:cs="黑体"/>
                <w:i/>
                <w:iCs/>
                <w:color w:val="000000"/>
                <w:sz w:val="16"/>
                <w:szCs w:val="16"/>
                <w:u w:val="none"/>
                <w:lang w:val="en-US" w:eastAsia="zh-CN"/>
              </w:rPr>
              <w:t>缴费基数调整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9.40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8.86</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8.86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足额保障率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科目调整次数</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按时发放率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经济效益指标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结余率（计算方法为：结余数/预算数）</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3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依据政策每月按时申报医疗保险并及时足额缴纳确保教师权益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项目负责人：奉冬梅</w:t>
            </w:r>
          </w:p>
        </w:tc>
        <w:tc>
          <w:tcPr>
            <w:tcW w:w="26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财务负责人：奉冬梅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5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51090421R000000028518-单位缴费-住院补充医保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遂宁市安居区分水镇中心幼儿园部门</w:t>
            </w:r>
          </w:p>
        </w:tc>
        <w:tc>
          <w:tcPr>
            <w:tcW w:w="51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w:t>
            </w:r>
            <w:r>
              <w:rPr>
                <w:rFonts w:hint="eastAsia" w:ascii="宋体" w:hAnsi="宋体" w:cs="宋体"/>
                <w:i w:val="0"/>
                <w:iCs w:val="0"/>
                <w:color w:val="000000"/>
                <w:kern w:val="0"/>
                <w:sz w:val="18"/>
                <w:szCs w:val="18"/>
                <w:u w:val="none"/>
                <w:lang w:val="en-US" w:eastAsia="zh-CN" w:bidi="ar"/>
              </w:rPr>
              <w:t>住院补充医疗一次性足额缴纳</w:t>
            </w:r>
            <w:r>
              <w:rPr>
                <w:rFonts w:ascii="宋体" w:hAnsi="宋体" w:eastAsia="宋体" w:cs="宋体"/>
                <w:i w:val="0"/>
                <w:iCs w:val="0"/>
                <w:color w:val="000000"/>
                <w:kern w:val="0"/>
                <w:sz w:val="18"/>
                <w:szCs w:val="18"/>
                <w:u w:val="none"/>
                <w:lang w:val="en-US" w:eastAsia="zh-CN" w:bidi="ar"/>
              </w:rPr>
              <w:t>，预算编制科学合理，减少结余资金</w:t>
            </w:r>
          </w:p>
        </w:tc>
        <w:tc>
          <w:tcPr>
            <w:tcW w:w="1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保障住院补充医保年初一次性足额缴纳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年初时及时足额缴纳住院补充医保保障教师权益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足额保障率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科目调整次数</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按时发放率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经济效益指标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结余率（计算方法为：结余数/预算数）</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3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依据政策年初及时足额缴纳住院补充保险确保教师权益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项目负责人：奉冬梅</w:t>
            </w:r>
          </w:p>
        </w:tc>
        <w:tc>
          <w:tcPr>
            <w:tcW w:w="26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财务负责人：奉冬梅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5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51090421R000000028524-单位缴费-住房公积金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遂宁市安居区分水镇中心幼儿园部门</w:t>
            </w:r>
          </w:p>
        </w:tc>
        <w:tc>
          <w:tcPr>
            <w:tcW w:w="51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w:t>
            </w:r>
            <w:r>
              <w:rPr>
                <w:rFonts w:hint="eastAsia" w:ascii="宋体" w:hAnsi="宋体" w:cs="宋体"/>
                <w:i w:val="0"/>
                <w:iCs w:val="0"/>
                <w:color w:val="000000"/>
                <w:kern w:val="0"/>
                <w:sz w:val="18"/>
                <w:szCs w:val="18"/>
                <w:u w:val="none"/>
                <w:lang w:val="en-US" w:eastAsia="zh-CN" w:bidi="ar"/>
              </w:rPr>
              <w:t>住房公积金没有</w:t>
            </w:r>
            <w:r>
              <w:rPr>
                <w:rFonts w:ascii="宋体" w:hAnsi="宋体" w:eastAsia="宋体" w:cs="宋体"/>
                <w:i w:val="0"/>
                <w:iCs w:val="0"/>
                <w:color w:val="000000"/>
                <w:kern w:val="0"/>
                <w:sz w:val="18"/>
                <w:szCs w:val="18"/>
                <w:u w:val="none"/>
                <w:lang w:val="en-US" w:eastAsia="zh-CN" w:bidi="ar"/>
              </w:rPr>
              <w:t>足额</w:t>
            </w:r>
            <w:r>
              <w:rPr>
                <w:rFonts w:hint="eastAsia" w:ascii="宋体" w:hAnsi="宋体" w:cs="宋体"/>
                <w:i w:val="0"/>
                <w:iCs w:val="0"/>
                <w:color w:val="000000"/>
                <w:kern w:val="0"/>
                <w:sz w:val="18"/>
                <w:szCs w:val="18"/>
                <w:u w:val="none"/>
                <w:lang w:val="en-US" w:eastAsia="zh-CN" w:bidi="ar"/>
              </w:rPr>
              <w:t>缴纳</w:t>
            </w:r>
            <w:r>
              <w:rPr>
                <w:rFonts w:ascii="宋体" w:hAnsi="宋体" w:eastAsia="宋体" w:cs="宋体"/>
                <w:i w:val="0"/>
                <w:iCs w:val="0"/>
                <w:color w:val="000000"/>
                <w:kern w:val="0"/>
                <w:sz w:val="18"/>
                <w:szCs w:val="18"/>
                <w:u w:val="none"/>
                <w:lang w:val="en-US" w:eastAsia="zh-CN" w:bidi="ar"/>
              </w:rPr>
              <w:t>，预算编制科学合理，减少结余资金</w:t>
            </w:r>
          </w:p>
        </w:tc>
        <w:tc>
          <w:tcPr>
            <w:tcW w:w="1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5"/>
                <w:szCs w:val="15"/>
                <w:u w:val="none"/>
                <w:lang w:val="en-US" w:eastAsia="zh-CN" w:bidi="ar"/>
              </w:rPr>
              <w:t>依</w:t>
            </w:r>
            <w:r>
              <w:rPr>
                <w:rFonts w:hint="eastAsia" w:ascii="宋体" w:hAnsi="宋体" w:eastAsia="宋体" w:cs="宋体"/>
                <w:i w:val="0"/>
                <w:iCs w:val="0"/>
                <w:color w:val="000000"/>
                <w:kern w:val="0"/>
                <w:sz w:val="15"/>
                <w:szCs w:val="15"/>
                <w:u w:val="none"/>
                <w:lang w:val="en-US" w:eastAsia="zh-CN" w:bidi="ar"/>
              </w:rPr>
              <w:t>照相关政策，每月保</w:t>
            </w:r>
            <w:r>
              <w:rPr>
                <w:rFonts w:hint="eastAsia" w:ascii="宋体" w:hAnsi="宋体" w:cs="宋体"/>
                <w:i w:val="0"/>
                <w:iCs w:val="0"/>
                <w:color w:val="000000"/>
                <w:kern w:val="0"/>
                <w:sz w:val="15"/>
                <w:szCs w:val="15"/>
                <w:u w:val="none"/>
                <w:lang w:val="en-US" w:eastAsia="zh-CN" w:bidi="ar"/>
              </w:rPr>
              <w:t>足额及时缴纳公积金，</w:t>
            </w:r>
            <w:r>
              <w:rPr>
                <w:rFonts w:hint="eastAsia" w:ascii="宋体" w:hAnsi="宋体" w:eastAsia="宋体" w:cs="宋体"/>
                <w:i w:val="0"/>
                <w:iCs w:val="0"/>
                <w:color w:val="000000"/>
                <w:kern w:val="0"/>
                <w:sz w:val="15"/>
                <w:szCs w:val="15"/>
                <w:u w:val="none"/>
                <w:lang w:val="en-US" w:eastAsia="zh-CN" w:bidi="ar"/>
              </w:rPr>
              <w:t>预算编制科学合理，减少结余资金，效果好。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每月足额及时缴纳公积金保障教师权益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19.03</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19.03</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科目调整次数</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足额保障率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按时发放率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经济效益指标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结余率（计算方法为：结余数/预算数）</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63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依据政策每月及时申报足额缴纳住房公积金确保教师权益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项目负责人：奉冬梅</w:t>
            </w:r>
          </w:p>
        </w:tc>
        <w:tc>
          <w:tcPr>
            <w:tcW w:w="26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财务负责人：奉冬梅</w:t>
            </w:r>
          </w:p>
        </w:tc>
      </w:tr>
    </w:tbl>
    <w:p>
      <w:pPr>
        <w:spacing w:line="600" w:lineRule="exact"/>
        <w:jc w:val="center"/>
        <w:outlineLvl w:val="0"/>
        <w:rPr>
          <w:rFonts w:hint="eastAsia" w:ascii="仿宋" w:hAnsi="仿宋" w:eastAsia="仿宋"/>
          <w:b w:val="0"/>
          <w:color w:val="auto"/>
          <w:highlight w:val="none"/>
        </w:rPr>
      </w:pPr>
      <w:bookmarkStart w:id="52" w:name="_Toc15396618"/>
      <w:r>
        <w:rPr>
          <w:rStyle w:val="24"/>
          <w:rFonts w:hint="eastAsia" w:ascii="黑体" w:hAnsi="黑体" w:eastAsia="黑体"/>
          <w:b w:val="0"/>
          <w:color w:val="auto"/>
          <w:highlight w:val="none"/>
        </w:rPr>
        <w:t>五部分 附表</w:t>
      </w:r>
      <w:bookmarkEnd w:id="50"/>
      <w:bookmarkEnd w:id="52"/>
      <w:bookmarkStart w:id="53" w:name="_Toc15396619"/>
    </w:p>
    <w:bookmarkEnd w:id="53"/>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一、收入支出决算总表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二、收入决算表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三、支出决算表</w:t>
      </w:r>
    </w:p>
    <w:p>
      <w:pPr>
        <w:pStyle w:val="4"/>
        <w:keepNext/>
        <w:keepLines/>
        <w:spacing w:before="260" w:after="260" w:line="408" w:lineRule="auto"/>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四、财政拨款收入支出决算总表</w:t>
      </w:r>
    </w:p>
    <w:p>
      <w:pPr>
        <w:pStyle w:val="4"/>
        <w:keepNext/>
        <w:keepLines/>
        <w:spacing w:before="260" w:after="260" w:line="408" w:lineRule="auto"/>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五、财政拨款支出决算明细表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六、一般公共预算财政拨款支出决算表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七、一般公共预算财政拨款支出决算明细表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八、一般公共预算财政拨款基本支出决算表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九、一般公共预算财政拨款项目支出决算表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十、政府性基金预算财政拨款收入支出决算表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十一、国有资本经营预算财政拨款收入支出决算表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十二、国有资本经营预算财政拨款支出决算表</w:t>
      </w:r>
    </w:p>
    <w:p>
      <w:pPr>
        <w:pStyle w:val="4"/>
        <w:keepNext/>
        <w:keepLines/>
        <w:spacing w:before="260" w:after="260" w:line="408" w:lineRule="auto"/>
        <w:jc w:val="both"/>
        <w:rPr>
          <w:rFonts w:hint="eastAsia" w:ascii="华文中宋" w:hAnsi="华文中宋" w:eastAsia="华文中宋"/>
          <w:color w:val="auto"/>
          <w:kern w:val="2"/>
          <w:sz w:val="36"/>
          <w:szCs w:val="24"/>
          <w:lang w:val="en-US"/>
        </w:rPr>
      </w:pPr>
      <w:r>
        <w:rPr>
          <w:rFonts w:hint="eastAsia" w:ascii="仿宋" w:hAnsi="仿宋" w:eastAsia="仿宋"/>
          <w:color w:val="auto"/>
          <w:kern w:val="2"/>
          <w:sz w:val="32"/>
          <w:szCs w:val="24"/>
          <w:lang w:val="en-US"/>
        </w:rPr>
        <w:t>十三、财政拨款“三公”经费支出决算表</w:t>
      </w:r>
    </w:p>
    <w:p>
      <w:pPr>
        <w:rPr>
          <w:rFonts w:hint="eastAsia" w:eastAsia="仿宋"/>
          <w:color w:val="auto"/>
          <w:highlight w:val="none"/>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85730"/>
    <w:multiLevelType w:val="singleLevel"/>
    <w:tmpl w:val="ACB85730"/>
    <w:lvl w:ilvl="0" w:tentative="0">
      <w:start w:val="1"/>
      <w:numFmt w:val="chineseCounting"/>
      <w:suff w:val="nothing"/>
      <w:lvlText w:val="%1、"/>
      <w:lvlJc w:val="left"/>
      <w:rPr>
        <w:rFonts w:hint="eastAsia"/>
      </w:rPr>
    </w:lvl>
  </w:abstractNum>
  <w:abstractNum w:abstractNumId="1">
    <w:nsid w:val="B9CF14B7"/>
    <w:multiLevelType w:val="singleLevel"/>
    <w:tmpl w:val="B9CF14B7"/>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YjZlODQ2NzI2ZTVkZWExZjA0MTFmYjg1OGU5Z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A13781"/>
    <w:rsid w:val="10C055FF"/>
    <w:rsid w:val="118107EC"/>
    <w:rsid w:val="11DD6519"/>
    <w:rsid w:val="16BB723D"/>
    <w:rsid w:val="18015F3F"/>
    <w:rsid w:val="1BE8440E"/>
    <w:rsid w:val="1D155CEE"/>
    <w:rsid w:val="20F57F95"/>
    <w:rsid w:val="240371BF"/>
    <w:rsid w:val="25C741E6"/>
    <w:rsid w:val="27842671"/>
    <w:rsid w:val="2985636E"/>
    <w:rsid w:val="29FD04D3"/>
    <w:rsid w:val="2ABE7A3E"/>
    <w:rsid w:val="2D722D1D"/>
    <w:rsid w:val="2EFA178C"/>
    <w:rsid w:val="30B46D73"/>
    <w:rsid w:val="319F7F4E"/>
    <w:rsid w:val="353C1075"/>
    <w:rsid w:val="39AE70AB"/>
    <w:rsid w:val="3C0C0783"/>
    <w:rsid w:val="3F9F3A96"/>
    <w:rsid w:val="41A430C1"/>
    <w:rsid w:val="48FA645F"/>
    <w:rsid w:val="493C27E9"/>
    <w:rsid w:val="496F39ED"/>
    <w:rsid w:val="49FF41D3"/>
    <w:rsid w:val="4BE068DB"/>
    <w:rsid w:val="4BF6002B"/>
    <w:rsid w:val="4DC22AC5"/>
    <w:rsid w:val="4ECE2238"/>
    <w:rsid w:val="51DB4B86"/>
    <w:rsid w:val="5268443A"/>
    <w:rsid w:val="52845064"/>
    <w:rsid w:val="55333C3E"/>
    <w:rsid w:val="5A3F5302"/>
    <w:rsid w:val="64CA39A1"/>
    <w:rsid w:val="6A974635"/>
    <w:rsid w:val="6C4A05C8"/>
    <w:rsid w:val="6E0A23F1"/>
    <w:rsid w:val="72734D90"/>
    <w:rsid w:val="79E7B28D"/>
    <w:rsid w:val="7AA169D3"/>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6073</Words>
  <Characters>7039</Characters>
  <Lines>61</Lines>
  <Paragraphs>17</Paragraphs>
  <TotalTime>6</TotalTime>
  <ScaleCrop>false</ScaleCrop>
  <LinksUpToDate>false</LinksUpToDate>
  <CharactersWithSpaces>7086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我耍我的</cp:lastModifiedBy>
  <cp:lastPrinted>2022-08-06T02:23:00Z</cp:lastPrinted>
  <dcterms:modified xsi:type="dcterms:W3CDTF">2023-08-23T13:54:11Z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8D69FA723EC142C1B4FC74D0632B9DC1_13</vt:lpwstr>
  </property>
</Properties>
</file>