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193"/>
      <w:bookmarkStart w:id="2" w:name="_Toc15377425"/>
      <w:bookmarkStart w:id="3" w:name="_Toc15396597"/>
      <w:bookmarkStart w:id="4" w:name="_Toc15378441"/>
      <w:bookmarkStart w:id="5" w:name="_Toc15396475"/>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bookmarkEnd w:id="0"/>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598"/>
      <w:bookmarkStart w:id="7" w:name="_Toc15306268"/>
      <w:bookmarkStart w:id="8" w:name="_Toc15378442"/>
      <w:bookmarkStart w:id="9" w:name="_Toc15377426"/>
      <w:bookmarkStart w:id="10" w:name="_Toc15377194"/>
      <w:bookmarkStart w:id="11" w:name="_Toc15396476"/>
      <w:r>
        <w:rPr>
          <w:rFonts w:hint="eastAsia" w:ascii="方正小标宋简体" w:hAnsi="方正小标宋简体" w:eastAsia="方正小标宋简体" w:cs="方正小标宋简体"/>
          <w:sz w:val="72"/>
          <w:szCs w:val="72"/>
        </w:rPr>
        <w:t>遂宁市安居区聚贤镇同盟小学校决算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公开时间：2023年8月</w:t>
      </w:r>
      <w:r>
        <w:rPr>
          <w:rFonts w:hint="eastAsia"/>
          <w:lang w:val="en-US" w:eastAsia="zh-CN"/>
        </w:rPr>
        <w:t>25</w:t>
      </w:r>
      <w:bookmarkStart w:id="67" w:name="_GoBack"/>
      <w:bookmarkEnd w:id="67"/>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r>
        <w:tab/>
      </w:r>
      <w:r>
        <w:rPr>
          <w:rFonts w:hint="eastAsia"/>
          <w:sz w:val="24"/>
          <w:szCs w:val="24"/>
        </w:rPr>
        <w:t>4</w:t>
      </w:r>
    </w:p>
    <w:p>
      <w:pPr>
        <w:pStyle w:val="11"/>
        <w:adjustRightInd w:val="0"/>
        <w:snapToGrid w:val="0"/>
        <w:spacing w:line="440" w:lineRule="exact"/>
        <w:jc w:val="left"/>
        <w:rPr>
          <w:sz w:val="24"/>
        </w:rPr>
      </w:pPr>
      <w:r>
        <w:rPr>
          <w:rFonts w:hint="eastAsia"/>
          <w:sz w:val="24"/>
        </w:rPr>
        <w:t>一、主要职责</w:t>
      </w:r>
      <w:r>
        <w:tab/>
      </w:r>
      <w:r>
        <w:rPr>
          <w:rFonts w:hint="eastAsia"/>
        </w:rPr>
        <w:t>4</w:t>
      </w:r>
    </w:p>
    <w:p>
      <w:pPr>
        <w:pStyle w:val="11"/>
        <w:adjustRightInd w:val="0"/>
        <w:snapToGrid w:val="0"/>
        <w:spacing w:line="440" w:lineRule="exact"/>
        <w:jc w:val="left"/>
        <w:rPr>
          <w:rFonts w:asciiTheme="minorEastAsia" w:hAnsiTheme="minorEastAsia" w:eastAsiaTheme="minorEastAsia" w:cstheme="minorEastAsia"/>
          <w:sz w:val="24"/>
        </w:rPr>
      </w:pPr>
      <w:r>
        <w:rPr>
          <w:rFonts w:hint="eastAsia"/>
          <w:sz w:val="24"/>
        </w:rPr>
        <w:t>二、机构设置</w:t>
      </w:r>
      <w:r>
        <w:tab/>
      </w:r>
      <w:r>
        <w:rPr>
          <w:rFonts w:hint="eastAsia"/>
        </w:rPr>
        <w:t>4</w:t>
      </w:r>
    </w:p>
    <w:p>
      <w:pPr>
        <w:pStyle w:val="10"/>
        <w:adjustRightInd w:val="0"/>
        <w:snapToGrid w:val="0"/>
        <w:spacing w:before="0" w:line="440" w:lineRule="exact"/>
        <w:jc w:val="left"/>
        <w:rPr>
          <w:sz w:val="24"/>
          <w:szCs w:val="24"/>
        </w:rPr>
      </w:pPr>
      <w:r>
        <w:rPr>
          <w:rFonts w:hint="eastAsia"/>
          <w:sz w:val="24"/>
        </w:rPr>
        <w:t>第二部分 2022年度单位决算情况说明</w:t>
      </w:r>
      <w:r>
        <w:tab/>
      </w:r>
      <w:r>
        <w:rPr>
          <w:rFonts w:hint="eastAsia"/>
          <w:sz w:val="24"/>
          <w:szCs w:val="24"/>
        </w:rPr>
        <w:t>5</w:t>
      </w:r>
    </w:p>
    <w:p>
      <w:pPr>
        <w:pStyle w:val="11"/>
        <w:adjustRightInd w:val="0"/>
        <w:snapToGrid w:val="0"/>
        <w:spacing w:line="440" w:lineRule="exact"/>
        <w:jc w:val="left"/>
        <w:rPr>
          <w:rFonts w:ascii="仿宋" w:hAnsi="仿宋" w:cstheme="minorBidi"/>
          <w:sz w:val="24"/>
        </w:rPr>
      </w:pPr>
      <w:r>
        <w:rPr>
          <w:rFonts w:hint="eastAsia"/>
          <w:sz w:val="24"/>
        </w:rPr>
        <w:t>一、收入支出决算总体情况说明</w:t>
      </w:r>
      <w:r>
        <w:tab/>
      </w:r>
      <w:r>
        <w:rPr>
          <w:rFonts w:hint="eastAsia"/>
        </w:rPr>
        <w:t>5</w:t>
      </w:r>
    </w:p>
    <w:p>
      <w:pPr>
        <w:pStyle w:val="11"/>
        <w:adjustRightInd w:val="0"/>
        <w:snapToGrid w:val="0"/>
        <w:spacing w:line="440" w:lineRule="exact"/>
        <w:jc w:val="left"/>
        <w:rPr>
          <w:rFonts w:ascii="仿宋" w:hAnsi="仿宋" w:cstheme="minorBidi"/>
          <w:sz w:val="24"/>
        </w:rPr>
      </w:pPr>
      <w:r>
        <w:rPr>
          <w:rFonts w:hint="eastAsia"/>
          <w:sz w:val="24"/>
        </w:rPr>
        <w:t>二、收入决算情况说明</w:t>
      </w:r>
      <w:r>
        <w:tab/>
      </w:r>
      <w:r>
        <w:rPr>
          <w:rFonts w:hint="eastAsia"/>
        </w:rPr>
        <w:t>5</w:t>
      </w:r>
    </w:p>
    <w:p>
      <w:pPr>
        <w:pStyle w:val="11"/>
        <w:adjustRightInd w:val="0"/>
        <w:snapToGrid w:val="0"/>
        <w:spacing w:line="440" w:lineRule="exact"/>
        <w:jc w:val="left"/>
        <w:rPr>
          <w:rFonts w:ascii="仿宋" w:hAnsi="仿宋" w:cstheme="minorBidi"/>
          <w:sz w:val="24"/>
        </w:rPr>
      </w:pPr>
      <w:r>
        <w:rPr>
          <w:rFonts w:hint="eastAsia"/>
          <w:sz w:val="24"/>
        </w:rPr>
        <w:t>三、支出决算情况说明</w:t>
      </w:r>
      <w:r>
        <w:tab/>
      </w:r>
      <w:r>
        <w:rPr>
          <w:rFonts w:hint="eastAsia"/>
        </w:rPr>
        <w:t>6</w:t>
      </w:r>
    </w:p>
    <w:p>
      <w:pPr>
        <w:pStyle w:val="11"/>
        <w:adjustRightInd w:val="0"/>
        <w:snapToGrid w:val="0"/>
        <w:spacing w:line="440" w:lineRule="exact"/>
        <w:jc w:val="left"/>
        <w:rPr>
          <w:rFonts w:ascii="仿宋" w:hAnsi="仿宋" w:cstheme="minorBidi"/>
          <w:sz w:val="24"/>
        </w:rPr>
      </w:pPr>
      <w:r>
        <w:rPr>
          <w:rFonts w:hint="eastAsia"/>
          <w:sz w:val="24"/>
        </w:rPr>
        <w:t>四、财政拨款收入支出决算总体情况说明</w:t>
      </w:r>
      <w:r>
        <w:tab/>
      </w:r>
      <w:r>
        <w:rPr>
          <w:rFonts w:hint="eastAsia"/>
        </w:rPr>
        <w:t>7</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r>
        <w:tab/>
      </w:r>
      <w:r>
        <w:rPr>
          <w:rFonts w:hint="eastAsia"/>
        </w:rPr>
        <w:t>7</w:t>
      </w:r>
    </w:p>
    <w:p>
      <w:pPr>
        <w:pStyle w:val="11"/>
        <w:adjustRightInd w:val="0"/>
        <w:snapToGrid w:val="0"/>
        <w:spacing w:line="440" w:lineRule="exact"/>
        <w:jc w:val="left"/>
        <w:rPr>
          <w:rFonts w:ascii="仿宋" w:hAnsi="仿宋" w:cstheme="minorBidi"/>
          <w:sz w:val="24"/>
        </w:rPr>
      </w:pPr>
      <w:r>
        <w:rPr>
          <w:rFonts w:hint="eastAsia"/>
          <w:sz w:val="24"/>
        </w:rPr>
        <w:t>六、一般公共预算财政拨款基本支出决算情况说明</w:t>
      </w:r>
      <w:r>
        <w:tab/>
      </w:r>
      <w:r>
        <w:rPr>
          <w:rFonts w:hint="eastAsia"/>
        </w:rPr>
        <w:t>9</w:t>
      </w:r>
    </w:p>
    <w:p>
      <w:pPr>
        <w:pStyle w:val="11"/>
        <w:adjustRightInd w:val="0"/>
        <w:snapToGrid w:val="0"/>
        <w:spacing w:line="440" w:lineRule="exact"/>
        <w:jc w:val="left"/>
        <w:rPr>
          <w:rFonts w:ascii="仿宋" w:hAnsi="仿宋" w:eastAsia="仿宋" w:cstheme="minorBidi"/>
          <w:sz w:val="24"/>
        </w:rPr>
      </w:pPr>
      <w:r>
        <w:rPr>
          <w:rFonts w:hint="eastAsia"/>
          <w:sz w:val="24"/>
        </w:rPr>
        <w:t>七、“三公”经费财政拨款支出决算情况说明</w:t>
      </w:r>
      <w:r>
        <w:tab/>
      </w:r>
      <w:r>
        <w:rPr>
          <w:rFonts w:hint="eastAsia"/>
        </w:rPr>
        <w:t>10</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r>
        <w:tab/>
      </w:r>
      <w:r>
        <w:rPr>
          <w:rFonts w:hint="eastAsia"/>
        </w:rPr>
        <w:t>10</w:t>
      </w:r>
    </w:p>
    <w:p>
      <w:pPr>
        <w:pStyle w:val="11"/>
        <w:adjustRightInd w:val="0"/>
        <w:snapToGrid w:val="0"/>
        <w:spacing w:line="440" w:lineRule="exact"/>
        <w:jc w:val="left"/>
        <w:rPr>
          <w:sz w:val="24"/>
        </w:rPr>
      </w:pPr>
      <w:r>
        <w:rPr>
          <w:rFonts w:hint="eastAsia"/>
          <w:sz w:val="24"/>
        </w:rPr>
        <w:t>九、国有资本经营预算支出决算情况说明</w:t>
      </w:r>
      <w:r>
        <w:tab/>
      </w:r>
      <w:r>
        <w:rPr>
          <w:rFonts w:hint="eastAsia"/>
        </w:rPr>
        <w:t>11</w:t>
      </w:r>
    </w:p>
    <w:p>
      <w:pPr>
        <w:pStyle w:val="11"/>
        <w:adjustRightInd w:val="0"/>
        <w:snapToGrid w:val="0"/>
        <w:spacing w:line="440" w:lineRule="exact"/>
        <w:jc w:val="left"/>
        <w:rPr>
          <w:sz w:val="24"/>
        </w:rPr>
      </w:pPr>
      <w:r>
        <w:rPr>
          <w:rFonts w:hint="eastAsia"/>
          <w:sz w:val="24"/>
        </w:rPr>
        <w:t>十、其他重要事项的情况说明</w:t>
      </w:r>
      <w:r>
        <w:tab/>
      </w:r>
      <w:r>
        <w:rPr>
          <w:rFonts w:hint="eastAsia"/>
        </w:rPr>
        <w:t>11</w:t>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r>
        <w:tab/>
      </w:r>
      <w:r>
        <w:rPr>
          <w:rFonts w:hint="eastAsia"/>
          <w:sz w:val="24"/>
          <w:szCs w:val="24"/>
        </w:rPr>
        <w:t>12</w:t>
      </w:r>
    </w:p>
    <w:p>
      <w:pPr>
        <w:pStyle w:val="10"/>
        <w:adjustRightInd w:val="0"/>
        <w:snapToGrid w:val="0"/>
        <w:spacing w:before="0" w:line="440" w:lineRule="exact"/>
        <w:jc w:val="left"/>
        <w:rPr>
          <w:rFonts w:cstheme="minorBidi"/>
          <w:sz w:val="22"/>
          <w:szCs w:val="22"/>
        </w:rPr>
      </w:pPr>
      <w:r>
        <w:rPr>
          <w:rFonts w:hint="eastAsia"/>
          <w:sz w:val="24"/>
        </w:rPr>
        <w:t>第四部分</w:t>
      </w:r>
      <w:r>
        <w:rPr>
          <w:sz w:val="24"/>
        </w:rPr>
        <w:t xml:space="preserve"> </w:t>
      </w:r>
      <w:r>
        <w:rPr>
          <w:rFonts w:hint="eastAsia"/>
          <w:sz w:val="24"/>
        </w:rPr>
        <w:t>附件</w:t>
      </w:r>
      <w:r>
        <w:tab/>
      </w:r>
      <w:r>
        <w:rPr>
          <w:rFonts w:hint="eastAsia"/>
          <w:sz w:val="24"/>
          <w:szCs w:val="24"/>
        </w:rPr>
        <w:t>1</w:t>
      </w:r>
      <w:r>
        <w:rPr>
          <w:sz w:val="24"/>
          <w:szCs w:val="24"/>
        </w:rPr>
        <w:t>6</w:t>
      </w:r>
    </w:p>
    <w:p>
      <w:pPr>
        <w:pStyle w:val="10"/>
        <w:adjustRightInd w:val="0"/>
        <w:snapToGrid w:val="0"/>
        <w:spacing w:before="0" w:line="440" w:lineRule="exact"/>
        <w:jc w:val="left"/>
        <w:rPr>
          <w:rFonts w:cstheme="minorBidi"/>
          <w:sz w:val="22"/>
          <w:szCs w:val="22"/>
        </w:rPr>
      </w:pPr>
      <w:r>
        <w:rPr>
          <w:rFonts w:hint="eastAsia"/>
          <w:sz w:val="24"/>
        </w:rPr>
        <w:t>第五部分</w:t>
      </w:r>
      <w:r>
        <w:rPr>
          <w:sz w:val="24"/>
        </w:rPr>
        <w:t xml:space="preserve"> </w:t>
      </w:r>
      <w:r>
        <w:rPr>
          <w:rFonts w:hint="eastAsia"/>
          <w:sz w:val="24"/>
        </w:rPr>
        <w:t>附表</w:t>
      </w:r>
      <w:r>
        <w:tab/>
      </w:r>
      <w:r>
        <w:rPr>
          <w:rFonts w:hint="eastAsia"/>
          <w:sz w:val="24"/>
          <w:szCs w:val="24"/>
        </w:rPr>
        <w:t>20</w:t>
      </w:r>
    </w:p>
    <w:p>
      <w:pPr>
        <w:pStyle w:val="11"/>
        <w:adjustRightInd w:val="0"/>
        <w:snapToGrid w:val="0"/>
        <w:spacing w:line="440" w:lineRule="exact"/>
        <w:jc w:val="left"/>
      </w:pPr>
      <w:r>
        <w:rPr>
          <w:rFonts w:hint="eastAsia"/>
          <w:sz w:val="24"/>
        </w:rPr>
        <w:t>一、收入支出决算总表</w:t>
      </w:r>
      <w:r>
        <w:tab/>
      </w:r>
      <w:r>
        <w:rPr>
          <w:rFonts w:hint="eastAsia"/>
          <w:sz w:val="24"/>
        </w:rPr>
        <w:t>20</w:t>
      </w:r>
    </w:p>
    <w:p>
      <w:pPr>
        <w:pStyle w:val="11"/>
        <w:adjustRightInd w:val="0"/>
        <w:snapToGrid w:val="0"/>
        <w:spacing w:line="440" w:lineRule="exact"/>
        <w:jc w:val="left"/>
      </w:pPr>
      <w:r>
        <w:rPr>
          <w:rFonts w:hint="eastAsia"/>
          <w:sz w:val="24"/>
        </w:rPr>
        <w:t>二、收入决算表</w:t>
      </w:r>
      <w:r>
        <w:tab/>
      </w:r>
      <w:r>
        <w:rPr>
          <w:rFonts w:hint="eastAsia"/>
          <w:sz w:val="24"/>
        </w:rPr>
        <w:t>20</w:t>
      </w:r>
    </w:p>
    <w:p>
      <w:pPr>
        <w:pStyle w:val="11"/>
        <w:adjustRightInd w:val="0"/>
        <w:snapToGrid w:val="0"/>
        <w:spacing w:line="440" w:lineRule="exact"/>
        <w:jc w:val="left"/>
        <w:rPr>
          <w:sz w:val="24"/>
        </w:rPr>
      </w:pPr>
      <w:r>
        <w:rPr>
          <w:rFonts w:hint="eastAsia"/>
          <w:sz w:val="24"/>
        </w:rPr>
        <w:t>三、支出决算表</w:t>
      </w:r>
      <w:r>
        <w:tab/>
      </w:r>
      <w:r>
        <w:rPr>
          <w:rFonts w:hint="eastAsia"/>
          <w:sz w:val="24"/>
        </w:rPr>
        <w:t>20</w:t>
      </w:r>
    </w:p>
    <w:p>
      <w:pPr>
        <w:pStyle w:val="11"/>
        <w:adjustRightInd w:val="0"/>
        <w:snapToGrid w:val="0"/>
        <w:spacing w:line="440" w:lineRule="exact"/>
        <w:jc w:val="left"/>
        <w:rPr>
          <w:sz w:val="24"/>
        </w:rPr>
      </w:pPr>
      <w:r>
        <w:rPr>
          <w:rFonts w:hint="eastAsia"/>
          <w:sz w:val="24"/>
        </w:rPr>
        <w:t>四、财政拨款收入支出决算总表</w:t>
      </w:r>
      <w:r>
        <w:tab/>
      </w:r>
      <w:r>
        <w:rPr>
          <w:rFonts w:hint="eastAsia"/>
          <w:sz w:val="24"/>
        </w:rPr>
        <w:t>20</w:t>
      </w:r>
    </w:p>
    <w:p>
      <w:pPr>
        <w:pStyle w:val="11"/>
        <w:adjustRightInd w:val="0"/>
        <w:snapToGrid w:val="0"/>
        <w:spacing w:line="440" w:lineRule="exact"/>
        <w:jc w:val="left"/>
        <w:rPr>
          <w:sz w:val="24"/>
        </w:rPr>
      </w:pPr>
      <w:r>
        <w:rPr>
          <w:rFonts w:hint="eastAsia"/>
          <w:sz w:val="24"/>
        </w:rPr>
        <w:t>五、财政拨款支出决算明细表</w:t>
      </w:r>
      <w:r>
        <w:tab/>
      </w:r>
      <w:r>
        <w:rPr>
          <w:rFonts w:hint="eastAsia"/>
          <w:sz w:val="24"/>
        </w:rPr>
        <w:t>20</w:t>
      </w:r>
    </w:p>
    <w:p>
      <w:pPr>
        <w:pStyle w:val="11"/>
        <w:adjustRightInd w:val="0"/>
        <w:snapToGrid w:val="0"/>
        <w:spacing w:line="440" w:lineRule="exact"/>
        <w:jc w:val="left"/>
        <w:rPr>
          <w:sz w:val="24"/>
        </w:rPr>
      </w:pPr>
      <w:r>
        <w:rPr>
          <w:rFonts w:hint="eastAsia"/>
          <w:sz w:val="24"/>
        </w:rPr>
        <w:t>六、一般公共预算财政拨款支出决算表</w:t>
      </w:r>
      <w:r>
        <w:tab/>
      </w:r>
      <w:r>
        <w:rPr>
          <w:rFonts w:hint="eastAsia"/>
          <w:sz w:val="24"/>
        </w:rPr>
        <w:t>20</w:t>
      </w:r>
    </w:p>
    <w:p>
      <w:pPr>
        <w:pStyle w:val="11"/>
        <w:adjustRightInd w:val="0"/>
        <w:snapToGrid w:val="0"/>
        <w:spacing w:line="440" w:lineRule="exact"/>
        <w:jc w:val="left"/>
        <w:rPr>
          <w:sz w:val="24"/>
        </w:rPr>
      </w:pPr>
      <w:r>
        <w:rPr>
          <w:rFonts w:hint="eastAsia"/>
          <w:sz w:val="24"/>
        </w:rPr>
        <w:t>七、一般公共预算财政拨款支出决算明细表</w:t>
      </w:r>
      <w:r>
        <w:tab/>
      </w:r>
      <w:r>
        <w:rPr>
          <w:rFonts w:hint="eastAsia"/>
          <w:sz w:val="24"/>
        </w:rPr>
        <w:t>20</w:t>
      </w:r>
    </w:p>
    <w:p>
      <w:pPr>
        <w:pStyle w:val="11"/>
        <w:adjustRightInd w:val="0"/>
        <w:snapToGrid w:val="0"/>
        <w:spacing w:line="440" w:lineRule="exact"/>
        <w:jc w:val="left"/>
        <w:rPr>
          <w:sz w:val="24"/>
        </w:rPr>
      </w:pPr>
      <w:r>
        <w:rPr>
          <w:rFonts w:hint="eastAsia"/>
          <w:sz w:val="24"/>
        </w:rPr>
        <w:t>八、一般公共预算财政拨款基本支出决算明细表</w:t>
      </w:r>
      <w:r>
        <w:tab/>
      </w:r>
      <w:r>
        <w:rPr>
          <w:rFonts w:hint="eastAsia"/>
          <w:sz w:val="24"/>
        </w:rPr>
        <w:t>20</w:t>
      </w:r>
    </w:p>
    <w:p>
      <w:pPr>
        <w:pStyle w:val="11"/>
        <w:adjustRightInd w:val="0"/>
        <w:snapToGrid w:val="0"/>
        <w:spacing w:line="440" w:lineRule="exact"/>
        <w:jc w:val="left"/>
        <w:rPr>
          <w:sz w:val="24"/>
        </w:rPr>
      </w:pPr>
      <w:r>
        <w:rPr>
          <w:rFonts w:hint="eastAsia"/>
          <w:sz w:val="24"/>
        </w:rPr>
        <w:t>九、一般公共预算财政拨款项目支出决算表</w:t>
      </w:r>
      <w:r>
        <w:tab/>
      </w:r>
      <w:r>
        <w:rPr>
          <w:rFonts w:hint="eastAsia"/>
          <w:sz w:val="24"/>
        </w:rPr>
        <w:t>20</w:t>
      </w:r>
    </w:p>
    <w:p>
      <w:pPr>
        <w:pStyle w:val="11"/>
        <w:adjustRightInd w:val="0"/>
        <w:snapToGrid w:val="0"/>
        <w:spacing w:line="440" w:lineRule="exact"/>
        <w:jc w:val="left"/>
        <w:rPr>
          <w:sz w:val="24"/>
        </w:rPr>
      </w:pPr>
      <w:r>
        <w:rPr>
          <w:rFonts w:hint="eastAsia"/>
          <w:sz w:val="24"/>
        </w:rPr>
        <w:t>十、政府性基金预算财政拨款收入支出决算表</w:t>
      </w:r>
      <w:r>
        <w:tab/>
      </w:r>
      <w:r>
        <w:rPr>
          <w:rFonts w:hint="eastAsia"/>
          <w:sz w:val="24"/>
        </w:rPr>
        <w:t>20</w:t>
      </w:r>
    </w:p>
    <w:p>
      <w:pPr>
        <w:pStyle w:val="11"/>
        <w:adjustRightInd w:val="0"/>
        <w:snapToGrid w:val="0"/>
        <w:spacing w:line="440" w:lineRule="exact"/>
        <w:jc w:val="left"/>
        <w:rPr>
          <w:sz w:val="24"/>
        </w:rPr>
      </w:pPr>
      <w:r>
        <w:rPr>
          <w:rFonts w:hint="eastAsia"/>
          <w:sz w:val="24"/>
        </w:rPr>
        <w:t>十一、国有资本经营预算财政拨款收入支出决算表</w:t>
      </w:r>
      <w:r>
        <w:tab/>
      </w:r>
      <w:r>
        <w:rPr>
          <w:rFonts w:hint="eastAsia"/>
          <w:sz w:val="24"/>
        </w:rPr>
        <w:t>20</w:t>
      </w:r>
    </w:p>
    <w:p>
      <w:pPr>
        <w:pStyle w:val="11"/>
        <w:adjustRightInd w:val="0"/>
        <w:snapToGrid w:val="0"/>
        <w:spacing w:line="440" w:lineRule="exact"/>
        <w:jc w:val="left"/>
        <w:rPr>
          <w:sz w:val="24"/>
        </w:rPr>
      </w:pPr>
      <w:r>
        <w:rPr>
          <w:rFonts w:hint="eastAsia"/>
          <w:sz w:val="24"/>
        </w:rPr>
        <w:t>十二、国有资本经营预算财政拨款支出决算表</w:t>
      </w:r>
      <w:r>
        <w:tab/>
      </w:r>
      <w:r>
        <w:rPr>
          <w:rFonts w:hint="eastAsia"/>
          <w:sz w:val="24"/>
        </w:rPr>
        <w:t>20</w:t>
      </w:r>
    </w:p>
    <w:p>
      <w:pPr>
        <w:pStyle w:val="11"/>
        <w:adjustRightInd w:val="0"/>
        <w:snapToGrid w:val="0"/>
        <w:spacing w:line="440" w:lineRule="exact"/>
        <w:jc w:val="left"/>
        <w:rPr>
          <w:sz w:val="24"/>
        </w:rPr>
      </w:pPr>
      <w:r>
        <w:rPr>
          <w:rFonts w:hint="eastAsia"/>
          <w:sz w:val="24"/>
        </w:rPr>
        <w:t>十三、财政拨款“三公”经费支出决算表</w:t>
      </w:r>
      <w:r>
        <w:tab/>
      </w:r>
      <w:r>
        <w:rPr>
          <w:rFonts w:hint="eastAsia"/>
          <w:sz w:val="24"/>
        </w:rPr>
        <w:t>20</w:t>
      </w:r>
    </w:p>
    <w:p>
      <w:pPr>
        <w:pStyle w:val="11"/>
        <w:adjustRightInd w:val="0"/>
        <w:snapToGrid w:val="0"/>
        <w:spacing w:line="440" w:lineRule="exact"/>
        <w:jc w:val="left"/>
        <w:rPr>
          <w:sz w:val="24"/>
        </w:rPr>
      </w:pPr>
    </w:p>
    <w:p>
      <w:pPr>
        <w:pStyle w:val="11"/>
        <w:adjustRightInd w:val="0"/>
        <w:snapToGrid w:val="0"/>
        <w:spacing w:line="440" w:lineRule="exact"/>
        <w:ind w:left="0" w:leftChars="0"/>
        <w:jc w:val="left"/>
        <w:rPr>
          <w:sz w:val="24"/>
        </w:rPr>
      </w:pP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Style w:val="24"/>
          <w:rFonts w:ascii="黑体" w:hAnsi="黑体" w:eastAsia="黑体"/>
          <w:b/>
          <w:bCs w:val="0"/>
        </w:rPr>
      </w:pPr>
      <w:r>
        <w:rPr>
          <w:rFonts w:hint="eastAsia" w:ascii="黑体" w:hAnsi="黑体" w:eastAsia="黑体"/>
          <w:b w:val="0"/>
        </w:rPr>
        <w:t>第一部分 单位</w:t>
      </w:r>
      <w:r>
        <w:rPr>
          <w:rStyle w:val="24"/>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Style w:val="25"/>
          <w:rFonts w:ascii="黑体" w:hAnsi="黑体" w:eastAsia="黑体"/>
          <w:b w:val="0"/>
          <w:bCs w:val="0"/>
        </w:rPr>
      </w:pPr>
      <w:bookmarkStart w:id="14" w:name="_Toc15377197"/>
      <w:bookmarkStart w:id="15" w:name="_Toc15396600"/>
      <w:r>
        <w:rPr>
          <w:rStyle w:val="25"/>
          <w:rFonts w:hint="eastAsia" w:ascii="黑体" w:hAnsi="黑体" w:eastAsia="黑体"/>
          <w:b w:val="0"/>
          <w:bCs w:val="0"/>
        </w:rPr>
        <w:t>主要职责</w:t>
      </w:r>
    </w:p>
    <w:p>
      <w:pPr>
        <w:ind w:firstLine="640" w:firstLineChars="200"/>
        <w:rPr>
          <w:rFonts w:ascii="仿宋" w:hAnsi="仿宋" w:eastAsia="仿宋" w:cs="仿宋"/>
          <w:sz w:val="32"/>
          <w:szCs w:val="32"/>
        </w:rPr>
      </w:pPr>
      <w:r>
        <w:rPr>
          <w:rFonts w:hint="eastAsia" w:ascii="仿宋" w:hAnsi="仿宋" w:eastAsia="仿宋" w:cs="仿宋"/>
          <w:sz w:val="32"/>
          <w:szCs w:val="32"/>
        </w:rPr>
        <w:t>我校的主要职能为实施小学义务教育，促进基础教育发展，负责小学学历教育和相关社会服务。</w:t>
      </w:r>
    </w:p>
    <w:bookmarkEnd w:id="14"/>
    <w:bookmarkEnd w:id="15"/>
    <w:p>
      <w:pPr>
        <w:pStyle w:val="11"/>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二、机构设置</w:t>
      </w:r>
    </w:p>
    <w:p>
      <w:pPr>
        <w:widowControl/>
        <w:spacing w:line="560" w:lineRule="exact"/>
        <w:ind w:left="481" w:leftChars="229" w:firstLine="675" w:firstLineChars="211"/>
        <w:jc w:val="left"/>
        <w:rPr>
          <w:rFonts w:ascii="仿宋" w:hAnsi="仿宋" w:eastAsia="仿宋"/>
          <w:sz w:val="32"/>
          <w:szCs w:val="32"/>
        </w:rPr>
      </w:pPr>
      <w:r>
        <w:rPr>
          <w:rFonts w:hint="eastAsia" w:ascii="仿宋" w:hAnsi="仿宋" w:eastAsia="仿宋"/>
          <w:sz w:val="32"/>
          <w:szCs w:val="32"/>
        </w:rPr>
        <w:t>遂宁市安居区聚贤镇同盟小学校属于公益一类事业单位，无下属二级预算单位。因遂宁市区划调整，学校的主管部门由四川遂宁高新技术产业园区管理委员会变更为</w:t>
      </w:r>
      <w:r>
        <w:rPr>
          <w:rFonts w:hint="eastAsia" w:ascii="仿宋" w:hAnsi="仿宋" w:eastAsia="仿宋" w:cs="仿宋"/>
          <w:sz w:val="32"/>
          <w:szCs w:val="32"/>
        </w:rPr>
        <w:t>遂宁市安居区教育和体育局。</w:t>
      </w:r>
    </w:p>
    <w:p>
      <w:pPr>
        <w:pStyle w:val="2"/>
        <w:spacing w:before="93"/>
      </w:pP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4"/>
          <w:rFonts w:ascii="黑体" w:hAnsi="黑体" w:eastAsia="黑体"/>
          <w:b w:val="0"/>
          <w:bCs/>
        </w:rPr>
      </w:pPr>
      <w:bookmarkStart w:id="16" w:name="_Toc15377204"/>
      <w:bookmarkStart w:id="17" w:name="_Toc15396602"/>
      <w:r>
        <w:rPr>
          <w:rFonts w:hint="eastAsia" w:ascii="黑体" w:hAnsi="黑体" w:eastAsia="黑体"/>
          <w:b w:val="0"/>
        </w:rPr>
        <w:t>第二部分 2022年度</w:t>
      </w:r>
      <w:r>
        <w:rPr>
          <w:rStyle w:val="24"/>
          <w:rFonts w:hint="eastAsia" w:ascii="黑体" w:hAnsi="黑体" w:eastAsia="黑体"/>
          <w:b w:val="0"/>
          <w:bCs/>
        </w:rPr>
        <w:t>单位决算情况说明</w:t>
      </w:r>
      <w:bookmarkEnd w:id="16"/>
      <w:bookmarkEnd w:id="17"/>
    </w:p>
    <w:p/>
    <w:p>
      <w:pPr>
        <w:pStyle w:val="23"/>
        <w:numPr>
          <w:ilvl w:val="0"/>
          <w:numId w:val="2"/>
        </w:numPr>
        <w:spacing w:line="600" w:lineRule="exact"/>
        <w:ind w:firstLineChars="0"/>
        <w:outlineLvl w:val="1"/>
        <w:rPr>
          <w:rStyle w:val="25"/>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5"/>
          <w:rFonts w:hint="eastAsia" w:ascii="黑体" w:hAnsi="黑体" w:eastAsia="黑体"/>
          <w:b w:val="0"/>
        </w:rPr>
        <w:t>入支出决算总体情况说明</w:t>
      </w:r>
      <w:bookmarkEnd w:id="18"/>
      <w:bookmarkEnd w:id="19"/>
    </w:p>
    <w:p>
      <w:pPr>
        <w:spacing w:line="600" w:lineRule="exact"/>
        <w:ind w:firstLine="640" w:firstLineChars="200"/>
      </w:pPr>
      <w:r>
        <w:rPr>
          <w:rFonts w:hint="eastAsia" w:ascii="仿宋" w:hAnsi="仿宋" w:eastAsia="仿宋"/>
          <w:sz w:val="32"/>
          <w:szCs w:val="32"/>
        </w:rPr>
        <w:t>2022年度收入217.46万元，与2022年相比，较上年收入减少354.08万元，减幅61.95%；2022年度支出总计217.46万元，较上年支出减少354.08万元，减幅61.95%。收支主要变动原因是：我校因区划调整，由遂宁市高新区划入遂宁市安居区，2022年1-6月收支由遂宁市高新区核算。</w:t>
      </w:r>
    </w:p>
    <w:p>
      <w:pPr>
        <w:pStyle w:val="2"/>
        <w:spacing w:before="93"/>
      </w:pPr>
      <w:r>
        <w:rPr>
          <w:rFonts w:hint="eastAsia"/>
        </w:rPr>
        <w:drawing>
          <wp:inline distT="0" distB="0" distL="114300" distR="114300">
            <wp:extent cx="4937760" cy="2372360"/>
            <wp:effectExtent l="4445" t="4445" r="10795" b="2349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23"/>
        <w:numPr>
          <w:ilvl w:val="0"/>
          <w:numId w:val="2"/>
        </w:numPr>
        <w:spacing w:line="600" w:lineRule="exact"/>
        <w:ind w:firstLineChars="0"/>
        <w:outlineLvl w:val="1"/>
        <w:rPr>
          <w:rStyle w:val="25"/>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5"/>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22年本年收入合计217.46万元，其中：一般公共预算财政拨款收入217.46万元，占100</w:t>
      </w:r>
      <w:r>
        <w:rPr>
          <w:rFonts w:ascii="仿宋" w:hAnsi="仿宋" w:eastAsia="仿宋"/>
          <w:sz w:val="32"/>
          <w:szCs w:val="32"/>
        </w:rPr>
        <w:t>%</w:t>
      </w:r>
      <w:r>
        <w:rPr>
          <w:rFonts w:hint="eastAsia" w:ascii="仿宋" w:hAnsi="仿宋" w:eastAsia="仿宋"/>
          <w:sz w:val="32"/>
          <w:szCs w:val="32"/>
        </w:rPr>
        <w:t>；政府性基金预算财政拨款收入0万元，占0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；其他收入0万元，占0</w:t>
      </w:r>
      <w:r>
        <w:rPr>
          <w:rFonts w:ascii="仿宋" w:hAnsi="仿宋" w:eastAsia="仿宋"/>
          <w:sz w:val="32"/>
          <w:szCs w:val="32"/>
        </w:rPr>
        <w:t>%</w:t>
      </w:r>
      <w:r>
        <w:rPr>
          <w:rFonts w:hint="eastAsia" w:ascii="仿宋" w:hAnsi="仿宋" w:eastAsia="仿宋"/>
          <w:sz w:val="32"/>
          <w:szCs w:val="32"/>
        </w:rPr>
        <w:t>。</w:t>
      </w:r>
    </w:p>
    <w:p>
      <w:pPr>
        <w:pStyle w:val="2"/>
        <w:spacing w:before="93"/>
        <w:rPr>
          <w:rFonts w:ascii="仿宋" w:hAnsi="仿宋" w:eastAsia="仿宋"/>
          <w:sz w:val="32"/>
          <w:szCs w:val="32"/>
        </w:rPr>
      </w:pPr>
      <w:r>
        <w:rPr>
          <w:rFonts w:hint="eastAsia" w:ascii="仿宋" w:hAnsi="仿宋" w:eastAsia="仿宋"/>
          <w:sz w:val="32"/>
          <w:szCs w:val="32"/>
        </w:rPr>
        <w:drawing>
          <wp:inline distT="0" distB="0" distL="114300" distR="114300">
            <wp:extent cx="4813300" cy="2628900"/>
            <wp:effectExtent l="4445" t="5080" r="20955" b="1397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p>
    <w:p>
      <w:pPr>
        <w:pStyle w:val="23"/>
        <w:numPr>
          <w:ilvl w:val="0"/>
          <w:numId w:val="2"/>
        </w:numPr>
        <w:spacing w:line="600" w:lineRule="exact"/>
        <w:ind w:firstLineChars="0"/>
        <w:outlineLvl w:val="1"/>
        <w:rPr>
          <w:rStyle w:val="25"/>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5"/>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22年本年支出合计217.46万元，其中：教育支出169.19万元，占77.81</w:t>
      </w:r>
      <w:r>
        <w:rPr>
          <w:rFonts w:ascii="仿宋" w:hAnsi="仿宋" w:eastAsia="仿宋"/>
          <w:sz w:val="32"/>
          <w:szCs w:val="32"/>
        </w:rPr>
        <w:t>%</w:t>
      </w:r>
      <w:r>
        <w:rPr>
          <w:rFonts w:hint="eastAsia" w:ascii="仿宋" w:hAnsi="仿宋" w:eastAsia="仿宋"/>
          <w:sz w:val="32"/>
          <w:szCs w:val="32"/>
        </w:rPr>
        <w:t>；社会保障和就业支出18.84万元，占8.66</w:t>
      </w:r>
      <w:r>
        <w:rPr>
          <w:rFonts w:ascii="仿宋" w:hAnsi="仿宋" w:eastAsia="仿宋"/>
          <w:sz w:val="32"/>
          <w:szCs w:val="32"/>
        </w:rPr>
        <w:t>%</w:t>
      </w:r>
      <w:r>
        <w:rPr>
          <w:rFonts w:hint="eastAsia" w:ascii="仿宋" w:hAnsi="仿宋" w:eastAsia="仿宋"/>
          <w:sz w:val="32"/>
          <w:szCs w:val="32"/>
        </w:rPr>
        <w:t>；卫生健康支出12.24万元，占5.63</w:t>
      </w:r>
      <w:r>
        <w:rPr>
          <w:rFonts w:ascii="仿宋" w:hAnsi="仿宋" w:eastAsia="仿宋"/>
          <w:sz w:val="32"/>
          <w:szCs w:val="32"/>
        </w:rPr>
        <w:t>%</w:t>
      </w:r>
      <w:r>
        <w:rPr>
          <w:rFonts w:hint="eastAsia" w:ascii="仿宋" w:hAnsi="仿宋" w:eastAsia="仿宋"/>
          <w:sz w:val="32"/>
          <w:szCs w:val="32"/>
        </w:rPr>
        <w:t>；住房保障支出17.19万元，占7.90</w:t>
      </w:r>
      <w:r>
        <w:rPr>
          <w:rFonts w:ascii="仿宋" w:hAnsi="仿宋" w:eastAsia="仿宋"/>
          <w:sz w:val="32"/>
          <w:szCs w:val="32"/>
        </w:rPr>
        <w:t>%</w:t>
      </w:r>
      <w:r>
        <w:rPr>
          <w:rFonts w:hint="eastAsia" w:ascii="仿宋" w:hAnsi="仿宋" w:eastAsia="仿宋"/>
          <w:sz w:val="32"/>
          <w:szCs w:val="32"/>
        </w:rPr>
        <w:t>。</w:t>
      </w:r>
    </w:p>
    <w:p>
      <w:pPr>
        <w:pStyle w:val="2"/>
        <w:spacing w:before="93"/>
        <w:jc w:val="center"/>
        <w:rPr>
          <w:rFonts w:ascii="仿宋" w:hAnsi="仿宋" w:eastAsia="仿宋"/>
          <w:sz w:val="32"/>
          <w:szCs w:val="32"/>
        </w:rPr>
      </w:pPr>
      <w:r>
        <w:rPr>
          <w:rFonts w:hint="eastAsia" w:ascii="仿宋" w:hAnsi="仿宋" w:eastAsia="仿宋"/>
          <w:sz w:val="32"/>
          <w:szCs w:val="32"/>
          <w:shd w:val="pct10" w:color="auto" w:fill="FFFFFF"/>
        </w:rPr>
        <w:drawing>
          <wp:anchor distT="0" distB="0" distL="114300" distR="114300" simplePos="0" relativeHeight="251659264" behindDoc="0" locked="0" layoutInCell="1" allowOverlap="1">
            <wp:simplePos x="0" y="0"/>
            <wp:positionH relativeFrom="column">
              <wp:posOffset>344170</wp:posOffset>
            </wp:positionH>
            <wp:positionV relativeFrom="paragraph">
              <wp:posOffset>66040</wp:posOffset>
            </wp:positionV>
            <wp:extent cx="4726940" cy="2209800"/>
            <wp:effectExtent l="4445" t="4445" r="12065" b="1460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5"/>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4"/>
      <w:bookmarkEnd w:id="25"/>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22年财政拨款收、支总计217.46万元。与2022年相比，财政拨款收、支减少352.93万元，减幅61.87%；收入主要变动原因是：我校因区划调整，由遂宁市高新区划入遂宁市安居区，2022年1-6月收支由遂宁市高新区核算。</w:t>
      </w:r>
    </w:p>
    <w:p>
      <w:pPr>
        <w:pStyle w:val="2"/>
        <w:spacing w:before="93"/>
        <w:rPr>
          <w:rFonts w:ascii="仿宋" w:hAnsi="仿宋" w:eastAsia="仿宋"/>
          <w:sz w:val="32"/>
          <w:szCs w:val="32"/>
        </w:rPr>
      </w:pPr>
      <w:r>
        <w:rPr>
          <w:rFonts w:hint="eastAsia" w:ascii="仿宋" w:hAnsi="仿宋" w:eastAsia="仿宋"/>
          <w:sz w:val="32"/>
          <w:szCs w:val="32"/>
        </w:rPr>
        <w:drawing>
          <wp:inline distT="0" distB="0" distL="114300" distR="114300">
            <wp:extent cx="5080000" cy="2467610"/>
            <wp:effectExtent l="4445" t="4445" r="20955" b="2349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spacing w:line="600" w:lineRule="exact"/>
        <w:ind w:firstLine="640" w:firstLineChars="200"/>
        <w:outlineLvl w:val="1"/>
        <w:rPr>
          <w:rStyle w:val="25"/>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22年一般公共预算财政拨款支出217.46万元，占本年支出合计的100</w:t>
      </w:r>
      <w:r>
        <w:rPr>
          <w:rFonts w:ascii="仿宋" w:hAnsi="仿宋" w:eastAsia="仿宋"/>
          <w:sz w:val="32"/>
          <w:szCs w:val="32"/>
        </w:rPr>
        <w:t>%</w:t>
      </w:r>
      <w:r>
        <w:rPr>
          <w:rFonts w:hint="eastAsia" w:ascii="仿宋" w:hAnsi="仿宋" w:eastAsia="仿宋"/>
          <w:sz w:val="32"/>
          <w:szCs w:val="32"/>
        </w:rPr>
        <w:t>。与2021年相比，一般公共预算财政拨款支出减少354.08万元，减幅61.95%；收入主要变动原因是：我校因区划调整，由遂宁市高新区划入遂宁市安居区，2022年1-6月收支由遂宁市高新区核算。</w:t>
      </w:r>
    </w:p>
    <w:p>
      <w:pPr>
        <w:pStyle w:val="2"/>
        <w:spacing w:before="93"/>
        <w:rPr>
          <w:rFonts w:ascii="仿宋" w:hAnsi="仿宋" w:eastAsia="仿宋"/>
          <w:color w:val="FF0000"/>
          <w:sz w:val="32"/>
          <w:szCs w:val="32"/>
        </w:rPr>
      </w:pPr>
    </w:p>
    <w:p>
      <w:pPr>
        <w:pStyle w:val="2"/>
        <w:spacing w:before="93"/>
        <w:rPr>
          <w:rFonts w:ascii="仿宋" w:hAnsi="仿宋" w:eastAsia="仿宋"/>
          <w:color w:val="FF0000"/>
          <w:sz w:val="32"/>
          <w:szCs w:val="32"/>
        </w:rPr>
      </w:pPr>
      <w:r>
        <w:rPr>
          <w:rFonts w:hint="eastAsia" w:ascii="仿宋" w:hAnsi="仿宋" w:eastAsia="仿宋"/>
          <w:color w:val="FF0000"/>
          <w:sz w:val="32"/>
          <w:szCs w:val="32"/>
        </w:rPr>
        <w:drawing>
          <wp:inline distT="0" distB="0" distL="114300" distR="114300">
            <wp:extent cx="4775835" cy="2066925"/>
            <wp:effectExtent l="4445" t="4445" r="20320" b="508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2022年一般公共预算财政拨款支出217.46万元，主要用于以下方面</w:t>
      </w:r>
      <w:r>
        <w:rPr>
          <w:rFonts w:ascii="仿宋" w:hAnsi="仿宋" w:eastAsia="仿宋"/>
          <w:sz w:val="32"/>
          <w:szCs w:val="32"/>
        </w:rPr>
        <w:t>:</w:t>
      </w:r>
      <w:r>
        <w:rPr>
          <w:rFonts w:hint="eastAsia" w:ascii="仿宋" w:hAnsi="仿宋" w:eastAsia="仿宋"/>
          <w:b/>
          <w:sz w:val="32"/>
          <w:szCs w:val="32"/>
        </w:rPr>
        <w:t>一般公共服务（类）</w:t>
      </w:r>
      <w:r>
        <w:rPr>
          <w:rFonts w:hint="eastAsia" w:ascii="仿宋" w:hAnsi="仿宋" w:eastAsia="仿宋"/>
          <w:sz w:val="32"/>
          <w:szCs w:val="32"/>
        </w:rPr>
        <w:t>支出0万元，占0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教育支出（205类）</w:t>
      </w:r>
      <w:r>
        <w:rPr>
          <w:rFonts w:hint="eastAsia" w:ascii="仿宋" w:hAnsi="仿宋" w:eastAsia="仿宋"/>
          <w:sz w:val="32"/>
          <w:szCs w:val="32"/>
        </w:rPr>
        <w:t>169.19万元，占77.81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社会保障和就业支出（208类</w:t>
      </w:r>
      <w:r>
        <w:rPr>
          <w:rFonts w:hint="eastAsia" w:ascii="仿宋" w:hAnsi="仿宋" w:eastAsia="仿宋"/>
          <w:b/>
          <w:sz w:val="32"/>
          <w:szCs w:val="32"/>
        </w:rPr>
        <w:t>）</w:t>
      </w:r>
      <w:r>
        <w:rPr>
          <w:rFonts w:hint="eastAsia" w:ascii="仿宋" w:hAnsi="仿宋" w:eastAsia="仿宋"/>
          <w:sz w:val="32"/>
          <w:szCs w:val="32"/>
        </w:rPr>
        <w:t>18.84万元，占8.66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b/>
          <w:sz w:val="32"/>
          <w:szCs w:val="32"/>
        </w:rPr>
        <w:t>（210类）</w:t>
      </w:r>
      <w:r>
        <w:rPr>
          <w:rFonts w:hint="eastAsia" w:ascii="仿宋" w:hAnsi="仿宋" w:eastAsia="仿宋"/>
          <w:sz w:val="32"/>
          <w:szCs w:val="32"/>
        </w:rPr>
        <w:t>12.24万元，占5.63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住房保障支出（221</w:t>
      </w:r>
      <w:r>
        <w:rPr>
          <w:rFonts w:hint="eastAsia" w:ascii="仿宋" w:hAnsi="仿宋" w:eastAsia="仿宋"/>
          <w:b/>
          <w:sz w:val="32"/>
          <w:szCs w:val="32"/>
        </w:rPr>
        <w:t>类）</w:t>
      </w:r>
      <w:r>
        <w:rPr>
          <w:rFonts w:hint="eastAsia" w:ascii="仿宋" w:hAnsi="仿宋" w:eastAsia="仿宋"/>
          <w:sz w:val="32"/>
          <w:szCs w:val="32"/>
        </w:rPr>
        <w:t>17.19万元，占7.90</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sz w:val="32"/>
          <w:szCs w:val="32"/>
        </w:rPr>
      </w:pPr>
    </w:p>
    <w:p>
      <w:pPr>
        <w:pStyle w:val="2"/>
        <w:spacing w:before="93"/>
        <w:rPr>
          <w:rFonts w:ascii="仿宋" w:hAnsi="仿宋" w:eastAsia="仿宋"/>
          <w:sz w:val="32"/>
          <w:szCs w:val="32"/>
        </w:rPr>
      </w:pPr>
      <w:r>
        <w:rPr>
          <w:rFonts w:hint="eastAsia" w:ascii="仿宋" w:hAnsi="仿宋" w:eastAsia="仿宋"/>
          <w:sz w:val="32"/>
          <w:szCs w:val="32"/>
        </w:rPr>
        <w:drawing>
          <wp:inline distT="0" distB="0" distL="114300" distR="114300">
            <wp:extent cx="4803775" cy="2066925"/>
            <wp:effectExtent l="4445" t="5080" r="11430" b="44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8460"/>
      <w:bookmarkStart w:id="32" w:name="_Toc15377444"/>
      <w:bookmarkStart w:id="33" w:name="_Toc15377213"/>
      <w:r>
        <w:rPr>
          <w:rFonts w:hint="eastAsia" w:ascii="仿宋" w:hAnsi="仿宋" w:eastAsia="仿宋"/>
          <w:b/>
          <w:sz w:val="32"/>
          <w:szCs w:val="32"/>
        </w:rPr>
        <w:t>2022年一般公共预算支出决算数为</w:t>
      </w:r>
      <w:r>
        <w:rPr>
          <w:rFonts w:hint="eastAsia" w:ascii="仿宋" w:hAnsi="仿宋" w:eastAsia="仿宋"/>
          <w:sz w:val="32"/>
          <w:szCs w:val="32"/>
        </w:rPr>
        <w:t>217.46万元，</w:t>
      </w:r>
      <w:r>
        <w:rPr>
          <w:rStyle w:val="14"/>
          <w:rFonts w:hint="eastAsia" w:ascii="仿宋" w:hAnsi="仿宋" w:eastAsia="仿宋"/>
          <w:bCs/>
          <w:sz w:val="32"/>
          <w:szCs w:val="32"/>
        </w:rPr>
        <w:t>完成预算100</w:t>
      </w:r>
      <w:r>
        <w:rPr>
          <w:rStyle w:val="14"/>
          <w:rFonts w:ascii="仿宋" w:hAnsi="仿宋" w:eastAsia="仿宋"/>
          <w:bCs/>
          <w:sz w:val="32"/>
          <w:szCs w:val="32"/>
        </w:rPr>
        <w:t>%</w:t>
      </w:r>
      <w:r>
        <w:rPr>
          <w:rStyle w:val="14"/>
          <w:rFonts w:hint="eastAsia" w:ascii="仿宋" w:hAnsi="仿宋" w:eastAsia="仿宋"/>
          <w:bCs/>
          <w:sz w:val="32"/>
          <w:szCs w:val="32"/>
        </w:rPr>
        <w:t>。其中：</w:t>
      </w:r>
      <w:bookmarkEnd w:id="31"/>
      <w:bookmarkEnd w:id="32"/>
      <w:bookmarkEnd w:id="33"/>
    </w:p>
    <w:p>
      <w:pPr>
        <w:spacing w:line="600" w:lineRule="exact"/>
        <w:ind w:firstLine="643" w:firstLineChars="200"/>
        <w:rPr>
          <w:rFonts w:ascii="仿宋" w:hAnsi="仿宋" w:eastAsia="仿宋"/>
          <w:b/>
          <w:sz w:val="32"/>
          <w:szCs w:val="32"/>
        </w:rPr>
      </w:pPr>
      <w:r>
        <w:rPr>
          <w:rStyle w:val="14"/>
          <w:rFonts w:ascii="仿宋" w:hAnsi="仿宋" w:eastAsia="仿宋"/>
          <w:bCs/>
          <w:sz w:val="32"/>
          <w:szCs w:val="32"/>
        </w:rPr>
        <w:t>1.</w:t>
      </w:r>
      <w:r>
        <w:rPr>
          <w:rStyle w:val="14"/>
          <w:rFonts w:hint="eastAsia" w:ascii="仿宋" w:hAnsi="仿宋" w:eastAsia="仿宋"/>
          <w:bCs/>
          <w:sz w:val="32"/>
          <w:szCs w:val="32"/>
        </w:rPr>
        <w:t>教育（205类）普通教育（02款）学前教育（01项）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支出决算为0.35万元，完成预算100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Style w:val="14"/>
          <w:rFonts w:hint="eastAsia" w:ascii="仿宋" w:hAnsi="仿宋" w:eastAsia="仿宋"/>
          <w:bCs/>
          <w:sz w:val="32"/>
          <w:szCs w:val="32"/>
        </w:rPr>
        <w:t>教育（205类）普通教育（02款）小学教育（02项）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支出决算为162.09万元，完成预算100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Style w:val="14"/>
          <w:rFonts w:hint="eastAsia" w:ascii="仿宋" w:hAnsi="仿宋" w:eastAsia="仿宋"/>
          <w:bCs/>
          <w:sz w:val="32"/>
          <w:szCs w:val="32"/>
        </w:rPr>
        <w:t>教育（205类）普通教育（02款）其他普通教育支出（99项）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支出决算为0.66万元，完成预算100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Style w:val="14"/>
          <w:rFonts w:hint="eastAsia" w:ascii="仿宋" w:hAnsi="仿宋" w:eastAsia="仿宋"/>
          <w:bCs/>
          <w:sz w:val="32"/>
          <w:szCs w:val="32"/>
        </w:rPr>
        <w:t>教育（205类）其他教育支出（99款）其他教育支出（99项）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支出决算为5.84万元，完成预算100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2</w:t>
      </w:r>
      <w:r>
        <w:rPr>
          <w:rStyle w:val="14"/>
          <w:rFonts w:ascii="仿宋" w:hAnsi="仿宋" w:eastAsia="仿宋"/>
          <w:bCs/>
          <w:sz w:val="32"/>
          <w:szCs w:val="32"/>
        </w:rPr>
        <w:t>.</w:t>
      </w:r>
      <w:r>
        <w:rPr>
          <w:rStyle w:val="14"/>
          <w:rFonts w:hint="eastAsia" w:ascii="仿宋" w:hAnsi="仿宋" w:eastAsia="仿宋"/>
          <w:bCs/>
          <w:sz w:val="32"/>
          <w:szCs w:val="32"/>
        </w:rPr>
        <w:t>社会保障和就业（208类）行政事业单位养老支出（05款）机关事业单位基本养老保险缴费支出（05项）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支出决算为17.73万元，完成预算100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Style w:val="14"/>
          <w:rFonts w:hint="eastAsia" w:ascii="仿宋" w:hAnsi="仿宋" w:eastAsia="仿宋"/>
          <w:bCs/>
          <w:sz w:val="32"/>
          <w:szCs w:val="32"/>
        </w:rPr>
        <w:t>社会保障和就业（208类）其他事业单位养老支出（05款）其他社会保障和就业支出（99项）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支出决算为1.11万元，完成预算100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rPr>
          <w:rStyle w:val="14"/>
          <w:rFonts w:ascii="仿宋" w:hAnsi="仿宋" w:eastAsia="仿宋"/>
          <w:b w:val="0"/>
          <w:bCs/>
          <w:sz w:val="32"/>
          <w:szCs w:val="32"/>
        </w:rPr>
      </w:pPr>
      <w:r>
        <w:rPr>
          <w:rStyle w:val="14"/>
          <w:rFonts w:hint="eastAsia" w:ascii="仿宋" w:hAnsi="仿宋" w:eastAsia="仿宋"/>
          <w:bCs/>
          <w:sz w:val="32"/>
          <w:szCs w:val="32"/>
        </w:rPr>
        <w:t>3</w:t>
      </w:r>
      <w:r>
        <w:rPr>
          <w:rStyle w:val="14"/>
          <w:rFonts w:ascii="仿宋" w:hAnsi="仿宋" w:eastAsia="仿宋"/>
          <w:bCs/>
          <w:sz w:val="32"/>
          <w:szCs w:val="32"/>
        </w:rPr>
        <w:t>.</w:t>
      </w:r>
      <w:r>
        <w:rPr>
          <w:rFonts w:hint="eastAsia" w:ascii="仿宋" w:hAnsi="仿宋" w:eastAsia="仿宋"/>
          <w:b/>
          <w:bCs/>
          <w:sz w:val="32"/>
          <w:szCs w:val="32"/>
        </w:rPr>
        <w:t>卫生健康</w:t>
      </w:r>
      <w:r>
        <w:rPr>
          <w:rStyle w:val="14"/>
          <w:rFonts w:hint="eastAsia" w:ascii="仿宋" w:hAnsi="仿宋" w:eastAsia="仿宋"/>
          <w:bCs/>
          <w:sz w:val="32"/>
          <w:szCs w:val="32"/>
        </w:rPr>
        <w:t>（210类）行政事业单位医疗（11款）事业单位医疗（02项）</w:t>
      </w:r>
      <w:r>
        <w:rPr>
          <w:rStyle w:val="14"/>
          <w:rFonts w:ascii="仿宋" w:hAnsi="仿宋" w:eastAsia="仿宋"/>
          <w:bCs/>
          <w:sz w:val="32"/>
          <w:szCs w:val="32"/>
        </w:rPr>
        <w:t>:</w:t>
      </w:r>
      <w:r>
        <w:rPr>
          <w:rStyle w:val="14"/>
          <w:rFonts w:hint="eastAsia" w:ascii="仿宋" w:hAnsi="仿宋" w:eastAsia="仿宋"/>
          <w:b w:val="0"/>
          <w:bCs/>
          <w:sz w:val="32"/>
          <w:szCs w:val="32"/>
        </w:rPr>
        <w:t>支出决算为12.24万元，完成预算100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rPr>
          <w:rFonts w:eastAsia="仿宋"/>
          <w:b/>
        </w:rPr>
      </w:pPr>
      <w:r>
        <w:rPr>
          <w:rStyle w:val="14"/>
          <w:rFonts w:hint="eastAsia" w:ascii="仿宋" w:hAnsi="仿宋" w:eastAsia="仿宋"/>
          <w:sz w:val="32"/>
          <w:szCs w:val="32"/>
        </w:rPr>
        <w:t>4.住房保障支出（221类）住房改革支出（02款）住房公积金（01项）</w:t>
      </w:r>
      <w:r>
        <w:rPr>
          <w:rStyle w:val="14"/>
          <w:rFonts w:ascii="仿宋" w:hAnsi="仿宋" w:eastAsia="仿宋"/>
          <w:bCs/>
          <w:sz w:val="32"/>
          <w:szCs w:val="32"/>
        </w:rPr>
        <w:t>:</w:t>
      </w:r>
      <w:r>
        <w:rPr>
          <w:rStyle w:val="14"/>
          <w:rFonts w:hint="eastAsia" w:ascii="仿宋" w:hAnsi="仿宋" w:eastAsia="仿宋"/>
          <w:b w:val="0"/>
          <w:bCs/>
          <w:sz w:val="32"/>
          <w:szCs w:val="32"/>
        </w:rPr>
        <w:t>支出决算为17.19万元，完成预算100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tabs>
          <w:tab w:val="right" w:pos="8306"/>
        </w:tabs>
        <w:spacing w:line="600" w:lineRule="exact"/>
        <w:ind w:firstLine="640"/>
        <w:outlineLvl w:val="1"/>
        <w:rPr>
          <w:rStyle w:val="25"/>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4"/>
      <w:bookmarkEnd w:id="35"/>
      <w:r>
        <w:rPr>
          <w:rStyle w:val="25"/>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rPr>
        <w:t>2022年一般公共预算财政拨款基本支出217.22万元，其中：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213.00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　　公用经费4.21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仿宋" w:hAnsi="仿宋" w:eastAsia="仿宋"/>
          <w:b/>
          <w:sz w:val="32"/>
          <w:szCs w:val="32"/>
        </w:rPr>
      </w:pPr>
    </w:p>
    <w:p>
      <w:pPr>
        <w:spacing w:line="600" w:lineRule="exact"/>
        <w:ind w:firstLine="640"/>
        <w:outlineLvl w:val="1"/>
        <w:rPr>
          <w:rStyle w:val="25"/>
          <w:rFonts w:ascii="黑体" w:hAnsi="黑体" w:eastAsia="黑体"/>
          <w:b w:val="0"/>
        </w:rPr>
      </w:pPr>
      <w:bookmarkStart w:id="36" w:name="_Toc15377215"/>
      <w:bookmarkStart w:id="37" w:name="_Toc15396609"/>
      <w:r>
        <w:rPr>
          <w:rFonts w:hint="eastAsia" w:ascii="黑体" w:eastAsia="黑体"/>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hint="eastAsia" w:ascii="仿宋" w:hAnsi="仿宋" w:eastAsia="仿宋"/>
          <w:sz w:val="32"/>
          <w:szCs w:val="32"/>
        </w:rPr>
        <w:t>2022年“三公”经费财政拨款支出决算为0万元，完成预算100</w:t>
      </w:r>
      <w:r>
        <w:rPr>
          <w:rFonts w:ascii="仿宋" w:hAnsi="仿宋" w:eastAsia="仿宋"/>
          <w:sz w:val="32"/>
          <w:szCs w:val="32"/>
        </w:rPr>
        <w:t>%</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hint="eastAsia" w:ascii="仿宋" w:hAnsi="仿宋" w:eastAsia="仿宋"/>
          <w:sz w:val="32"/>
          <w:szCs w:val="32"/>
        </w:rPr>
        <w:t>2022年“三公”经费财政拨款支出决算中，因公出国（境）费支出决算0万元，占0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w:t>
      </w:r>
    </w:p>
    <w:p>
      <w:pPr>
        <w:spacing w:line="600" w:lineRule="exact"/>
        <w:ind w:firstLine="640"/>
        <w:outlineLvl w:val="1"/>
        <w:rPr>
          <w:rFonts w:ascii="黑体" w:eastAsia="黑体"/>
          <w:sz w:val="32"/>
          <w:szCs w:val="32"/>
        </w:rPr>
      </w:pPr>
      <w:bookmarkStart w:id="40" w:name="_Toc15377218"/>
      <w:bookmarkStart w:id="41" w:name="_Toc15396610"/>
    </w:p>
    <w:p>
      <w:pPr>
        <w:spacing w:line="600" w:lineRule="exact"/>
        <w:ind w:firstLine="640"/>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hint="eastAsia" w:ascii="仿宋_GB2312" w:eastAsia="仿宋_GB2312"/>
          <w:sz w:val="32"/>
          <w:szCs w:val="32"/>
        </w:rPr>
        <w:t>2022年政府性基金预算财政拨款支出0万元。</w:t>
      </w:r>
    </w:p>
    <w:p>
      <w:pPr>
        <w:pStyle w:val="2"/>
        <w:spacing w:before="93"/>
      </w:pPr>
    </w:p>
    <w:p>
      <w:pPr>
        <w:numPr>
          <w:ilvl w:val="0"/>
          <w:numId w:val="3"/>
        </w:numPr>
        <w:spacing w:line="600" w:lineRule="exact"/>
        <w:ind w:firstLine="640"/>
        <w:outlineLvl w:val="1"/>
        <w:rPr>
          <w:rStyle w:val="25"/>
          <w:rFonts w:ascii="黑体" w:hAnsi="黑体" w:eastAsia="黑体"/>
          <w:b w:val="0"/>
        </w:rPr>
      </w:pPr>
      <w:bookmarkStart w:id="42" w:name="_Toc15377219"/>
      <w:bookmarkStart w:id="43" w:name="_Toc15396611"/>
      <w:r>
        <w:rPr>
          <w:rStyle w:val="25"/>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hint="eastAsia" w:ascii="仿宋_GB2312" w:eastAsia="仿宋_GB2312"/>
          <w:sz w:val="32"/>
          <w:szCs w:val="32"/>
        </w:rPr>
        <w:t>2022年国有资本经营预算财政拨款支出0万元。</w:t>
      </w:r>
    </w:p>
    <w:p>
      <w:pPr>
        <w:pStyle w:val="2"/>
        <w:spacing w:before="93"/>
      </w:pPr>
    </w:p>
    <w:p>
      <w:pPr>
        <w:numPr>
          <w:ilvl w:val="0"/>
          <w:numId w:val="3"/>
        </w:numPr>
        <w:spacing w:line="600" w:lineRule="exact"/>
        <w:ind w:firstLine="640"/>
        <w:outlineLvl w:val="1"/>
        <w:rPr>
          <w:rStyle w:val="25"/>
          <w:rFonts w:ascii="黑体" w:hAnsi="黑体" w:eastAsia="黑体"/>
          <w:b w:val="0"/>
        </w:rPr>
      </w:pPr>
      <w:bookmarkStart w:id="44" w:name="_Toc15377221"/>
      <w:bookmarkStart w:id="45" w:name="_Toc15396612"/>
      <w:r>
        <w:rPr>
          <w:rStyle w:val="25"/>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2022年，</w:t>
      </w:r>
      <w:r>
        <w:rPr>
          <w:rFonts w:hint="eastAsia" w:ascii="仿宋_GB2312" w:eastAsia="仿宋_GB2312"/>
          <w:color w:val="000000"/>
          <w:sz w:val="32"/>
          <w:szCs w:val="32"/>
        </w:rPr>
        <w:t>同盟小学</w:t>
      </w:r>
      <w:r>
        <w:rPr>
          <w:rFonts w:hint="eastAsia" w:ascii="仿宋_GB2312" w:eastAsia="仿宋_GB2312"/>
          <w:sz w:val="32"/>
          <w:szCs w:val="32"/>
        </w:rPr>
        <w:t>机关运行经费支出0万元，与2021年决算数持平。</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2022年，</w:t>
      </w:r>
      <w:r>
        <w:rPr>
          <w:rFonts w:hint="eastAsia" w:ascii="仿宋_GB2312" w:eastAsia="仿宋_GB2312"/>
          <w:color w:val="000000"/>
          <w:sz w:val="32"/>
          <w:szCs w:val="32"/>
        </w:rPr>
        <w:t>同盟小学</w:t>
      </w:r>
      <w:r>
        <w:rPr>
          <w:rFonts w:hint="eastAsia" w:ascii="仿宋_GB2312" w:eastAsia="仿宋_GB2312"/>
          <w:sz w:val="32"/>
          <w:szCs w:val="32"/>
        </w:rPr>
        <w:t>政府采购支出总额0万元。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color w:val="000000"/>
          <w:sz w:val="32"/>
          <w:szCs w:val="32"/>
        </w:rPr>
        <w:t>同盟小学</w:t>
      </w:r>
      <w:r>
        <w:rPr>
          <w:rFonts w:hint="eastAsia" w:ascii="仿宋_GB2312" w:eastAsia="仿宋_GB2312"/>
          <w:sz w:val="32"/>
          <w:szCs w:val="32"/>
        </w:rPr>
        <w:t>共有车辆0辆，单价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按要求对2022年部门整体支出开展绩效自评，从评价情况来看遂宁市安居区聚贤镇同盟小学校将部门整体支出绩效评价作为财政预算资金使用管理的一项重要工作，切实加强预算收支管理，全面梳理内部管理流程，建立健全内部管理制度，有效提升了部门整体支出管理水平。</w:t>
      </w:r>
    </w:p>
    <w:p>
      <w:pPr>
        <w:pStyle w:val="2"/>
        <w:spacing w:before="93"/>
        <w:rPr>
          <w:highlight w:val="yellow"/>
        </w:rPr>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4"/>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24"/>
          <w:rFonts w:hint="eastAsia" w:ascii="黑体" w:hAnsi="黑体" w:eastAsia="黑体"/>
          <w:b w:val="0"/>
        </w:rPr>
        <w:t>词解释</w:t>
      </w:r>
      <w:bookmarkEnd w:id="49"/>
      <w:bookmarkEnd w:id="50"/>
    </w:p>
    <w:p>
      <w:pPr>
        <w:spacing w:line="600" w:lineRule="exact"/>
        <w:jc w:val="left"/>
        <w:rPr>
          <w:rFonts w:ascii="宋体"/>
          <w:b/>
          <w:sz w:val="44"/>
          <w:szCs w:val="44"/>
        </w:rPr>
      </w:pPr>
    </w:p>
    <w:p>
      <w:pPr>
        <w:autoSpaceDE w:val="0"/>
        <w:autoSpaceDN w:val="0"/>
        <w:adjustRightInd w:val="0"/>
        <w:ind w:firstLine="640" w:firstLineChars="200"/>
        <w:rPr>
          <w:rFonts w:ascii="仿宋" w:hAnsi="仿宋" w:eastAsia="仿宋"/>
          <w:sz w:val="32"/>
          <w:szCs w:val="32"/>
        </w:rPr>
      </w:pPr>
      <w:bookmarkStart w:id="51" w:name="_Toc15377226"/>
      <w:r>
        <w:rPr>
          <w:rFonts w:ascii="仿宋" w:hAnsi="仿宋" w:eastAsia="仿宋"/>
          <w:sz w:val="32"/>
          <w:szCs w:val="32"/>
        </w:rPr>
        <w:t>1.</w:t>
      </w:r>
      <w:r>
        <w:rPr>
          <w:rFonts w:hint="eastAsia" w:ascii="仿宋" w:hAnsi="仿宋" w:eastAsia="仿宋"/>
          <w:sz w:val="32"/>
          <w:szCs w:val="32"/>
        </w:rPr>
        <w:t>财政拨款收入：指单位从同级财政部门取得的财政预算资金。</w:t>
      </w:r>
    </w:p>
    <w:p>
      <w:pPr>
        <w:autoSpaceDE w:val="0"/>
        <w:autoSpaceDN w:val="0"/>
        <w:adjustRightInd w:val="0"/>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事业收入：指事业单位开展专业业务活动及辅助活动取得的收入。如高中学费收入、学前教育保教费收入等。</w:t>
      </w:r>
    </w:p>
    <w:p>
      <w:pPr>
        <w:autoSpaceDE w:val="0"/>
        <w:autoSpaceDN w:val="0"/>
        <w:adjustRightInd w:val="0"/>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其他收入：指单位取得的除上述收入以外的各项收入。主要是利息收入、捐赠收入等。</w:t>
      </w:r>
    </w:p>
    <w:p>
      <w:pPr>
        <w:autoSpaceDE w:val="0"/>
        <w:autoSpaceDN w:val="0"/>
        <w:adjustRightInd w:val="0"/>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autoSpaceDE w:val="0"/>
        <w:autoSpaceDN w:val="0"/>
        <w:adjustRightInd w:val="0"/>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w:t>
      </w:r>
      <w:r>
        <w:rPr>
          <w:rFonts w:hint="eastAsia" w:ascii="仿宋" w:hAnsi="仿宋" w:eastAsia="仿宋"/>
          <w:sz w:val="32"/>
          <w:szCs w:val="32"/>
        </w:rPr>
        <w:t>年初结转和结余：指以前年度尚未完成、结转到本年按有关规定继续使用的资金。</w:t>
      </w:r>
    </w:p>
    <w:p>
      <w:pPr>
        <w:autoSpaceDE w:val="0"/>
        <w:autoSpaceDN w:val="0"/>
        <w:adjustRightInd w:val="0"/>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w:t>
      </w:r>
      <w:r>
        <w:rPr>
          <w:rFonts w:hint="eastAsia" w:ascii="仿宋" w:hAnsi="仿宋" w:eastAsia="仿宋"/>
          <w:sz w:val="32"/>
          <w:szCs w:val="32"/>
        </w:rPr>
        <w:t>结余分配：指事业单位按照事业单位会计制度的规定从非财政补助结余中分配的事业基金和职工福利基金等。</w:t>
      </w:r>
    </w:p>
    <w:p>
      <w:pPr>
        <w:autoSpaceDE w:val="0"/>
        <w:autoSpaceDN w:val="0"/>
        <w:adjustRightInd w:val="0"/>
        <w:ind w:firstLine="640" w:firstLineChars="200"/>
        <w:rPr>
          <w:rFonts w:ascii="仿宋" w:hAnsi="仿宋" w:eastAsia="仿宋"/>
          <w:sz w:val="32"/>
          <w:szCs w:val="32"/>
        </w:rPr>
      </w:pPr>
      <w:r>
        <w:rPr>
          <w:rFonts w:hint="eastAsia" w:ascii="仿宋" w:hAnsi="仿宋" w:eastAsia="仿宋"/>
          <w:sz w:val="32"/>
          <w:szCs w:val="32"/>
        </w:rPr>
        <w:t>7、年末结转和结余：指单位按有关规定结转到下年或以后年度继续使用的资金。</w:t>
      </w:r>
    </w:p>
    <w:p>
      <w:pPr>
        <w:ind w:firstLine="640" w:firstLineChars="200"/>
        <w:rPr>
          <w:rFonts w:ascii="仿宋" w:hAnsi="仿宋" w:eastAsia="仿宋"/>
          <w:sz w:val="32"/>
          <w:szCs w:val="32"/>
        </w:rPr>
      </w:pPr>
      <w:r>
        <w:rPr>
          <w:rFonts w:hint="eastAsia" w:ascii="仿宋" w:hAnsi="仿宋" w:eastAsia="仿宋"/>
          <w:sz w:val="32"/>
          <w:szCs w:val="32"/>
        </w:rPr>
        <w:t>8.教育（205）普通教育（02）小学教育（02）</w:t>
      </w:r>
      <w:r>
        <w:rPr>
          <w:rFonts w:ascii="仿宋" w:hAnsi="仿宋" w:eastAsia="仿宋"/>
          <w:sz w:val="32"/>
          <w:szCs w:val="32"/>
        </w:rPr>
        <w:t xml:space="preserve">: </w:t>
      </w:r>
      <w:r>
        <w:rPr>
          <w:rFonts w:hint="eastAsia" w:ascii="仿宋" w:hAnsi="仿宋" w:eastAsia="仿宋"/>
          <w:sz w:val="32"/>
          <w:szCs w:val="32"/>
        </w:rPr>
        <w:t>反映各部门举办的小学教育支出。政府各部门对社会中介组织等举办的小学的资助，如各类捐赠、补贴等，也在本科目中反映。</w:t>
      </w:r>
    </w:p>
    <w:p>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教育（205）普通教育（02）其他普通教育支出（99）</w:t>
      </w:r>
      <w:r>
        <w:rPr>
          <w:rFonts w:ascii="仿宋" w:hAnsi="仿宋" w:eastAsia="仿宋"/>
          <w:sz w:val="32"/>
          <w:szCs w:val="32"/>
        </w:rPr>
        <w:t xml:space="preserve">: </w:t>
      </w:r>
      <w:r>
        <w:rPr>
          <w:rFonts w:hint="eastAsia" w:ascii="仿宋" w:hAnsi="仿宋" w:eastAsia="仿宋"/>
          <w:sz w:val="32"/>
          <w:szCs w:val="32"/>
        </w:rPr>
        <w:t>反映除上述项目以外</w:t>
      </w:r>
      <w:r>
        <w:rPr>
          <w:rFonts w:hint="eastAsia" w:ascii="仿宋" w:hAnsi="仿宋" w:eastAsia="仿宋"/>
          <w:sz w:val="32"/>
          <w:szCs w:val="32"/>
          <w:lang w:eastAsia="zh-CN"/>
        </w:rPr>
        <w:t>其他</w:t>
      </w:r>
      <w:r>
        <w:rPr>
          <w:rFonts w:hint="eastAsia" w:ascii="仿宋" w:hAnsi="仿宋" w:eastAsia="仿宋"/>
          <w:sz w:val="32"/>
          <w:szCs w:val="32"/>
        </w:rPr>
        <w:t>用于普通教育方面的支出。</w:t>
      </w:r>
    </w:p>
    <w:p>
      <w:pPr>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社会保障和就业（208）行政事业单位离退休（05）机关事业单位基本养老保险缴费支出★（05）</w:t>
      </w:r>
      <w:r>
        <w:rPr>
          <w:rFonts w:ascii="仿宋" w:hAnsi="仿宋" w:eastAsia="仿宋"/>
          <w:sz w:val="32"/>
          <w:szCs w:val="32"/>
        </w:rPr>
        <w:t xml:space="preserve">: </w:t>
      </w:r>
      <w:r>
        <w:rPr>
          <w:rFonts w:hint="eastAsia" w:ascii="仿宋" w:hAnsi="仿宋" w:eastAsia="仿宋"/>
          <w:sz w:val="32"/>
          <w:szCs w:val="32"/>
        </w:rPr>
        <w:t>反映机关事业单位实施养老保险制度由单位缴纳的基本养老保险费支出。</w:t>
      </w:r>
    </w:p>
    <w:p>
      <w:pPr>
        <w:ind w:firstLine="640" w:firstLineChars="200"/>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社会保障和就业（208）抚恤（08）死亡抚恤（01）</w:t>
      </w:r>
      <w:r>
        <w:rPr>
          <w:rFonts w:ascii="仿宋" w:hAnsi="仿宋" w:eastAsia="仿宋"/>
          <w:sz w:val="32"/>
          <w:szCs w:val="32"/>
        </w:rPr>
        <w:t xml:space="preserve">: </w:t>
      </w:r>
      <w:r>
        <w:rPr>
          <w:rFonts w:hint="eastAsia" w:ascii="仿宋" w:hAnsi="仿宋" w:eastAsia="仿宋"/>
          <w:sz w:val="32"/>
          <w:szCs w:val="32"/>
        </w:rPr>
        <w:t>反映按规定用于烈士和牺牲、病故人员家属的一次性和定期抚恤金以及丧葬补助费。</w:t>
      </w:r>
    </w:p>
    <w:p>
      <w:pPr>
        <w:ind w:firstLine="640" w:firstLineChars="200"/>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社会保障和就业（208）其他社会保障和就业支出（99）其他社会保障和就业支出（01）</w:t>
      </w:r>
      <w:r>
        <w:rPr>
          <w:rFonts w:ascii="仿宋" w:hAnsi="仿宋" w:eastAsia="仿宋"/>
          <w:sz w:val="32"/>
          <w:szCs w:val="32"/>
        </w:rPr>
        <w:t xml:space="preserve">: </w:t>
      </w:r>
      <w:r>
        <w:rPr>
          <w:rFonts w:hint="eastAsia" w:ascii="仿宋" w:hAnsi="仿宋" w:eastAsia="仿宋"/>
          <w:sz w:val="32"/>
          <w:szCs w:val="32"/>
        </w:rPr>
        <w:t>反映上述项目以外其他用用于社会保障和就业方面的支出。</w:t>
      </w:r>
    </w:p>
    <w:p>
      <w:pPr>
        <w:ind w:firstLine="640" w:firstLineChars="200"/>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医疗卫生与计划生育（210）行政事业单位医疗★（11）事业单位医疗★（02）</w:t>
      </w:r>
      <w:r>
        <w:rPr>
          <w:rFonts w:ascii="仿宋" w:hAnsi="仿宋" w:eastAsia="仿宋"/>
          <w:sz w:val="32"/>
          <w:szCs w:val="32"/>
        </w:rPr>
        <w:t>:</w:t>
      </w:r>
      <w:r>
        <w:rPr>
          <w:rFonts w:hint="eastAsia" w:ascii="仿宋" w:hAnsi="仿宋" w:eastAsia="仿宋"/>
          <w:sz w:val="32"/>
          <w:szCs w:val="32"/>
        </w:rPr>
        <w:t>反映财政部门集中安排的事业单位基本医疗保险缴费经费，未参加医疗保险的事业单位的公费医疗经费，按国家规定享受离休人员待遇的医疗经费。</w:t>
      </w:r>
    </w:p>
    <w:p>
      <w:pPr>
        <w:ind w:firstLine="640" w:firstLineChars="200"/>
        <w:rPr>
          <w:rFonts w:ascii="仿宋" w:hAnsi="仿宋" w:eastAsia="仿宋"/>
          <w:sz w:val="32"/>
          <w:szCs w:val="32"/>
        </w:rPr>
      </w:pPr>
      <w:r>
        <w:rPr>
          <w:rFonts w:ascii="仿宋" w:hAnsi="仿宋" w:eastAsia="仿宋"/>
          <w:sz w:val="32"/>
          <w:szCs w:val="32"/>
        </w:rPr>
        <w:t>14.</w:t>
      </w:r>
      <w:r>
        <w:rPr>
          <w:rFonts w:hint="eastAsia" w:ascii="仿宋" w:hAnsi="仿宋" w:eastAsia="仿宋"/>
          <w:sz w:val="32"/>
          <w:szCs w:val="32"/>
        </w:rPr>
        <w:t>住房保障支出（221）住房改革支出（02）住房公积金（01）</w:t>
      </w:r>
      <w:r>
        <w:rPr>
          <w:rFonts w:ascii="仿宋" w:hAnsi="仿宋" w:eastAsia="仿宋"/>
          <w:sz w:val="32"/>
          <w:szCs w:val="32"/>
        </w:rPr>
        <w:t>:</w:t>
      </w:r>
      <w:r>
        <w:rPr>
          <w:rFonts w:hint="eastAsia" w:ascii="仿宋" w:hAnsi="仿宋" w:eastAsia="仿宋"/>
          <w:sz w:val="32"/>
          <w:szCs w:val="32"/>
        </w:rPr>
        <w:t>反映行政事业单位按人力资源和社会保障部、财政部规定的基本工资和津贴补贴以及规定比例为职工缴纳的住房公积金。</w:t>
      </w:r>
    </w:p>
    <w:p>
      <w:pPr>
        <w:ind w:firstLine="640" w:firstLineChars="200"/>
        <w:rPr>
          <w:rFonts w:ascii="仿宋" w:hAnsi="仿宋" w:eastAsia="仿宋"/>
          <w:sz w:val="32"/>
          <w:szCs w:val="32"/>
        </w:rPr>
      </w:pPr>
      <w:r>
        <w:rPr>
          <w:rFonts w:ascii="仿宋" w:hAnsi="仿宋" w:eastAsia="仿宋"/>
          <w:sz w:val="32"/>
          <w:szCs w:val="32"/>
        </w:rPr>
        <w:t>15.</w:t>
      </w:r>
      <w:r>
        <w:rPr>
          <w:rFonts w:hint="eastAsia" w:ascii="仿宋" w:hAnsi="仿宋" w:eastAsia="仿宋"/>
          <w:sz w:val="32"/>
          <w:szCs w:val="32"/>
        </w:rPr>
        <w:t>基本支出：指为保障机构正常运转、完成日常工作任务而发生的人员支出和公用支出。</w:t>
      </w:r>
    </w:p>
    <w:p>
      <w:pPr>
        <w:ind w:firstLine="640" w:firstLineChars="200"/>
        <w:rPr>
          <w:rFonts w:ascii="仿宋" w:hAnsi="仿宋" w:eastAsia="仿宋"/>
          <w:sz w:val="32"/>
          <w:szCs w:val="32"/>
        </w:rPr>
      </w:pPr>
      <w:r>
        <w:rPr>
          <w:rFonts w:ascii="仿宋" w:hAnsi="仿宋" w:eastAsia="仿宋"/>
          <w:sz w:val="32"/>
          <w:szCs w:val="32"/>
        </w:rPr>
        <w:t>16.</w:t>
      </w:r>
      <w:r>
        <w:rPr>
          <w:rFonts w:hint="eastAsia" w:ascii="仿宋" w:hAnsi="仿宋" w:eastAsia="仿宋"/>
          <w:sz w:val="32"/>
          <w:szCs w:val="32"/>
        </w:rPr>
        <w:t>项目支出：指在基本支出之外为完成特定行政任务和事业发展目标所发生的支出。</w:t>
      </w:r>
    </w:p>
    <w:p>
      <w:pPr>
        <w:autoSpaceDE w:val="0"/>
        <w:autoSpaceDN w:val="0"/>
        <w:adjustRightInd w:val="0"/>
        <w:ind w:firstLine="640" w:firstLineChars="200"/>
        <w:rPr>
          <w:rFonts w:ascii="仿宋" w:hAnsi="仿宋" w:eastAsia="仿宋"/>
          <w:sz w:val="32"/>
          <w:szCs w:val="32"/>
        </w:rPr>
      </w:pPr>
      <w:r>
        <w:rPr>
          <w:rFonts w:ascii="仿宋" w:hAnsi="仿宋" w:eastAsia="仿宋"/>
          <w:sz w:val="32"/>
          <w:szCs w:val="32"/>
        </w:rPr>
        <w:t>17.</w:t>
      </w:r>
      <w:r>
        <w:rPr>
          <w:rFonts w:hint="eastAsia" w:ascii="仿宋" w:hAnsi="仿宋" w:eastAsia="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autoSpaceDE w:val="0"/>
        <w:autoSpaceDN w:val="0"/>
        <w:adjustRightInd w:val="0"/>
        <w:ind w:firstLine="640" w:firstLineChars="200"/>
        <w:rPr>
          <w:rFonts w:ascii="仿宋" w:hAnsi="仿宋" w:eastAsia="仿宋"/>
          <w:sz w:val="32"/>
          <w:szCs w:val="32"/>
        </w:rPr>
      </w:pPr>
      <w:r>
        <w:rPr>
          <w:rFonts w:ascii="仿宋" w:hAnsi="仿宋" w:eastAsia="仿宋"/>
          <w:sz w:val="32"/>
          <w:szCs w:val="32"/>
        </w:rPr>
        <w:t>18.</w:t>
      </w:r>
      <w:r>
        <w:rPr>
          <w:rFonts w:hint="eastAsia" w:ascii="仿宋" w:hAnsi="仿宋" w:eastAsia="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autoSpaceDE w:val="0"/>
        <w:autoSpaceDN w:val="0"/>
        <w:adjustRightInd w:val="0"/>
        <w:ind w:firstLine="640" w:firstLineChars="200"/>
        <w:rPr>
          <w:rFonts w:ascii="仿宋" w:hAnsi="仿宋" w:eastAsia="仿宋"/>
          <w:sz w:val="32"/>
          <w:szCs w:val="32"/>
        </w:rPr>
      </w:pPr>
      <w:r>
        <w:rPr>
          <w:rFonts w:ascii="仿宋" w:hAnsi="仿宋" w:eastAsia="仿宋"/>
          <w:sz w:val="32"/>
          <w:szCs w:val="32"/>
        </w:rPr>
        <w:t>19</w:t>
      </w:r>
      <w:r>
        <w:rPr>
          <w:rFonts w:hint="eastAsia" w:ascii="仿宋" w:hAnsi="仿宋" w:eastAsia="仿宋"/>
          <w:sz w:val="32"/>
          <w:szCs w:val="32"/>
        </w:rPr>
        <w:t>.工资福利：反映单位开支的在职职工和编制外长期聘用人员的各类劳动报酬，以及为上述人员缴纳的各项社会保险费等。</w:t>
      </w:r>
    </w:p>
    <w:p>
      <w:pPr>
        <w:autoSpaceDE w:val="0"/>
        <w:autoSpaceDN w:val="0"/>
        <w:adjustRightInd w:val="0"/>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.商品和服务：反映单位购买商品和服务的支出，不包括用于购置固定资产、战略性和应急性物资储备等资本支出。</w:t>
      </w:r>
    </w:p>
    <w:p>
      <w:pPr>
        <w:autoSpaceDE w:val="0"/>
        <w:autoSpaceDN w:val="0"/>
        <w:adjustRightInd w:val="0"/>
        <w:ind w:firstLine="640" w:firstLineChars="200"/>
        <w:rPr>
          <w:rFonts w:ascii="仿宋" w:hAnsi="仿宋" w:eastAsia="仿宋"/>
          <w:sz w:val="32"/>
          <w:szCs w:val="32"/>
        </w:rPr>
      </w:pPr>
      <w:r>
        <w:rPr>
          <w:rFonts w:ascii="仿宋" w:hAnsi="仿宋" w:eastAsia="仿宋"/>
          <w:sz w:val="32"/>
          <w:szCs w:val="32"/>
        </w:rPr>
        <w:t>21</w:t>
      </w:r>
      <w:r>
        <w:rPr>
          <w:rFonts w:hint="eastAsia" w:ascii="仿宋" w:hAnsi="仿宋" w:eastAsia="仿宋"/>
          <w:sz w:val="32"/>
          <w:szCs w:val="32"/>
        </w:rPr>
        <w:t>.对个人和家庭的补助：反映政府用于对个和家庭的补助支出。</w:t>
      </w:r>
    </w:p>
    <w:p>
      <w:pPr>
        <w:ind w:firstLine="640" w:firstLineChars="200"/>
        <w:rPr>
          <w:rFonts w:ascii="仿宋" w:hAnsi="仿宋" w:eastAsia="仿宋"/>
          <w:sz w:val="32"/>
          <w:szCs w:val="32"/>
        </w:rPr>
      </w:pPr>
      <w:r>
        <w:rPr>
          <w:rFonts w:ascii="仿宋" w:hAnsi="仿宋" w:eastAsia="仿宋"/>
          <w:sz w:val="32"/>
          <w:szCs w:val="32"/>
        </w:rPr>
        <w:t>22</w:t>
      </w:r>
      <w:r>
        <w:rPr>
          <w:rFonts w:hint="eastAsia" w:ascii="仿宋" w:hAnsi="仿宋" w:eastAsia="仿宋"/>
          <w:sz w:val="32"/>
          <w:szCs w:val="32"/>
        </w:rPr>
        <w:t>.资本性支出：反映各单位安排的资本性支出。切块由发展改革部门安排的基本建设支出不在此科目反映。</w:t>
      </w:r>
    </w:p>
    <w:p>
      <w:pPr>
        <w:pStyle w:val="2"/>
        <w:spacing w:before="93"/>
        <w:rPr>
          <w:rFonts w:hint="eastAsia"/>
        </w:rPr>
      </w:pPr>
    </w:p>
    <w:p>
      <w:pPr>
        <w:spacing w:line="600" w:lineRule="exact"/>
        <w:jc w:val="center"/>
        <w:outlineLvl w:val="0"/>
        <w:rPr>
          <w:rStyle w:val="24"/>
          <w:rFonts w:ascii="黑体" w:hAnsi="黑体" w:eastAsia="黑体"/>
          <w:b w:val="0"/>
        </w:rPr>
      </w:pPr>
      <w:r>
        <w:rPr>
          <w:rFonts w:ascii="宋体"/>
          <w:b/>
          <w:sz w:val="44"/>
          <w:szCs w:val="44"/>
        </w:rPr>
        <w:br w:type="page"/>
      </w:r>
      <w:bookmarkStart w:id="52" w:name="_Toc15396614"/>
      <w:r>
        <w:rPr>
          <w:rFonts w:hint="eastAsia" w:ascii="黑体" w:hAnsi="黑体" w:eastAsia="黑体"/>
          <w:sz w:val="44"/>
          <w:szCs w:val="44"/>
        </w:rPr>
        <w:t>第</w:t>
      </w:r>
      <w:r>
        <w:rPr>
          <w:rStyle w:val="24"/>
          <w:rFonts w:hint="eastAsia" w:ascii="黑体" w:hAnsi="黑体" w:eastAsia="黑体"/>
          <w:b w:val="0"/>
        </w:rPr>
        <w:t>四部分 附件</w:t>
      </w:r>
      <w:bookmarkEnd w:id="52"/>
    </w:p>
    <w:p>
      <w:pPr>
        <w:spacing w:line="600" w:lineRule="exact"/>
        <w:jc w:val="center"/>
        <w:outlineLvl w:val="0"/>
        <w:rPr>
          <w:rFonts w:ascii="宋体" w:hAnsi="宋体" w:cs="宋体"/>
          <w:kern w:val="0"/>
          <w:sz w:val="32"/>
          <w:szCs w:val="32"/>
        </w:rPr>
      </w:pPr>
      <w:bookmarkStart w:id="53" w:name="_Toc15396618"/>
      <w:r>
        <w:rPr>
          <w:rFonts w:hint="eastAsia" w:ascii="宋体" w:hAnsi="宋体" w:cs="宋体"/>
          <w:kern w:val="0"/>
          <w:sz w:val="32"/>
          <w:szCs w:val="32"/>
        </w:rPr>
        <w:t>部门预算项目支出绩效自评表（2022年度）</w:t>
      </w:r>
    </w:p>
    <w:tbl>
      <w:tblPr>
        <w:tblStyle w:val="12"/>
        <w:tblW w:w="9409" w:type="dxa"/>
        <w:tblInd w:w="96" w:type="dxa"/>
        <w:tblLayout w:type="autofit"/>
        <w:tblCellMar>
          <w:top w:w="0" w:type="dxa"/>
          <w:left w:w="108" w:type="dxa"/>
          <w:bottom w:w="0" w:type="dxa"/>
          <w:right w:w="108" w:type="dxa"/>
        </w:tblCellMar>
      </w:tblPr>
      <w:tblGrid>
        <w:gridCol w:w="614"/>
        <w:gridCol w:w="800"/>
        <w:gridCol w:w="800"/>
        <w:gridCol w:w="800"/>
        <w:gridCol w:w="796"/>
        <w:gridCol w:w="796"/>
        <w:gridCol w:w="796"/>
        <w:gridCol w:w="846"/>
        <w:gridCol w:w="486"/>
        <w:gridCol w:w="410"/>
        <w:gridCol w:w="2265"/>
      </w:tblGrid>
      <w:tr>
        <w:tblPrEx>
          <w:tblCellMar>
            <w:top w:w="0" w:type="dxa"/>
            <w:left w:w="108" w:type="dxa"/>
            <w:bottom w:w="0" w:type="dxa"/>
            <w:right w:w="108" w:type="dxa"/>
          </w:tblCellMar>
        </w:tblPrEx>
        <w:trPr>
          <w:trHeight w:val="286" w:hRule="atLeast"/>
        </w:trPr>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9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51090422T000006815845-义务教育家庭经济困难学生生活补助</w:t>
            </w:r>
          </w:p>
        </w:tc>
      </w:tr>
      <w:tr>
        <w:tblPrEx>
          <w:tblCellMar>
            <w:top w:w="0" w:type="dxa"/>
            <w:left w:w="108" w:type="dxa"/>
            <w:bottom w:w="0" w:type="dxa"/>
            <w:right w:w="108" w:type="dxa"/>
          </w:tblCellMar>
        </w:tblPrEx>
        <w:trPr>
          <w:trHeight w:val="512" w:hRule="atLeast"/>
        </w:trPr>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遂宁市安居区聚贤镇同盟小学校部门</w:t>
            </w:r>
          </w:p>
        </w:tc>
        <w:tc>
          <w:tcPr>
            <w:tcW w:w="804"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遂宁市安居区聚贤镇同盟小学校</w:t>
            </w:r>
          </w:p>
        </w:tc>
      </w:tr>
      <w:tr>
        <w:tblPrEx>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给经济困难学生发放生活补助</w:t>
            </w:r>
          </w:p>
        </w:tc>
        <w:tc>
          <w:tcPr>
            <w:tcW w:w="3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宋体" w:hAnsi="宋体" w:cs="宋体"/>
                <w:color w:val="000000"/>
                <w:sz w:val="18"/>
                <w:szCs w:val="18"/>
              </w:rPr>
              <w:t>足额及时给经济困难学生发放生活补助</w:t>
            </w:r>
          </w:p>
        </w:tc>
      </w:tr>
      <w:tr>
        <w:tblPrEx>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9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0.13</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0.13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0.13</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0.13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6" w:hRule="atLeast"/>
        </w:trPr>
        <w:tc>
          <w:tcPr>
            <w:tcW w:w="624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bl>
    <w:p>
      <w:pPr>
        <w:spacing w:line="600" w:lineRule="exact"/>
        <w:jc w:val="left"/>
        <w:outlineLvl w:val="0"/>
        <w:rPr>
          <w:rFonts w:ascii="仿宋_GB2312" w:hAnsi="Calibri" w:eastAsia="仿宋_GB2312" w:cs="仿宋"/>
          <w:kern w:val="0"/>
          <w:sz w:val="32"/>
          <w:szCs w:val="32"/>
        </w:rPr>
      </w:pPr>
    </w:p>
    <w:p>
      <w:pPr>
        <w:pStyle w:val="2"/>
        <w:spacing w:before="93"/>
        <w:rPr>
          <w:rFonts w:hAnsi="Calibri" w:cs="仿宋"/>
          <w:sz w:val="32"/>
          <w:szCs w:val="32"/>
        </w:rPr>
      </w:pPr>
    </w:p>
    <w:p>
      <w:pPr>
        <w:pStyle w:val="2"/>
        <w:spacing w:before="93"/>
        <w:rPr>
          <w:rFonts w:hint="eastAsia" w:hAnsi="Calibri" w:cs="仿宋"/>
          <w:sz w:val="32"/>
          <w:szCs w:val="32"/>
        </w:rPr>
      </w:pPr>
    </w:p>
    <w:p>
      <w:pPr>
        <w:pStyle w:val="2"/>
        <w:spacing w:before="93"/>
        <w:rPr>
          <w:rFonts w:hAnsi="Calibri" w:cs="仿宋"/>
          <w:sz w:val="32"/>
          <w:szCs w:val="32"/>
        </w:rPr>
      </w:pPr>
    </w:p>
    <w:tbl>
      <w:tblPr>
        <w:tblStyle w:val="12"/>
        <w:tblW w:w="9409" w:type="dxa"/>
        <w:tblInd w:w="96" w:type="dxa"/>
        <w:tblLayout w:type="autofit"/>
        <w:tblCellMar>
          <w:top w:w="0" w:type="dxa"/>
          <w:left w:w="108" w:type="dxa"/>
          <w:bottom w:w="0" w:type="dxa"/>
          <w:right w:w="108" w:type="dxa"/>
        </w:tblCellMar>
      </w:tblPr>
      <w:tblGrid>
        <w:gridCol w:w="614"/>
        <w:gridCol w:w="800"/>
        <w:gridCol w:w="800"/>
        <w:gridCol w:w="800"/>
        <w:gridCol w:w="796"/>
        <w:gridCol w:w="796"/>
        <w:gridCol w:w="796"/>
        <w:gridCol w:w="846"/>
        <w:gridCol w:w="486"/>
        <w:gridCol w:w="410"/>
        <w:gridCol w:w="2265"/>
      </w:tblGrid>
      <w:tr>
        <w:tblPrEx>
          <w:tblCellMar>
            <w:top w:w="0" w:type="dxa"/>
            <w:left w:w="108" w:type="dxa"/>
            <w:bottom w:w="0" w:type="dxa"/>
            <w:right w:w="108" w:type="dxa"/>
          </w:tblCellMar>
        </w:tblPrEx>
        <w:trPr>
          <w:trHeight w:val="286" w:hRule="atLeast"/>
        </w:trPr>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9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51090422T000006818424-幼儿资助及幼儿发展资金</w:t>
            </w:r>
          </w:p>
        </w:tc>
      </w:tr>
      <w:tr>
        <w:tblPrEx>
          <w:tblCellMar>
            <w:top w:w="0" w:type="dxa"/>
            <w:left w:w="108" w:type="dxa"/>
            <w:bottom w:w="0" w:type="dxa"/>
            <w:right w:w="108" w:type="dxa"/>
          </w:tblCellMar>
        </w:tblPrEx>
        <w:trPr>
          <w:trHeight w:val="512" w:hRule="atLeast"/>
        </w:trPr>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遂宁市安居区聚贤镇同盟小学校部门</w:t>
            </w:r>
          </w:p>
        </w:tc>
        <w:tc>
          <w:tcPr>
            <w:tcW w:w="804"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遂宁市安居区聚贤镇同盟小学校</w:t>
            </w:r>
          </w:p>
        </w:tc>
      </w:tr>
      <w:tr>
        <w:tblPrEx>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kern w:val="0"/>
                <w:sz w:val="18"/>
                <w:szCs w:val="18"/>
                <w:lang w:bidi="ar"/>
              </w:rPr>
              <w:t>幼儿资助及发展</w:t>
            </w:r>
          </w:p>
        </w:tc>
        <w:tc>
          <w:tcPr>
            <w:tcW w:w="3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sz w:val="18"/>
                <w:szCs w:val="18"/>
              </w:rPr>
              <w:t>按要求将资金支付到位，及时完成幼儿资助及发展项目。</w:t>
            </w:r>
          </w:p>
        </w:tc>
      </w:tr>
      <w:tr>
        <w:tblPrEx>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9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0.10</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0.10</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6" w:hRule="atLeast"/>
        </w:trPr>
        <w:tc>
          <w:tcPr>
            <w:tcW w:w="624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bl>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tbl>
      <w:tblPr>
        <w:tblStyle w:val="12"/>
        <w:tblW w:w="9409" w:type="dxa"/>
        <w:tblInd w:w="96" w:type="dxa"/>
        <w:tblLayout w:type="autofit"/>
        <w:tblCellMar>
          <w:top w:w="0" w:type="dxa"/>
          <w:left w:w="108" w:type="dxa"/>
          <w:bottom w:w="0" w:type="dxa"/>
          <w:right w:w="108" w:type="dxa"/>
        </w:tblCellMar>
      </w:tblPr>
      <w:tblGrid>
        <w:gridCol w:w="614"/>
        <w:gridCol w:w="800"/>
        <w:gridCol w:w="800"/>
        <w:gridCol w:w="800"/>
        <w:gridCol w:w="796"/>
        <w:gridCol w:w="796"/>
        <w:gridCol w:w="796"/>
        <w:gridCol w:w="846"/>
        <w:gridCol w:w="486"/>
        <w:gridCol w:w="410"/>
        <w:gridCol w:w="2265"/>
      </w:tblGrid>
      <w:tr>
        <w:tblPrEx>
          <w:tblCellMar>
            <w:top w:w="0" w:type="dxa"/>
            <w:left w:w="108" w:type="dxa"/>
            <w:bottom w:w="0" w:type="dxa"/>
            <w:right w:w="108" w:type="dxa"/>
          </w:tblCellMar>
        </w:tblPrEx>
        <w:trPr>
          <w:trHeight w:val="286" w:hRule="atLeast"/>
        </w:trPr>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9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51090423T000007785795-2022下作业本费</w:t>
            </w:r>
          </w:p>
        </w:tc>
      </w:tr>
      <w:tr>
        <w:tblPrEx>
          <w:tblCellMar>
            <w:top w:w="0" w:type="dxa"/>
            <w:left w:w="108" w:type="dxa"/>
            <w:bottom w:w="0" w:type="dxa"/>
            <w:right w:w="108" w:type="dxa"/>
          </w:tblCellMar>
        </w:tblPrEx>
        <w:trPr>
          <w:trHeight w:val="512" w:hRule="atLeast"/>
        </w:trPr>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遂宁市安居区聚贤镇同盟小学校部门</w:t>
            </w:r>
          </w:p>
        </w:tc>
        <w:tc>
          <w:tcPr>
            <w:tcW w:w="804"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遂宁市安居区聚贤镇同盟小学校</w:t>
            </w:r>
          </w:p>
        </w:tc>
      </w:tr>
      <w:tr>
        <w:tblPrEx>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给学生发放免费作业本</w:t>
            </w:r>
          </w:p>
        </w:tc>
        <w:tc>
          <w:tcPr>
            <w:tcW w:w="3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sz w:val="18"/>
                <w:szCs w:val="18"/>
              </w:rPr>
              <w:t>按要求将资金支付到位，及时给学生发放免费作业本</w:t>
            </w:r>
          </w:p>
        </w:tc>
      </w:tr>
      <w:tr>
        <w:tblPrEx>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9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0.06</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0.06</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6" w:hRule="atLeast"/>
        </w:trPr>
        <w:tc>
          <w:tcPr>
            <w:tcW w:w="624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bl>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tbl>
      <w:tblPr>
        <w:tblStyle w:val="12"/>
        <w:tblW w:w="9409" w:type="dxa"/>
        <w:tblInd w:w="96" w:type="dxa"/>
        <w:tblLayout w:type="autofit"/>
        <w:tblCellMar>
          <w:top w:w="0" w:type="dxa"/>
          <w:left w:w="108" w:type="dxa"/>
          <w:bottom w:w="0" w:type="dxa"/>
          <w:right w:w="108" w:type="dxa"/>
        </w:tblCellMar>
      </w:tblPr>
      <w:tblGrid>
        <w:gridCol w:w="614"/>
        <w:gridCol w:w="800"/>
        <w:gridCol w:w="800"/>
        <w:gridCol w:w="800"/>
        <w:gridCol w:w="796"/>
        <w:gridCol w:w="796"/>
        <w:gridCol w:w="796"/>
        <w:gridCol w:w="846"/>
        <w:gridCol w:w="486"/>
        <w:gridCol w:w="410"/>
        <w:gridCol w:w="2265"/>
      </w:tblGrid>
      <w:tr>
        <w:tblPrEx>
          <w:tblCellMar>
            <w:top w:w="0" w:type="dxa"/>
            <w:left w:w="108" w:type="dxa"/>
            <w:bottom w:w="0" w:type="dxa"/>
            <w:right w:w="108" w:type="dxa"/>
          </w:tblCellMar>
        </w:tblPrEx>
        <w:trPr>
          <w:trHeight w:val="286" w:hRule="atLeast"/>
        </w:trPr>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9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51090422T000006631660-幼儿保教费</w:t>
            </w:r>
          </w:p>
        </w:tc>
      </w:tr>
      <w:tr>
        <w:tblPrEx>
          <w:tblCellMar>
            <w:top w:w="0" w:type="dxa"/>
            <w:left w:w="108" w:type="dxa"/>
            <w:bottom w:w="0" w:type="dxa"/>
            <w:right w:w="108" w:type="dxa"/>
          </w:tblCellMar>
        </w:tblPrEx>
        <w:trPr>
          <w:trHeight w:val="512" w:hRule="atLeast"/>
        </w:trPr>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遂宁市安居区聚贤镇同盟小学校部门</w:t>
            </w:r>
          </w:p>
        </w:tc>
        <w:tc>
          <w:tcPr>
            <w:tcW w:w="804"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遂宁市安居区聚贤镇同盟小学校</w:t>
            </w:r>
          </w:p>
        </w:tc>
      </w:tr>
      <w:tr>
        <w:tblPrEx>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幼儿保教费</w:t>
            </w:r>
          </w:p>
        </w:tc>
        <w:tc>
          <w:tcPr>
            <w:tcW w:w="3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sz w:val="18"/>
                <w:szCs w:val="18"/>
              </w:rPr>
              <w:t>按要求将资金支付到位，及时完成幼儿保教项目。</w:t>
            </w:r>
          </w:p>
        </w:tc>
      </w:tr>
      <w:tr>
        <w:tblPrEx>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9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0.35</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0.35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0.35</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0.35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6" w:hRule="atLeast"/>
        </w:trPr>
        <w:tc>
          <w:tcPr>
            <w:tcW w:w="624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bl>
    <w:p>
      <w:pPr>
        <w:spacing w:line="600" w:lineRule="exact"/>
        <w:jc w:val="center"/>
        <w:outlineLvl w:val="0"/>
        <w:rPr>
          <w:rFonts w:ascii="黑体" w:hAnsi="黑体" w:eastAsia="黑体"/>
          <w:sz w:val="44"/>
          <w:szCs w:val="44"/>
        </w:rPr>
      </w:pPr>
    </w:p>
    <w:p>
      <w:pPr>
        <w:pStyle w:val="2"/>
        <w:spacing w:before="93"/>
      </w:pPr>
    </w:p>
    <w:p>
      <w:pPr>
        <w:pStyle w:val="2"/>
        <w:spacing w:before="93"/>
      </w:pPr>
    </w:p>
    <w:p>
      <w:pPr>
        <w:pStyle w:val="2"/>
        <w:spacing w:before="93"/>
        <w:rPr>
          <w:rFonts w:hint="eastAsia"/>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4"/>
          <w:rFonts w:hint="eastAsia" w:ascii="黑体" w:hAnsi="黑体" w:eastAsia="黑体"/>
          <w:b w:val="0"/>
        </w:rPr>
        <w:t>五部分 附表</w:t>
      </w:r>
      <w:bookmarkEnd w:id="51"/>
      <w:bookmarkEnd w:id="53"/>
      <w:bookmarkStart w:id="54" w:name="_Toc15396619"/>
    </w:p>
    <w:bookmarkEnd w:id="54"/>
    <w:p>
      <w:pPr>
        <w:pStyle w:val="4"/>
        <w:rPr>
          <w:rFonts w:ascii="仿宋" w:hAnsi="仿宋" w:eastAsia="仿宋"/>
        </w:rPr>
      </w:pPr>
      <w:r>
        <w:rPr>
          <w:rFonts w:hint="eastAsia" w:ascii="仿宋" w:hAnsi="仿宋" w:eastAsia="仿宋"/>
          <w:b w:val="0"/>
        </w:rPr>
        <w:t>一、收</w:t>
      </w:r>
      <w:r>
        <w:rPr>
          <w:rStyle w:val="25"/>
          <w:rFonts w:hint="eastAsia" w:ascii="仿宋" w:hAnsi="仿宋" w:eastAsia="仿宋"/>
          <w:b w:val="0"/>
          <w:bCs w:val="0"/>
        </w:rPr>
        <w:t>入支出决算总表</w:t>
      </w:r>
    </w:p>
    <w:p>
      <w:pPr>
        <w:pStyle w:val="4"/>
        <w:rPr>
          <w:rFonts w:ascii="仿宋" w:hAnsi="仿宋" w:eastAsia="仿宋"/>
        </w:rPr>
      </w:pPr>
      <w:bookmarkStart w:id="55" w:name="_Toc15396620"/>
      <w:r>
        <w:rPr>
          <w:rFonts w:hint="eastAsia" w:ascii="仿宋" w:hAnsi="仿宋" w:eastAsia="仿宋"/>
          <w:b w:val="0"/>
        </w:rPr>
        <w:t>二、收</w:t>
      </w:r>
      <w:r>
        <w:rPr>
          <w:rStyle w:val="25"/>
          <w:rFonts w:hint="eastAsia" w:ascii="仿宋" w:hAnsi="仿宋" w:eastAsia="仿宋"/>
          <w:b w:val="0"/>
          <w:bCs w:val="0"/>
        </w:rPr>
        <w:t>入决算表</w:t>
      </w:r>
      <w:bookmarkEnd w:id="55"/>
    </w:p>
    <w:p>
      <w:pPr>
        <w:pStyle w:val="4"/>
        <w:rPr>
          <w:rFonts w:ascii="仿宋" w:hAnsi="仿宋" w:eastAsia="仿宋"/>
        </w:rPr>
      </w:pPr>
      <w:bookmarkStart w:id="56"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57"/>
    </w:p>
    <w:p>
      <w:pPr>
        <w:pStyle w:val="4"/>
        <w:rPr>
          <w:rStyle w:val="25"/>
          <w:rFonts w:ascii="仿宋" w:hAnsi="仿宋" w:eastAsia="仿宋"/>
          <w:b w:val="0"/>
          <w:bCs w:val="0"/>
        </w:rPr>
      </w:pPr>
      <w:bookmarkStart w:id="58"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25"/>
          <w:rFonts w:hint="eastAsia" w:ascii="仿宋" w:hAnsi="仿宋" w:eastAsia="仿宋"/>
          <w:b w:val="0"/>
          <w:bCs w:val="0"/>
        </w:rPr>
        <w:t>十、</w:t>
      </w:r>
      <w:bookmarkEnd w:id="63"/>
      <w:r>
        <w:rPr>
          <w:rFonts w:hint="eastAsia" w:ascii="仿宋" w:hAnsi="仿宋" w:eastAsia="仿宋"/>
          <w:b w:val="0"/>
        </w:rPr>
        <w:t>政</w:t>
      </w:r>
      <w:r>
        <w:rPr>
          <w:rStyle w:val="25"/>
          <w:rFonts w:hint="eastAsia" w:ascii="仿宋" w:hAnsi="仿宋" w:eastAsia="仿宋"/>
          <w:b w:val="0"/>
          <w:bCs w:val="0"/>
        </w:rPr>
        <w:t>府性基金预算财政拨款收入支出决算表</w:t>
      </w:r>
    </w:p>
    <w:p>
      <w:pPr>
        <w:pStyle w:val="4"/>
        <w:rPr>
          <w:rFonts w:ascii="仿宋" w:hAnsi="仿宋" w:eastAsia="仿宋"/>
        </w:rPr>
      </w:pPr>
      <w:bookmarkStart w:id="64" w:name="_Toc15396629"/>
      <w:r>
        <w:rPr>
          <w:rStyle w:val="25"/>
          <w:rFonts w:hint="eastAsia" w:ascii="仿宋" w:hAnsi="仿宋" w:eastAsia="仿宋"/>
          <w:b w:val="0"/>
          <w:bCs w:val="0"/>
        </w:rPr>
        <w:t>十一、</w:t>
      </w:r>
      <w:bookmarkEnd w:id="64"/>
      <w:r>
        <w:rPr>
          <w:rFonts w:hint="eastAsia" w:ascii="仿宋" w:hAnsi="仿宋" w:eastAsia="仿宋"/>
          <w:b w:val="0"/>
        </w:rPr>
        <w:t>国</w:t>
      </w:r>
      <w:r>
        <w:rPr>
          <w:rStyle w:val="25"/>
          <w:rFonts w:hint="eastAsia" w:ascii="仿宋" w:hAnsi="仿宋" w:eastAsia="仿宋"/>
          <w:b w:val="0"/>
          <w:bCs w:val="0"/>
        </w:rPr>
        <w:t>有资本经营预算财政拨款收入支出决算表</w:t>
      </w:r>
    </w:p>
    <w:p>
      <w:pPr>
        <w:pStyle w:val="4"/>
        <w:rPr>
          <w:rFonts w:ascii="仿宋" w:hAnsi="仿宋" w:eastAsia="仿宋"/>
        </w:rPr>
      </w:pPr>
      <w:bookmarkStart w:id="65" w:name="_Toc15396630"/>
      <w:r>
        <w:rPr>
          <w:rStyle w:val="25"/>
          <w:rFonts w:hint="eastAsia" w:ascii="仿宋" w:hAnsi="仿宋" w:eastAsia="仿宋"/>
          <w:b w:val="0"/>
          <w:bCs w:val="0"/>
        </w:rPr>
        <w:t>十二、</w:t>
      </w:r>
      <w:bookmarkEnd w:id="65"/>
      <w:r>
        <w:rPr>
          <w:rStyle w:val="25"/>
          <w:rFonts w:hint="eastAsia" w:ascii="仿宋" w:hAnsi="仿宋" w:eastAsia="仿宋"/>
          <w:b w:val="0"/>
          <w:bCs w:val="0"/>
        </w:rPr>
        <w:t>国有资本经营预算财政拨款支出决算表</w:t>
      </w:r>
    </w:p>
    <w:p>
      <w:pPr>
        <w:pStyle w:val="4"/>
        <w:rPr>
          <w:rFonts w:eastAsia="仿宋"/>
        </w:rPr>
      </w:pPr>
      <w:bookmarkStart w:id="66" w:name="_Toc15396631"/>
      <w:r>
        <w:rPr>
          <w:rStyle w:val="25"/>
          <w:rFonts w:hint="eastAsia" w:ascii="仿宋" w:hAnsi="仿宋" w:eastAsia="仿宋"/>
          <w:b w:val="0"/>
          <w:bCs w:val="0"/>
        </w:rPr>
        <w:t>十三、</w:t>
      </w:r>
      <w:bookmarkEnd w:id="66"/>
      <w:r>
        <w:rPr>
          <w:rStyle w:val="25"/>
          <w:rFonts w:hint="eastAsia" w:ascii="仿宋" w:hAnsi="仿宋" w:eastAsia="仿宋"/>
          <w:b w:val="0"/>
          <w:bCs w:val="0"/>
        </w:rPr>
        <w:t>财政拨款“三公”经费支出决算表</w:t>
      </w:r>
    </w:p>
    <w:p>
      <w:pPr>
        <w:rPr>
          <w:rFonts w:eastAsia="仿宋"/>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CDD148D"/>
    <w:multiLevelType w:val="singleLevel"/>
    <w:tmpl w:val="DCDD148D"/>
    <w:lvl w:ilvl="0" w:tentative="0">
      <w:start w:val="1"/>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YTY3YmRjNDE5MzQ5OTJiOGFiN2Y4ZjkyYTg1MDY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2A27"/>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B308D"/>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32D"/>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6BD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1FE5"/>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807FAC"/>
    <w:rsid w:val="02B70A04"/>
    <w:rsid w:val="04E60C82"/>
    <w:rsid w:val="050138E2"/>
    <w:rsid w:val="07713690"/>
    <w:rsid w:val="08217FA4"/>
    <w:rsid w:val="095D28E4"/>
    <w:rsid w:val="0A2032A3"/>
    <w:rsid w:val="0A24532A"/>
    <w:rsid w:val="0A6C0C3C"/>
    <w:rsid w:val="0A74235A"/>
    <w:rsid w:val="0A7B3A8F"/>
    <w:rsid w:val="0ABE0ED6"/>
    <w:rsid w:val="0B8A37D8"/>
    <w:rsid w:val="0C30145E"/>
    <w:rsid w:val="0D61309B"/>
    <w:rsid w:val="0DEC5907"/>
    <w:rsid w:val="10C055FF"/>
    <w:rsid w:val="118107EC"/>
    <w:rsid w:val="11DD6519"/>
    <w:rsid w:val="16311803"/>
    <w:rsid w:val="16BB723D"/>
    <w:rsid w:val="18015F3F"/>
    <w:rsid w:val="1BE8440E"/>
    <w:rsid w:val="1D01780F"/>
    <w:rsid w:val="1D155CEE"/>
    <w:rsid w:val="1E811D4E"/>
    <w:rsid w:val="20F57F95"/>
    <w:rsid w:val="2111109E"/>
    <w:rsid w:val="240371BF"/>
    <w:rsid w:val="25C741E6"/>
    <w:rsid w:val="270451E1"/>
    <w:rsid w:val="27842671"/>
    <w:rsid w:val="29F46069"/>
    <w:rsid w:val="29FD04D3"/>
    <w:rsid w:val="2ABE7A3E"/>
    <w:rsid w:val="2B2D22CA"/>
    <w:rsid w:val="2B3D7387"/>
    <w:rsid w:val="2D225873"/>
    <w:rsid w:val="2DCB0BC0"/>
    <w:rsid w:val="2E285B3C"/>
    <w:rsid w:val="2ECE3357"/>
    <w:rsid w:val="2EFA178C"/>
    <w:rsid w:val="30B46D73"/>
    <w:rsid w:val="30EB4EF2"/>
    <w:rsid w:val="319F7F4E"/>
    <w:rsid w:val="34D3337E"/>
    <w:rsid w:val="36224464"/>
    <w:rsid w:val="368E2A7E"/>
    <w:rsid w:val="38355126"/>
    <w:rsid w:val="39414A4C"/>
    <w:rsid w:val="39AE70AB"/>
    <w:rsid w:val="3C0C0783"/>
    <w:rsid w:val="3C5C6F0E"/>
    <w:rsid w:val="3F9F3A96"/>
    <w:rsid w:val="41FC2404"/>
    <w:rsid w:val="4272684D"/>
    <w:rsid w:val="42EC6092"/>
    <w:rsid w:val="46205AB6"/>
    <w:rsid w:val="46D07610"/>
    <w:rsid w:val="46E93F2A"/>
    <w:rsid w:val="47415B33"/>
    <w:rsid w:val="493C27E9"/>
    <w:rsid w:val="496F39ED"/>
    <w:rsid w:val="49FF41D3"/>
    <w:rsid w:val="4BB6488C"/>
    <w:rsid w:val="4BE068DB"/>
    <w:rsid w:val="4BF6002B"/>
    <w:rsid w:val="4D8225A5"/>
    <w:rsid w:val="4ECE2238"/>
    <w:rsid w:val="51DB4B86"/>
    <w:rsid w:val="53452EE6"/>
    <w:rsid w:val="53896E4D"/>
    <w:rsid w:val="55333C3E"/>
    <w:rsid w:val="55B921EF"/>
    <w:rsid w:val="579E3A7C"/>
    <w:rsid w:val="59726C25"/>
    <w:rsid w:val="5A6964C8"/>
    <w:rsid w:val="5E9861FA"/>
    <w:rsid w:val="61B66365"/>
    <w:rsid w:val="62FD0BCE"/>
    <w:rsid w:val="64CA39A1"/>
    <w:rsid w:val="65B31A18"/>
    <w:rsid w:val="69083653"/>
    <w:rsid w:val="6C4A05C8"/>
    <w:rsid w:val="71310102"/>
    <w:rsid w:val="72734D90"/>
    <w:rsid w:val="72D06A7E"/>
    <w:rsid w:val="74DC4168"/>
    <w:rsid w:val="756278D9"/>
    <w:rsid w:val="75D53D19"/>
    <w:rsid w:val="79E7B28D"/>
    <w:rsid w:val="7E4752FE"/>
    <w:rsid w:val="7F9F20EE"/>
    <w:rsid w:val="7FFA1335"/>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3"/>
    <w:qFormat/>
    <w:uiPriority w:val="9"/>
    <w:rPr>
      <w:rFonts w:ascii="Times New Roman" w:hAnsi="Times New Roman"/>
      <w:b/>
      <w:bCs/>
      <w:kern w:val="44"/>
      <w:sz w:val="44"/>
      <w:szCs w:val="44"/>
    </w:rPr>
  </w:style>
  <w:style w:type="character" w:customStyle="1" w:styleId="25">
    <w:name w:val="标题 2 Char"/>
    <w:basedOn w:val="13"/>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标题 2 字符"/>
    <w:basedOn w:val="13"/>
    <w:link w:val="4"/>
    <w:qFormat/>
    <w:locked/>
    <w:uiPriority w:val="9"/>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571.54</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571.54</c:v>
                </c:pt>
                <c:pt idx="1">
                  <c:v>217.46</c:v>
                </c:pt>
              </c:numCache>
            </c:numRef>
          </c:val>
        </c:ser>
        <c:ser>
          <c:idx val="1"/>
          <c:order val="1"/>
          <c:tx>
            <c:strRef>
              <c:f>Sheet1!$C$1</c:f>
              <c:strCache>
                <c:ptCount val="1"/>
                <c:pt idx="0">
                  <c:v>支出</c:v>
                </c:pt>
              </c:strCache>
            </c:strRef>
          </c:tx>
          <c:spPr>
            <a:solidFill>
              <a:schemeClr val="accent2"/>
            </a:solidFill>
            <a:ln>
              <a:noFill/>
            </a:ln>
            <a:effectLst/>
          </c:spPr>
          <c:invertIfNegative val="0"/>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571.54</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Sheet1!$C$2:$C$3</c:f>
              <c:numCache>
                <c:formatCode>General</c:formatCode>
                <c:ptCount val="2"/>
                <c:pt idx="0">
                  <c:v>571.54</c:v>
                </c:pt>
                <c:pt idx="1">
                  <c:v>217.46</c:v>
                </c:pt>
              </c:numCache>
            </c:numRef>
          </c:val>
        </c:ser>
        <c:dLbls>
          <c:showLegendKey val="0"/>
          <c:showVal val="1"/>
          <c:showCatName val="0"/>
          <c:showSerName val="0"/>
          <c:showPercent val="0"/>
          <c:showBubbleSize val="0"/>
        </c:dLbls>
        <c:gapWidth val="219"/>
        <c:overlap val="-27"/>
        <c:axId val="340679744"/>
        <c:axId val="450222729"/>
      </c:barChart>
      <c:catAx>
        <c:axId val="34067974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0222729"/>
        <c:crosses val="autoZero"/>
        <c:auto val="1"/>
        <c:lblAlgn val="ctr"/>
        <c:lblOffset val="100"/>
        <c:noMultiLvlLbl val="0"/>
      </c:catAx>
      <c:valAx>
        <c:axId val="45022272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067974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收入决算结构图</a:t>
            </a:r>
            <a:endParaRPr lang="zh-CN" altLang="en-US"/>
          </a:p>
        </c:rich>
      </c:tx>
      <c:layout>
        <c:manualLayout>
          <c:xMode val="edge"/>
          <c:yMode val="edge"/>
          <c:x val="0.427433948606587"/>
          <c:y val="0.00850822461712989"/>
        </c:manualLayout>
      </c:layout>
      <c:overlay val="0"/>
      <c:spPr>
        <a:noFill/>
        <a:ln>
          <a:noFill/>
        </a:ln>
        <a:effectLst/>
      </c:spPr>
    </c:title>
    <c:autoTitleDeleted val="0"/>
    <c:plotArea>
      <c:layout/>
      <c:pieChart>
        <c:varyColors val="1"/>
        <c:ser>
          <c:idx val="0"/>
          <c:order val="0"/>
          <c:tx>
            <c:strRef>
              <c:f>Sheet1!$B$1</c:f>
              <c:strCache>
                <c:ptCount val="1"/>
                <c:pt idx="0">
                  <c:v>收入决算结构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gradFill>
                <a:gsLst>
                  <a:gs pos="0">
                    <a:srgbClr val="E30000"/>
                  </a:gs>
                  <a:gs pos="100000">
                    <a:srgbClr val="760303"/>
                  </a:gs>
                </a:gsLst>
                <a:lin ang="5400000" scaled="0"/>
              </a:gradFill>
              <a:ln w="19050">
                <a:solidFill>
                  <a:schemeClr val="lt1"/>
                </a:solidFill>
              </a:ln>
              <a:effectLst/>
            </c:spPr>
          </c:dPt>
          <c:dLbls>
            <c:dLbl>
              <c:idx val="0"/>
              <c:layout>
                <c:manualLayout>
                  <c:x val="0.015686744003306"/>
                  <c:y val="-0.11754449333061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delete val="1"/>
            </c:dLbl>
            <c:dLbl>
              <c:idx val="2"/>
              <c:delete val="1"/>
            </c:dLbl>
            <c:dLbl>
              <c:idx val="3"/>
              <c:delete val="1"/>
            </c:dLbl>
            <c:dLbl>
              <c:idx val="4"/>
              <c:delete val="1"/>
            </c:dLbl>
            <c:dLbl>
              <c:idx val="5"/>
              <c:delete val="1"/>
            </c:dLbl>
            <c:dLbl>
              <c:idx val="6"/>
              <c:delete val="1"/>
            </c:dLbl>
            <c:dLbl>
              <c:idx val="7"/>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一般公共预算财政拨款</c:v>
                </c:pt>
                <c:pt idx="1">
                  <c:v>政府性基金预算财政拨款</c:v>
                </c:pt>
                <c:pt idx="2">
                  <c:v>国有资本经营预算财政拨款</c:v>
                </c:pt>
                <c:pt idx="3">
                  <c:v>上级补助</c:v>
                </c:pt>
                <c:pt idx="4">
                  <c:v>事业收入</c:v>
                </c:pt>
                <c:pt idx="5">
                  <c:v>经营收入</c:v>
                </c:pt>
                <c:pt idx="6">
                  <c:v>附属单位上缴</c:v>
                </c:pt>
                <c:pt idx="7">
                  <c:v>其他收入</c:v>
                </c:pt>
              </c:strCache>
            </c:strRef>
          </c:cat>
          <c:val>
            <c:numRef>
              <c:f>Sheet1!$B$2:$B$9</c:f>
              <c:numCache>
                <c:formatCode>General</c:formatCode>
                <c:ptCount val="8"/>
                <c:pt idx="0">
                  <c:v>217.46</c:v>
                </c:pt>
                <c:pt idx="1">
                  <c:v>0</c:v>
                </c:pt>
                <c:pt idx="2">
                  <c:v>0</c:v>
                </c:pt>
                <c:pt idx="3">
                  <c:v>0</c:v>
                </c:pt>
                <c:pt idx="4">
                  <c:v>0</c:v>
                </c:pt>
                <c:pt idx="5">
                  <c:v>0</c:v>
                </c:pt>
                <c:pt idx="6">
                  <c:v>0</c:v>
                </c:pt>
                <c:pt idx="7">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3990765171504"/>
          <c:y val="0.68937198067632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教育支出</c:v>
                </c:pt>
                <c:pt idx="1">
                  <c:v>社会保障和就业支出</c:v>
                </c:pt>
                <c:pt idx="2">
                  <c:v>卫生健康支出</c:v>
                </c:pt>
                <c:pt idx="3">
                  <c:v>住房保障支出</c:v>
                </c:pt>
              </c:strCache>
            </c:strRef>
          </c:cat>
          <c:val>
            <c:numRef>
              <c:f>Sheet1!$B$2:$B$6</c:f>
              <c:numCache>
                <c:formatCode>General</c:formatCode>
                <c:ptCount val="5"/>
                <c:pt idx="0">
                  <c:v>169.19</c:v>
                </c:pt>
                <c:pt idx="1">
                  <c:v>18.84</c:v>
                </c:pt>
                <c:pt idx="2">
                  <c:v>12.24</c:v>
                </c:pt>
                <c:pt idx="3">
                  <c:v>17.19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4"/>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财政拨款收、支决算变动情况</a:t>
            </a:r>
            <a:endParaRPr lang="zh-CN" altLang="en-US"/>
          </a:p>
        </c:rich>
      </c:tx>
      <c:layout>
        <c:manualLayout>
          <c:xMode val="edge"/>
          <c:yMode val="edge"/>
          <c:x val="0.267375"/>
          <c:y val="0.0308800823468863"/>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570.39</c:v>
                </c:pt>
                <c:pt idx="1">
                  <c:v>217.46</c:v>
                </c:pt>
              </c:numCache>
            </c:numRef>
          </c:val>
        </c:ser>
        <c:ser>
          <c:idx val="1"/>
          <c:order val="1"/>
          <c:tx>
            <c:strRef>
              <c:f>Sheet1!$C$1</c:f>
              <c:strCache>
                <c:ptCount val="1"/>
                <c:pt idx="0">
                  <c:v>财政拨款支出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Sheet1!$C$2:$C$3</c:f>
              <c:numCache>
                <c:formatCode>General</c:formatCode>
                <c:ptCount val="2"/>
                <c:pt idx="0">
                  <c:v>570.39</c:v>
                </c:pt>
                <c:pt idx="1">
                  <c:v>217.46</c:v>
                </c:pt>
              </c:numCache>
            </c:numRef>
          </c:val>
        </c:ser>
        <c:dLbls>
          <c:showLegendKey val="0"/>
          <c:showVal val="0"/>
          <c:showCatName val="0"/>
          <c:showSerName val="0"/>
          <c:showPercent val="0"/>
          <c:showBubbleSize val="0"/>
        </c:dLbls>
        <c:gapWidth val="219"/>
        <c:overlap val="-27"/>
        <c:axId val="404225902"/>
        <c:axId val="830709346"/>
      </c:barChart>
      <c:catAx>
        <c:axId val="40422590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0709346"/>
        <c:crosses val="autoZero"/>
        <c:auto val="1"/>
        <c:lblAlgn val="ctr"/>
        <c:lblOffset val="100"/>
        <c:noMultiLvlLbl val="0"/>
      </c:catAx>
      <c:valAx>
        <c:axId val="83070934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422590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一般公共预算财政拨款支出决算变动情况</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571.54</c:v>
                </c:pt>
                <c:pt idx="1">
                  <c:v>217.46</c:v>
                </c:pt>
              </c:numCache>
            </c:numRef>
          </c:val>
        </c:ser>
        <c:dLbls>
          <c:showLegendKey val="0"/>
          <c:showVal val="0"/>
          <c:showCatName val="0"/>
          <c:showSerName val="0"/>
          <c:showPercent val="0"/>
          <c:showBubbleSize val="0"/>
        </c:dLbls>
        <c:gapWidth val="219"/>
        <c:overlap val="-27"/>
        <c:axId val="462277528"/>
        <c:axId val="467803303"/>
      </c:barChart>
      <c:catAx>
        <c:axId val="46227752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7803303"/>
        <c:crosses val="autoZero"/>
        <c:auto val="1"/>
        <c:lblAlgn val="ctr"/>
        <c:lblOffset val="100"/>
        <c:noMultiLvlLbl val="0"/>
      </c:catAx>
      <c:valAx>
        <c:axId val="4678033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227752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年一般公共预算财政拨款支出决算结构</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169.19</c:v>
                </c:pt>
                <c:pt idx="1">
                  <c:v>18.84</c:v>
                </c:pt>
                <c:pt idx="2">
                  <c:v>12.24</c:v>
                </c:pt>
                <c:pt idx="3">
                  <c:v>17.19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20</Pages>
  <Words>1056</Words>
  <Characters>6025</Characters>
  <Lines>50</Lines>
  <Paragraphs>14</Paragraphs>
  <TotalTime>33</TotalTime>
  <ScaleCrop>false</ScaleCrop>
  <LinksUpToDate>false</LinksUpToDate>
  <CharactersWithSpaces>7067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Lenovo</cp:lastModifiedBy>
  <cp:lastPrinted>2022-08-06T02:23:00Z</cp:lastPrinted>
  <dcterms:modified xsi:type="dcterms:W3CDTF">2023-08-25T02:59:36Z</dcterms:modified>
  <dc:title>四川省***</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067F30C6A38244CAB2C95F8FE406E99A_13</vt:lpwstr>
  </property>
</Properties>
</file>